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2.vsd" ContentType="application/vnd.visio"/>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E43EF2">
      <w:pPr>
        <w:pStyle w:val="206"/>
        <w:rPr>
          <w:rFonts w:hint="default"/>
          <w:snapToGrid w:val="0"/>
          <w:color w:val="000000" w:themeColor="text1"/>
          <w:lang w:val="en-US" w:eastAsia="zh-CN"/>
          <w14:textFill>
            <w14:solidFill>
              <w14:schemeClr w14:val="tx1"/>
            </w14:solidFill>
          </w14:textFill>
        </w:rPr>
      </w:pPr>
    </w:p>
    <w:p w14:paraId="075295B4">
      <w:pPr>
        <w:jc w:val="left"/>
        <w:rPr>
          <w:snapToGrid w:val="0"/>
          <w:color w:val="000000" w:themeColor="text1"/>
          <w:kern w:val="0"/>
          <w14:textFill>
            <w14:solidFill>
              <w14:schemeClr w14:val="tx1"/>
            </w14:solidFill>
          </w14:textFill>
        </w:rPr>
      </w:pPr>
    </w:p>
    <w:p w14:paraId="264F9020">
      <w:pPr>
        <w:jc w:val="left"/>
        <w:rPr>
          <w:snapToGrid w:val="0"/>
          <w:color w:val="000000" w:themeColor="text1"/>
          <w:kern w:val="0"/>
          <w14:textFill>
            <w14:solidFill>
              <w14:schemeClr w14:val="tx1"/>
            </w14:solidFill>
          </w14:textFill>
        </w:rPr>
      </w:pPr>
    </w:p>
    <w:p w14:paraId="5558D6AB">
      <w:pPr>
        <w:jc w:val="left"/>
        <w:rPr>
          <w:snapToGrid w:val="0"/>
          <w:color w:val="000000" w:themeColor="text1"/>
          <w:kern w:val="0"/>
          <w14:textFill>
            <w14:solidFill>
              <w14:schemeClr w14:val="tx1"/>
            </w14:solidFill>
          </w14:textFill>
        </w:rPr>
      </w:pPr>
    </w:p>
    <w:p w14:paraId="4C303D0E">
      <w:pPr>
        <w:jc w:val="left"/>
        <w:rPr>
          <w:snapToGrid w:val="0"/>
          <w:color w:val="000000" w:themeColor="text1"/>
          <w:kern w:val="0"/>
          <w14:textFill>
            <w14:solidFill>
              <w14:schemeClr w14:val="tx1"/>
            </w14:solidFill>
          </w14:textFill>
        </w:rPr>
      </w:pPr>
    </w:p>
    <w:p w14:paraId="71A3213E">
      <w:pPr>
        <w:jc w:val="left"/>
        <w:rPr>
          <w:snapToGrid w:val="0"/>
          <w:color w:val="000000" w:themeColor="text1"/>
          <w:kern w:val="0"/>
          <w14:textFill>
            <w14:solidFill>
              <w14:schemeClr w14:val="tx1"/>
            </w14:solidFill>
          </w14:textFill>
        </w:rPr>
      </w:pPr>
    </w:p>
    <w:p w14:paraId="1A3F3B97">
      <w:pPr>
        <w:jc w:val="left"/>
        <w:rPr>
          <w:snapToGrid w:val="0"/>
          <w:color w:val="000000" w:themeColor="text1"/>
          <w:kern w:val="0"/>
          <w14:textFill>
            <w14:solidFill>
              <w14:schemeClr w14:val="tx1"/>
            </w14:solidFill>
          </w14:textFill>
        </w:rPr>
      </w:pPr>
    </w:p>
    <w:p w14:paraId="06DDD146">
      <w:pPr>
        <w:rPr>
          <w:snapToGrid w:val="0"/>
          <w:color w:val="000000" w:themeColor="text1"/>
          <w:kern w:val="0"/>
          <w14:textFill>
            <w14:solidFill>
              <w14:schemeClr w14:val="tx1"/>
            </w14:solidFill>
          </w14:textFill>
        </w:rPr>
      </w:pPr>
    </w:p>
    <w:p w14:paraId="06B20D80">
      <w:pPr>
        <w:ind w:firstLine="0" w:firstLineChars="0"/>
        <w:jc w:val="center"/>
        <w:rPr>
          <w:rFonts w:hint="eastAsia" w:eastAsia="黑体" w:cs="Times New Roman"/>
          <w:b/>
          <w:snapToGrid w:val="0"/>
          <w:color w:val="000000" w:themeColor="text1"/>
          <w:kern w:val="0"/>
          <w:sz w:val="48"/>
          <w:szCs w:val="48"/>
          <w:lang w:eastAsia="zh-CN"/>
          <w14:textFill>
            <w14:solidFill>
              <w14:schemeClr w14:val="tx1"/>
            </w14:solidFill>
          </w14:textFill>
        </w:rPr>
      </w:pPr>
      <w:bookmarkStart w:id="0" w:name="_Hlk5955650"/>
      <w:bookmarkStart w:id="1" w:name="_Hlk120882640"/>
      <w:r>
        <w:rPr>
          <w:rFonts w:hint="eastAsia" w:eastAsia="黑体" w:cs="Times New Roman"/>
          <w:b/>
          <w:snapToGrid w:val="0"/>
          <w:color w:val="000000" w:themeColor="text1"/>
          <w:kern w:val="0"/>
          <w:sz w:val="48"/>
          <w:szCs w:val="48"/>
          <w:lang w:eastAsia="zh-CN"/>
          <w14:textFill>
            <w14:solidFill>
              <w14:schemeClr w14:val="tx1"/>
            </w14:solidFill>
          </w14:textFill>
        </w:rPr>
        <w:t>年产30000吨紫苏精酿啤酒生产线建设项目</w:t>
      </w:r>
    </w:p>
    <w:bookmarkEnd w:id="0"/>
    <w:p w14:paraId="77BC9B46">
      <w:pPr>
        <w:ind w:firstLine="0" w:firstLineChars="0"/>
        <w:jc w:val="center"/>
        <w:rPr>
          <w:rFonts w:eastAsia="黑体" w:cs="Times New Roman"/>
          <w:b/>
          <w:snapToGrid w:val="0"/>
          <w:color w:val="000000" w:themeColor="text1"/>
          <w:kern w:val="0"/>
          <w:sz w:val="72"/>
          <w:szCs w:val="72"/>
          <w14:textFill>
            <w14:solidFill>
              <w14:schemeClr w14:val="tx1"/>
            </w14:solidFill>
          </w14:textFill>
        </w:rPr>
      </w:pPr>
      <w:r>
        <w:rPr>
          <w:rFonts w:eastAsia="黑体" w:cs="Times New Roman"/>
          <w:b/>
          <w:snapToGrid w:val="0"/>
          <w:color w:val="000000" w:themeColor="text1"/>
          <w:kern w:val="0"/>
          <w:sz w:val="72"/>
          <w:szCs w:val="72"/>
          <w14:textFill>
            <w14:solidFill>
              <w14:schemeClr w14:val="tx1"/>
            </w14:solidFill>
          </w14:textFill>
        </w:rPr>
        <w:t>环境影响报告书</w:t>
      </w:r>
      <w:bookmarkEnd w:id="1"/>
    </w:p>
    <w:p w14:paraId="199DB9FA">
      <w:pPr>
        <w:ind w:firstLine="560"/>
        <w:rPr>
          <w:snapToGrid w:val="0"/>
          <w:color w:val="000000" w:themeColor="text1"/>
          <w:kern w:val="0"/>
          <w:sz w:val="28"/>
          <w14:textFill>
            <w14:solidFill>
              <w14:schemeClr w14:val="tx1"/>
            </w14:solidFill>
          </w14:textFill>
        </w:rPr>
      </w:pPr>
    </w:p>
    <w:p w14:paraId="52F474E0">
      <w:pPr>
        <w:ind w:firstLine="560"/>
        <w:rPr>
          <w:snapToGrid w:val="0"/>
          <w:color w:val="000000" w:themeColor="text1"/>
          <w:kern w:val="0"/>
          <w:sz w:val="28"/>
          <w14:textFill>
            <w14:solidFill>
              <w14:schemeClr w14:val="tx1"/>
            </w14:solidFill>
          </w14:textFill>
        </w:rPr>
      </w:pPr>
    </w:p>
    <w:p w14:paraId="0734930A">
      <w:pPr>
        <w:ind w:firstLine="560"/>
        <w:rPr>
          <w:snapToGrid w:val="0"/>
          <w:color w:val="000000" w:themeColor="text1"/>
          <w:kern w:val="0"/>
          <w:sz w:val="28"/>
          <w14:textFill>
            <w14:solidFill>
              <w14:schemeClr w14:val="tx1"/>
            </w14:solidFill>
          </w14:textFill>
        </w:rPr>
      </w:pPr>
    </w:p>
    <w:p w14:paraId="06F99C0F">
      <w:pPr>
        <w:ind w:firstLine="560"/>
        <w:rPr>
          <w:snapToGrid w:val="0"/>
          <w:color w:val="000000" w:themeColor="text1"/>
          <w:kern w:val="0"/>
          <w:sz w:val="28"/>
          <w14:textFill>
            <w14:solidFill>
              <w14:schemeClr w14:val="tx1"/>
            </w14:solidFill>
          </w14:textFill>
        </w:rPr>
      </w:pPr>
    </w:p>
    <w:p w14:paraId="30E4B27C">
      <w:pPr>
        <w:ind w:firstLine="560"/>
        <w:rPr>
          <w:snapToGrid w:val="0"/>
          <w:color w:val="000000" w:themeColor="text1"/>
          <w:kern w:val="0"/>
          <w:sz w:val="28"/>
          <w14:textFill>
            <w14:solidFill>
              <w14:schemeClr w14:val="tx1"/>
            </w14:solidFill>
          </w14:textFill>
        </w:rPr>
      </w:pPr>
    </w:p>
    <w:p w14:paraId="5CF24326">
      <w:pPr>
        <w:ind w:firstLine="560"/>
        <w:rPr>
          <w:snapToGrid w:val="0"/>
          <w:color w:val="000000" w:themeColor="text1"/>
          <w:kern w:val="0"/>
          <w:sz w:val="28"/>
          <w14:textFill>
            <w14:solidFill>
              <w14:schemeClr w14:val="tx1"/>
            </w14:solidFill>
          </w14:textFill>
        </w:rPr>
      </w:pPr>
    </w:p>
    <w:p w14:paraId="5506FC7E">
      <w:pPr>
        <w:ind w:firstLine="560"/>
        <w:rPr>
          <w:snapToGrid w:val="0"/>
          <w:color w:val="000000" w:themeColor="text1"/>
          <w:kern w:val="0"/>
          <w:sz w:val="28"/>
          <w14:textFill>
            <w14:solidFill>
              <w14:schemeClr w14:val="tx1"/>
            </w14:solidFill>
          </w14:textFill>
        </w:rPr>
      </w:pPr>
    </w:p>
    <w:p w14:paraId="08115900">
      <w:pPr>
        <w:ind w:firstLine="560"/>
        <w:rPr>
          <w:snapToGrid w:val="0"/>
          <w:color w:val="000000" w:themeColor="text1"/>
          <w:kern w:val="0"/>
          <w:sz w:val="28"/>
          <w14:textFill>
            <w14:solidFill>
              <w14:schemeClr w14:val="tx1"/>
            </w14:solidFill>
          </w14:textFill>
        </w:rPr>
      </w:pPr>
    </w:p>
    <w:p w14:paraId="678408D8">
      <w:pPr>
        <w:ind w:left="0" w:leftChars="0" w:firstLine="0" w:firstLineChars="0"/>
        <w:rPr>
          <w:snapToGrid w:val="0"/>
          <w:color w:val="000000" w:themeColor="text1"/>
          <w:kern w:val="0"/>
          <w:sz w:val="28"/>
          <w14:textFill>
            <w14:solidFill>
              <w14:schemeClr w14:val="tx1"/>
            </w14:solidFill>
          </w14:textFill>
        </w:rPr>
      </w:pPr>
    </w:p>
    <w:p w14:paraId="5C37A6C7">
      <w:pPr>
        <w:ind w:firstLine="560"/>
        <w:rPr>
          <w:snapToGrid w:val="0"/>
          <w:color w:val="000000" w:themeColor="text1"/>
          <w:kern w:val="0"/>
          <w:sz w:val="28"/>
          <w14:textFill>
            <w14:solidFill>
              <w14:schemeClr w14:val="tx1"/>
            </w14:solidFill>
          </w14:textFill>
        </w:rPr>
      </w:pPr>
    </w:p>
    <w:p w14:paraId="2C552FA6">
      <w:pPr>
        <w:spacing w:line="500" w:lineRule="exact"/>
        <w:ind w:firstLine="0" w:firstLineChars="0"/>
        <w:jc w:val="center"/>
        <w:rPr>
          <w:rFonts w:hint="eastAsia" w:eastAsia="宋体"/>
          <w:b/>
          <w:snapToGrid w:val="0"/>
          <w:color w:val="000000" w:themeColor="text1"/>
          <w:kern w:val="0"/>
          <w:sz w:val="28"/>
          <w:szCs w:val="32"/>
          <w:lang w:eastAsia="zh-CN"/>
          <w14:textFill>
            <w14:solidFill>
              <w14:schemeClr w14:val="tx1"/>
            </w14:solidFill>
          </w14:textFill>
        </w:rPr>
      </w:pPr>
      <w:r>
        <w:rPr>
          <w:b/>
          <w:snapToGrid w:val="0"/>
          <w:color w:val="000000" w:themeColor="text1"/>
          <w:kern w:val="0"/>
          <w:sz w:val="28"/>
          <w:szCs w:val="32"/>
          <w14:textFill>
            <w14:solidFill>
              <w14:schemeClr w14:val="tx1"/>
            </w14:solidFill>
          </w14:textFill>
        </w:rPr>
        <w:t>建设单位</w:t>
      </w:r>
      <w:r>
        <w:rPr>
          <w:rFonts w:hint="eastAsia"/>
          <w:b/>
          <w:snapToGrid w:val="0"/>
          <w:color w:val="000000" w:themeColor="text1"/>
          <w:kern w:val="0"/>
          <w:sz w:val="28"/>
          <w:szCs w:val="32"/>
          <w14:textFill>
            <w14:solidFill>
              <w14:schemeClr w14:val="tx1"/>
            </w14:solidFill>
          </w14:textFill>
        </w:rPr>
        <w:t>（盖章）</w:t>
      </w:r>
      <w:r>
        <w:rPr>
          <w:b/>
          <w:snapToGrid w:val="0"/>
          <w:color w:val="000000" w:themeColor="text1"/>
          <w:kern w:val="0"/>
          <w:sz w:val="28"/>
          <w:szCs w:val="32"/>
          <w14:textFill>
            <w14:solidFill>
              <w14:schemeClr w14:val="tx1"/>
            </w14:solidFill>
          </w14:textFill>
        </w:rPr>
        <w:t>：</w:t>
      </w:r>
      <w:r>
        <w:rPr>
          <w:rFonts w:hint="eastAsia"/>
          <w:b/>
          <w:snapToGrid w:val="0"/>
          <w:color w:val="000000" w:themeColor="text1"/>
          <w:kern w:val="0"/>
          <w:sz w:val="28"/>
          <w:szCs w:val="32"/>
          <w:lang w:eastAsia="zh-CN"/>
          <w14:textFill>
            <w14:solidFill>
              <w14:schemeClr w14:val="tx1"/>
            </w14:solidFill>
          </w14:textFill>
        </w:rPr>
        <w:t>黑龙江省紫沐禾精酿啤酒有限公司</w:t>
      </w:r>
    </w:p>
    <w:p w14:paraId="5B11BA69">
      <w:pPr>
        <w:spacing w:line="500" w:lineRule="exact"/>
        <w:ind w:firstLine="0" w:firstLineChars="0"/>
        <w:jc w:val="center"/>
        <w:rPr>
          <w:rFonts w:hint="eastAsia" w:eastAsia="宋体"/>
          <w:b/>
          <w:snapToGrid w:val="0"/>
          <w:color w:val="000000" w:themeColor="text1"/>
          <w:kern w:val="0"/>
          <w:sz w:val="28"/>
          <w:szCs w:val="32"/>
          <w:lang w:eastAsia="zh-CN"/>
          <w14:textFill>
            <w14:solidFill>
              <w14:schemeClr w14:val="tx1"/>
            </w14:solidFill>
          </w14:textFill>
        </w:rPr>
      </w:pPr>
      <w:r>
        <w:rPr>
          <w:b/>
          <w:snapToGrid w:val="0"/>
          <w:color w:val="000000" w:themeColor="text1"/>
          <w:kern w:val="0"/>
          <w:sz w:val="28"/>
          <w:szCs w:val="32"/>
          <w14:textFill>
            <w14:solidFill>
              <w14:schemeClr w14:val="tx1"/>
            </w14:solidFill>
          </w14:textFill>
        </w:rPr>
        <w:t>编制单位：</w:t>
      </w:r>
      <w:r>
        <w:rPr>
          <w:rFonts w:hint="eastAsia"/>
          <w:b/>
          <w:snapToGrid w:val="0"/>
          <w:color w:val="000000" w:themeColor="text1"/>
          <w:kern w:val="0"/>
          <w:sz w:val="28"/>
          <w:szCs w:val="32"/>
          <w:lang w:eastAsia="zh-CN"/>
          <w14:textFill>
            <w14:solidFill>
              <w14:schemeClr w14:val="tx1"/>
            </w14:solidFill>
          </w14:textFill>
        </w:rPr>
        <w:t>黑龙江煜枫环保技术有限公司</w:t>
      </w:r>
    </w:p>
    <w:p w14:paraId="45B90015">
      <w:pPr>
        <w:spacing w:line="500" w:lineRule="exact"/>
        <w:ind w:firstLine="0" w:firstLineChars="0"/>
        <w:jc w:val="center"/>
        <w:rPr>
          <w:b/>
          <w:snapToGrid w:val="0"/>
          <w:color w:val="000000" w:themeColor="text1"/>
          <w:kern w:val="0"/>
          <w:sz w:val="28"/>
          <w:szCs w:val="32"/>
          <w14:textFill>
            <w14:solidFill>
              <w14:schemeClr w14:val="tx1"/>
            </w14:solidFill>
          </w14:textFill>
        </w:rPr>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12" w:charSpace="0"/>
        </w:sectPr>
      </w:pPr>
      <w:r>
        <w:rPr>
          <w:rFonts w:hint="eastAsia"/>
          <w:b/>
          <w:snapToGrid w:val="0"/>
          <w:color w:val="000000" w:themeColor="text1"/>
          <w:kern w:val="0"/>
          <w:sz w:val="28"/>
          <w:szCs w:val="32"/>
          <w14:textFill>
            <w14:solidFill>
              <w14:schemeClr w14:val="tx1"/>
            </w14:solidFill>
          </w14:textFill>
        </w:rPr>
        <w:t>编制</w:t>
      </w:r>
      <w:r>
        <w:rPr>
          <w:b/>
          <w:snapToGrid w:val="0"/>
          <w:color w:val="000000" w:themeColor="text1"/>
          <w:kern w:val="0"/>
          <w:sz w:val="28"/>
          <w:szCs w:val="32"/>
          <w14:textFill>
            <w14:solidFill>
              <w14:schemeClr w14:val="tx1"/>
            </w14:solidFill>
          </w14:textFill>
        </w:rPr>
        <w:t>日期：202</w:t>
      </w:r>
      <w:r>
        <w:rPr>
          <w:rFonts w:hint="eastAsia"/>
          <w:b/>
          <w:snapToGrid w:val="0"/>
          <w:color w:val="000000" w:themeColor="text1"/>
          <w:kern w:val="0"/>
          <w:sz w:val="28"/>
          <w:szCs w:val="32"/>
          <w:lang w:val="en-US" w:eastAsia="zh-CN"/>
          <w14:textFill>
            <w14:solidFill>
              <w14:schemeClr w14:val="tx1"/>
            </w14:solidFill>
          </w14:textFill>
        </w:rPr>
        <w:t>6</w:t>
      </w:r>
      <w:r>
        <w:rPr>
          <w:b/>
          <w:snapToGrid w:val="0"/>
          <w:color w:val="000000" w:themeColor="text1"/>
          <w:kern w:val="0"/>
          <w:sz w:val="28"/>
          <w:szCs w:val="32"/>
          <w14:textFill>
            <w14:solidFill>
              <w14:schemeClr w14:val="tx1"/>
            </w14:solidFill>
          </w14:textFill>
        </w:rPr>
        <w:t>年</w:t>
      </w:r>
      <w:r>
        <w:rPr>
          <w:rFonts w:hint="eastAsia"/>
          <w:b/>
          <w:snapToGrid w:val="0"/>
          <w:color w:val="000000" w:themeColor="text1"/>
          <w:kern w:val="0"/>
          <w:sz w:val="28"/>
          <w:szCs w:val="32"/>
          <w:lang w:val="en-US" w:eastAsia="zh-CN"/>
          <w14:textFill>
            <w14:solidFill>
              <w14:schemeClr w14:val="tx1"/>
            </w14:solidFill>
          </w14:textFill>
        </w:rPr>
        <w:t>6</w:t>
      </w:r>
      <w:r>
        <w:rPr>
          <w:b/>
          <w:snapToGrid w:val="0"/>
          <w:color w:val="000000" w:themeColor="text1"/>
          <w:kern w:val="0"/>
          <w:sz w:val="28"/>
          <w:szCs w:val="32"/>
          <w14:textFill>
            <w14:solidFill>
              <w14:schemeClr w14:val="tx1"/>
            </w14:solidFill>
          </w14:textFill>
        </w:rPr>
        <w:t>月</w:t>
      </w:r>
    </w:p>
    <w:p w14:paraId="62A3E68F">
      <w:pPr>
        <w:pStyle w:val="206"/>
        <w:rPr>
          <w:b/>
          <w:snapToGrid w:val="0"/>
          <w:color w:val="000000" w:themeColor="text1"/>
          <w:kern w:val="0"/>
          <w:sz w:val="22"/>
          <w:lang w:eastAsia="zh-CN"/>
          <w14:textFill>
            <w14:solidFill>
              <w14:schemeClr w14:val="tx1"/>
            </w14:solidFill>
          </w14:textFill>
        </w:rPr>
      </w:pPr>
    </w:p>
    <w:p w14:paraId="121A8743">
      <w:pPr>
        <w:ind w:firstLine="0" w:firstLineChars="0"/>
        <w:rPr>
          <w:snapToGrid w:val="0"/>
          <w:color w:val="000000" w:themeColor="text1"/>
          <w:kern w:val="0"/>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12" w:charSpace="0"/>
        </w:sectPr>
      </w:pPr>
    </w:p>
    <w:p w14:paraId="1EC3D2A2">
      <w:pPr>
        <w:adjustRightInd/>
        <w:snapToGrid/>
        <w:spacing w:line="240" w:lineRule="auto"/>
        <w:ind w:firstLine="0" w:firstLineChars="0"/>
        <w:jc w:val="center"/>
        <w:rPr>
          <w:rFonts w:cs="Times New Roman"/>
          <w:b/>
          <w:snapToGrid w:val="0"/>
          <w:color w:val="000000" w:themeColor="text1"/>
          <w:kern w:val="0"/>
          <w:sz w:val="30"/>
          <w:szCs w:val="30"/>
          <w14:textFill>
            <w14:solidFill>
              <w14:schemeClr w14:val="tx1"/>
            </w14:solidFill>
          </w14:textFill>
        </w:rPr>
      </w:pPr>
      <w:r>
        <w:rPr>
          <w:rFonts w:cs="Times New Roman"/>
          <w:b/>
          <w:snapToGrid w:val="0"/>
          <w:color w:val="000000" w:themeColor="text1"/>
          <w:kern w:val="0"/>
          <w:sz w:val="30"/>
          <w:szCs w:val="30"/>
          <w14:textFill>
            <w14:solidFill>
              <w14:schemeClr w14:val="tx1"/>
            </w14:solidFill>
          </w14:textFill>
        </w:rPr>
        <w:t>目  录</w:t>
      </w:r>
    </w:p>
    <w:p w14:paraId="410EF631">
      <w:pPr>
        <w:pStyle w:val="33"/>
        <w:tabs>
          <w:tab w:val="right" w:leader="dot" w:pos="8306"/>
        </w:tabs>
      </w:pPr>
      <w:r>
        <w:rPr>
          <w:caps w:val="0"/>
          <w:snapToGrid w:val="0"/>
          <w:color w:val="000000" w:themeColor="text1"/>
          <w:szCs w:val="24"/>
          <w14:textFill>
            <w14:solidFill>
              <w14:schemeClr w14:val="tx1"/>
            </w14:solidFill>
          </w14:textFill>
        </w:rPr>
        <w:fldChar w:fldCharType="begin"/>
      </w:r>
      <w:r>
        <w:rPr>
          <w:caps w:val="0"/>
          <w:snapToGrid w:val="0"/>
          <w:color w:val="000000" w:themeColor="text1"/>
          <w:szCs w:val="24"/>
          <w14:textFill>
            <w14:solidFill>
              <w14:schemeClr w14:val="tx1"/>
            </w14:solidFill>
          </w14:textFill>
        </w:rPr>
        <w:instrText xml:space="preserve"> TOC \o "1-3" \h \z \u </w:instrText>
      </w:r>
      <w:r>
        <w:rPr>
          <w:caps w:val="0"/>
          <w:snapToGrid w:val="0"/>
          <w:color w:val="000000" w:themeColor="text1"/>
          <w:szCs w:val="24"/>
          <w14:textFill>
            <w14:solidFill>
              <w14:schemeClr w14:val="tx1"/>
            </w14:solidFill>
          </w14:textFill>
        </w:rPr>
        <w:fldChar w:fldCharType="separate"/>
      </w:r>
      <w:r>
        <w:rPr>
          <w:caps w:val="0"/>
          <w:snapToGrid w:val="0"/>
          <w:color w:val="000000" w:themeColor="text1"/>
          <w:szCs w:val="24"/>
          <w14:textFill>
            <w14:solidFill>
              <w14:schemeClr w14:val="tx1"/>
            </w14:solidFill>
          </w14:textFill>
        </w:rPr>
        <w:fldChar w:fldCharType="begin"/>
      </w:r>
      <w:r>
        <w:rPr>
          <w:caps w:val="0"/>
          <w:snapToGrid w:val="0"/>
          <w:szCs w:val="24"/>
        </w:rPr>
        <w:instrText xml:space="preserve"> HYPERLINK \l _Toc3168 </w:instrText>
      </w:r>
      <w:r>
        <w:rPr>
          <w:caps w:val="0"/>
          <w:snapToGrid w:val="0"/>
          <w:szCs w:val="24"/>
        </w:rPr>
        <w:fldChar w:fldCharType="separate"/>
      </w:r>
      <w:r>
        <w:rPr>
          <w:snapToGrid w:val="0"/>
        </w:rPr>
        <w:t>1</w:t>
      </w:r>
      <w:r>
        <w:rPr>
          <w:rFonts w:hint="eastAsia"/>
          <w:snapToGrid w:val="0"/>
        </w:rPr>
        <w:t>概述</w:t>
      </w:r>
      <w:r>
        <w:tab/>
      </w:r>
      <w:r>
        <w:fldChar w:fldCharType="begin"/>
      </w:r>
      <w:r>
        <w:instrText xml:space="preserve"> PAGEREF _Toc3168 \h </w:instrText>
      </w:r>
      <w:r>
        <w:fldChar w:fldCharType="separate"/>
      </w:r>
      <w:r>
        <w:t>1</w:t>
      </w:r>
      <w:r>
        <w:fldChar w:fldCharType="end"/>
      </w:r>
      <w:r>
        <w:rPr>
          <w:caps w:val="0"/>
          <w:snapToGrid w:val="0"/>
          <w:color w:val="000000" w:themeColor="text1"/>
          <w:szCs w:val="24"/>
          <w14:textFill>
            <w14:solidFill>
              <w14:schemeClr w14:val="tx1"/>
            </w14:solidFill>
          </w14:textFill>
        </w:rPr>
        <w:fldChar w:fldCharType="end"/>
      </w:r>
    </w:p>
    <w:p w14:paraId="5C3331F0">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_Toc2767 </w:instrText>
      </w:r>
      <w:r>
        <w:rPr>
          <w:rFonts w:cs="Times New Roman"/>
          <w:caps/>
          <w:snapToGrid w:val="0"/>
          <w:kern w:val="0"/>
          <w:szCs w:val="24"/>
        </w:rPr>
        <w:fldChar w:fldCharType="separate"/>
      </w:r>
      <w:r>
        <w:rPr>
          <w:rFonts w:hint="eastAsia"/>
          <w:snapToGrid w:val="0"/>
        </w:rPr>
        <w:t>1</w:t>
      </w:r>
      <w:r>
        <w:rPr>
          <w:snapToGrid w:val="0"/>
        </w:rPr>
        <w:t>.1</w:t>
      </w:r>
      <w:r>
        <w:rPr>
          <w:rFonts w:hint="eastAsia"/>
          <w:snapToGrid w:val="0"/>
        </w:rPr>
        <w:t>项目</w:t>
      </w:r>
      <w:r>
        <w:rPr>
          <w:snapToGrid w:val="0"/>
        </w:rPr>
        <w:t>的基本情况</w:t>
      </w:r>
      <w:r>
        <w:tab/>
      </w:r>
      <w:r>
        <w:fldChar w:fldCharType="begin"/>
      </w:r>
      <w:r>
        <w:instrText xml:space="preserve"> PAGEREF _Toc2767 \h </w:instrText>
      </w:r>
      <w:r>
        <w:fldChar w:fldCharType="separate"/>
      </w:r>
      <w:r>
        <w:t>2</w:t>
      </w:r>
      <w:r>
        <w:fldChar w:fldCharType="end"/>
      </w:r>
      <w:r>
        <w:rPr>
          <w:rFonts w:cs="Times New Roman"/>
          <w:caps/>
          <w:snapToGrid w:val="0"/>
          <w:color w:val="000000" w:themeColor="text1"/>
          <w:kern w:val="0"/>
          <w:szCs w:val="24"/>
          <w14:textFill>
            <w14:solidFill>
              <w14:schemeClr w14:val="tx1"/>
            </w14:solidFill>
          </w14:textFill>
        </w:rPr>
        <w:fldChar w:fldCharType="end"/>
      </w:r>
    </w:p>
    <w:p w14:paraId="7B8E5F5C">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_Toc3167 </w:instrText>
      </w:r>
      <w:r>
        <w:rPr>
          <w:rFonts w:cs="Times New Roman"/>
          <w:caps/>
          <w:snapToGrid w:val="0"/>
          <w:kern w:val="0"/>
          <w:szCs w:val="24"/>
        </w:rPr>
        <w:fldChar w:fldCharType="separate"/>
      </w:r>
      <w:r>
        <w:rPr>
          <w:rFonts w:hint="eastAsia"/>
          <w:snapToGrid w:val="0"/>
        </w:rPr>
        <w:t>1.2项目</w:t>
      </w:r>
      <w:r>
        <w:rPr>
          <w:snapToGrid w:val="0"/>
        </w:rPr>
        <w:t>特点</w:t>
      </w:r>
      <w:r>
        <w:tab/>
      </w:r>
      <w:r>
        <w:fldChar w:fldCharType="begin"/>
      </w:r>
      <w:r>
        <w:instrText xml:space="preserve"> PAGEREF _Toc3167 \h </w:instrText>
      </w:r>
      <w:r>
        <w:fldChar w:fldCharType="separate"/>
      </w:r>
      <w:r>
        <w:t>2</w:t>
      </w:r>
      <w:r>
        <w:fldChar w:fldCharType="end"/>
      </w:r>
      <w:r>
        <w:rPr>
          <w:rFonts w:cs="Times New Roman"/>
          <w:caps/>
          <w:snapToGrid w:val="0"/>
          <w:color w:val="000000" w:themeColor="text1"/>
          <w:kern w:val="0"/>
          <w:szCs w:val="24"/>
          <w14:textFill>
            <w14:solidFill>
              <w14:schemeClr w14:val="tx1"/>
            </w14:solidFill>
          </w14:textFill>
        </w:rPr>
        <w:fldChar w:fldCharType="end"/>
      </w:r>
    </w:p>
    <w:p w14:paraId="394A825C">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_Toc17674 </w:instrText>
      </w:r>
      <w:r>
        <w:rPr>
          <w:rFonts w:cs="Times New Roman"/>
          <w:caps/>
          <w:snapToGrid w:val="0"/>
          <w:kern w:val="0"/>
          <w:szCs w:val="24"/>
        </w:rPr>
        <w:fldChar w:fldCharType="separate"/>
      </w:r>
      <w:r>
        <w:rPr>
          <w:rFonts w:hint="eastAsia"/>
          <w:snapToGrid w:val="0"/>
        </w:rPr>
        <w:t>1</w:t>
      </w:r>
      <w:r>
        <w:rPr>
          <w:snapToGrid w:val="0"/>
        </w:rPr>
        <w:t>.2.1</w:t>
      </w:r>
      <w:r>
        <w:rPr>
          <w:rFonts w:hint="eastAsia"/>
          <w:snapToGrid w:val="0"/>
        </w:rPr>
        <w:t>项目特点</w:t>
      </w:r>
      <w:r>
        <w:tab/>
      </w:r>
      <w:r>
        <w:fldChar w:fldCharType="begin"/>
      </w:r>
      <w:r>
        <w:instrText xml:space="preserve"> PAGEREF _Toc17674 \h </w:instrText>
      </w:r>
      <w:r>
        <w:fldChar w:fldCharType="separate"/>
      </w:r>
      <w:r>
        <w:t>2</w:t>
      </w:r>
      <w:r>
        <w:fldChar w:fldCharType="end"/>
      </w:r>
      <w:r>
        <w:rPr>
          <w:rFonts w:cs="Times New Roman"/>
          <w:caps/>
          <w:snapToGrid w:val="0"/>
          <w:color w:val="000000" w:themeColor="text1"/>
          <w:kern w:val="0"/>
          <w:szCs w:val="24"/>
          <w14:textFill>
            <w14:solidFill>
              <w14:schemeClr w14:val="tx1"/>
            </w14:solidFill>
          </w14:textFill>
        </w:rPr>
        <w:fldChar w:fldCharType="end"/>
      </w:r>
    </w:p>
    <w:p w14:paraId="182B7A4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_Toc1831 </w:instrText>
      </w:r>
      <w:r>
        <w:rPr>
          <w:rFonts w:cs="Times New Roman"/>
          <w:caps/>
          <w:snapToGrid w:val="0"/>
          <w:kern w:val="0"/>
          <w:szCs w:val="24"/>
        </w:rPr>
        <w:fldChar w:fldCharType="separate"/>
      </w:r>
      <w:r>
        <w:rPr>
          <w:rFonts w:hint="eastAsia"/>
          <w:snapToGrid w:val="0"/>
        </w:rPr>
        <w:t>1</w:t>
      </w:r>
      <w:r>
        <w:rPr>
          <w:snapToGrid w:val="0"/>
        </w:rPr>
        <w:t>.2.2</w:t>
      </w:r>
      <w:r>
        <w:rPr>
          <w:rFonts w:hint="eastAsia"/>
          <w:snapToGrid w:val="0"/>
        </w:rPr>
        <w:t>污染物</w:t>
      </w:r>
      <w:r>
        <w:rPr>
          <w:snapToGrid w:val="0"/>
        </w:rPr>
        <w:t>产生情况</w:t>
      </w:r>
      <w:r>
        <w:tab/>
      </w:r>
      <w:r>
        <w:fldChar w:fldCharType="begin"/>
      </w:r>
      <w:r>
        <w:instrText xml:space="preserve"> PAGEREF _Toc1831 \h </w:instrText>
      </w:r>
      <w:r>
        <w:fldChar w:fldCharType="separate"/>
      </w:r>
      <w:r>
        <w:t>3</w:t>
      </w:r>
      <w:r>
        <w:fldChar w:fldCharType="end"/>
      </w:r>
      <w:r>
        <w:rPr>
          <w:rFonts w:cs="Times New Roman"/>
          <w:caps/>
          <w:snapToGrid w:val="0"/>
          <w:color w:val="000000" w:themeColor="text1"/>
          <w:kern w:val="0"/>
          <w:szCs w:val="24"/>
          <w14:textFill>
            <w14:solidFill>
              <w14:schemeClr w14:val="tx1"/>
            </w14:solidFill>
          </w14:textFill>
        </w:rPr>
        <w:fldChar w:fldCharType="end"/>
      </w:r>
    </w:p>
    <w:p w14:paraId="652E609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_Toc20452 </w:instrText>
      </w:r>
      <w:r>
        <w:rPr>
          <w:rFonts w:cs="Times New Roman"/>
          <w:caps/>
          <w:snapToGrid w:val="0"/>
          <w:kern w:val="0"/>
          <w:szCs w:val="24"/>
        </w:rPr>
        <w:fldChar w:fldCharType="separate"/>
      </w:r>
      <w:r>
        <w:rPr>
          <w:rFonts w:hint="eastAsia"/>
          <w:snapToGrid w:val="0"/>
        </w:rPr>
        <w:t>1</w:t>
      </w:r>
      <w:r>
        <w:rPr>
          <w:snapToGrid w:val="0"/>
        </w:rPr>
        <w:t>.2.3</w:t>
      </w:r>
      <w:r>
        <w:rPr>
          <w:rFonts w:hint="eastAsia"/>
          <w:snapToGrid w:val="0"/>
        </w:rPr>
        <w:t>主要</w:t>
      </w:r>
      <w:r>
        <w:rPr>
          <w:snapToGrid w:val="0"/>
        </w:rPr>
        <w:t>环保措施</w:t>
      </w:r>
      <w:r>
        <w:tab/>
      </w:r>
      <w:r>
        <w:fldChar w:fldCharType="begin"/>
      </w:r>
      <w:r>
        <w:instrText xml:space="preserve"> PAGEREF _Toc20452 \h </w:instrText>
      </w:r>
      <w:r>
        <w:fldChar w:fldCharType="separate"/>
      </w:r>
      <w:r>
        <w:t>3</w:t>
      </w:r>
      <w:r>
        <w:fldChar w:fldCharType="end"/>
      </w:r>
      <w:r>
        <w:rPr>
          <w:rFonts w:cs="Times New Roman"/>
          <w:caps/>
          <w:snapToGrid w:val="0"/>
          <w:color w:val="000000" w:themeColor="text1"/>
          <w:kern w:val="0"/>
          <w:szCs w:val="24"/>
          <w14:textFill>
            <w14:solidFill>
              <w14:schemeClr w14:val="tx1"/>
            </w14:solidFill>
          </w14:textFill>
        </w:rPr>
        <w:fldChar w:fldCharType="end"/>
      </w:r>
    </w:p>
    <w:p w14:paraId="1C9C967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_Toc3612 </w:instrText>
      </w:r>
      <w:r>
        <w:rPr>
          <w:rFonts w:cs="Times New Roman"/>
          <w:caps/>
          <w:snapToGrid w:val="0"/>
          <w:kern w:val="0"/>
          <w:szCs w:val="24"/>
        </w:rPr>
        <w:fldChar w:fldCharType="separate"/>
      </w:r>
      <w:r>
        <w:rPr>
          <w:rFonts w:hint="eastAsia"/>
          <w:snapToGrid w:val="0"/>
        </w:rPr>
        <w:t>1.2.4主要</w:t>
      </w:r>
      <w:r>
        <w:rPr>
          <w:snapToGrid w:val="0"/>
        </w:rPr>
        <w:t>结论</w:t>
      </w:r>
      <w:r>
        <w:tab/>
      </w:r>
      <w:r>
        <w:fldChar w:fldCharType="begin"/>
      </w:r>
      <w:r>
        <w:instrText xml:space="preserve"> PAGEREF _Toc3612 \h </w:instrText>
      </w:r>
      <w:r>
        <w:fldChar w:fldCharType="separate"/>
      </w:r>
      <w:r>
        <w:t>6</w:t>
      </w:r>
      <w:r>
        <w:fldChar w:fldCharType="end"/>
      </w:r>
      <w:r>
        <w:rPr>
          <w:rFonts w:cs="Times New Roman"/>
          <w:caps/>
          <w:snapToGrid w:val="0"/>
          <w:color w:val="000000" w:themeColor="text1"/>
          <w:kern w:val="0"/>
          <w:szCs w:val="24"/>
          <w14:textFill>
            <w14:solidFill>
              <w14:schemeClr w14:val="tx1"/>
            </w14:solidFill>
          </w14:textFill>
        </w:rPr>
        <w:fldChar w:fldCharType="end"/>
      </w:r>
    </w:p>
    <w:p w14:paraId="70B5E085">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_Toc30999 </w:instrText>
      </w:r>
      <w:r>
        <w:rPr>
          <w:rFonts w:cs="Times New Roman"/>
          <w:caps/>
          <w:snapToGrid w:val="0"/>
          <w:kern w:val="0"/>
          <w:szCs w:val="24"/>
        </w:rPr>
        <w:fldChar w:fldCharType="separate"/>
      </w:r>
      <w:r>
        <w:rPr>
          <w:rFonts w:hint="eastAsia"/>
          <w:snapToGrid w:val="0"/>
        </w:rPr>
        <w:t>1.3环境</w:t>
      </w:r>
      <w:r>
        <w:rPr>
          <w:snapToGrid w:val="0"/>
        </w:rPr>
        <w:t>影响评价</w:t>
      </w:r>
      <w:r>
        <w:rPr>
          <w:rFonts w:hint="eastAsia"/>
          <w:snapToGrid w:val="0"/>
        </w:rPr>
        <w:t>工作</w:t>
      </w:r>
      <w:r>
        <w:rPr>
          <w:snapToGrid w:val="0"/>
        </w:rPr>
        <w:t>过程</w:t>
      </w:r>
      <w:r>
        <w:tab/>
      </w:r>
      <w:r>
        <w:fldChar w:fldCharType="begin"/>
      </w:r>
      <w:r>
        <w:instrText xml:space="preserve"> PAGEREF _Toc30999 \h </w:instrText>
      </w:r>
      <w:r>
        <w:fldChar w:fldCharType="separate"/>
      </w:r>
      <w:r>
        <w:t>6</w:t>
      </w:r>
      <w:r>
        <w:fldChar w:fldCharType="end"/>
      </w:r>
      <w:r>
        <w:rPr>
          <w:rFonts w:cs="Times New Roman"/>
          <w:caps/>
          <w:snapToGrid w:val="0"/>
          <w:color w:val="000000" w:themeColor="text1"/>
          <w:kern w:val="0"/>
          <w:szCs w:val="24"/>
          <w14:textFill>
            <w14:solidFill>
              <w14:schemeClr w14:val="tx1"/>
            </w14:solidFill>
          </w14:textFill>
        </w:rPr>
        <w:fldChar w:fldCharType="end"/>
      </w:r>
    </w:p>
    <w:p w14:paraId="459A2B1D">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_Toc14958 </w:instrText>
      </w:r>
      <w:r>
        <w:rPr>
          <w:rFonts w:cs="Times New Roman"/>
          <w:caps/>
          <w:snapToGrid w:val="0"/>
          <w:kern w:val="0"/>
          <w:szCs w:val="24"/>
        </w:rPr>
        <w:fldChar w:fldCharType="separate"/>
      </w:r>
      <w:r>
        <w:rPr>
          <w:rFonts w:hint="eastAsia"/>
          <w:snapToGrid w:val="0"/>
          <w:highlight w:val="none"/>
        </w:rPr>
        <w:t>1.4分析判定</w:t>
      </w:r>
      <w:r>
        <w:rPr>
          <w:snapToGrid w:val="0"/>
          <w:highlight w:val="none"/>
        </w:rPr>
        <w:t>相关情况</w:t>
      </w:r>
      <w:r>
        <w:tab/>
      </w:r>
      <w:r>
        <w:fldChar w:fldCharType="begin"/>
      </w:r>
      <w:r>
        <w:instrText xml:space="preserve"> PAGEREF _Toc14958 \h </w:instrText>
      </w:r>
      <w:r>
        <w:fldChar w:fldCharType="separate"/>
      </w:r>
      <w:r>
        <w:t>7</w:t>
      </w:r>
      <w:r>
        <w:fldChar w:fldCharType="end"/>
      </w:r>
      <w:r>
        <w:rPr>
          <w:rFonts w:cs="Times New Roman"/>
          <w:caps/>
          <w:snapToGrid w:val="0"/>
          <w:color w:val="000000" w:themeColor="text1"/>
          <w:kern w:val="0"/>
          <w:szCs w:val="24"/>
          <w14:textFill>
            <w14:solidFill>
              <w14:schemeClr w14:val="tx1"/>
            </w14:solidFill>
          </w14:textFill>
        </w:rPr>
        <w:fldChar w:fldCharType="end"/>
      </w:r>
    </w:p>
    <w:p w14:paraId="14680CE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_Toc22022 </w:instrText>
      </w:r>
      <w:r>
        <w:rPr>
          <w:rFonts w:cs="Times New Roman"/>
          <w:caps/>
          <w:snapToGrid w:val="0"/>
          <w:kern w:val="0"/>
          <w:szCs w:val="24"/>
        </w:rPr>
        <w:fldChar w:fldCharType="separate"/>
      </w:r>
      <w:r>
        <w:rPr>
          <w:rFonts w:hint="eastAsia"/>
        </w:rPr>
        <w:t>1.</w:t>
      </w:r>
      <w:r>
        <w:t>4</w:t>
      </w:r>
      <w:r>
        <w:rPr>
          <w:rFonts w:hint="eastAsia"/>
        </w:rPr>
        <w:t>.1产业政策符合性分析</w:t>
      </w:r>
      <w:r>
        <w:tab/>
      </w:r>
      <w:r>
        <w:fldChar w:fldCharType="begin"/>
      </w:r>
      <w:r>
        <w:instrText xml:space="preserve"> PAGEREF _Toc22022 \h </w:instrText>
      </w:r>
      <w:r>
        <w:fldChar w:fldCharType="separate"/>
      </w:r>
      <w:r>
        <w:t>7</w:t>
      </w:r>
      <w:r>
        <w:fldChar w:fldCharType="end"/>
      </w:r>
      <w:r>
        <w:rPr>
          <w:rFonts w:cs="Times New Roman"/>
          <w:caps/>
          <w:snapToGrid w:val="0"/>
          <w:color w:val="000000" w:themeColor="text1"/>
          <w:kern w:val="0"/>
          <w:szCs w:val="24"/>
          <w14:textFill>
            <w14:solidFill>
              <w14:schemeClr w14:val="tx1"/>
            </w14:solidFill>
          </w14:textFill>
        </w:rPr>
        <w:fldChar w:fldCharType="end"/>
      </w:r>
    </w:p>
    <w:p w14:paraId="0D21439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_Toc28955 </w:instrText>
      </w:r>
      <w:r>
        <w:rPr>
          <w:rFonts w:cs="Times New Roman"/>
          <w:caps/>
          <w:snapToGrid w:val="0"/>
          <w:kern w:val="0"/>
          <w:szCs w:val="24"/>
        </w:rPr>
        <w:fldChar w:fldCharType="separate"/>
      </w:r>
      <w:r>
        <w:rPr>
          <w:rFonts w:hint="eastAsia"/>
        </w:rPr>
        <w:t>1.</w:t>
      </w:r>
      <w:r>
        <w:t>4</w:t>
      </w:r>
      <w:r>
        <w:rPr>
          <w:rFonts w:hint="eastAsia"/>
        </w:rPr>
        <w:t>.2规划符合性分析</w:t>
      </w:r>
      <w:r>
        <w:tab/>
      </w:r>
      <w:r>
        <w:fldChar w:fldCharType="begin"/>
      </w:r>
      <w:r>
        <w:instrText xml:space="preserve"> PAGEREF _Toc28955 \h </w:instrText>
      </w:r>
      <w:r>
        <w:fldChar w:fldCharType="separate"/>
      </w:r>
      <w:r>
        <w:t>8</w:t>
      </w:r>
      <w:r>
        <w:fldChar w:fldCharType="end"/>
      </w:r>
      <w:r>
        <w:rPr>
          <w:rFonts w:cs="Times New Roman"/>
          <w:caps/>
          <w:snapToGrid w:val="0"/>
          <w:color w:val="000000" w:themeColor="text1"/>
          <w:kern w:val="0"/>
          <w:szCs w:val="24"/>
          <w14:textFill>
            <w14:solidFill>
              <w14:schemeClr w14:val="tx1"/>
            </w14:solidFill>
          </w14:textFill>
        </w:rPr>
        <w:fldChar w:fldCharType="end"/>
      </w:r>
    </w:p>
    <w:p w14:paraId="7E2FA17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_Toc28721 </w:instrText>
      </w:r>
      <w:r>
        <w:rPr>
          <w:rFonts w:cs="Times New Roman"/>
          <w:caps/>
          <w:snapToGrid w:val="0"/>
          <w:kern w:val="0"/>
          <w:szCs w:val="24"/>
        </w:rPr>
        <w:fldChar w:fldCharType="separate"/>
      </w:r>
      <w:r>
        <w:rPr>
          <w:rFonts w:hint="eastAsia"/>
          <w:highlight w:val="none"/>
        </w:rPr>
        <w:t>1.</w:t>
      </w:r>
      <w:r>
        <w:rPr>
          <w:highlight w:val="none"/>
        </w:rPr>
        <w:t>4</w:t>
      </w:r>
      <w:r>
        <w:rPr>
          <w:rFonts w:hint="eastAsia"/>
          <w:highlight w:val="none"/>
        </w:rPr>
        <w:t>.3选址合理性分析</w:t>
      </w:r>
      <w:r>
        <w:tab/>
      </w:r>
      <w:r>
        <w:fldChar w:fldCharType="begin"/>
      </w:r>
      <w:r>
        <w:instrText xml:space="preserve"> PAGEREF _Toc28721 \h </w:instrText>
      </w:r>
      <w:r>
        <w:fldChar w:fldCharType="separate"/>
      </w:r>
      <w:r>
        <w:t>28</w:t>
      </w:r>
      <w:r>
        <w:fldChar w:fldCharType="end"/>
      </w:r>
      <w:r>
        <w:rPr>
          <w:rFonts w:cs="Times New Roman"/>
          <w:caps/>
          <w:snapToGrid w:val="0"/>
          <w:color w:val="000000" w:themeColor="text1"/>
          <w:kern w:val="0"/>
          <w:szCs w:val="24"/>
          <w14:textFill>
            <w14:solidFill>
              <w14:schemeClr w14:val="tx1"/>
            </w14:solidFill>
          </w14:textFill>
        </w:rPr>
        <w:fldChar w:fldCharType="end"/>
      </w:r>
    </w:p>
    <w:p w14:paraId="32A33D16">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_Toc29723 </w:instrText>
      </w:r>
      <w:r>
        <w:rPr>
          <w:rFonts w:cs="Times New Roman"/>
          <w:caps/>
          <w:snapToGrid w:val="0"/>
          <w:kern w:val="0"/>
          <w:szCs w:val="24"/>
        </w:rPr>
        <w:fldChar w:fldCharType="separate"/>
      </w:r>
      <w:r>
        <w:rPr>
          <w:rFonts w:hint="eastAsia"/>
          <w:snapToGrid w:val="0"/>
        </w:rPr>
        <w:t>1.5关注</w:t>
      </w:r>
      <w:r>
        <w:rPr>
          <w:snapToGrid w:val="0"/>
        </w:rPr>
        <w:t>的主要环境问题及环境影响</w:t>
      </w:r>
      <w:r>
        <w:tab/>
      </w:r>
      <w:r>
        <w:fldChar w:fldCharType="begin"/>
      </w:r>
      <w:r>
        <w:instrText xml:space="preserve"> PAGEREF _Toc29723 \h </w:instrText>
      </w:r>
      <w:r>
        <w:fldChar w:fldCharType="separate"/>
      </w:r>
      <w:r>
        <w:t>29</w:t>
      </w:r>
      <w:r>
        <w:fldChar w:fldCharType="end"/>
      </w:r>
      <w:r>
        <w:rPr>
          <w:rFonts w:cs="Times New Roman"/>
          <w:caps/>
          <w:snapToGrid w:val="0"/>
          <w:color w:val="000000" w:themeColor="text1"/>
          <w:kern w:val="0"/>
          <w:szCs w:val="24"/>
          <w14:textFill>
            <w14:solidFill>
              <w14:schemeClr w14:val="tx1"/>
            </w14:solidFill>
          </w14:textFill>
        </w:rPr>
        <w:fldChar w:fldCharType="end"/>
      </w:r>
    </w:p>
    <w:p w14:paraId="6DE1D835">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_Toc20041 </w:instrText>
      </w:r>
      <w:r>
        <w:rPr>
          <w:rFonts w:cs="Times New Roman"/>
          <w:caps/>
          <w:snapToGrid w:val="0"/>
          <w:kern w:val="0"/>
          <w:szCs w:val="24"/>
        </w:rPr>
        <w:fldChar w:fldCharType="separate"/>
      </w:r>
      <w:r>
        <w:rPr>
          <w:rFonts w:hint="eastAsia"/>
          <w:snapToGrid w:val="0"/>
        </w:rPr>
        <w:t>1.6环境</w:t>
      </w:r>
      <w:r>
        <w:rPr>
          <w:snapToGrid w:val="0"/>
        </w:rPr>
        <w:t>影响评价主要结论</w:t>
      </w:r>
      <w:r>
        <w:tab/>
      </w:r>
      <w:r>
        <w:fldChar w:fldCharType="begin"/>
      </w:r>
      <w:r>
        <w:instrText xml:space="preserve"> PAGEREF _Toc20041 \h </w:instrText>
      </w:r>
      <w:r>
        <w:fldChar w:fldCharType="separate"/>
      </w:r>
      <w:r>
        <w:t>30</w:t>
      </w:r>
      <w:r>
        <w:fldChar w:fldCharType="end"/>
      </w:r>
      <w:r>
        <w:rPr>
          <w:rFonts w:cs="Times New Roman"/>
          <w:caps/>
          <w:snapToGrid w:val="0"/>
          <w:color w:val="000000" w:themeColor="text1"/>
          <w:kern w:val="0"/>
          <w:szCs w:val="24"/>
          <w14:textFill>
            <w14:solidFill>
              <w14:schemeClr w14:val="tx1"/>
            </w14:solidFill>
          </w14:textFill>
        </w:rPr>
        <w:fldChar w:fldCharType="end"/>
      </w:r>
    </w:p>
    <w:p w14:paraId="4813EE6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_Toc4520 </w:instrText>
      </w:r>
      <w:r>
        <w:rPr>
          <w:rFonts w:cs="Times New Roman"/>
          <w:caps/>
          <w:snapToGrid w:val="0"/>
          <w:kern w:val="0"/>
          <w:szCs w:val="24"/>
        </w:rPr>
        <w:fldChar w:fldCharType="separate"/>
      </w:r>
      <w:r>
        <w:rPr>
          <w:rFonts w:hint="eastAsia"/>
        </w:rPr>
        <w:t>1</w:t>
      </w:r>
      <w:r>
        <w:t>.6.1</w:t>
      </w:r>
      <w:r>
        <w:rPr>
          <w:rFonts w:hint="eastAsia"/>
        </w:rPr>
        <w:t>建设概况</w:t>
      </w:r>
      <w:r>
        <w:tab/>
      </w:r>
      <w:r>
        <w:fldChar w:fldCharType="begin"/>
      </w:r>
      <w:r>
        <w:instrText xml:space="preserve"> PAGEREF _Toc4520 \h </w:instrText>
      </w:r>
      <w:r>
        <w:fldChar w:fldCharType="separate"/>
      </w:r>
      <w:r>
        <w:t>30</w:t>
      </w:r>
      <w:r>
        <w:fldChar w:fldCharType="end"/>
      </w:r>
      <w:r>
        <w:rPr>
          <w:rFonts w:cs="Times New Roman"/>
          <w:caps/>
          <w:snapToGrid w:val="0"/>
          <w:color w:val="000000" w:themeColor="text1"/>
          <w:kern w:val="0"/>
          <w:szCs w:val="24"/>
          <w14:textFill>
            <w14:solidFill>
              <w14:schemeClr w14:val="tx1"/>
            </w14:solidFill>
          </w14:textFill>
        </w:rPr>
        <w:fldChar w:fldCharType="end"/>
      </w:r>
    </w:p>
    <w:p w14:paraId="45E256F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_Toc1731 </w:instrText>
      </w:r>
      <w:r>
        <w:rPr>
          <w:rFonts w:cs="Times New Roman"/>
          <w:caps/>
          <w:snapToGrid w:val="0"/>
          <w:kern w:val="0"/>
          <w:szCs w:val="24"/>
        </w:rPr>
        <w:fldChar w:fldCharType="separate"/>
      </w:r>
      <w:r>
        <w:rPr>
          <w:rFonts w:hint="eastAsia"/>
        </w:rPr>
        <w:t>1</w:t>
      </w:r>
      <w:r>
        <w:t>.6.2</w:t>
      </w:r>
      <w:r>
        <w:rPr>
          <w:rFonts w:hint="eastAsia"/>
        </w:rPr>
        <w:t>环境</w:t>
      </w:r>
      <w:r>
        <w:t>质量现状</w:t>
      </w:r>
      <w:r>
        <w:tab/>
      </w:r>
      <w:r>
        <w:fldChar w:fldCharType="begin"/>
      </w:r>
      <w:r>
        <w:instrText xml:space="preserve"> PAGEREF _Toc1731 \h </w:instrText>
      </w:r>
      <w:r>
        <w:fldChar w:fldCharType="separate"/>
      </w:r>
      <w:r>
        <w:t>30</w:t>
      </w:r>
      <w:r>
        <w:fldChar w:fldCharType="end"/>
      </w:r>
      <w:r>
        <w:rPr>
          <w:rFonts w:cs="Times New Roman"/>
          <w:caps/>
          <w:snapToGrid w:val="0"/>
          <w:color w:val="000000" w:themeColor="text1"/>
          <w:kern w:val="0"/>
          <w:szCs w:val="24"/>
          <w14:textFill>
            <w14:solidFill>
              <w14:schemeClr w14:val="tx1"/>
            </w14:solidFill>
          </w14:textFill>
        </w:rPr>
        <w:fldChar w:fldCharType="end"/>
      </w:r>
    </w:p>
    <w:p w14:paraId="645DCC4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_Toc2813 </w:instrText>
      </w:r>
      <w:r>
        <w:rPr>
          <w:rFonts w:cs="Times New Roman"/>
          <w:caps/>
          <w:snapToGrid w:val="0"/>
          <w:kern w:val="0"/>
          <w:szCs w:val="24"/>
        </w:rPr>
        <w:fldChar w:fldCharType="separate"/>
      </w:r>
      <w:r>
        <w:rPr>
          <w:rFonts w:hint="eastAsia"/>
        </w:rPr>
        <w:t>1</w:t>
      </w:r>
      <w:r>
        <w:t>.6.3污染物排放状况、主要影响及环保措施</w:t>
      </w:r>
      <w:r>
        <w:tab/>
      </w:r>
      <w:r>
        <w:fldChar w:fldCharType="begin"/>
      </w:r>
      <w:r>
        <w:instrText xml:space="preserve"> PAGEREF _Toc2813 \h </w:instrText>
      </w:r>
      <w:r>
        <w:fldChar w:fldCharType="separate"/>
      </w:r>
      <w:r>
        <w:t>31</w:t>
      </w:r>
      <w:r>
        <w:fldChar w:fldCharType="end"/>
      </w:r>
      <w:r>
        <w:rPr>
          <w:rFonts w:cs="Times New Roman"/>
          <w:caps/>
          <w:snapToGrid w:val="0"/>
          <w:color w:val="000000" w:themeColor="text1"/>
          <w:kern w:val="0"/>
          <w:szCs w:val="24"/>
          <w14:textFill>
            <w14:solidFill>
              <w14:schemeClr w14:val="tx1"/>
            </w14:solidFill>
          </w14:textFill>
        </w:rPr>
        <w:fldChar w:fldCharType="end"/>
      </w:r>
    </w:p>
    <w:p w14:paraId="677250AE">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_Toc12314 </w:instrText>
      </w:r>
      <w:r>
        <w:rPr>
          <w:rFonts w:cs="Times New Roman"/>
          <w:caps/>
          <w:snapToGrid w:val="0"/>
          <w:kern w:val="0"/>
          <w:szCs w:val="24"/>
        </w:rPr>
        <w:fldChar w:fldCharType="separate"/>
      </w:r>
      <w:r>
        <w:rPr>
          <w:rFonts w:hint="eastAsia"/>
        </w:rPr>
        <w:t>1</w:t>
      </w:r>
      <w:r>
        <w:t>.6.4</w:t>
      </w:r>
      <w:r>
        <w:rPr>
          <w:rFonts w:hint="eastAsia"/>
        </w:rPr>
        <w:t>主要结论</w:t>
      </w:r>
      <w:r>
        <w:tab/>
      </w:r>
      <w:r>
        <w:fldChar w:fldCharType="begin"/>
      </w:r>
      <w:r>
        <w:instrText xml:space="preserve"> PAGEREF _Toc12314 \h </w:instrText>
      </w:r>
      <w:r>
        <w:fldChar w:fldCharType="separate"/>
      </w:r>
      <w:r>
        <w:t>34</w:t>
      </w:r>
      <w:r>
        <w:fldChar w:fldCharType="end"/>
      </w:r>
      <w:r>
        <w:rPr>
          <w:rFonts w:cs="Times New Roman"/>
          <w:caps/>
          <w:snapToGrid w:val="0"/>
          <w:color w:val="000000" w:themeColor="text1"/>
          <w:kern w:val="0"/>
          <w:szCs w:val="24"/>
          <w14:textFill>
            <w14:solidFill>
              <w14:schemeClr w14:val="tx1"/>
            </w14:solidFill>
          </w14:textFill>
        </w:rPr>
        <w:fldChar w:fldCharType="end"/>
      </w:r>
    </w:p>
    <w:p w14:paraId="0D04A83A">
      <w:pPr>
        <w:pStyle w:val="33"/>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_Toc22036 </w:instrText>
      </w:r>
      <w:r>
        <w:rPr>
          <w:rFonts w:cs="Times New Roman"/>
          <w:caps/>
          <w:snapToGrid w:val="0"/>
          <w:kern w:val="0"/>
          <w:szCs w:val="24"/>
        </w:rPr>
        <w:fldChar w:fldCharType="separate"/>
      </w:r>
      <w:r>
        <w:rPr>
          <w:snapToGrid w:val="0"/>
        </w:rPr>
        <w:t>2</w:t>
      </w:r>
      <w:r>
        <w:rPr>
          <w:rFonts w:hint="eastAsia"/>
          <w:snapToGrid w:val="0"/>
        </w:rPr>
        <w:t>总则</w:t>
      </w:r>
      <w:r>
        <w:tab/>
      </w:r>
      <w:r>
        <w:fldChar w:fldCharType="begin"/>
      </w:r>
      <w:r>
        <w:instrText xml:space="preserve"> PAGEREF _Toc22036 \h </w:instrText>
      </w:r>
      <w:r>
        <w:fldChar w:fldCharType="separate"/>
      </w:r>
      <w:r>
        <w:t>35</w:t>
      </w:r>
      <w:r>
        <w:fldChar w:fldCharType="end"/>
      </w:r>
      <w:r>
        <w:rPr>
          <w:rFonts w:cs="Times New Roman"/>
          <w:caps/>
          <w:snapToGrid w:val="0"/>
          <w:color w:val="000000" w:themeColor="text1"/>
          <w:kern w:val="0"/>
          <w:szCs w:val="24"/>
          <w14:textFill>
            <w14:solidFill>
              <w14:schemeClr w14:val="tx1"/>
            </w14:solidFill>
          </w14:textFill>
        </w:rPr>
        <w:fldChar w:fldCharType="end"/>
      </w:r>
    </w:p>
    <w:p w14:paraId="72EA00B6">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_Toc25639 </w:instrText>
      </w:r>
      <w:r>
        <w:rPr>
          <w:rFonts w:cs="Times New Roman"/>
          <w:caps/>
          <w:snapToGrid w:val="0"/>
          <w:kern w:val="0"/>
          <w:szCs w:val="24"/>
        </w:rPr>
        <w:fldChar w:fldCharType="separate"/>
      </w:r>
      <w:r>
        <w:rPr>
          <w:snapToGrid w:val="0"/>
        </w:rPr>
        <w:t>2.1评价目的</w:t>
      </w:r>
      <w:r>
        <w:tab/>
      </w:r>
      <w:r>
        <w:fldChar w:fldCharType="begin"/>
      </w:r>
      <w:r>
        <w:instrText xml:space="preserve"> PAGEREF _Toc25639 \h </w:instrText>
      </w:r>
      <w:r>
        <w:fldChar w:fldCharType="separate"/>
      </w:r>
      <w:r>
        <w:t>35</w:t>
      </w:r>
      <w:r>
        <w:fldChar w:fldCharType="end"/>
      </w:r>
      <w:r>
        <w:rPr>
          <w:rFonts w:cs="Times New Roman"/>
          <w:caps/>
          <w:snapToGrid w:val="0"/>
          <w:color w:val="000000" w:themeColor="text1"/>
          <w:kern w:val="0"/>
          <w:szCs w:val="24"/>
          <w14:textFill>
            <w14:solidFill>
              <w14:schemeClr w14:val="tx1"/>
            </w14:solidFill>
          </w14:textFill>
        </w:rPr>
        <w:fldChar w:fldCharType="end"/>
      </w:r>
    </w:p>
    <w:p w14:paraId="5461F880">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_Toc14873 </w:instrText>
      </w:r>
      <w:r>
        <w:rPr>
          <w:rFonts w:cs="Times New Roman"/>
          <w:caps/>
          <w:snapToGrid w:val="0"/>
          <w:kern w:val="0"/>
          <w:szCs w:val="24"/>
        </w:rPr>
        <w:fldChar w:fldCharType="separate"/>
      </w:r>
      <w:r>
        <w:rPr>
          <w:snapToGrid w:val="0"/>
        </w:rPr>
        <w:t>2.2评价原则</w:t>
      </w:r>
      <w:r>
        <w:tab/>
      </w:r>
      <w:r>
        <w:fldChar w:fldCharType="begin"/>
      </w:r>
      <w:r>
        <w:instrText xml:space="preserve"> PAGEREF _Toc14873 \h </w:instrText>
      </w:r>
      <w:r>
        <w:fldChar w:fldCharType="separate"/>
      </w:r>
      <w:r>
        <w:t>35</w:t>
      </w:r>
      <w:r>
        <w:fldChar w:fldCharType="end"/>
      </w:r>
      <w:r>
        <w:rPr>
          <w:rFonts w:cs="Times New Roman"/>
          <w:caps/>
          <w:snapToGrid w:val="0"/>
          <w:color w:val="000000" w:themeColor="text1"/>
          <w:kern w:val="0"/>
          <w:szCs w:val="24"/>
          <w14:textFill>
            <w14:solidFill>
              <w14:schemeClr w14:val="tx1"/>
            </w14:solidFill>
          </w14:textFill>
        </w:rPr>
        <w:fldChar w:fldCharType="end"/>
      </w:r>
    </w:p>
    <w:p w14:paraId="30A34A1D">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_Toc30519 </w:instrText>
      </w:r>
      <w:r>
        <w:rPr>
          <w:rFonts w:cs="Times New Roman"/>
          <w:caps/>
          <w:snapToGrid w:val="0"/>
          <w:kern w:val="0"/>
          <w:szCs w:val="24"/>
        </w:rPr>
        <w:fldChar w:fldCharType="separate"/>
      </w:r>
      <w:r>
        <w:rPr>
          <w:snapToGrid w:val="0"/>
        </w:rPr>
        <w:t>2.3编制依据</w:t>
      </w:r>
      <w:r>
        <w:tab/>
      </w:r>
      <w:r>
        <w:fldChar w:fldCharType="begin"/>
      </w:r>
      <w:r>
        <w:instrText xml:space="preserve"> PAGEREF _Toc30519 \h </w:instrText>
      </w:r>
      <w:r>
        <w:fldChar w:fldCharType="separate"/>
      </w:r>
      <w:r>
        <w:t>36</w:t>
      </w:r>
      <w:r>
        <w:fldChar w:fldCharType="end"/>
      </w:r>
      <w:r>
        <w:rPr>
          <w:rFonts w:cs="Times New Roman"/>
          <w:caps/>
          <w:snapToGrid w:val="0"/>
          <w:color w:val="000000" w:themeColor="text1"/>
          <w:kern w:val="0"/>
          <w:szCs w:val="24"/>
          <w14:textFill>
            <w14:solidFill>
              <w14:schemeClr w14:val="tx1"/>
            </w14:solidFill>
          </w14:textFill>
        </w:rPr>
        <w:fldChar w:fldCharType="end"/>
      </w:r>
    </w:p>
    <w:p w14:paraId="551B453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_Toc1197 </w:instrText>
      </w:r>
      <w:r>
        <w:rPr>
          <w:rFonts w:cs="Times New Roman"/>
          <w:caps/>
          <w:snapToGrid w:val="0"/>
          <w:kern w:val="0"/>
          <w:szCs w:val="24"/>
        </w:rPr>
        <w:fldChar w:fldCharType="separate"/>
      </w:r>
      <w:r>
        <w:rPr>
          <w:snapToGrid w:val="0"/>
        </w:rPr>
        <w:t>2.3.1相关法律、法规</w:t>
      </w:r>
      <w:r>
        <w:rPr>
          <w:rFonts w:hint="eastAsia"/>
          <w:snapToGrid w:val="0"/>
        </w:rPr>
        <w:t>、政策及文件</w:t>
      </w:r>
      <w:r>
        <w:tab/>
      </w:r>
      <w:r>
        <w:fldChar w:fldCharType="begin"/>
      </w:r>
      <w:r>
        <w:instrText xml:space="preserve"> PAGEREF _Toc1197 \h </w:instrText>
      </w:r>
      <w:r>
        <w:fldChar w:fldCharType="separate"/>
      </w:r>
      <w:r>
        <w:t>36</w:t>
      </w:r>
      <w:r>
        <w:fldChar w:fldCharType="end"/>
      </w:r>
      <w:r>
        <w:rPr>
          <w:rFonts w:cs="Times New Roman"/>
          <w:caps/>
          <w:snapToGrid w:val="0"/>
          <w:color w:val="000000" w:themeColor="text1"/>
          <w:kern w:val="0"/>
          <w:szCs w:val="24"/>
          <w14:textFill>
            <w14:solidFill>
              <w14:schemeClr w14:val="tx1"/>
            </w14:solidFill>
          </w14:textFill>
        </w:rPr>
        <w:fldChar w:fldCharType="end"/>
      </w:r>
    </w:p>
    <w:p w14:paraId="388F0C37">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_Toc18630 </w:instrText>
      </w:r>
      <w:r>
        <w:rPr>
          <w:rFonts w:cs="Times New Roman"/>
          <w:caps/>
          <w:snapToGrid w:val="0"/>
          <w:kern w:val="0"/>
          <w:szCs w:val="24"/>
        </w:rPr>
        <w:fldChar w:fldCharType="separate"/>
      </w:r>
      <w:r>
        <w:rPr>
          <w:snapToGrid w:val="0"/>
        </w:rPr>
        <w:t>2.3.2相关技术规范</w:t>
      </w:r>
      <w:r>
        <w:tab/>
      </w:r>
      <w:r>
        <w:fldChar w:fldCharType="begin"/>
      </w:r>
      <w:r>
        <w:instrText xml:space="preserve"> PAGEREF _Toc18630 \h </w:instrText>
      </w:r>
      <w:r>
        <w:fldChar w:fldCharType="separate"/>
      </w:r>
      <w:r>
        <w:t>37</w:t>
      </w:r>
      <w:r>
        <w:fldChar w:fldCharType="end"/>
      </w:r>
      <w:r>
        <w:rPr>
          <w:rFonts w:cs="Times New Roman"/>
          <w:caps/>
          <w:snapToGrid w:val="0"/>
          <w:color w:val="000000" w:themeColor="text1"/>
          <w:kern w:val="0"/>
          <w:szCs w:val="24"/>
          <w14:textFill>
            <w14:solidFill>
              <w14:schemeClr w14:val="tx1"/>
            </w14:solidFill>
          </w14:textFill>
        </w:rPr>
        <w:fldChar w:fldCharType="end"/>
      </w:r>
    </w:p>
    <w:p w14:paraId="611A0362">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_Toc17982 </w:instrText>
      </w:r>
      <w:r>
        <w:rPr>
          <w:rFonts w:cs="Times New Roman"/>
          <w:caps/>
          <w:snapToGrid w:val="0"/>
          <w:kern w:val="0"/>
          <w:szCs w:val="24"/>
        </w:rPr>
        <w:fldChar w:fldCharType="separate"/>
      </w:r>
      <w:r>
        <w:rPr>
          <w:snapToGrid w:val="0"/>
        </w:rPr>
        <w:t>2.4</w:t>
      </w:r>
      <w:r>
        <w:rPr>
          <w:rFonts w:hint="eastAsia"/>
          <w:snapToGrid w:val="0"/>
        </w:rPr>
        <w:t>环境影响识别与评价因子筛选</w:t>
      </w:r>
      <w:r>
        <w:tab/>
      </w:r>
      <w:r>
        <w:fldChar w:fldCharType="begin"/>
      </w:r>
      <w:r>
        <w:instrText xml:space="preserve"> PAGEREF _Toc17982 \h </w:instrText>
      </w:r>
      <w:r>
        <w:fldChar w:fldCharType="separate"/>
      </w:r>
      <w:r>
        <w:t>38</w:t>
      </w:r>
      <w:r>
        <w:fldChar w:fldCharType="end"/>
      </w:r>
      <w:r>
        <w:rPr>
          <w:rFonts w:cs="Times New Roman"/>
          <w:caps/>
          <w:snapToGrid w:val="0"/>
          <w:color w:val="000000" w:themeColor="text1"/>
          <w:kern w:val="0"/>
          <w:szCs w:val="24"/>
          <w14:textFill>
            <w14:solidFill>
              <w14:schemeClr w14:val="tx1"/>
            </w14:solidFill>
          </w14:textFill>
        </w:rPr>
        <w:fldChar w:fldCharType="end"/>
      </w:r>
    </w:p>
    <w:p w14:paraId="29BFA97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_Toc767 </w:instrText>
      </w:r>
      <w:r>
        <w:rPr>
          <w:rFonts w:cs="Times New Roman"/>
          <w:caps/>
          <w:snapToGrid w:val="0"/>
          <w:kern w:val="0"/>
          <w:szCs w:val="24"/>
        </w:rPr>
        <w:fldChar w:fldCharType="separate"/>
      </w:r>
      <w:r>
        <w:t>2.4.1</w:t>
      </w:r>
      <w:r>
        <w:rPr>
          <w:rFonts w:hint="eastAsia"/>
        </w:rPr>
        <w:t>环境影响因素识别</w:t>
      </w:r>
      <w:r>
        <w:tab/>
      </w:r>
      <w:r>
        <w:fldChar w:fldCharType="begin"/>
      </w:r>
      <w:r>
        <w:instrText xml:space="preserve"> PAGEREF _Toc767 \h </w:instrText>
      </w:r>
      <w:r>
        <w:fldChar w:fldCharType="separate"/>
      </w:r>
      <w:r>
        <w:t>38</w:t>
      </w:r>
      <w:r>
        <w:fldChar w:fldCharType="end"/>
      </w:r>
      <w:r>
        <w:rPr>
          <w:rFonts w:cs="Times New Roman"/>
          <w:caps/>
          <w:snapToGrid w:val="0"/>
          <w:color w:val="000000" w:themeColor="text1"/>
          <w:kern w:val="0"/>
          <w:szCs w:val="24"/>
          <w14:textFill>
            <w14:solidFill>
              <w14:schemeClr w14:val="tx1"/>
            </w14:solidFill>
          </w14:textFill>
        </w:rPr>
        <w:fldChar w:fldCharType="end"/>
      </w:r>
    </w:p>
    <w:p w14:paraId="1978976D">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_Toc13805 </w:instrText>
      </w:r>
      <w:r>
        <w:rPr>
          <w:rFonts w:cs="Times New Roman"/>
          <w:caps/>
          <w:snapToGrid w:val="0"/>
          <w:kern w:val="0"/>
          <w:szCs w:val="24"/>
        </w:rPr>
        <w:fldChar w:fldCharType="separate"/>
      </w:r>
      <w:r>
        <w:t>2.4.2</w:t>
      </w:r>
      <w:r>
        <w:rPr>
          <w:rFonts w:hint="eastAsia"/>
        </w:rPr>
        <w:t>评价因子筛选</w:t>
      </w:r>
      <w:r>
        <w:tab/>
      </w:r>
      <w:r>
        <w:fldChar w:fldCharType="begin"/>
      </w:r>
      <w:r>
        <w:instrText xml:space="preserve"> PAGEREF _Toc13805 \h </w:instrText>
      </w:r>
      <w:r>
        <w:fldChar w:fldCharType="separate"/>
      </w:r>
      <w:r>
        <w:t>40</w:t>
      </w:r>
      <w:r>
        <w:fldChar w:fldCharType="end"/>
      </w:r>
      <w:r>
        <w:rPr>
          <w:rFonts w:cs="Times New Roman"/>
          <w:caps/>
          <w:snapToGrid w:val="0"/>
          <w:color w:val="000000" w:themeColor="text1"/>
          <w:kern w:val="0"/>
          <w:szCs w:val="24"/>
          <w14:textFill>
            <w14:solidFill>
              <w14:schemeClr w14:val="tx1"/>
            </w14:solidFill>
          </w14:textFill>
        </w:rPr>
        <w:fldChar w:fldCharType="end"/>
      </w:r>
    </w:p>
    <w:p w14:paraId="3960CA69">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_Toc1920 </w:instrText>
      </w:r>
      <w:r>
        <w:rPr>
          <w:rFonts w:cs="Times New Roman"/>
          <w:caps/>
          <w:snapToGrid w:val="0"/>
          <w:kern w:val="0"/>
          <w:szCs w:val="24"/>
        </w:rPr>
        <w:fldChar w:fldCharType="separate"/>
      </w:r>
      <w:r>
        <w:rPr>
          <w:snapToGrid w:val="0"/>
          <w:highlight w:val="none"/>
        </w:rPr>
        <w:t>2.5</w:t>
      </w:r>
      <w:r>
        <w:rPr>
          <w:rFonts w:hint="eastAsia"/>
          <w:snapToGrid w:val="0"/>
          <w:highlight w:val="none"/>
        </w:rPr>
        <w:t>评价</w:t>
      </w:r>
      <w:r>
        <w:rPr>
          <w:snapToGrid w:val="0"/>
          <w:highlight w:val="none"/>
        </w:rPr>
        <w:t>等级</w:t>
      </w:r>
      <w:r>
        <w:tab/>
      </w:r>
      <w:r>
        <w:fldChar w:fldCharType="begin"/>
      </w:r>
      <w:r>
        <w:instrText xml:space="preserve"> PAGEREF _Toc1920 \h </w:instrText>
      </w:r>
      <w:r>
        <w:fldChar w:fldCharType="separate"/>
      </w:r>
      <w:r>
        <w:t>40</w:t>
      </w:r>
      <w:r>
        <w:fldChar w:fldCharType="end"/>
      </w:r>
      <w:r>
        <w:rPr>
          <w:rFonts w:cs="Times New Roman"/>
          <w:caps/>
          <w:snapToGrid w:val="0"/>
          <w:color w:val="000000" w:themeColor="text1"/>
          <w:kern w:val="0"/>
          <w:szCs w:val="24"/>
          <w14:textFill>
            <w14:solidFill>
              <w14:schemeClr w14:val="tx1"/>
            </w14:solidFill>
          </w14:textFill>
        </w:rPr>
        <w:fldChar w:fldCharType="end"/>
      </w:r>
    </w:p>
    <w:p w14:paraId="46C5652A">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_Toc8672 </w:instrText>
      </w:r>
      <w:r>
        <w:rPr>
          <w:rFonts w:cs="Times New Roman"/>
          <w:caps/>
          <w:snapToGrid w:val="0"/>
          <w:kern w:val="0"/>
          <w:szCs w:val="24"/>
        </w:rPr>
        <w:fldChar w:fldCharType="separate"/>
      </w:r>
      <w:r>
        <w:rPr>
          <w:snapToGrid w:val="0"/>
        </w:rPr>
        <w:t>2.5</w:t>
      </w:r>
      <w:r>
        <w:rPr>
          <w:rFonts w:hint="eastAsia"/>
          <w:snapToGrid w:val="0"/>
        </w:rPr>
        <w:t>.1环境</w:t>
      </w:r>
      <w:r>
        <w:rPr>
          <w:snapToGrid w:val="0"/>
        </w:rPr>
        <w:t>空气</w:t>
      </w:r>
      <w:r>
        <w:tab/>
      </w:r>
      <w:r>
        <w:fldChar w:fldCharType="begin"/>
      </w:r>
      <w:r>
        <w:instrText xml:space="preserve"> PAGEREF _Toc8672 \h </w:instrText>
      </w:r>
      <w:r>
        <w:fldChar w:fldCharType="separate"/>
      </w:r>
      <w:r>
        <w:t>40</w:t>
      </w:r>
      <w:r>
        <w:fldChar w:fldCharType="end"/>
      </w:r>
      <w:r>
        <w:rPr>
          <w:rFonts w:cs="Times New Roman"/>
          <w:caps/>
          <w:snapToGrid w:val="0"/>
          <w:color w:val="000000" w:themeColor="text1"/>
          <w:kern w:val="0"/>
          <w:szCs w:val="24"/>
          <w14:textFill>
            <w14:solidFill>
              <w14:schemeClr w14:val="tx1"/>
            </w14:solidFill>
          </w14:textFill>
        </w:rPr>
        <w:fldChar w:fldCharType="end"/>
      </w:r>
    </w:p>
    <w:p w14:paraId="034BFA29">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_Toc31468 </w:instrText>
      </w:r>
      <w:r>
        <w:rPr>
          <w:rFonts w:cs="Times New Roman"/>
          <w:caps/>
          <w:snapToGrid w:val="0"/>
          <w:kern w:val="0"/>
          <w:szCs w:val="24"/>
        </w:rPr>
        <w:fldChar w:fldCharType="separate"/>
      </w:r>
      <w:r>
        <w:rPr>
          <w:snapToGrid w:val="0"/>
        </w:rPr>
        <w:t>2</w:t>
      </w:r>
      <w:r>
        <w:rPr>
          <w:rFonts w:hint="eastAsia"/>
          <w:snapToGrid w:val="0"/>
        </w:rPr>
        <w:t>.</w:t>
      </w:r>
      <w:r>
        <w:rPr>
          <w:snapToGrid w:val="0"/>
        </w:rPr>
        <w:t>5.2</w:t>
      </w:r>
      <w:r>
        <w:rPr>
          <w:rFonts w:hint="eastAsia"/>
          <w:snapToGrid w:val="0"/>
        </w:rPr>
        <w:t>地表水</w:t>
      </w:r>
      <w:r>
        <w:tab/>
      </w:r>
      <w:r>
        <w:fldChar w:fldCharType="begin"/>
      </w:r>
      <w:r>
        <w:instrText xml:space="preserve"> PAGEREF _Toc31468 \h </w:instrText>
      </w:r>
      <w:r>
        <w:fldChar w:fldCharType="separate"/>
      </w:r>
      <w:r>
        <w:t>48</w:t>
      </w:r>
      <w:r>
        <w:fldChar w:fldCharType="end"/>
      </w:r>
      <w:r>
        <w:rPr>
          <w:rFonts w:cs="Times New Roman"/>
          <w:caps/>
          <w:snapToGrid w:val="0"/>
          <w:color w:val="000000" w:themeColor="text1"/>
          <w:kern w:val="0"/>
          <w:szCs w:val="24"/>
          <w14:textFill>
            <w14:solidFill>
              <w14:schemeClr w14:val="tx1"/>
            </w14:solidFill>
          </w14:textFill>
        </w:rPr>
        <w:fldChar w:fldCharType="end"/>
      </w:r>
    </w:p>
    <w:p w14:paraId="22AE3345">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_Toc14066 </w:instrText>
      </w:r>
      <w:r>
        <w:rPr>
          <w:rFonts w:cs="Times New Roman"/>
          <w:caps/>
          <w:snapToGrid w:val="0"/>
          <w:kern w:val="0"/>
          <w:szCs w:val="24"/>
        </w:rPr>
        <w:fldChar w:fldCharType="separate"/>
      </w:r>
      <w:r>
        <w:rPr>
          <w:snapToGrid w:val="0"/>
        </w:rPr>
        <w:t>2</w:t>
      </w:r>
      <w:r>
        <w:rPr>
          <w:rFonts w:hint="eastAsia"/>
          <w:snapToGrid w:val="0"/>
        </w:rPr>
        <w:t>.</w:t>
      </w:r>
      <w:r>
        <w:rPr>
          <w:snapToGrid w:val="0"/>
        </w:rPr>
        <w:t>5.3</w:t>
      </w:r>
      <w:r>
        <w:rPr>
          <w:rFonts w:hint="eastAsia"/>
          <w:snapToGrid w:val="0"/>
        </w:rPr>
        <w:t>地下水</w:t>
      </w:r>
      <w:r>
        <w:tab/>
      </w:r>
      <w:r>
        <w:fldChar w:fldCharType="begin"/>
      </w:r>
      <w:r>
        <w:instrText xml:space="preserve"> PAGEREF _Toc14066 \h </w:instrText>
      </w:r>
      <w:r>
        <w:fldChar w:fldCharType="separate"/>
      </w:r>
      <w:r>
        <w:t>48</w:t>
      </w:r>
      <w:r>
        <w:fldChar w:fldCharType="end"/>
      </w:r>
      <w:r>
        <w:rPr>
          <w:rFonts w:cs="Times New Roman"/>
          <w:caps/>
          <w:snapToGrid w:val="0"/>
          <w:color w:val="000000" w:themeColor="text1"/>
          <w:kern w:val="0"/>
          <w:szCs w:val="24"/>
          <w14:textFill>
            <w14:solidFill>
              <w14:schemeClr w14:val="tx1"/>
            </w14:solidFill>
          </w14:textFill>
        </w:rPr>
        <w:fldChar w:fldCharType="end"/>
      </w:r>
    </w:p>
    <w:p w14:paraId="35D62E6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_Toc11854 </w:instrText>
      </w:r>
      <w:r>
        <w:rPr>
          <w:rFonts w:cs="Times New Roman"/>
          <w:caps/>
          <w:snapToGrid w:val="0"/>
          <w:kern w:val="0"/>
          <w:szCs w:val="24"/>
        </w:rPr>
        <w:fldChar w:fldCharType="separate"/>
      </w:r>
      <w:r>
        <w:t>2.5.4</w:t>
      </w:r>
      <w:r>
        <w:rPr>
          <w:rFonts w:hint="eastAsia"/>
        </w:rPr>
        <w:t>声环境</w:t>
      </w:r>
      <w:r>
        <w:tab/>
      </w:r>
      <w:r>
        <w:fldChar w:fldCharType="begin"/>
      </w:r>
      <w:r>
        <w:instrText xml:space="preserve"> PAGEREF _Toc11854 \h </w:instrText>
      </w:r>
      <w:r>
        <w:fldChar w:fldCharType="separate"/>
      </w:r>
      <w:r>
        <w:t>53</w:t>
      </w:r>
      <w:r>
        <w:fldChar w:fldCharType="end"/>
      </w:r>
      <w:r>
        <w:rPr>
          <w:rFonts w:cs="Times New Roman"/>
          <w:caps/>
          <w:snapToGrid w:val="0"/>
          <w:color w:val="000000" w:themeColor="text1"/>
          <w:kern w:val="0"/>
          <w:szCs w:val="24"/>
          <w14:textFill>
            <w14:solidFill>
              <w14:schemeClr w14:val="tx1"/>
            </w14:solidFill>
          </w14:textFill>
        </w:rPr>
        <w:fldChar w:fldCharType="end"/>
      </w:r>
    </w:p>
    <w:p w14:paraId="70E760DD">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_Toc803 </w:instrText>
      </w:r>
      <w:r>
        <w:rPr>
          <w:rFonts w:cs="Times New Roman"/>
          <w:caps/>
          <w:snapToGrid w:val="0"/>
          <w:kern w:val="0"/>
          <w:szCs w:val="24"/>
        </w:rPr>
        <w:fldChar w:fldCharType="separate"/>
      </w:r>
      <w:r>
        <w:rPr>
          <w:snapToGrid w:val="0"/>
        </w:rPr>
        <w:t>2.5.5</w:t>
      </w:r>
      <w:r>
        <w:rPr>
          <w:rFonts w:hint="eastAsia"/>
          <w:snapToGrid w:val="0"/>
        </w:rPr>
        <w:t>生态环境</w:t>
      </w:r>
      <w:r>
        <w:tab/>
      </w:r>
      <w:r>
        <w:fldChar w:fldCharType="begin"/>
      </w:r>
      <w:r>
        <w:instrText xml:space="preserve"> PAGEREF _Toc803 \h </w:instrText>
      </w:r>
      <w:r>
        <w:fldChar w:fldCharType="separate"/>
      </w:r>
      <w:r>
        <w:t>54</w:t>
      </w:r>
      <w:r>
        <w:fldChar w:fldCharType="end"/>
      </w:r>
      <w:r>
        <w:rPr>
          <w:rFonts w:cs="Times New Roman"/>
          <w:caps/>
          <w:snapToGrid w:val="0"/>
          <w:color w:val="000000" w:themeColor="text1"/>
          <w:kern w:val="0"/>
          <w:szCs w:val="24"/>
          <w14:textFill>
            <w14:solidFill>
              <w14:schemeClr w14:val="tx1"/>
            </w14:solidFill>
          </w14:textFill>
        </w:rPr>
        <w:fldChar w:fldCharType="end"/>
      </w:r>
    </w:p>
    <w:p w14:paraId="33AF7C3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_Toc23646 </w:instrText>
      </w:r>
      <w:r>
        <w:rPr>
          <w:rFonts w:cs="Times New Roman"/>
          <w:caps/>
          <w:snapToGrid w:val="0"/>
          <w:kern w:val="0"/>
          <w:szCs w:val="24"/>
        </w:rPr>
        <w:fldChar w:fldCharType="separate"/>
      </w:r>
      <w:r>
        <w:t>2.5.6</w:t>
      </w:r>
      <w:r>
        <w:rPr>
          <w:rFonts w:hint="eastAsia"/>
        </w:rPr>
        <w:t>环境风险</w:t>
      </w:r>
      <w:r>
        <w:tab/>
      </w:r>
      <w:r>
        <w:fldChar w:fldCharType="begin"/>
      </w:r>
      <w:r>
        <w:instrText xml:space="preserve"> PAGEREF _Toc23646 \h </w:instrText>
      </w:r>
      <w:r>
        <w:fldChar w:fldCharType="separate"/>
      </w:r>
      <w:r>
        <w:t>54</w:t>
      </w:r>
      <w:r>
        <w:fldChar w:fldCharType="end"/>
      </w:r>
      <w:r>
        <w:rPr>
          <w:rFonts w:cs="Times New Roman"/>
          <w:caps/>
          <w:snapToGrid w:val="0"/>
          <w:color w:val="000000" w:themeColor="text1"/>
          <w:kern w:val="0"/>
          <w:szCs w:val="24"/>
          <w14:textFill>
            <w14:solidFill>
              <w14:schemeClr w14:val="tx1"/>
            </w14:solidFill>
          </w14:textFill>
        </w:rPr>
        <w:fldChar w:fldCharType="end"/>
      </w:r>
    </w:p>
    <w:p w14:paraId="4D235B0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_Toc28718 </w:instrText>
      </w:r>
      <w:r>
        <w:rPr>
          <w:rFonts w:cs="Times New Roman"/>
          <w:caps/>
          <w:snapToGrid w:val="0"/>
          <w:kern w:val="0"/>
          <w:szCs w:val="24"/>
        </w:rPr>
        <w:fldChar w:fldCharType="separate"/>
      </w:r>
      <w:r>
        <w:rPr>
          <w:rFonts w:cs="Times New Roman"/>
        </w:rPr>
        <w:t>2.5.7土壤环境</w:t>
      </w:r>
      <w:r>
        <w:tab/>
      </w:r>
      <w:r>
        <w:fldChar w:fldCharType="begin"/>
      </w:r>
      <w:r>
        <w:instrText xml:space="preserve"> PAGEREF _Toc28718 \h </w:instrText>
      </w:r>
      <w:r>
        <w:fldChar w:fldCharType="separate"/>
      </w:r>
      <w:r>
        <w:t>56</w:t>
      </w:r>
      <w:r>
        <w:fldChar w:fldCharType="end"/>
      </w:r>
      <w:r>
        <w:rPr>
          <w:rFonts w:cs="Times New Roman"/>
          <w:caps/>
          <w:snapToGrid w:val="0"/>
          <w:color w:val="000000" w:themeColor="text1"/>
          <w:kern w:val="0"/>
          <w:szCs w:val="24"/>
          <w14:textFill>
            <w14:solidFill>
              <w14:schemeClr w14:val="tx1"/>
            </w14:solidFill>
          </w14:textFill>
        </w:rPr>
        <w:fldChar w:fldCharType="end"/>
      </w:r>
    </w:p>
    <w:p w14:paraId="0E0E3833">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_Toc8741 </w:instrText>
      </w:r>
      <w:r>
        <w:rPr>
          <w:rFonts w:cs="Times New Roman"/>
          <w:caps/>
          <w:snapToGrid w:val="0"/>
          <w:kern w:val="0"/>
          <w:szCs w:val="24"/>
        </w:rPr>
        <w:fldChar w:fldCharType="separate"/>
      </w:r>
      <w:r>
        <w:rPr>
          <w:snapToGrid w:val="0"/>
        </w:rPr>
        <w:t>2.6</w:t>
      </w:r>
      <w:r>
        <w:rPr>
          <w:rFonts w:hint="eastAsia"/>
          <w:snapToGrid w:val="0"/>
        </w:rPr>
        <w:t>评价范围及</w:t>
      </w:r>
      <w:r>
        <w:rPr>
          <w:snapToGrid w:val="0"/>
        </w:rPr>
        <w:t>评价时段</w:t>
      </w:r>
      <w:r>
        <w:tab/>
      </w:r>
      <w:r>
        <w:fldChar w:fldCharType="begin"/>
      </w:r>
      <w:r>
        <w:instrText xml:space="preserve"> PAGEREF _Toc8741 \h </w:instrText>
      </w:r>
      <w:r>
        <w:fldChar w:fldCharType="separate"/>
      </w:r>
      <w:r>
        <w:t>56</w:t>
      </w:r>
      <w:r>
        <w:fldChar w:fldCharType="end"/>
      </w:r>
      <w:r>
        <w:rPr>
          <w:rFonts w:cs="Times New Roman"/>
          <w:caps/>
          <w:snapToGrid w:val="0"/>
          <w:color w:val="000000" w:themeColor="text1"/>
          <w:kern w:val="0"/>
          <w:szCs w:val="24"/>
          <w14:textFill>
            <w14:solidFill>
              <w14:schemeClr w14:val="tx1"/>
            </w14:solidFill>
          </w14:textFill>
        </w:rPr>
        <w:fldChar w:fldCharType="end"/>
      </w:r>
    </w:p>
    <w:p w14:paraId="738178F7">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_Toc8245 </w:instrText>
      </w:r>
      <w:r>
        <w:rPr>
          <w:rFonts w:cs="Times New Roman"/>
          <w:caps/>
          <w:snapToGrid w:val="0"/>
          <w:kern w:val="0"/>
          <w:szCs w:val="24"/>
        </w:rPr>
        <w:fldChar w:fldCharType="separate"/>
      </w:r>
      <w:r>
        <w:rPr>
          <w:snapToGrid w:val="0"/>
        </w:rPr>
        <w:t>2.6.1</w:t>
      </w:r>
      <w:r>
        <w:rPr>
          <w:rFonts w:hint="eastAsia"/>
          <w:snapToGrid w:val="0"/>
        </w:rPr>
        <w:t>评价范围</w:t>
      </w:r>
      <w:r>
        <w:tab/>
      </w:r>
      <w:r>
        <w:fldChar w:fldCharType="begin"/>
      </w:r>
      <w:r>
        <w:instrText xml:space="preserve"> PAGEREF _Toc8245 \h </w:instrText>
      </w:r>
      <w:r>
        <w:fldChar w:fldCharType="separate"/>
      </w:r>
      <w:r>
        <w:t>56</w:t>
      </w:r>
      <w:r>
        <w:fldChar w:fldCharType="end"/>
      </w:r>
      <w:r>
        <w:rPr>
          <w:rFonts w:cs="Times New Roman"/>
          <w:caps/>
          <w:snapToGrid w:val="0"/>
          <w:color w:val="000000" w:themeColor="text1"/>
          <w:kern w:val="0"/>
          <w:szCs w:val="24"/>
          <w14:textFill>
            <w14:solidFill>
              <w14:schemeClr w14:val="tx1"/>
            </w14:solidFill>
          </w14:textFill>
        </w:rPr>
        <w:fldChar w:fldCharType="end"/>
      </w:r>
    </w:p>
    <w:p w14:paraId="561FA7A7">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_Toc5530 </w:instrText>
      </w:r>
      <w:r>
        <w:rPr>
          <w:rFonts w:cs="Times New Roman"/>
          <w:caps/>
          <w:snapToGrid w:val="0"/>
          <w:kern w:val="0"/>
          <w:szCs w:val="24"/>
        </w:rPr>
        <w:fldChar w:fldCharType="separate"/>
      </w:r>
      <w:r>
        <w:t>2.6.2</w:t>
      </w:r>
      <w:r>
        <w:rPr>
          <w:rFonts w:hint="eastAsia"/>
        </w:rPr>
        <w:t>评价时段</w:t>
      </w:r>
      <w:r>
        <w:tab/>
      </w:r>
      <w:r>
        <w:fldChar w:fldCharType="begin"/>
      </w:r>
      <w:r>
        <w:instrText xml:space="preserve"> PAGEREF _Toc5530 \h </w:instrText>
      </w:r>
      <w:r>
        <w:fldChar w:fldCharType="separate"/>
      </w:r>
      <w:r>
        <w:t>58</w:t>
      </w:r>
      <w:r>
        <w:fldChar w:fldCharType="end"/>
      </w:r>
      <w:r>
        <w:rPr>
          <w:rFonts w:cs="Times New Roman"/>
          <w:caps/>
          <w:snapToGrid w:val="0"/>
          <w:color w:val="000000" w:themeColor="text1"/>
          <w:kern w:val="0"/>
          <w:szCs w:val="24"/>
          <w14:textFill>
            <w14:solidFill>
              <w14:schemeClr w14:val="tx1"/>
            </w14:solidFill>
          </w14:textFill>
        </w:rPr>
        <w:fldChar w:fldCharType="end"/>
      </w:r>
    </w:p>
    <w:p w14:paraId="54B1EB32">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_Toc9312 </w:instrText>
      </w:r>
      <w:r>
        <w:rPr>
          <w:rFonts w:cs="Times New Roman"/>
          <w:caps/>
          <w:snapToGrid w:val="0"/>
          <w:kern w:val="0"/>
          <w:szCs w:val="24"/>
        </w:rPr>
        <w:fldChar w:fldCharType="separate"/>
      </w:r>
      <w:r>
        <w:t>2.7</w:t>
      </w:r>
      <w:r>
        <w:rPr>
          <w:rFonts w:hint="eastAsia"/>
        </w:rPr>
        <w:t>污染控制与环境保护目标</w:t>
      </w:r>
      <w:r>
        <w:tab/>
      </w:r>
      <w:r>
        <w:fldChar w:fldCharType="begin"/>
      </w:r>
      <w:r>
        <w:instrText xml:space="preserve"> PAGEREF _Toc9312 \h </w:instrText>
      </w:r>
      <w:r>
        <w:fldChar w:fldCharType="separate"/>
      </w:r>
      <w:r>
        <w:t>58</w:t>
      </w:r>
      <w:r>
        <w:fldChar w:fldCharType="end"/>
      </w:r>
      <w:r>
        <w:rPr>
          <w:rFonts w:cs="Times New Roman"/>
          <w:caps/>
          <w:snapToGrid w:val="0"/>
          <w:color w:val="000000" w:themeColor="text1"/>
          <w:kern w:val="0"/>
          <w:szCs w:val="24"/>
          <w14:textFill>
            <w14:solidFill>
              <w14:schemeClr w14:val="tx1"/>
            </w14:solidFill>
          </w14:textFill>
        </w:rPr>
        <w:fldChar w:fldCharType="end"/>
      </w:r>
    </w:p>
    <w:p w14:paraId="0F3C2936">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_Toc12830 </w:instrText>
      </w:r>
      <w:r>
        <w:rPr>
          <w:rFonts w:cs="Times New Roman"/>
          <w:caps/>
          <w:snapToGrid w:val="0"/>
          <w:kern w:val="0"/>
          <w:szCs w:val="24"/>
        </w:rPr>
        <w:fldChar w:fldCharType="separate"/>
      </w:r>
      <w:r>
        <w:rPr>
          <w:snapToGrid w:val="0"/>
        </w:rPr>
        <w:t>2.8</w:t>
      </w:r>
      <w:r>
        <w:rPr>
          <w:rFonts w:hint="eastAsia"/>
          <w:snapToGrid w:val="0"/>
        </w:rPr>
        <w:t>环境功能区划及评价标准</w:t>
      </w:r>
      <w:r>
        <w:tab/>
      </w:r>
      <w:r>
        <w:fldChar w:fldCharType="begin"/>
      </w:r>
      <w:r>
        <w:instrText xml:space="preserve"> PAGEREF _Toc12830 \h </w:instrText>
      </w:r>
      <w:r>
        <w:fldChar w:fldCharType="separate"/>
      </w:r>
      <w:r>
        <w:t>60</w:t>
      </w:r>
      <w:r>
        <w:fldChar w:fldCharType="end"/>
      </w:r>
      <w:r>
        <w:rPr>
          <w:rFonts w:cs="Times New Roman"/>
          <w:caps/>
          <w:snapToGrid w:val="0"/>
          <w:color w:val="000000" w:themeColor="text1"/>
          <w:kern w:val="0"/>
          <w:szCs w:val="24"/>
          <w14:textFill>
            <w14:solidFill>
              <w14:schemeClr w14:val="tx1"/>
            </w14:solidFill>
          </w14:textFill>
        </w:rPr>
        <w:fldChar w:fldCharType="end"/>
      </w:r>
    </w:p>
    <w:p w14:paraId="41B651C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_Toc1505 </w:instrText>
      </w:r>
      <w:r>
        <w:rPr>
          <w:rFonts w:cs="Times New Roman"/>
          <w:caps/>
          <w:snapToGrid w:val="0"/>
          <w:kern w:val="0"/>
          <w:szCs w:val="24"/>
        </w:rPr>
        <w:fldChar w:fldCharType="separate"/>
      </w:r>
      <w:r>
        <w:rPr>
          <w:rFonts w:hint="eastAsia"/>
        </w:rPr>
        <w:t>2</w:t>
      </w:r>
      <w:r>
        <w:t>.8.1</w:t>
      </w:r>
      <w:r>
        <w:rPr>
          <w:rFonts w:hint="eastAsia"/>
        </w:rPr>
        <w:t>区域环境功能区划</w:t>
      </w:r>
      <w:r>
        <w:tab/>
      </w:r>
      <w:r>
        <w:fldChar w:fldCharType="begin"/>
      </w:r>
      <w:r>
        <w:instrText xml:space="preserve"> PAGEREF _Toc1505 \h </w:instrText>
      </w:r>
      <w:r>
        <w:fldChar w:fldCharType="separate"/>
      </w:r>
      <w:r>
        <w:t>60</w:t>
      </w:r>
      <w:r>
        <w:fldChar w:fldCharType="end"/>
      </w:r>
      <w:r>
        <w:rPr>
          <w:rFonts w:cs="Times New Roman"/>
          <w:caps/>
          <w:snapToGrid w:val="0"/>
          <w:color w:val="000000" w:themeColor="text1"/>
          <w:kern w:val="0"/>
          <w:szCs w:val="24"/>
          <w14:textFill>
            <w14:solidFill>
              <w14:schemeClr w14:val="tx1"/>
            </w14:solidFill>
          </w14:textFill>
        </w:rPr>
        <w:fldChar w:fldCharType="end"/>
      </w:r>
    </w:p>
    <w:p w14:paraId="718ACBB8">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_Toc21010 </w:instrText>
      </w:r>
      <w:r>
        <w:rPr>
          <w:rFonts w:cs="Times New Roman"/>
          <w:caps/>
          <w:snapToGrid w:val="0"/>
          <w:kern w:val="0"/>
          <w:szCs w:val="24"/>
        </w:rPr>
        <w:fldChar w:fldCharType="separate"/>
      </w:r>
      <w:r>
        <w:rPr>
          <w:snapToGrid w:val="0"/>
        </w:rPr>
        <w:t>2.8.2环境质量标准</w:t>
      </w:r>
      <w:r>
        <w:tab/>
      </w:r>
      <w:r>
        <w:fldChar w:fldCharType="begin"/>
      </w:r>
      <w:r>
        <w:instrText xml:space="preserve"> PAGEREF _Toc21010 \h </w:instrText>
      </w:r>
      <w:r>
        <w:fldChar w:fldCharType="separate"/>
      </w:r>
      <w:r>
        <w:t>61</w:t>
      </w:r>
      <w:r>
        <w:fldChar w:fldCharType="end"/>
      </w:r>
      <w:r>
        <w:rPr>
          <w:rFonts w:cs="Times New Roman"/>
          <w:caps/>
          <w:snapToGrid w:val="0"/>
          <w:color w:val="000000" w:themeColor="text1"/>
          <w:kern w:val="0"/>
          <w:szCs w:val="24"/>
          <w14:textFill>
            <w14:solidFill>
              <w14:schemeClr w14:val="tx1"/>
            </w14:solidFill>
          </w14:textFill>
        </w:rPr>
        <w:fldChar w:fldCharType="end"/>
      </w:r>
    </w:p>
    <w:p w14:paraId="3E61D16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_Toc7107 </w:instrText>
      </w:r>
      <w:r>
        <w:rPr>
          <w:rFonts w:cs="Times New Roman"/>
          <w:caps/>
          <w:snapToGrid w:val="0"/>
          <w:kern w:val="0"/>
          <w:szCs w:val="24"/>
        </w:rPr>
        <w:fldChar w:fldCharType="separate"/>
      </w:r>
      <w:r>
        <w:t>2.8.3污染物排放标准</w:t>
      </w:r>
      <w:r>
        <w:tab/>
      </w:r>
      <w:r>
        <w:fldChar w:fldCharType="begin"/>
      </w:r>
      <w:r>
        <w:instrText xml:space="preserve"> PAGEREF _Toc7107 \h </w:instrText>
      </w:r>
      <w:r>
        <w:fldChar w:fldCharType="separate"/>
      </w:r>
      <w:r>
        <w:t>63</w:t>
      </w:r>
      <w:r>
        <w:fldChar w:fldCharType="end"/>
      </w:r>
      <w:r>
        <w:rPr>
          <w:rFonts w:cs="Times New Roman"/>
          <w:caps/>
          <w:snapToGrid w:val="0"/>
          <w:color w:val="000000" w:themeColor="text1"/>
          <w:kern w:val="0"/>
          <w:szCs w:val="24"/>
          <w14:textFill>
            <w14:solidFill>
              <w14:schemeClr w14:val="tx1"/>
            </w14:solidFill>
          </w14:textFill>
        </w:rPr>
        <w:fldChar w:fldCharType="end"/>
      </w:r>
    </w:p>
    <w:p w14:paraId="32FD5E18">
      <w:pPr>
        <w:pStyle w:val="33"/>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_Toc26069 </w:instrText>
      </w:r>
      <w:r>
        <w:rPr>
          <w:rFonts w:cs="Times New Roman"/>
          <w:caps/>
          <w:snapToGrid w:val="0"/>
          <w:kern w:val="0"/>
          <w:szCs w:val="24"/>
        </w:rPr>
        <w:fldChar w:fldCharType="separate"/>
      </w:r>
      <w:r>
        <w:rPr>
          <w:snapToGrid w:val="0"/>
        </w:rPr>
        <w:t>3</w:t>
      </w:r>
      <w:r>
        <w:rPr>
          <w:rFonts w:hint="eastAsia"/>
          <w:snapToGrid w:val="0"/>
        </w:rPr>
        <w:t>建设项目</w:t>
      </w:r>
      <w:r>
        <w:rPr>
          <w:snapToGrid w:val="0"/>
        </w:rPr>
        <w:t>工程分析</w:t>
      </w:r>
      <w:r>
        <w:tab/>
      </w:r>
      <w:r>
        <w:fldChar w:fldCharType="begin"/>
      </w:r>
      <w:r>
        <w:instrText xml:space="preserve"> PAGEREF _Toc26069 \h </w:instrText>
      </w:r>
      <w:r>
        <w:fldChar w:fldCharType="separate"/>
      </w:r>
      <w:r>
        <w:t>67</w:t>
      </w:r>
      <w:r>
        <w:fldChar w:fldCharType="end"/>
      </w:r>
      <w:r>
        <w:rPr>
          <w:rFonts w:cs="Times New Roman"/>
          <w:caps/>
          <w:snapToGrid w:val="0"/>
          <w:color w:val="000000" w:themeColor="text1"/>
          <w:kern w:val="0"/>
          <w:szCs w:val="24"/>
          <w14:textFill>
            <w14:solidFill>
              <w14:schemeClr w14:val="tx1"/>
            </w14:solidFill>
          </w14:textFill>
        </w:rPr>
        <w:fldChar w:fldCharType="end"/>
      </w:r>
    </w:p>
    <w:p w14:paraId="242D2EE6">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_Toc15457 </w:instrText>
      </w:r>
      <w:r>
        <w:rPr>
          <w:rFonts w:cs="Times New Roman"/>
          <w:caps/>
          <w:snapToGrid w:val="0"/>
          <w:kern w:val="0"/>
          <w:szCs w:val="24"/>
        </w:rPr>
        <w:fldChar w:fldCharType="separate"/>
      </w:r>
      <w:r>
        <w:rPr>
          <w:rFonts w:hint="eastAsia"/>
          <w:snapToGrid w:val="0"/>
        </w:rPr>
        <w:t>3</w:t>
      </w:r>
      <w:r>
        <w:rPr>
          <w:snapToGrid w:val="0"/>
        </w:rPr>
        <w:t>.2</w:t>
      </w:r>
      <w:r>
        <w:rPr>
          <w:rFonts w:hint="eastAsia"/>
          <w:snapToGrid w:val="0"/>
        </w:rPr>
        <w:t>本项目概况</w:t>
      </w:r>
      <w:r>
        <w:tab/>
      </w:r>
      <w:r>
        <w:fldChar w:fldCharType="begin"/>
      </w:r>
      <w:r>
        <w:instrText xml:space="preserve"> PAGEREF _Toc15457 \h </w:instrText>
      </w:r>
      <w:r>
        <w:fldChar w:fldCharType="separate"/>
      </w:r>
      <w:r>
        <w:t>67</w:t>
      </w:r>
      <w:r>
        <w:fldChar w:fldCharType="end"/>
      </w:r>
      <w:r>
        <w:rPr>
          <w:rFonts w:cs="Times New Roman"/>
          <w:caps/>
          <w:snapToGrid w:val="0"/>
          <w:color w:val="000000" w:themeColor="text1"/>
          <w:kern w:val="0"/>
          <w:szCs w:val="24"/>
          <w14:textFill>
            <w14:solidFill>
              <w14:schemeClr w14:val="tx1"/>
            </w14:solidFill>
          </w14:textFill>
        </w:rPr>
        <w:fldChar w:fldCharType="end"/>
      </w:r>
    </w:p>
    <w:p w14:paraId="1B2F8FE4">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_Toc23527 </w:instrText>
      </w:r>
      <w:r>
        <w:rPr>
          <w:rFonts w:cs="Times New Roman"/>
          <w:caps/>
          <w:snapToGrid w:val="0"/>
          <w:kern w:val="0"/>
          <w:szCs w:val="24"/>
        </w:rPr>
        <w:fldChar w:fldCharType="separate"/>
      </w:r>
      <w:r>
        <w:rPr>
          <w:snapToGrid w:val="0"/>
        </w:rPr>
        <w:t>3.2.1项目名称及基本组成</w:t>
      </w:r>
      <w:r>
        <w:tab/>
      </w:r>
      <w:r>
        <w:fldChar w:fldCharType="begin"/>
      </w:r>
      <w:r>
        <w:instrText xml:space="preserve"> PAGEREF _Toc23527 \h </w:instrText>
      </w:r>
      <w:r>
        <w:fldChar w:fldCharType="separate"/>
      </w:r>
      <w:r>
        <w:t>67</w:t>
      </w:r>
      <w:r>
        <w:fldChar w:fldCharType="end"/>
      </w:r>
      <w:r>
        <w:rPr>
          <w:rFonts w:cs="Times New Roman"/>
          <w:caps/>
          <w:snapToGrid w:val="0"/>
          <w:color w:val="000000" w:themeColor="text1"/>
          <w:kern w:val="0"/>
          <w:szCs w:val="24"/>
          <w14:textFill>
            <w14:solidFill>
              <w14:schemeClr w14:val="tx1"/>
            </w14:solidFill>
          </w14:textFill>
        </w:rPr>
        <w:fldChar w:fldCharType="end"/>
      </w:r>
    </w:p>
    <w:p w14:paraId="1098F548">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_Toc3973 </w:instrText>
      </w:r>
      <w:r>
        <w:rPr>
          <w:rFonts w:cs="Times New Roman"/>
          <w:caps/>
          <w:snapToGrid w:val="0"/>
          <w:kern w:val="0"/>
          <w:szCs w:val="24"/>
        </w:rPr>
        <w:fldChar w:fldCharType="separate"/>
      </w:r>
      <w:r>
        <w:rPr>
          <w:snapToGrid w:val="0"/>
        </w:rPr>
        <w:t>3</w:t>
      </w:r>
      <w:r>
        <w:rPr>
          <w:rFonts w:hint="eastAsia"/>
          <w:snapToGrid w:val="0"/>
        </w:rPr>
        <w:t>.</w:t>
      </w:r>
      <w:r>
        <w:rPr>
          <w:snapToGrid w:val="0"/>
        </w:rPr>
        <w:t>2</w:t>
      </w:r>
      <w:r>
        <w:rPr>
          <w:rFonts w:hint="eastAsia"/>
          <w:snapToGrid w:val="0"/>
        </w:rPr>
        <w:t>.</w:t>
      </w:r>
      <w:r>
        <w:rPr>
          <w:snapToGrid w:val="0"/>
        </w:rPr>
        <w:t>2</w:t>
      </w:r>
      <w:r>
        <w:rPr>
          <w:rFonts w:hint="eastAsia"/>
          <w:snapToGrid w:val="0"/>
        </w:rPr>
        <w:t>建设内容及规模</w:t>
      </w:r>
      <w:r>
        <w:tab/>
      </w:r>
      <w:r>
        <w:fldChar w:fldCharType="begin"/>
      </w:r>
      <w:r>
        <w:instrText xml:space="preserve"> PAGEREF _Toc3973 \h </w:instrText>
      </w:r>
      <w:r>
        <w:fldChar w:fldCharType="separate"/>
      </w:r>
      <w:r>
        <w:t>67</w:t>
      </w:r>
      <w:r>
        <w:fldChar w:fldCharType="end"/>
      </w:r>
      <w:r>
        <w:rPr>
          <w:rFonts w:cs="Times New Roman"/>
          <w:caps/>
          <w:snapToGrid w:val="0"/>
          <w:color w:val="000000" w:themeColor="text1"/>
          <w:kern w:val="0"/>
          <w:szCs w:val="24"/>
          <w14:textFill>
            <w14:solidFill>
              <w14:schemeClr w14:val="tx1"/>
            </w14:solidFill>
          </w14:textFill>
        </w:rPr>
        <w:fldChar w:fldCharType="end"/>
      </w:r>
    </w:p>
    <w:p w14:paraId="0C89E8E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_Toc2830 </w:instrText>
      </w:r>
      <w:r>
        <w:rPr>
          <w:rFonts w:cs="Times New Roman"/>
          <w:caps/>
          <w:snapToGrid w:val="0"/>
          <w:kern w:val="0"/>
          <w:szCs w:val="24"/>
        </w:rPr>
        <w:fldChar w:fldCharType="separate"/>
      </w:r>
      <w:r>
        <w:rPr>
          <w:rFonts w:hint="eastAsia"/>
          <w:snapToGrid w:val="0"/>
        </w:rPr>
        <w:t>3</w:t>
      </w:r>
      <w:r>
        <w:rPr>
          <w:snapToGrid w:val="0"/>
        </w:rPr>
        <w:t>.2.3</w:t>
      </w:r>
      <w:r>
        <w:rPr>
          <w:rFonts w:hint="eastAsia"/>
          <w:snapToGrid w:val="0"/>
        </w:rPr>
        <w:t>本项目主要设备</w:t>
      </w:r>
      <w:r>
        <w:tab/>
      </w:r>
      <w:r>
        <w:fldChar w:fldCharType="begin"/>
      </w:r>
      <w:r>
        <w:instrText xml:space="preserve"> PAGEREF _Toc2830 \h </w:instrText>
      </w:r>
      <w:r>
        <w:fldChar w:fldCharType="separate"/>
      </w:r>
      <w:r>
        <w:t>70</w:t>
      </w:r>
      <w:r>
        <w:fldChar w:fldCharType="end"/>
      </w:r>
      <w:r>
        <w:rPr>
          <w:rFonts w:cs="Times New Roman"/>
          <w:caps/>
          <w:snapToGrid w:val="0"/>
          <w:color w:val="000000" w:themeColor="text1"/>
          <w:kern w:val="0"/>
          <w:szCs w:val="24"/>
          <w14:textFill>
            <w14:solidFill>
              <w14:schemeClr w14:val="tx1"/>
            </w14:solidFill>
          </w14:textFill>
        </w:rPr>
        <w:fldChar w:fldCharType="end"/>
      </w:r>
    </w:p>
    <w:p w14:paraId="5BD929A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_Toc11892 </w:instrText>
      </w:r>
      <w:r>
        <w:rPr>
          <w:rFonts w:cs="Times New Roman"/>
          <w:caps/>
          <w:snapToGrid w:val="0"/>
          <w:kern w:val="0"/>
          <w:szCs w:val="24"/>
        </w:rPr>
        <w:fldChar w:fldCharType="separate"/>
      </w:r>
      <w:r>
        <w:rPr>
          <w:rFonts w:hint="eastAsia"/>
          <w:snapToGrid w:val="0"/>
        </w:rPr>
        <w:t>3</w:t>
      </w:r>
      <w:r>
        <w:rPr>
          <w:snapToGrid w:val="0"/>
        </w:rPr>
        <w:t>.2.4</w:t>
      </w:r>
      <w:r>
        <w:rPr>
          <w:rFonts w:hint="eastAsia"/>
          <w:snapToGrid w:val="0"/>
        </w:rPr>
        <w:t>本项目原辅材料消耗及产品</w:t>
      </w:r>
      <w:r>
        <w:tab/>
      </w:r>
      <w:r>
        <w:fldChar w:fldCharType="begin"/>
      </w:r>
      <w:r>
        <w:instrText xml:space="preserve"> PAGEREF _Toc11892 \h </w:instrText>
      </w:r>
      <w:r>
        <w:fldChar w:fldCharType="separate"/>
      </w:r>
      <w:r>
        <w:t>72</w:t>
      </w:r>
      <w:r>
        <w:fldChar w:fldCharType="end"/>
      </w:r>
      <w:r>
        <w:rPr>
          <w:rFonts w:cs="Times New Roman"/>
          <w:caps/>
          <w:snapToGrid w:val="0"/>
          <w:color w:val="000000" w:themeColor="text1"/>
          <w:kern w:val="0"/>
          <w:szCs w:val="24"/>
          <w14:textFill>
            <w14:solidFill>
              <w14:schemeClr w14:val="tx1"/>
            </w14:solidFill>
          </w14:textFill>
        </w:rPr>
        <w:fldChar w:fldCharType="end"/>
      </w:r>
    </w:p>
    <w:p w14:paraId="3002664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_Toc13996 </w:instrText>
      </w:r>
      <w:r>
        <w:rPr>
          <w:rFonts w:cs="Times New Roman"/>
          <w:caps/>
          <w:snapToGrid w:val="0"/>
          <w:kern w:val="0"/>
          <w:szCs w:val="24"/>
        </w:rPr>
        <w:fldChar w:fldCharType="separate"/>
      </w:r>
      <w:r>
        <w:rPr>
          <w:rFonts w:hint="eastAsia"/>
          <w:snapToGrid w:val="0"/>
        </w:rPr>
        <w:t>3.</w:t>
      </w:r>
      <w:r>
        <w:rPr>
          <w:snapToGrid w:val="0"/>
        </w:rPr>
        <w:t>2</w:t>
      </w:r>
      <w:r>
        <w:rPr>
          <w:rFonts w:hint="eastAsia"/>
          <w:snapToGrid w:val="0"/>
        </w:rPr>
        <w:t>.</w:t>
      </w:r>
      <w:r>
        <w:rPr>
          <w:snapToGrid w:val="0"/>
        </w:rPr>
        <w:t>5</w:t>
      </w:r>
      <w:r>
        <w:rPr>
          <w:rFonts w:hint="eastAsia"/>
          <w:snapToGrid w:val="0"/>
        </w:rPr>
        <w:t>本项目总平面</w:t>
      </w:r>
      <w:r>
        <w:rPr>
          <w:snapToGrid w:val="0"/>
        </w:rPr>
        <w:t>布置合理性</w:t>
      </w:r>
      <w:r>
        <w:rPr>
          <w:rFonts w:hint="eastAsia"/>
          <w:snapToGrid w:val="0"/>
        </w:rPr>
        <w:t>分析</w:t>
      </w:r>
      <w:r>
        <w:tab/>
      </w:r>
      <w:r>
        <w:fldChar w:fldCharType="begin"/>
      </w:r>
      <w:r>
        <w:instrText xml:space="preserve"> PAGEREF _Toc13996 \h </w:instrText>
      </w:r>
      <w:r>
        <w:fldChar w:fldCharType="separate"/>
      </w:r>
      <w:r>
        <w:t>74</w:t>
      </w:r>
      <w:r>
        <w:fldChar w:fldCharType="end"/>
      </w:r>
      <w:r>
        <w:rPr>
          <w:rFonts w:cs="Times New Roman"/>
          <w:caps/>
          <w:snapToGrid w:val="0"/>
          <w:color w:val="000000" w:themeColor="text1"/>
          <w:kern w:val="0"/>
          <w:szCs w:val="24"/>
          <w14:textFill>
            <w14:solidFill>
              <w14:schemeClr w14:val="tx1"/>
            </w14:solidFill>
          </w14:textFill>
        </w:rPr>
        <w:fldChar w:fldCharType="end"/>
      </w:r>
    </w:p>
    <w:p w14:paraId="4DB7EFE4">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_Toc27002 </w:instrText>
      </w:r>
      <w:r>
        <w:rPr>
          <w:rFonts w:cs="Times New Roman"/>
          <w:caps/>
          <w:snapToGrid w:val="0"/>
          <w:kern w:val="0"/>
          <w:szCs w:val="24"/>
        </w:rPr>
        <w:fldChar w:fldCharType="separate"/>
      </w:r>
      <w:r>
        <w:rPr>
          <w:snapToGrid w:val="0"/>
        </w:rPr>
        <w:t>3.2.6</w:t>
      </w:r>
      <w:r>
        <w:rPr>
          <w:rFonts w:hint="eastAsia"/>
          <w:snapToGrid w:val="0"/>
        </w:rPr>
        <w:t>生产班制</w:t>
      </w:r>
      <w:r>
        <w:rPr>
          <w:snapToGrid w:val="0"/>
        </w:rPr>
        <w:t>及</w:t>
      </w:r>
      <w:r>
        <w:rPr>
          <w:rFonts w:hint="eastAsia"/>
          <w:snapToGrid w:val="0"/>
        </w:rPr>
        <w:t>劳动定员</w:t>
      </w:r>
      <w:r>
        <w:tab/>
      </w:r>
      <w:r>
        <w:fldChar w:fldCharType="begin"/>
      </w:r>
      <w:r>
        <w:instrText xml:space="preserve"> PAGEREF _Toc27002 \h </w:instrText>
      </w:r>
      <w:r>
        <w:fldChar w:fldCharType="separate"/>
      </w:r>
      <w:r>
        <w:t>74</w:t>
      </w:r>
      <w:r>
        <w:fldChar w:fldCharType="end"/>
      </w:r>
      <w:r>
        <w:rPr>
          <w:rFonts w:cs="Times New Roman"/>
          <w:caps/>
          <w:snapToGrid w:val="0"/>
          <w:color w:val="000000" w:themeColor="text1"/>
          <w:kern w:val="0"/>
          <w:szCs w:val="24"/>
          <w14:textFill>
            <w14:solidFill>
              <w14:schemeClr w14:val="tx1"/>
            </w14:solidFill>
          </w14:textFill>
        </w:rPr>
        <w:fldChar w:fldCharType="end"/>
      </w:r>
    </w:p>
    <w:p w14:paraId="135C1DF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_Toc18079 </w:instrText>
      </w:r>
      <w:r>
        <w:rPr>
          <w:rFonts w:cs="Times New Roman"/>
          <w:caps/>
          <w:snapToGrid w:val="0"/>
          <w:kern w:val="0"/>
          <w:szCs w:val="24"/>
        </w:rPr>
        <w:fldChar w:fldCharType="separate"/>
      </w:r>
      <w:r>
        <w:rPr>
          <w:rFonts w:hint="eastAsia"/>
          <w:snapToGrid w:val="0"/>
        </w:rPr>
        <w:t>3.</w:t>
      </w:r>
      <w:r>
        <w:rPr>
          <w:snapToGrid w:val="0"/>
        </w:rPr>
        <w:t>2</w:t>
      </w:r>
      <w:r>
        <w:rPr>
          <w:rFonts w:hint="eastAsia"/>
          <w:snapToGrid w:val="0"/>
        </w:rPr>
        <w:t>.</w:t>
      </w:r>
      <w:r>
        <w:rPr>
          <w:snapToGrid w:val="0"/>
        </w:rPr>
        <w:t>7</w:t>
      </w:r>
      <w:r>
        <w:rPr>
          <w:rFonts w:hint="eastAsia"/>
          <w:snapToGrid w:val="0"/>
        </w:rPr>
        <w:t>项目实施进度</w:t>
      </w:r>
      <w:r>
        <w:tab/>
      </w:r>
      <w:r>
        <w:fldChar w:fldCharType="begin"/>
      </w:r>
      <w:r>
        <w:instrText xml:space="preserve"> PAGEREF _Toc18079 \h </w:instrText>
      </w:r>
      <w:r>
        <w:fldChar w:fldCharType="separate"/>
      </w:r>
      <w:r>
        <w:t>74</w:t>
      </w:r>
      <w:r>
        <w:fldChar w:fldCharType="end"/>
      </w:r>
      <w:r>
        <w:rPr>
          <w:rFonts w:cs="Times New Roman"/>
          <w:caps/>
          <w:snapToGrid w:val="0"/>
          <w:color w:val="000000" w:themeColor="text1"/>
          <w:kern w:val="0"/>
          <w:szCs w:val="24"/>
          <w14:textFill>
            <w14:solidFill>
              <w14:schemeClr w14:val="tx1"/>
            </w14:solidFill>
          </w14:textFill>
        </w:rPr>
        <w:fldChar w:fldCharType="end"/>
      </w:r>
    </w:p>
    <w:p w14:paraId="58F1EE0E">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_Toc1713 </w:instrText>
      </w:r>
      <w:r>
        <w:rPr>
          <w:rFonts w:cs="Times New Roman"/>
          <w:caps/>
          <w:snapToGrid w:val="0"/>
          <w:kern w:val="0"/>
          <w:szCs w:val="24"/>
        </w:rPr>
        <w:fldChar w:fldCharType="separate"/>
      </w:r>
      <w:r>
        <w:rPr>
          <w:snapToGrid w:val="0"/>
          <w:highlight w:val="none"/>
        </w:rPr>
        <w:t>3</w:t>
      </w:r>
      <w:r>
        <w:rPr>
          <w:rFonts w:hint="eastAsia"/>
          <w:snapToGrid w:val="0"/>
          <w:highlight w:val="none"/>
        </w:rPr>
        <w:t>.</w:t>
      </w:r>
      <w:r>
        <w:rPr>
          <w:snapToGrid w:val="0"/>
          <w:highlight w:val="none"/>
        </w:rPr>
        <w:t>3</w:t>
      </w:r>
      <w:r>
        <w:rPr>
          <w:rFonts w:hint="eastAsia"/>
          <w:snapToGrid w:val="0"/>
          <w:highlight w:val="none"/>
        </w:rPr>
        <w:t>公用及辅助工程</w:t>
      </w:r>
      <w:r>
        <w:tab/>
      </w:r>
      <w:r>
        <w:fldChar w:fldCharType="begin"/>
      </w:r>
      <w:r>
        <w:instrText xml:space="preserve"> PAGEREF _Toc1713 \h </w:instrText>
      </w:r>
      <w:r>
        <w:fldChar w:fldCharType="separate"/>
      </w:r>
      <w:r>
        <w:t>74</w:t>
      </w:r>
      <w:r>
        <w:fldChar w:fldCharType="end"/>
      </w:r>
      <w:r>
        <w:rPr>
          <w:rFonts w:cs="Times New Roman"/>
          <w:caps/>
          <w:snapToGrid w:val="0"/>
          <w:color w:val="000000" w:themeColor="text1"/>
          <w:kern w:val="0"/>
          <w:szCs w:val="24"/>
          <w14:textFill>
            <w14:solidFill>
              <w14:schemeClr w14:val="tx1"/>
            </w14:solidFill>
          </w14:textFill>
        </w:rPr>
        <w:fldChar w:fldCharType="end"/>
      </w:r>
    </w:p>
    <w:p w14:paraId="539FDC9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_Toc22381 </w:instrText>
      </w:r>
      <w:r>
        <w:rPr>
          <w:rFonts w:cs="Times New Roman"/>
          <w:caps/>
          <w:snapToGrid w:val="0"/>
          <w:kern w:val="0"/>
          <w:szCs w:val="24"/>
        </w:rPr>
        <w:fldChar w:fldCharType="separate"/>
      </w:r>
      <w:r>
        <w:rPr>
          <w:snapToGrid w:val="0"/>
        </w:rPr>
        <w:t>3</w:t>
      </w:r>
      <w:r>
        <w:rPr>
          <w:rFonts w:hint="eastAsia"/>
          <w:snapToGrid w:val="0"/>
        </w:rPr>
        <w:t>.</w:t>
      </w:r>
      <w:r>
        <w:rPr>
          <w:snapToGrid w:val="0"/>
        </w:rPr>
        <w:t>3</w:t>
      </w:r>
      <w:r>
        <w:rPr>
          <w:rFonts w:hint="eastAsia"/>
          <w:snapToGrid w:val="0"/>
        </w:rPr>
        <w:t>.1给水工程</w:t>
      </w:r>
      <w:r>
        <w:tab/>
      </w:r>
      <w:r>
        <w:fldChar w:fldCharType="begin"/>
      </w:r>
      <w:r>
        <w:instrText xml:space="preserve"> PAGEREF _Toc22381 \h </w:instrText>
      </w:r>
      <w:r>
        <w:fldChar w:fldCharType="separate"/>
      </w:r>
      <w:r>
        <w:t>74</w:t>
      </w:r>
      <w:r>
        <w:fldChar w:fldCharType="end"/>
      </w:r>
      <w:r>
        <w:rPr>
          <w:rFonts w:cs="Times New Roman"/>
          <w:caps/>
          <w:snapToGrid w:val="0"/>
          <w:color w:val="000000" w:themeColor="text1"/>
          <w:kern w:val="0"/>
          <w:szCs w:val="24"/>
          <w14:textFill>
            <w14:solidFill>
              <w14:schemeClr w14:val="tx1"/>
            </w14:solidFill>
          </w14:textFill>
        </w:rPr>
        <w:fldChar w:fldCharType="end"/>
      </w:r>
    </w:p>
    <w:p w14:paraId="0FE1B13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_Toc11282 </w:instrText>
      </w:r>
      <w:r>
        <w:rPr>
          <w:rFonts w:cs="Times New Roman"/>
          <w:caps/>
          <w:snapToGrid w:val="0"/>
          <w:kern w:val="0"/>
          <w:szCs w:val="24"/>
        </w:rPr>
        <w:fldChar w:fldCharType="separate"/>
      </w:r>
      <w:r>
        <w:rPr>
          <w:snapToGrid w:val="0"/>
        </w:rPr>
        <w:t>3.3.2</w:t>
      </w:r>
      <w:r>
        <w:rPr>
          <w:rFonts w:hint="eastAsia"/>
          <w:snapToGrid w:val="0"/>
        </w:rPr>
        <w:t>排水工程</w:t>
      </w:r>
      <w:r>
        <w:tab/>
      </w:r>
      <w:r>
        <w:fldChar w:fldCharType="begin"/>
      </w:r>
      <w:r>
        <w:instrText xml:space="preserve"> PAGEREF _Toc11282 \h </w:instrText>
      </w:r>
      <w:r>
        <w:fldChar w:fldCharType="separate"/>
      </w:r>
      <w:r>
        <w:t>78</w:t>
      </w:r>
      <w:r>
        <w:fldChar w:fldCharType="end"/>
      </w:r>
      <w:r>
        <w:rPr>
          <w:rFonts w:cs="Times New Roman"/>
          <w:caps/>
          <w:snapToGrid w:val="0"/>
          <w:color w:val="000000" w:themeColor="text1"/>
          <w:kern w:val="0"/>
          <w:szCs w:val="24"/>
          <w14:textFill>
            <w14:solidFill>
              <w14:schemeClr w14:val="tx1"/>
            </w14:solidFill>
          </w14:textFill>
        </w:rPr>
        <w:fldChar w:fldCharType="end"/>
      </w:r>
    </w:p>
    <w:p w14:paraId="697299D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_Toc11402 </w:instrText>
      </w:r>
      <w:r>
        <w:rPr>
          <w:rFonts w:cs="Times New Roman"/>
          <w:caps/>
          <w:snapToGrid w:val="0"/>
          <w:kern w:val="0"/>
          <w:szCs w:val="24"/>
        </w:rPr>
        <w:fldChar w:fldCharType="separate"/>
      </w:r>
      <w:r>
        <w:rPr>
          <w:snapToGrid w:val="0"/>
        </w:rPr>
        <w:t>3.3.3</w:t>
      </w:r>
      <w:r>
        <w:rPr>
          <w:rFonts w:hint="eastAsia"/>
          <w:snapToGrid w:val="0"/>
        </w:rPr>
        <w:t>供电工程</w:t>
      </w:r>
      <w:r>
        <w:tab/>
      </w:r>
      <w:r>
        <w:fldChar w:fldCharType="begin"/>
      </w:r>
      <w:r>
        <w:instrText xml:space="preserve"> PAGEREF _Toc11402 \h </w:instrText>
      </w:r>
      <w:r>
        <w:fldChar w:fldCharType="separate"/>
      </w:r>
      <w:r>
        <w:t>81</w:t>
      </w:r>
      <w:r>
        <w:fldChar w:fldCharType="end"/>
      </w:r>
      <w:r>
        <w:rPr>
          <w:rFonts w:cs="Times New Roman"/>
          <w:caps/>
          <w:snapToGrid w:val="0"/>
          <w:color w:val="000000" w:themeColor="text1"/>
          <w:kern w:val="0"/>
          <w:szCs w:val="24"/>
          <w14:textFill>
            <w14:solidFill>
              <w14:schemeClr w14:val="tx1"/>
            </w14:solidFill>
          </w14:textFill>
        </w:rPr>
        <w:fldChar w:fldCharType="end"/>
      </w:r>
    </w:p>
    <w:p w14:paraId="33920043">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_Toc30491 </w:instrText>
      </w:r>
      <w:r>
        <w:rPr>
          <w:rFonts w:cs="Times New Roman"/>
          <w:caps/>
          <w:snapToGrid w:val="0"/>
          <w:kern w:val="0"/>
          <w:szCs w:val="24"/>
        </w:rPr>
        <w:fldChar w:fldCharType="separate"/>
      </w:r>
      <w:r>
        <w:rPr>
          <w:snapToGrid w:val="0"/>
        </w:rPr>
        <w:t>3.3.4</w:t>
      </w:r>
      <w:r>
        <w:rPr>
          <w:rFonts w:hint="eastAsia"/>
          <w:snapToGrid w:val="0"/>
        </w:rPr>
        <w:t>供热工程</w:t>
      </w:r>
      <w:r>
        <w:tab/>
      </w:r>
      <w:r>
        <w:fldChar w:fldCharType="begin"/>
      </w:r>
      <w:r>
        <w:instrText xml:space="preserve"> PAGEREF _Toc30491 \h </w:instrText>
      </w:r>
      <w:r>
        <w:fldChar w:fldCharType="separate"/>
      </w:r>
      <w:r>
        <w:t>81</w:t>
      </w:r>
      <w:r>
        <w:fldChar w:fldCharType="end"/>
      </w:r>
      <w:r>
        <w:rPr>
          <w:rFonts w:cs="Times New Roman"/>
          <w:caps/>
          <w:snapToGrid w:val="0"/>
          <w:color w:val="000000" w:themeColor="text1"/>
          <w:kern w:val="0"/>
          <w:szCs w:val="24"/>
          <w14:textFill>
            <w14:solidFill>
              <w14:schemeClr w14:val="tx1"/>
            </w14:solidFill>
          </w14:textFill>
        </w:rPr>
        <w:fldChar w:fldCharType="end"/>
      </w:r>
    </w:p>
    <w:p w14:paraId="7F291ED1">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_Toc7663 </w:instrText>
      </w:r>
      <w:r>
        <w:rPr>
          <w:rFonts w:cs="Times New Roman"/>
          <w:caps/>
          <w:snapToGrid w:val="0"/>
          <w:kern w:val="0"/>
          <w:szCs w:val="24"/>
        </w:rPr>
        <w:fldChar w:fldCharType="separate"/>
      </w:r>
      <w:r>
        <w:rPr>
          <w:rFonts w:hint="eastAsia"/>
          <w:snapToGrid w:val="0"/>
        </w:rPr>
        <w:t>3</w:t>
      </w:r>
      <w:r>
        <w:rPr>
          <w:snapToGrid w:val="0"/>
        </w:rPr>
        <w:t>.4</w:t>
      </w:r>
      <w:r>
        <w:rPr>
          <w:rFonts w:hint="eastAsia"/>
          <w:snapToGrid w:val="0"/>
        </w:rPr>
        <w:t>生产工艺流程简介</w:t>
      </w:r>
      <w:r>
        <w:tab/>
      </w:r>
      <w:r>
        <w:fldChar w:fldCharType="begin"/>
      </w:r>
      <w:r>
        <w:instrText xml:space="preserve"> PAGEREF _Toc7663 \h </w:instrText>
      </w:r>
      <w:r>
        <w:fldChar w:fldCharType="separate"/>
      </w:r>
      <w:r>
        <w:t>81</w:t>
      </w:r>
      <w:r>
        <w:fldChar w:fldCharType="end"/>
      </w:r>
      <w:r>
        <w:rPr>
          <w:rFonts w:cs="Times New Roman"/>
          <w:caps/>
          <w:snapToGrid w:val="0"/>
          <w:color w:val="000000" w:themeColor="text1"/>
          <w:kern w:val="0"/>
          <w:szCs w:val="24"/>
          <w14:textFill>
            <w14:solidFill>
              <w14:schemeClr w14:val="tx1"/>
            </w14:solidFill>
          </w14:textFill>
        </w:rPr>
        <w:fldChar w:fldCharType="end"/>
      </w:r>
    </w:p>
    <w:p w14:paraId="44A878C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_Toc5769 </w:instrText>
      </w:r>
      <w:r>
        <w:rPr>
          <w:rFonts w:cs="Times New Roman"/>
          <w:caps/>
          <w:snapToGrid w:val="0"/>
          <w:kern w:val="0"/>
          <w:szCs w:val="24"/>
        </w:rPr>
        <w:fldChar w:fldCharType="separate"/>
      </w:r>
      <w:r>
        <w:rPr>
          <w:rFonts w:hint="eastAsia"/>
        </w:rPr>
        <w:t>3</w:t>
      </w:r>
      <w:r>
        <w:t>.4.1</w:t>
      </w:r>
      <w:r>
        <w:rPr>
          <w:rFonts w:hint="eastAsia"/>
        </w:rPr>
        <w:t>施工期生产工艺流程简介</w:t>
      </w:r>
      <w:r>
        <w:tab/>
      </w:r>
      <w:r>
        <w:fldChar w:fldCharType="begin"/>
      </w:r>
      <w:r>
        <w:instrText xml:space="preserve"> PAGEREF _Toc5769 \h </w:instrText>
      </w:r>
      <w:r>
        <w:fldChar w:fldCharType="separate"/>
      </w:r>
      <w:r>
        <w:t>81</w:t>
      </w:r>
      <w:r>
        <w:fldChar w:fldCharType="end"/>
      </w:r>
      <w:r>
        <w:rPr>
          <w:rFonts w:cs="Times New Roman"/>
          <w:caps/>
          <w:snapToGrid w:val="0"/>
          <w:color w:val="000000" w:themeColor="text1"/>
          <w:kern w:val="0"/>
          <w:szCs w:val="24"/>
          <w14:textFill>
            <w14:solidFill>
              <w14:schemeClr w14:val="tx1"/>
            </w14:solidFill>
          </w14:textFill>
        </w:rPr>
        <w:fldChar w:fldCharType="end"/>
      </w:r>
    </w:p>
    <w:p w14:paraId="35E1FC3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_Toc9065 </w:instrText>
      </w:r>
      <w:r>
        <w:rPr>
          <w:rFonts w:cs="Times New Roman"/>
          <w:caps/>
          <w:snapToGrid w:val="0"/>
          <w:kern w:val="0"/>
          <w:szCs w:val="24"/>
        </w:rPr>
        <w:fldChar w:fldCharType="separate"/>
      </w:r>
      <w:r>
        <w:rPr>
          <w:rFonts w:hint="eastAsia"/>
          <w:snapToGrid w:val="0"/>
          <w:highlight w:val="none"/>
        </w:rPr>
        <w:t>3</w:t>
      </w:r>
      <w:r>
        <w:rPr>
          <w:snapToGrid w:val="0"/>
          <w:highlight w:val="none"/>
        </w:rPr>
        <w:t>.4.2</w:t>
      </w:r>
      <w:r>
        <w:rPr>
          <w:rFonts w:hint="eastAsia"/>
          <w:snapToGrid w:val="0"/>
          <w:highlight w:val="none"/>
        </w:rPr>
        <w:t>运营期生产工艺流程简介</w:t>
      </w:r>
      <w:r>
        <w:tab/>
      </w:r>
      <w:r>
        <w:fldChar w:fldCharType="begin"/>
      </w:r>
      <w:r>
        <w:instrText xml:space="preserve"> PAGEREF _Toc9065 \h </w:instrText>
      </w:r>
      <w:r>
        <w:fldChar w:fldCharType="separate"/>
      </w:r>
      <w:r>
        <w:t>81</w:t>
      </w:r>
      <w:r>
        <w:fldChar w:fldCharType="end"/>
      </w:r>
      <w:r>
        <w:rPr>
          <w:rFonts w:cs="Times New Roman"/>
          <w:caps/>
          <w:snapToGrid w:val="0"/>
          <w:color w:val="000000" w:themeColor="text1"/>
          <w:kern w:val="0"/>
          <w:szCs w:val="24"/>
          <w14:textFill>
            <w14:solidFill>
              <w14:schemeClr w14:val="tx1"/>
            </w14:solidFill>
          </w14:textFill>
        </w:rPr>
        <w:fldChar w:fldCharType="end"/>
      </w:r>
    </w:p>
    <w:p w14:paraId="1164F0EB">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_Toc7925 </w:instrText>
      </w:r>
      <w:r>
        <w:rPr>
          <w:rFonts w:cs="Times New Roman"/>
          <w:caps/>
          <w:snapToGrid w:val="0"/>
          <w:kern w:val="0"/>
          <w:szCs w:val="24"/>
        </w:rPr>
        <w:fldChar w:fldCharType="separate"/>
      </w:r>
      <w:r>
        <w:rPr>
          <w:snapToGrid w:val="0"/>
        </w:rPr>
        <w:t>3</w:t>
      </w:r>
      <w:r>
        <w:rPr>
          <w:rFonts w:hint="eastAsia"/>
          <w:snapToGrid w:val="0"/>
        </w:rPr>
        <w:t>.</w:t>
      </w:r>
      <w:r>
        <w:rPr>
          <w:snapToGrid w:val="0"/>
        </w:rPr>
        <w:t>5</w:t>
      </w:r>
      <w:r>
        <w:rPr>
          <w:rFonts w:hint="eastAsia"/>
          <w:snapToGrid w:val="0"/>
        </w:rPr>
        <w:t>项目生产工艺产污环节</w:t>
      </w:r>
      <w:r>
        <w:tab/>
      </w:r>
      <w:r>
        <w:fldChar w:fldCharType="begin"/>
      </w:r>
      <w:r>
        <w:instrText xml:space="preserve"> PAGEREF _Toc7925 \h </w:instrText>
      </w:r>
      <w:r>
        <w:fldChar w:fldCharType="separate"/>
      </w:r>
      <w:r>
        <w:t>89</w:t>
      </w:r>
      <w:r>
        <w:fldChar w:fldCharType="end"/>
      </w:r>
      <w:r>
        <w:rPr>
          <w:rFonts w:cs="Times New Roman"/>
          <w:caps/>
          <w:snapToGrid w:val="0"/>
          <w:color w:val="000000" w:themeColor="text1"/>
          <w:kern w:val="0"/>
          <w:szCs w:val="24"/>
          <w14:textFill>
            <w14:solidFill>
              <w14:schemeClr w14:val="tx1"/>
            </w14:solidFill>
          </w14:textFill>
        </w:rPr>
        <w:fldChar w:fldCharType="end"/>
      </w:r>
    </w:p>
    <w:p w14:paraId="7EA0076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_Toc29498 </w:instrText>
      </w:r>
      <w:r>
        <w:rPr>
          <w:rFonts w:cs="Times New Roman"/>
          <w:caps/>
          <w:snapToGrid w:val="0"/>
          <w:kern w:val="0"/>
          <w:szCs w:val="24"/>
        </w:rPr>
        <w:fldChar w:fldCharType="separate"/>
      </w:r>
      <w:r>
        <w:rPr>
          <w:rFonts w:hint="eastAsia"/>
          <w:snapToGrid w:val="0"/>
        </w:rPr>
        <w:t>3</w:t>
      </w:r>
      <w:r>
        <w:rPr>
          <w:snapToGrid w:val="0"/>
        </w:rPr>
        <w:t>.5.1</w:t>
      </w:r>
      <w:r>
        <w:rPr>
          <w:rFonts w:hint="eastAsia"/>
          <w:snapToGrid w:val="0"/>
        </w:rPr>
        <w:t>施工期产污环节分析</w:t>
      </w:r>
      <w:r>
        <w:tab/>
      </w:r>
      <w:r>
        <w:fldChar w:fldCharType="begin"/>
      </w:r>
      <w:r>
        <w:instrText xml:space="preserve"> PAGEREF _Toc29498 \h </w:instrText>
      </w:r>
      <w:r>
        <w:fldChar w:fldCharType="separate"/>
      </w:r>
      <w:r>
        <w:t>89</w:t>
      </w:r>
      <w:r>
        <w:fldChar w:fldCharType="end"/>
      </w:r>
      <w:r>
        <w:rPr>
          <w:rFonts w:cs="Times New Roman"/>
          <w:caps/>
          <w:snapToGrid w:val="0"/>
          <w:color w:val="000000" w:themeColor="text1"/>
          <w:kern w:val="0"/>
          <w:szCs w:val="24"/>
          <w14:textFill>
            <w14:solidFill>
              <w14:schemeClr w14:val="tx1"/>
            </w14:solidFill>
          </w14:textFill>
        </w:rPr>
        <w:fldChar w:fldCharType="end"/>
      </w:r>
    </w:p>
    <w:p w14:paraId="3529702D">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_Toc22877 </w:instrText>
      </w:r>
      <w:r>
        <w:rPr>
          <w:rFonts w:cs="Times New Roman"/>
          <w:caps/>
          <w:snapToGrid w:val="0"/>
          <w:kern w:val="0"/>
          <w:szCs w:val="24"/>
        </w:rPr>
        <w:fldChar w:fldCharType="separate"/>
      </w:r>
      <w:r>
        <w:rPr>
          <w:rFonts w:hint="eastAsia"/>
          <w:snapToGrid w:val="0"/>
        </w:rPr>
        <w:t>3</w:t>
      </w:r>
      <w:r>
        <w:rPr>
          <w:snapToGrid w:val="0"/>
        </w:rPr>
        <w:t>.5.2</w:t>
      </w:r>
      <w:r>
        <w:rPr>
          <w:rFonts w:hint="eastAsia"/>
          <w:snapToGrid w:val="0"/>
        </w:rPr>
        <w:t>运营期产污环节分析</w:t>
      </w:r>
      <w:r>
        <w:tab/>
      </w:r>
      <w:r>
        <w:fldChar w:fldCharType="begin"/>
      </w:r>
      <w:r>
        <w:instrText xml:space="preserve"> PAGEREF _Toc22877 \h </w:instrText>
      </w:r>
      <w:r>
        <w:fldChar w:fldCharType="separate"/>
      </w:r>
      <w:r>
        <w:t>89</w:t>
      </w:r>
      <w:r>
        <w:fldChar w:fldCharType="end"/>
      </w:r>
      <w:r>
        <w:rPr>
          <w:rFonts w:cs="Times New Roman"/>
          <w:caps/>
          <w:snapToGrid w:val="0"/>
          <w:color w:val="000000" w:themeColor="text1"/>
          <w:kern w:val="0"/>
          <w:szCs w:val="24"/>
          <w14:textFill>
            <w14:solidFill>
              <w14:schemeClr w14:val="tx1"/>
            </w14:solidFill>
          </w14:textFill>
        </w:rPr>
        <w:fldChar w:fldCharType="end"/>
      </w:r>
    </w:p>
    <w:p w14:paraId="7D34FE0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_Toc5903 </w:instrText>
      </w:r>
      <w:r>
        <w:rPr>
          <w:rFonts w:cs="Times New Roman"/>
          <w:caps/>
          <w:snapToGrid w:val="0"/>
          <w:kern w:val="0"/>
          <w:szCs w:val="24"/>
        </w:rPr>
        <w:fldChar w:fldCharType="separate"/>
      </w:r>
      <w:r>
        <w:rPr>
          <w:rFonts w:hint="eastAsia"/>
          <w:snapToGrid w:val="0"/>
        </w:rPr>
        <w:t>3</w:t>
      </w:r>
      <w:r>
        <w:rPr>
          <w:snapToGrid w:val="0"/>
        </w:rPr>
        <w:t>.5.3</w:t>
      </w:r>
      <w:r>
        <w:rPr>
          <w:rFonts w:hint="eastAsia"/>
          <w:snapToGrid w:val="0"/>
        </w:rPr>
        <w:t>物料平衡</w:t>
      </w:r>
      <w:r>
        <w:tab/>
      </w:r>
      <w:r>
        <w:fldChar w:fldCharType="begin"/>
      </w:r>
      <w:r>
        <w:instrText xml:space="preserve"> PAGEREF _Toc5903 \h </w:instrText>
      </w:r>
      <w:r>
        <w:fldChar w:fldCharType="separate"/>
      </w:r>
      <w:r>
        <w:t>91</w:t>
      </w:r>
      <w:r>
        <w:fldChar w:fldCharType="end"/>
      </w:r>
      <w:r>
        <w:rPr>
          <w:rFonts w:cs="Times New Roman"/>
          <w:caps/>
          <w:snapToGrid w:val="0"/>
          <w:color w:val="000000" w:themeColor="text1"/>
          <w:kern w:val="0"/>
          <w:szCs w:val="24"/>
          <w14:textFill>
            <w14:solidFill>
              <w14:schemeClr w14:val="tx1"/>
            </w14:solidFill>
          </w14:textFill>
        </w:rPr>
        <w:fldChar w:fldCharType="end"/>
      </w:r>
    </w:p>
    <w:p w14:paraId="02BA52D9">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_Toc728 </w:instrText>
      </w:r>
      <w:r>
        <w:rPr>
          <w:rFonts w:cs="Times New Roman"/>
          <w:caps/>
          <w:snapToGrid w:val="0"/>
          <w:kern w:val="0"/>
          <w:szCs w:val="24"/>
        </w:rPr>
        <w:fldChar w:fldCharType="separate"/>
      </w:r>
      <w:r>
        <w:rPr>
          <w:snapToGrid w:val="0"/>
        </w:rPr>
        <w:t>3.6</w:t>
      </w:r>
      <w:r>
        <w:rPr>
          <w:rFonts w:hint="eastAsia"/>
          <w:snapToGrid w:val="0"/>
        </w:rPr>
        <w:t>工程污染源强分析</w:t>
      </w:r>
      <w:r>
        <w:tab/>
      </w:r>
      <w:r>
        <w:fldChar w:fldCharType="begin"/>
      </w:r>
      <w:r>
        <w:instrText xml:space="preserve"> PAGEREF _Toc728 \h </w:instrText>
      </w:r>
      <w:r>
        <w:fldChar w:fldCharType="separate"/>
      </w:r>
      <w:r>
        <w:t>92</w:t>
      </w:r>
      <w:r>
        <w:fldChar w:fldCharType="end"/>
      </w:r>
      <w:r>
        <w:rPr>
          <w:rFonts w:cs="Times New Roman"/>
          <w:caps/>
          <w:snapToGrid w:val="0"/>
          <w:color w:val="000000" w:themeColor="text1"/>
          <w:kern w:val="0"/>
          <w:szCs w:val="24"/>
          <w14:textFill>
            <w14:solidFill>
              <w14:schemeClr w14:val="tx1"/>
            </w14:solidFill>
          </w14:textFill>
        </w:rPr>
        <w:fldChar w:fldCharType="end"/>
      </w:r>
    </w:p>
    <w:p w14:paraId="11E77F54">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_Toc12629 </w:instrText>
      </w:r>
      <w:r>
        <w:rPr>
          <w:rFonts w:cs="Times New Roman"/>
          <w:caps/>
          <w:snapToGrid w:val="0"/>
          <w:kern w:val="0"/>
          <w:szCs w:val="24"/>
        </w:rPr>
        <w:fldChar w:fldCharType="separate"/>
      </w:r>
      <w:r>
        <w:rPr>
          <w:snapToGrid w:val="0"/>
        </w:rPr>
        <w:t>3.6.1</w:t>
      </w:r>
      <w:r>
        <w:rPr>
          <w:rFonts w:hint="eastAsia"/>
          <w:snapToGrid w:val="0"/>
        </w:rPr>
        <w:t>施工期污染源及源强分析</w:t>
      </w:r>
      <w:r>
        <w:tab/>
      </w:r>
      <w:r>
        <w:fldChar w:fldCharType="begin"/>
      </w:r>
      <w:r>
        <w:instrText xml:space="preserve"> PAGEREF _Toc12629 \h </w:instrText>
      </w:r>
      <w:r>
        <w:fldChar w:fldCharType="separate"/>
      </w:r>
      <w:r>
        <w:t>92</w:t>
      </w:r>
      <w:r>
        <w:fldChar w:fldCharType="end"/>
      </w:r>
      <w:r>
        <w:rPr>
          <w:rFonts w:cs="Times New Roman"/>
          <w:caps/>
          <w:snapToGrid w:val="0"/>
          <w:color w:val="000000" w:themeColor="text1"/>
          <w:kern w:val="0"/>
          <w:szCs w:val="24"/>
          <w14:textFill>
            <w14:solidFill>
              <w14:schemeClr w14:val="tx1"/>
            </w14:solidFill>
          </w14:textFill>
        </w:rPr>
        <w:fldChar w:fldCharType="end"/>
      </w:r>
    </w:p>
    <w:p w14:paraId="216F5B40">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_Toc28421 </w:instrText>
      </w:r>
      <w:r>
        <w:rPr>
          <w:rFonts w:cs="Times New Roman"/>
          <w:caps/>
          <w:snapToGrid w:val="0"/>
          <w:kern w:val="0"/>
          <w:szCs w:val="24"/>
        </w:rPr>
        <w:fldChar w:fldCharType="separate"/>
      </w:r>
      <w:r>
        <w:rPr>
          <w:snapToGrid w:val="0"/>
        </w:rPr>
        <w:t>3.6.2</w:t>
      </w:r>
      <w:r>
        <w:rPr>
          <w:rFonts w:hint="eastAsia"/>
          <w:snapToGrid w:val="0"/>
        </w:rPr>
        <w:t>运营期污染源及源强分析</w:t>
      </w:r>
      <w:r>
        <w:tab/>
      </w:r>
      <w:r>
        <w:fldChar w:fldCharType="begin"/>
      </w:r>
      <w:r>
        <w:instrText xml:space="preserve"> PAGEREF _Toc28421 \h </w:instrText>
      </w:r>
      <w:r>
        <w:fldChar w:fldCharType="separate"/>
      </w:r>
      <w:r>
        <w:t>94</w:t>
      </w:r>
      <w:r>
        <w:fldChar w:fldCharType="end"/>
      </w:r>
      <w:r>
        <w:rPr>
          <w:rFonts w:cs="Times New Roman"/>
          <w:caps/>
          <w:snapToGrid w:val="0"/>
          <w:color w:val="000000" w:themeColor="text1"/>
          <w:kern w:val="0"/>
          <w:szCs w:val="24"/>
          <w14:textFill>
            <w14:solidFill>
              <w14:schemeClr w14:val="tx1"/>
            </w14:solidFill>
          </w14:textFill>
        </w:rPr>
        <w:fldChar w:fldCharType="end"/>
      </w:r>
    </w:p>
    <w:p w14:paraId="36403BD4">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_Toc15980 </w:instrText>
      </w:r>
      <w:r>
        <w:rPr>
          <w:rFonts w:cs="Times New Roman"/>
          <w:caps/>
          <w:snapToGrid w:val="0"/>
          <w:kern w:val="0"/>
          <w:szCs w:val="24"/>
        </w:rPr>
        <w:fldChar w:fldCharType="separate"/>
      </w:r>
      <w:r>
        <w:rPr>
          <w:snapToGrid w:val="0"/>
          <w:highlight w:val="none"/>
        </w:rPr>
        <w:t>3.6.3</w:t>
      </w:r>
      <w:r>
        <w:rPr>
          <w:rFonts w:hint="eastAsia"/>
          <w:snapToGrid w:val="0"/>
          <w:highlight w:val="none"/>
        </w:rPr>
        <w:t>环境</w:t>
      </w:r>
      <w:r>
        <w:rPr>
          <w:snapToGrid w:val="0"/>
          <w:highlight w:val="none"/>
        </w:rPr>
        <w:t>风险</w:t>
      </w:r>
      <w:r>
        <w:tab/>
      </w:r>
      <w:r>
        <w:fldChar w:fldCharType="begin"/>
      </w:r>
      <w:r>
        <w:instrText xml:space="preserve"> PAGEREF _Toc15980 \h </w:instrText>
      </w:r>
      <w:r>
        <w:fldChar w:fldCharType="separate"/>
      </w:r>
      <w:r>
        <w:t>116</w:t>
      </w:r>
      <w:r>
        <w:fldChar w:fldCharType="end"/>
      </w:r>
      <w:r>
        <w:rPr>
          <w:rFonts w:cs="Times New Roman"/>
          <w:caps/>
          <w:snapToGrid w:val="0"/>
          <w:color w:val="000000" w:themeColor="text1"/>
          <w:kern w:val="0"/>
          <w:szCs w:val="24"/>
          <w14:textFill>
            <w14:solidFill>
              <w14:schemeClr w14:val="tx1"/>
            </w14:solidFill>
          </w14:textFill>
        </w:rPr>
        <w:fldChar w:fldCharType="end"/>
      </w:r>
    </w:p>
    <w:p w14:paraId="13601AFA">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_Toc19202 </w:instrText>
      </w:r>
      <w:r>
        <w:rPr>
          <w:rFonts w:cs="Times New Roman"/>
          <w:caps/>
          <w:snapToGrid w:val="0"/>
          <w:kern w:val="0"/>
          <w:szCs w:val="24"/>
        </w:rPr>
        <w:fldChar w:fldCharType="separate"/>
      </w:r>
      <w:r>
        <w:rPr>
          <w:snapToGrid w:val="0"/>
        </w:rPr>
        <w:t>3.6.4清洁生产分析</w:t>
      </w:r>
      <w:r>
        <w:tab/>
      </w:r>
      <w:r>
        <w:fldChar w:fldCharType="begin"/>
      </w:r>
      <w:r>
        <w:instrText xml:space="preserve"> PAGEREF _Toc19202 \h </w:instrText>
      </w:r>
      <w:r>
        <w:fldChar w:fldCharType="separate"/>
      </w:r>
      <w:r>
        <w:t>120</w:t>
      </w:r>
      <w:r>
        <w:fldChar w:fldCharType="end"/>
      </w:r>
      <w:r>
        <w:rPr>
          <w:rFonts w:cs="Times New Roman"/>
          <w:caps/>
          <w:snapToGrid w:val="0"/>
          <w:color w:val="000000" w:themeColor="text1"/>
          <w:kern w:val="0"/>
          <w:szCs w:val="24"/>
          <w14:textFill>
            <w14:solidFill>
              <w14:schemeClr w14:val="tx1"/>
            </w14:solidFill>
          </w14:textFill>
        </w:rPr>
        <w:fldChar w:fldCharType="end"/>
      </w:r>
    </w:p>
    <w:p w14:paraId="29FEBEE5">
      <w:pPr>
        <w:pStyle w:val="33"/>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_Toc14417 </w:instrText>
      </w:r>
      <w:r>
        <w:rPr>
          <w:rFonts w:cs="Times New Roman"/>
          <w:caps/>
          <w:snapToGrid w:val="0"/>
          <w:kern w:val="0"/>
          <w:szCs w:val="24"/>
        </w:rPr>
        <w:fldChar w:fldCharType="separate"/>
      </w:r>
      <w:r>
        <w:rPr>
          <w:snapToGrid w:val="0"/>
        </w:rPr>
        <w:t>4环境现状调查与评价</w:t>
      </w:r>
      <w:r>
        <w:tab/>
      </w:r>
      <w:r>
        <w:fldChar w:fldCharType="begin"/>
      </w:r>
      <w:r>
        <w:instrText xml:space="preserve"> PAGEREF _Toc14417 \h </w:instrText>
      </w:r>
      <w:r>
        <w:fldChar w:fldCharType="separate"/>
      </w:r>
      <w:r>
        <w:t>131</w:t>
      </w:r>
      <w:r>
        <w:fldChar w:fldCharType="end"/>
      </w:r>
      <w:r>
        <w:rPr>
          <w:rFonts w:cs="Times New Roman"/>
          <w:caps/>
          <w:snapToGrid w:val="0"/>
          <w:color w:val="000000" w:themeColor="text1"/>
          <w:kern w:val="0"/>
          <w:szCs w:val="24"/>
          <w14:textFill>
            <w14:solidFill>
              <w14:schemeClr w14:val="tx1"/>
            </w14:solidFill>
          </w14:textFill>
        </w:rPr>
        <w:fldChar w:fldCharType="end"/>
      </w:r>
    </w:p>
    <w:p w14:paraId="618082B3">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_Toc27872 </w:instrText>
      </w:r>
      <w:r>
        <w:rPr>
          <w:rFonts w:cs="Times New Roman"/>
          <w:caps/>
          <w:snapToGrid w:val="0"/>
          <w:kern w:val="0"/>
          <w:szCs w:val="24"/>
        </w:rPr>
        <w:fldChar w:fldCharType="separate"/>
      </w:r>
      <w:r>
        <w:rPr>
          <w:snapToGrid w:val="0"/>
        </w:rPr>
        <w:t>4.1环境现状调查</w:t>
      </w:r>
      <w:r>
        <w:tab/>
      </w:r>
      <w:r>
        <w:fldChar w:fldCharType="begin"/>
      </w:r>
      <w:r>
        <w:instrText xml:space="preserve"> PAGEREF _Toc27872 \h </w:instrText>
      </w:r>
      <w:r>
        <w:fldChar w:fldCharType="separate"/>
      </w:r>
      <w:r>
        <w:t>131</w:t>
      </w:r>
      <w:r>
        <w:fldChar w:fldCharType="end"/>
      </w:r>
      <w:r>
        <w:rPr>
          <w:rFonts w:cs="Times New Roman"/>
          <w:caps/>
          <w:snapToGrid w:val="0"/>
          <w:color w:val="000000" w:themeColor="text1"/>
          <w:kern w:val="0"/>
          <w:szCs w:val="24"/>
          <w14:textFill>
            <w14:solidFill>
              <w14:schemeClr w14:val="tx1"/>
            </w14:solidFill>
          </w14:textFill>
        </w:rPr>
        <w:fldChar w:fldCharType="end"/>
      </w:r>
    </w:p>
    <w:p w14:paraId="57DB274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_Toc30897 </w:instrText>
      </w:r>
      <w:r>
        <w:rPr>
          <w:rFonts w:cs="Times New Roman"/>
          <w:caps/>
          <w:snapToGrid w:val="0"/>
          <w:kern w:val="0"/>
          <w:szCs w:val="24"/>
        </w:rPr>
        <w:fldChar w:fldCharType="separate"/>
      </w:r>
      <w:r>
        <w:rPr>
          <w:snapToGrid w:val="0"/>
        </w:rPr>
        <w:t>4.1.1自然环境</w:t>
      </w:r>
      <w:r>
        <w:tab/>
      </w:r>
      <w:r>
        <w:fldChar w:fldCharType="begin"/>
      </w:r>
      <w:r>
        <w:instrText xml:space="preserve"> PAGEREF _Toc30897 \h </w:instrText>
      </w:r>
      <w:r>
        <w:fldChar w:fldCharType="separate"/>
      </w:r>
      <w:r>
        <w:t>131</w:t>
      </w:r>
      <w:r>
        <w:fldChar w:fldCharType="end"/>
      </w:r>
      <w:r>
        <w:rPr>
          <w:rFonts w:cs="Times New Roman"/>
          <w:caps/>
          <w:snapToGrid w:val="0"/>
          <w:color w:val="000000" w:themeColor="text1"/>
          <w:kern w:val="0"/>
          <w:szCs w:val="24"/>
          <w14:textFill>
            <w14:solidFill>
              <w14:schemeClr w14:val="tx1"/>
            </w14:solidFill>
          </w14:textFill>
        </w:rPr>
        <w:fldChar w:fldCharType="end"/>
      </w:r>
    </w:p>
    <w:p w14:paraId="183F283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_Toc15345 </w:instrText>
      </w:r>
      <w:r>
        <w:rPr>
          <w:rFonts w:cs="Times New Roman"/>
          <w:caps/>
          <w:snapToGrid w:val="0"/>
          <w:kern w:val="0"/>
          <w:szCs w:val="24"/>
        </w:rPr>
        <w:fldChar w:fldCharType="separate"/>
      </w:r>
      <w:r>
        <w:rPr>
          <w:snapToGrid w:val="0"/>
        </w:rPr>
        <w:t>4.1.2区域环境功能区划</w:t>
      </w:r>
      <w:r>
        <w:tab/>
      </w:r>
      <w:r>
        <w:fldChar w:fldCharType="begin"/>
      </w:r>
      <w:r>
        <w:instrText xml:space="preserve"> PAGEREF _Toc15345 \h </w:instrText>
      </w:r>
      <w:r>
        <w:fldChar w:fldCharType="separate"/>
      </w:r>
      <w:r>
        <w:t>140</w:t>
      </w:r>
      <w:r>
        <w:fldChar w:fldCharType="end"/>
      </w:r>
      <w:r>
        <w:rPr>
          <w:rFonts w:cs="Times New Roman"/>
          <w:caps/>
          <w:snapToGrid w:val="0"/>
          <w:color w:val="000000" w:themeColor="text1"/>
          <w:kern w:val="0"/>
          <w:szCs w:val="24"/>
          <w14:textFill>
            <w14:solidFill>
              <w14:schemeClr w14:val="tx1"/>
            </w14:solidFill>
          </w14:textFill>
        </w:rPr>
        <w:fldChar w:fldCharType="end"/>
      </w:r>
    </w:p>
    <w:p w14:paraId="358FAEDE">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_Toc21640 </w:instrText>
      </w:r>
      <w:r>
        <w:rPr>
          <w:rFonts w:cs="Times New Roman"/>
          <w:caps/>
          <w:snapToGrid w:val="0"/>
          <w:kern w:val="0"/>
          <w:szCs w:val="24"/>
        </w:rPr>
        <w:fldChar w:fldCharType="separate"/>
      </w:r>
      <w:r>
        <w:rPr>
          <w:rFonts w:hint="eastAsia"/>
          <w:highlight w:val="none"/>
        </w:rPr>
        <w:t>4.1.3环境保护</w:t>
      </w:r>
      <w:r>
        <w:rPr>
          <w:highlight w:val="none"/>
        </w:rPr>
        <w:t>目标</w:t>
      </w:r>
      <w:r>
        <w:tab/>
      </w:r>
      <w:r>
        <w:fldChar w:fldCharType="begin"/>
      </w:r>
      <w:r>
        <w:instrText xml:space="preserve"> PAGEREF _Toc21640 \h </w:instrText>
      </w:r>
      <w:r>
        <w:fldChar w:fldCharType="separate"/>
      </w:r>
      <w:r>
        <w:t>141</w:t>
      </w:r>
      <w:r>
        <w:fldChar w:fldCharType="end"/>
      </w:r>
      <w:r>
        <w:rPr>
          <w:rFonts w:cs="Times New Roman"/>
          <w:caps/>
          <w:snapToGrid w:val="0"/>
          <w:color w:val="000000" w:themeColor="text1"/>
          <w:kern w:val="0"/>
          <w:szCs w:val="24"/>
          <w14:textFill>
            <w14:solidFill>
              <w14:schemeClr w14:val="tx1"/>
            </w14:solidFill>
          </w14:textFill>
        </w:rPr>
        <w:fldChar w:fldCharType="end"/>
      </w:r>
    </w:p>
    <w:p w14:paraId="52DDCCAB">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_Toc24684 </w:instrText>
      </w:r>
      <w:r>
        <w:rPr>
          <w:rFonts w:cs="Times New Roman"/>
          <w:caps/>
          <w:snapToGrid w:val="0"/>
          <w:kern w:val="0"/>
          <w:szCs w:val="24"/>
        </w:rPr>
        <w:fldChar w:fldCharType="separate"/>
      </w:r>
      <w:r>
        <w:rPr>
          <w:rFonts w:hint="eastAsia"/>
          <w:snapToGrid w:val="0"/>
        </w:rPr>
        <w:t>4.2环境</w:t>
      </w:r>
      <w:r>
        <w:rPr>
          <w:snapToGrid w:val="0"/>
        </w:rPr>
        <w:t>质量现状评价</w:t>
      </w:r>
      <w:r>
        <w:tab/>
      </w:r>
      <w:r>
        <w:fldChar w:fldCharType="begin"/>
      </w:r>
      <w:r>
        <w:instrText xml:space="preserve"> PAGEREF _Toc24684 \h </w:instrText>
      </w:r>
      <w:r>
        <w:fldChar w:fldCharType="separate"/>
      </w:r>
      <w:r>
        <w:t>141</w:t>
      </w:r>
      <w:r>
        <w:fldChar w:fldCharType="end"/>
      </w:r>
      <w:r>
        <w:rPr>
          <w:rFonts w:cs="Times New Roman"/>
          <w:caps/>
          <w:snapToGrid w:val="0"/>
          <w:color w:val="000000" w:themeColor="text1"/>
          <w:kern w:val="0"/>
          <w:szCs w:val="24"/>
          <w14:textFill>
            <w14:solidFill>
              <w14:schemeClr w14:val="tx1"/>
            </w14:solidFill>
          </w14:textFill>
        </w:rPr>
        <w:fldChar w:fldCharType="end"/>
      </w:r>
    </w:p>
    <w:p w14:paraId="1AA11040">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_Toc1461 </w:instrText>
      </w:r>
      <w:r>
        <w:rPr>
          <w:rFonts w:cs="Times New Roman"/>
          <w:caps/>
          <w:snapToGrid w:val="0"/>
          <w:kern w:val="0"/>
          <w:szCs w:val="24"/>
        </w:rPr>
        <w:fldChar w:fldCharType="separate"/>
      </w:r>
      <w:r>
        <w:rPr>
          <w:snapToGrid w:val="0"/>
        </w:rPr>
        <w:t>4.2.1环境空气质量现状</w:t>
      </w:r>
      <w:r>
        <w:tab/>
      </w:r>
      <w:r>
        <w:fldChar w:fldCharType="begin"/>
      </w:r>
      <w:r>
        <w:instrText xml:space="preserve"> PAGEREF _Toc1461 \h </w:instrText>
      </w:r>
      <w:r>
        <w:fldChar w:fldCharType="separate"/>
      </w:r>
      <w:r>
        <w:t>141</w:t>
      </w:r>
      <w:r>
        <w:fldChar w:fldCharType="end"/>
      </w:r>
      <w:r>
        <w:rPr>
          <w:rFonts w:cs="Times New Roman"/>
          <w:caps/>
          <w:snapToGrid w:val="0"/>
          <w:color w:val="000000" w:themeColor="text1"/>
          <w:kern w:val="0"/>
          <w:szCs w:val="24"/>
          <w14:textFill>
            <w14:solidFill>
              <w14:schemeClr w14:val="tx1"/>
            </w14:solidFill>
          </w14:textFill>
        </w:rPr>
        <w:fldChar w:fldCharType="end"/>
      </w:r>
    </w:p>
    <w:p w14:paraId="5979C46E">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_Toc7473 </w:instrText>
      </w:r>
      <w:r>
        <w:rPr>
          <w:rFonts w:cs="Times New Roman"/>
          <w:caps/>
          <w:snapToGrid w:val="0"/>
          <w:kern w:val="0"/>
          <w:szCs w:val="24"/>
        </w:rPr>
        <w:fldChar w:fldCharType="separate"/>
      </w:r>
      <w:r>
        <w:rPr>
          <w:rFonts w:hint="eastAsia"/>
          <w:snapToGrid w:val="0"/>
        </w:rPr>
        <w:t>4.2</w:t>
      </w:r>
      <w:r>
        <w:rPr>
          <w:snapToGrid w:val="0"/>
        </w:rPr>
        <w:t>.2</w:t>
      </w:r>
      <w:r>
        <w:rPr>
          <w:rFonts w:hint="eastAsia"/>
          <w:snapToGrid w:val="0"/>
        </w:rPr>
        <w:t>地表水环境</w:t>
      </w:r>
      <w:r>
        <w:rPr>
          <w:snapToGrid w:val="0"/>
        </w:rPr>
        <w:t>质量现状</w:t>
      </w:r>
      <w:r>
        <w:tab/>
      </w:r>
      <w:r>
        <w:fldChar w:fldCharType="begin"/>
      </w:r>
      <w:r>
        <w:instrText xml:space="preserve"> PAGEREF _Toc7473 \h </w:instrText>
      </w:r>
      <w:r>
        <w:fldChar w:fldCharType="separate"/>
      </w:r>
      <w:r>
        <w:t>147</w:t>
      </w:r>
      <w:r>
        <w:fldChar w:fldCharType="end"/>
      </w:r>
      <w:r>
        <w:rPr>
          <w:rFonts w:cs="Times New Roman"/>
          <w:caps/>
          <w:snapToGrid w:val="0"/>
          <w:color w:val="000000" w:themeColor="text1"/>
          <w:kern w:val="0"/>
          <w:szCs w:val="24"/>
          <w14:textFill>
            <w14:solidFill>
              <w14:schemeClr w14:val="tx1"/>
            </w14:solidFill>
          </w14:textFill>
        </w:rPr>
        <w:fldChar w:fldCharType="end"/>
      </w:r>
    </w:p>
    <w:p w14:paraId="16875AF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_Toc23079 </w:instrText>
      </w:r>
      <w:r>
        <w:rPr>
          <w:rFonts w:cs="Times New Roman"/>
          <w:caps/>
          <w:snapToGrid w:val="0"/>
          <w:kern w:val="0"/>
          <w:szCs w:val="24"/>
        </w:rPr>
        <w:fldChar w:fldCharType="separate"/>
      </w:r>
      <w:r>
        <w:rPr>
          <w:rFonts w:hint="eastAsia"/>
          <w:snapToGrid w:val="0"/>
        </w:rPr>
        <w:t>4.2.3地下水</w:t>
      </w:r>
      <w:r>
        <w:rPr>
          <w:snapToGrid w:val="0"/>
        </w:rPr>
        <w:t>环境质量现状</w:t>
      </w:r>
      <w:r>
        <w:tab/>
      </w:r>
      <w:r>
        <w:fldChar w:fldCharType="begin"/>
      </w:r>
      <w:r>
        <w:instrText xml:space="preserve"> PAGEREF _Toc23079 \h </w:instrText>
      </w:r>
      <w:r>
        <w:fldChar w:fldCharType="separate"/>
      </w:r>
      <w:r>
        <w:t>147</w:t>
      </w:r>
      <w:r>
        <w:fldChar w:fldCharType="end"/>
      </w:r>
      <w:r>
        <w:rPr>
          <w:rFonts w:cs="Times New Roman"/>
          <w:caps/>
          <w:snapToGrid w:val="0"/>
          <w:color w:val="000000" w:themeColor="text1"/>
          <w:kern w:val="0"/>
          <w:szCs w:val="24"/>
          <w14:textFill>
            <w14:solidFill>
              <w14:schemeClr w14:val="tx1"/>
            </w14:solidFill>
          </w14:textFill>
        </w:rPr>
        <w:fldChar w:fldCharType="end"/>
      </w:r>
    </w:p>
    <w:p w14:paraId="1AFB43B5">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_Toc3256 </w:instrText>
      </w:r>
      <w:r>
        <w:rPr>
          <w:rFonts w:cs="Times New Roman"/>
          <w:caps/>
          <w:snapToGrid w:val="0"/>
          <w:kern w:val="0"/>
          <w:szCs w:val="24"/>
        </w:rPr>
        <w:fldChar w:fldCharType="separate"/>
      </w:r>
      <w:r>
        <w:rPr>
          <w:rFonts w:hint="eastAsia"/>
          <w:snapToGrid w:val="0"/>
        </w:rPr>
        <w:t>4.2.4声环境</w:t>
      </w:r>
      <w:r>
        <w:rPr>
          <w:snapToGrid w:val="0"/>
        </w:rPr>
        <w:t>质量现状</w:t>
      </w:r>
      <w:r>
        <w:tab/>
      </w:r>
      <w:r>
        <w:fldChar w:fldCharType="begin"/>
      </w:r>
      <w:r>
        <w:instrText xml:space="preserve"> PAGEREF _Toc3256 \h </w:instrText>
      </w:r>
      <w:r>
        <w:fldChar w:fldCharType="separate"/>
      </w:r>
      <w:r>
        <w:t>155</w:t>
      </w:r>
      <w:r>
        <w:fldChar w:fldCharType="end"/>
      </w:r>
      <w:r>
        <w:rPr>
          <w:rFonts w:cs="Times New Roman"/>
          <w:caps/>
          <w:snapToGrid w:val="0"/>
          <w:color w:val="000000" w:themeColor="text1"/>
          <w:kern w:val="0"/>
          <w:szCs w:val="24"/>
          <w14:textFill>
            <w14:solidFill>
              <w14:schemeClr w14:val="tx1"/>
            </w14:solidFill>
          </w14:textFill>
        </w:rPr>
        <w:fldChar w:fldCharType="end"/>
      </w:r>
    </w:p>
    <w:p w14:paraId="4FE9A03E">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_Toc7575 </w:instrText>
      </w:r>
      <w:r>
        <w:rPr>
          <w:rFonts w:cs="Times New Roman"/>
          <w:caps/>
          <w:snapToGrid w:val="0"/>
          <w:kern w:val="0"/>
          <w:szCs w:val="24"/>
        </w:rPr>
        <w:fldChar w:fldCharType="separate"/>
      </w:r>
      <w:r>
        <w:rPr>
          <w:rFonts w:hint="eastAsia"/>
          <w:snapToGrid w:val="0"/>
        </w:rPr>
        <w:t>4.2.</w:t>
      </w:r>
      <w:r>
        <w:rPr>
          <w:snapToGrid w:val="0"/>
        </w:rPr>
        <w:t>5</w:t>
      </w:r>
      <w:r>
        <w:rPr>
          <w:rFonts w:hint="eastAsia"/>
          <w:snapToGrid w:val="0"/>
        </w:rPr>
        <w:t>生态环境现状调查</w:t>
      </w:r>
      <w:r>
        <w:tab/>
      </w:r>
      <w:r>
        <w:fldChar w:fldCharType="begin"/>
      </w:r>
      <w:r>
        <w:instrText xml:space="preserve"> PAGEREF _Toc7575 \h </w:instrText>
      </w:r>
      <w:r>
        <w:fldChar w:fldCharType="separate"/>
      </w:r>
      <w:r>
        <w:t>157</w:t>
      </w:r>
      <w:r>
        <w:fldChar w:fldCharType="end"/>
      </w:r>
      <w:r>
        <w:rPr>
          <w:rFonts w:cs="Times New Roman"/>
          <w:caps/>
          <w:snapToGrid w:val="0"/>
          <w:color w:val="000000" w:themeColor="text1"/>
          <w:kern w:val="0"/>
          <w:szCs w:val="24"/>
          <w14:textFill>
            <w14:solidFill>
              <w14:schemeClr w14:val="tx1"/>
            </w14:solidFill>
          </w14:textFill>
        </w:rPr>
        <w:fldChar w:fldCharType="end"/>
      </w:r>
    </w:p>
    <w:p w14:paraId="06369141">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_Toc626 </w:instrText>
      </w:r>
      <w:r>
        <w:rPr>
          <w:rFonts w:cs="Times New Roman"/>
          <w:caps/>
          <w:snapToGrid w:val="0"/>
          <w:kern w:val="0"/>
          <w:szCs w:val="24"/>
        </w:rPr>
        <w:fldChar w:fldCharType="separate"/>
      </w:r>
      <w:r>
        <w:rPr>
          <w:rFonts w:hint="eastAsia"/>
          <w:snapToGrid w:val="0"/>
          <w:highlight w:val="none"/>
        </w:rPr>
        <w:t>4.3区域污染源</w:t>
      </w:r>
      <w:r>
        <w:rPr>
          <w:snapToGrid w:val="0"/>
          <w:highlight w:val="none"/>
        </w:rPr>
        <w:t>调查</w:t>
      </w:r>
      <w:r>
        <w:tab/>
      </w:r>
      <w:r>
        <w:fldChar w:fldCharType="begin"/>
      </w:r>
      <w:r>
        <w:instrText xml:space="preserve"> PAGEREF _Toc626 \h </w:instrText>
      </w:r>
      <w:r>
        <w:fldChar w:fldCharType="separate"/>
      </w:r>
      <w:r>
        <w:t>157</w:t>
      </w:r>
      <w:r>
        <w:fldChar w:fldCharType="end"/>
      </w:r>
      <w:r>
        <w:rPr>
          <w:rFonts w:cs="Times New Roman"/>
          <w:caps/>
          <w:snapToGrid w:val="0"/>
          <w:color w:val="000000" w:themeColor="text1"/>
          <w:kern w:val="0"/>
          <w:szCs w:val="24"/>
          <w14:textFill>
            <w14:solidFill>
              <w14:schemeClr w14:val="tx1"/>
            </w14:solidFill>
          </w14:textFill>
        </w:rPr>
        <w:fldChar w:fldCharType="end"/>
      </w:r>
    </w:p>
    <w:p w14:paraId="197EF56A">
      <w:pPr>
        <w:pStyle w:val="33"/>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_Toc6634 </w:instrText>
      </w:r>
      <w:r>
        <w:rPr>
          <w:rFonts w:cs="Times New Roman"/>
          <w:caps/>
          <w:snapToGrid w:val="0"/>
          <w:kern w:val="0"/>
          <w:szCs w:val="24"/>
        </w:rPr>
        <w:fldChar w:fldCharType="separate"/>
      </w:r>
      <w:r>
        <w:rPr>
          <w:snapToGrid w:val="0"/>
        </w:rPr>
        <w:t>5环境影响预测</w:t>
      </w:r>
      <w:r>
        <w:rPr>
          <w:rFonts w:hint="eastAsia"/>
          <w:snapToGrid w:val="0"/>
        </w:rPr>
        <w:t>与</w:t>
      </w:r>
      <w:r>
        <w:rPr>
          <w:snapToGrid w:val="0"/>
        </w:rPr>
        <w:t>评价</w:t>
      </w:r>
      <w:r>
        <w:tab/>
      </w:r>
      <w:r>
        <w:fldChar w:fldCharType="begin"/>
      </w:r>
      <w:r>
        <w:instrText xml:space="preserve"> PAGEREF _Toc6634 \h </w:instrText>
      </w:r>
      <w:r>
        <w:fldChar w:fldCharType="separate"/>
      </w:r>
      <w:r>
        <w:t>163</w:t>
      </w:r>
      <w:r>
        <w:fldChar w:fldCharType="end"/>
      </w:r>
      <w:r>
        <w:rPr>
          <w:rFonts w:cs="Times New Roman"/>
          <w:caps/>
          <w:snapToGrid w:val="0"/>
          <w:color w:val="000000" w:themeColor="text1"/>
          <w:kern w:val="0"/>
          <w:szCs w:val="24"/>
          <w14:textFill>
            <w14:solidFill>
              <w14:schemeClr w14:val="tx1"/>
            </w14:solidFill>
          </w14:textFill>
        </w:rPr>
        <w:fldChar w:fldCharType="end"/>
      </w:r>
    </w:p>
    <w:p w14:paraId="10DD8E66">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_Toc7196 </w:instrText>
      </w:r>
      <w:r>
        <w:rPr>
          <w:rFonts w:cs="Times New Roman"/>
          <w:caps/>
          <w:snapToGrid w:val="0"/>
          <w:kern w:val="0"/>
          <w:szCs w:val="24"/>
        </w:rPr>
        <w:fldChar w:fldCharType="separate"/>
      </w:r>
      <w:r>
        <w:rPr>
          <w:snapToGrid w:val="0"/>
        </w:rPr>
        <w:t>5.1施工期环境影响分析</w:t>
      </w:r>
      <w:r>
        <w:tab/>
      </w:r>
      <w:r>
        <w:fldChar w:fldCharType="begin"/>
      </w:r>
      <w:r>
        <w:instrText xml:space="preserve"> PAGEREF _Toc7196 \h </w:instrText>
      </w:r>
      <w:r>
        <w:fldChar w:fldCharType="separate"/>
      </w:r>
      <w:r>
        <w:t>163</w:t>
      </w:r>
      <w:r>
        <w:fldChar w:fldCharType="end"/>
      </w:r>
      <w:r>
        <w:rPr>
          <w:rFonts w:cs="Times New Roman"/>
          <w:caps/>
          <w:snapToGrid w:val="0"/>
          <w:color w:val="000000" w:themeColor="text1"/>
          <w:kern w:val="0"/>
          <w:szCs w:val="24"/>
          <w14:textFill>
            <w14:solidFill>
              <w14:schemeClr w14:val="tx1"/>
            </w14:solidFill>
          </w14:textFill>
        </w:rPr>
        <w:fldChar w:fldCharType="end"/>
      </w:r>
    </w:p>
    <w:p w14:paraId="2BE61144">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_Toc11174 </w:instrText>
      </w:r>
      <w:r>
        <w:rPr>
          <w:rFonts w:cs="Times New Roman"/>
          <w:caps/>
          <w:snapToGrid w:val="0"/>
          <w:kern w:val="0"/>
          <w:szCs w:val="24"/>
        </w:rPr>
        <w:fldChar w:fldCharType="separate"/>
      </w:r>
      <w:r>
        <w:rPr>
          <w:snapToGrid w:val="0"/>
        </w:rPr>
        <w:t>5.1.1环境空气影响分析</w:t>
      </w:r>
      <w:r>
        <w:tab/>
      </w:r>
      <w:r>
        <w:fldChar w:fldCharType="begin"/>
      </w:r>
      <w:r>
        <w:instrText xml:space="preserve"> PAGEREF _Toc11174 \h </w:instrText>
      </w:r>
      <w:r>
        <w:fldChar w:fldCharType="separate"/>
      </w:r>
      <w:r>
        <w:t>163</w:t>
      </w:r>
      <w:r>
        <w:fldChar w:fldCharType="end"/>
      </w:r>
      <w:r>
        <w:rPr>
          <w:rFonts w:cs="Times New Roman"/>
          <w:caps/>
          <w:snapToGrid w:val="0"/>
          <w:color w:val="000000" w:themeColor="text1"/>
          <w:kern w:val="0"/>
          <w:szCs w:val="24"/>
          <w14:textFill>
            <w14:solidFill>
              <w14:schemeClr w14:val="tx1"/>
            </w14:solidFill>
          </w14:textFill>
        </w:rPr>
        <w:fldChar w:fldCharType="end"/>
      </w:r>
    </w:p>
    <w:p w14:paraId="00BC1BA5">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_Toc10973 </w:instrText>
      </w:r>
      <w:r>
        <w:rPr>
          <w:rFonts w:cs="Times New Roman"/>
          <w:caps/>
          <w:snapToGrid w:val="0"/>
          <w:kern w:val="0"/>
          <w:szCs w:val="24"/>
        </w:rPr>
        <w:fldChar w:fldCharType="separate"/>
      </w:r>
      <w:r>
        <w:rPr>
          <w:snapToGrid w:val="0"/>
        </w:rPr>
        <w:t>5.1.2水环境影响分析</w:t>
      </w:r>
      <w:r>
        <w:tab/>
      </w:r>
      <w:r>
        <w:fldChar w:fldCharType="begin"/>
      </w:r>
      <w:r>
        <w:instrText xml:space="preserve"> PAGEREF _Toc10973 \h </w:instrText>
      </w:r>
      <w:r>
        <w:fldChar w:fldCharType="separate"/>
      </w:r>
      <w:r>
        <w:t>164</w:t>
      </w:r>
      <w:r>
        <w:fldChar w:fldCharType="end"/>
      </w:r>
      <w:r>
        <w:rPr>
          <w:rFonts w:cs="Times New Roman"/>
          <w:caps/>
          <w:snapToGrid w:val="0"/>
          <w:color w:val="000000" w:themeColor="text1"/>
          <w:kern w:val="0"/>
          <w:szCs w:val="24"/>
          <w14:textFill>
            <w14:solidFill>
              <w14:schemeClr w14:val="tx1"/>
            </w14:solidFill>
          </w14:textFill>
        </w:rPr>
        <w:fldChar w:fldCharType="end"/>
      </w:r>
    </w:p>
    <w:p w14:paraId="4D75DB3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_Toc4903 </w:instrText>
      </w:r>
      <w:r>
        <w:rPr>
          <w:rFonts w:cs="Times New Roman"/>
          <w:caps/>
          <w:snapToGrid w:val="0"/>
          <w:kern w:val="0"/>
          <w:szCs w:val="24"/>
        </w:rPr>
        <w:fldChar w:fldCharType="separate"/>
      </w:r>
      <w:r>
        <w:rPr>
          <w:snapToGrid w:val="0"/>
        </w:rPr>
        <w:t>5.1.3噪声影响分析</w:t>
      </w:r>
      <w:r>
        <w:tab/>
      </w:r>
      <w:r>
        <w:fldChar w:fldCharType="begin"/>
      </w:r>
      <w:r>
        <w:instrText xml:space="preserve"> PAGEREF _Toc4903 \h </w:instrText>
      </w:r>
      <w:r>
        <w:fldChar w:fldCharType="separate"/>
      </w:r>
      <w:r>
        <w:t>165</w:t>
      </w:r>
      <w:r>
        <w:fldChar w:fldCharType="end"/>
      </w:r>
      <w:r>
        <w:rPr>
          <w:rFonts w:cs="Times New Roman"/>
          <w:caps/>
          <w:snapToGrid w:val="0"/>
          <w:color w:val="000000" w:themeColor="text1"/>
          <w:kern w:val="0"/>
          <w:szCs w:val="24"/>
          <w14:textFill>
            <w14:solidFill>
              <w14:schemeClr w14:val="tx1"/>
            </w14:solidFill>
          </w14:textFill>
        </w:rPr>
        <w:fldChar w:fldCharType="end"/>
      </w:r>
    </w:p>
    <w:p w14:paraId="3A860B1A">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_Toc6695 </w:instrText>
      </w:r>
      <w:r>
        <w:rPr>
          <w:rFonts w:cs="Times New Roman"/>
          <w:caps/>
          <w:snapToGrid w:val="0"/>
          <w:kern w:val="0"/>
          <w:szCs w:val="24"/>
        </w:rPr>
        <w:fldChar w:fldCharType="separate"/>
      </w:r>
      <w:r>
        <w:rPr>
          <w:snapToGrid w:val="0"/>
        </w:rPr>
        <w:t>5.1.4固体废物影响分析</w:t>
      </w:r>
      <w:r>
        <w:tab/>
      </w:r>
      <w:r>
        <w:fldChar w:fldCharType="begin"/>
      </w:r>
      <w:r>
        <w:instrText xml:space="preserve"> PAGEREF _Toc6695 \h </w:instrText>
      </w:r>
      <w:r>
        <w:fldChar w:fldCharType="separate"/>
      </w:r>
      <w:r>
        <w:t>166</w:t>
      </w:r>
      <w:r>
        <w:fldChar w:fldCharType="end"/>
      </w:r>
      <w:r>
        <w:rPr>
          <w:rFonts w:cs="Times New Roman"/>
          <w:caps/>
          <w:snapToGrid w:val="0"/>
          <w:color w:val="000000" w:themeColor="text1"/>
          <w:kern w:val="0"/>
          <w:szCs w:val="24"/>
          <w14:textFill>
            <w14:solidFill>
              <w14:schemeClr w14:val="tx1"/>
            </w14:solidFill>
          </w14:textFill>
        </w:rPr>
        <w:fldChar w:fldCharType="end"/>
      </w:r>
    </w:p>
    <w:p w14:paraId="032740CA">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_Toc12413 </w:instrText>
      </w:r>
      <w:r>
        <w:rPr>
          <w:rFonts w:cs="Times New Roman"/>
          <w:caps/>
          <w:snapToGrid w:val="0"/>
          <w:kern w:val="0"/>
          <w:szCs w:val="24"/>
        </w:rPr>
        <w:fldChar w:fldCharType="separate"/>
      </w:r>
      <w:r>
        <w:rPr>
          <w:snapToGrid w:val="0"/>
        </w:rPr>
        <w:t>5.1.5生态环境影响分析</w:t>
      </w:r>
      <w:r>
        <w:tab/>
      </w:r>
      <w:r>
        <w:fldChar w:fldCharType="begin"/>
      </w:r>
      <w:r>
        <w:instrText xml:space="preserve"> PAGEREF _Toc12413 \h </w:instrText>
      </w:r>
      <w:r>
        <w:fldChar w:fldCharType="separate"/>
      </w:r>
      <w:r>
        <w:t>166</w:t>
      </w:r>
      <w:r>
        <w:fldChar w:fldCharType="end"/>
      </w:r>
      <w:r>
        <w:rPr>
          <w:rFonts w:cs="Times New Roman"/>
          <w:caps/>
          <w:snapToGrid w:val="0"/>
          <w:color w:val="000000" w:themeColor="text1"/>
          <w:kern w:val="0"/>
          <w:szCs w:val="24"/>
          <w14:textFill>
            <w14:solidFill>
              <w14:schemeClr w14:val="tx1"/>
            </w14:solidFill>
          </w14:textFill>
        </w:rPr>
        <w:fldChar w:fldCharType="end"/>
      </w:r>
    </w:p>
    <w:p w14:paraId="36447CDD">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_Toc27304 </w:instrText>
      </w:r>
      <w:r>
        <w:rPr>
          <w:rFonts w:cs="Times New Roman"/>
          <w:caps/>
          <w:snapToGrid w:val="0"/>
          <w:kern w:val="0"/>
          <w:szCs w:val="24"/>
        </w:rPr>
        <w:fldChar w:fldCharType="separate"/>
      </w:r>
      <w:r>
        <w:rPr>
          <w:snapToGrid w:val="0"/>
        </w:rPr>
        <w:t>5.2运营期环境影响预测评价</w:t>
      </w:r>
      <w:r>
        <w:tab/>
      </w:r>
      <w:r>
        <w:fldChar w:fldCharType="begin"/>
      </w:r>
      <w:r>
        <w:instrText xml:space="preserve"> PAGEREF _Toc27304 \h </w:instrText>
      </w:r>
      <w:r>
        <w:fldChar w:fldCharType="separate"/>
      </w:r>
      <w:r>
        <w:t>168</w:t>
      </w:r>
      <w:r>
        <w:fldChar w:fldCharType="end"/>
      </w:r>
      <w:r>
        <w:rPr>
          <w:rFonts w:cs="Times New Roman"/>
          <w:caps/>
          <w:snapToGrid w:val="0"/>
          <w:color w:val="000000" w:themeColor="text1"/>
          <w:kern w:val="0"/>
          <w:szCs w:val="24"/>
          <w14:textFill>
            <w14:solidFill>
              <w14:schemeClr w14:val="tx1"/>
            </w14:solidFill>
          </w14:textFill>
        </w:rPr>
        <w:fldChar w:fldCharType="end"/>
      </w:r>
    </w:p>
    <w:p w14:paraId="05BA4E28">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_Toc1806 </w:instrText>
      </w:r>
      <w:r>
        <w:rPr>
          <w:rFonts w:cs="Times New Roman"/>
          <w:caps/>
          <w:snapToGrid w:val="0"/>
          <w:kern w:val="0"/>
          <w:szCs w:val="24"/>
        </w:rPr>
        <w:fldChar w:fldCharType="separate"/>
      </w:r>
      <w:r>
        <w:rPr>
          <w:snapToGrid w:val="0"/>
        </w:rPr>
        <w:t>5.2.1大气环境影响预测分析</w:t>
      </w:r>
      <w:r>
        <w:tab/>
      </w:r>
      <w:r>
        <w:fldChar w:fldCharType="begin"/>
      </w:r>
      <w:r>
        <w:instrText xml:space="preserve"> PAGEREF _Toc1806 \h </w:instrText>
      </w:r>
      <w:r>
        <w:fldChar w:fldCharType="separate"/>
      </w:r>
      <w:r>
        <w:t>168</w:t>
      </w:r>
      <w:r>
        <w:fldChar w:fldCharType="end"/>
      </w:r>
      <w:r>
        <w:rPr>
          <w:rFonts w:cs="Times New Roman"/>
          <w:caps/>
          <w:snapToGrid w:val="0"/>
          <w:color w:val="000000" w:themeColor="text1"/>
          <w:kern w:val="0"/>
          <w:szCs w:val="24"/>
          <w14:textFill>
            <w14:solidFill>
              <w14:schemeClr w14:val="tx1"/>
            </w14:solidFill>
          </w14:textFill>
        </w:rPr>
        <w:fldChar w:fldCharType="end"/>
      </w:r>
    </w:p>
    <w:p w14:paraId="48C1FB2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_Toc18905 </w:instrText>
      </w:r>
      <w:r>
        <w:rPr>
          <w:rFonts w:cs="Times New Roman"/>
          <w:caps/>
          <w:snapToGrid w:val="0"/>
          <w:kern w:val="0"/>
          <w:szCs w:val="24"/>
        </w:rPr>
        <w:fldChar w:fldCharType="separate"/>
      </w:r>
      <w:r>
        <w:rPr>
          <w:snapToGrid w:val="0"/>
        </w:rPr>
        <w:t>5.2.2地表水环境影响预测分析</w:t>
      </w:r>
      <w:r>
        <w:tab/>
      </w:r>
      <w:r>
        <w:fldChar w:fldCharType="begin"/>
      </w:r>
      <w:r>
        <w:instrText xml:space="preserve"> PAGEREF _Toc18905 \h </w:instrText>
      </w:r>
      <w:r>
        <w:fldChar w:fldCharType="separate"/>
      </w:r>
      <w:r>
        <w:t>171</w:t>
      </w:r>
      <w:r>
        <w:fldChar w:fldCharType="end"/>
      </w:r>
      <w:r>
        <w:rPr>
          <w:rFonts w:cs="Times New Roman"/>
          <w:caps/>
          <w:snapToGrid w:val="0"/>
          <w:color w:val="000000" w:themeColor="text1"/>
          <w:kern w:val="0"/>
          <w:szCs w:val="24"/>
          <w14:textFill>
            <w14:solidFill>
              <w14:schemeClr w14:val="tx1"/>
            </w14:solidFill>
          </w14:textFill>
        </w:rPr>
        <w:fldChar w:fldCharType="end"/>
      </w:r>
    </w:p>
    <w:p w14:paraId="6B92FC1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_Toc3954 </w:instrText>
      </w:r>
      <w:r>
        <w:rPr>
          <w:rFonts w:cs="Times New Roman"/>
          <w:caps/>
          <w:snapToGrid w:val="0"/>
          <w:kern w:val="0"/>
          <w:szCs w:val="24"/>
        </w:rPr>
        <w:fldChar w:fldCharType="separate"/>
      </w:r>
      <w:r>
        <w:rPr>
          <w:snapToGrid w:val="0"/>
        </w:rPr>
        <w:t>5.2.3地下水环境影响预测分析</w:t>
      </w:r>
      <w:r>
        <w:tab/>
      </w:r>
      <w:r>
        <w:fldChar w:fldCharType="begin"/>
      </w:r>
      <w:r>
        <w:instrText xml:space="preserve"> PAGEREF _Toc3954 \h </w:instrText>
      </w:r>
      <w:r>
        <w:fldChar w:fldCharType="separate"/>
      </w:r>
      <w:r>
        <w:t>174</w:t>
      </w:r>
      <w:r>
        <w:fldChar w:fldCharType="end"/>
      </w:r>
      <w:r>
        <w:rPr>
          <w:rFonts w:cs="Times New Roman"/>
          <w:caps/>
          <w:snapToGrid w:val="0"/>
          <w:color w:val="000000" w:themeColor="text1"/>
          <w:kern w:val="0"/>
          <w:szCs w:val="24"/>
          <w14:textFill>
            <w14:solidFill>
              <w14:schemeClr w14:val="tx1"/>
            </w14:solidFill>
          </w14:textFill>
        </w:rPr>
        <w:fldChar w:fldCharType="end"/>
      </w:r>
    </w:p>
    <w:p w14:paraId="4B2F48A7">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_Toc21224 </w:instrText>
      </w:r>
      <w:r>
        <w:rPr>
          <w:rFonts w:cs="Times New Roman"/>
          <w:caps/>
          <w:snapToGrid w:val="0"/>
          <w:kern w:val="0"/>
          <w:szCs w:val="24"/>
        </w:rPr>
        <w:fldChar w:fldCharType="separate"/>
      </w:r>
      <w:r>
        <w:rPr>
          <w:snapToGrid w:val="0"/>
          <w:highlight w:val="none"/>
        </w:rPr>
        <w:t>5.2.4声环境影响预测</w:t>
      </w:r>
      <w:r>
        <w:rPr>
          <w:rFonts w:hint="eastAsia"/>
          <w:snapToGrid w:val="0"/>
          <w:highlight w:val="none"/>
        </w:rPr>
        <w:t>分析</w:t>
      </w:r>
      <w:r>
        <w:tab/>
      </w:r>
      <w:r>
        <w:fldChar w:fldCharType="begin"/>
      </w:r>
      <w:r>
        <w:instrText xml:space="preserve"> PAGEREF _Toc21224 \h </w:instrText>
      </w:r>
      <w:r>
        <w:fldChar w:fldCharType="separate"/>
      </w:r>
      <w:r>
        <w:t>181</w:t>
      </w:r>
      <w:r>
        <w:fldChar w:fldCharType="end"/>
      </w:r>
      <w:r>
        <w:rPr>
          <w:rFonts w:cs="Times New Roman"/>
          <w:caps/>
          <w:snapToGrid w:val="0"/>
          <w:color w:val="000000" w:themeColor="text1"/>
          <w:kern w:val="0"/>
          <w:szCs w:val="24"/>
          <w14:textFill>
            <w14:solidFill>
              <w14:schemeClr w14:val="tx1"/>
            </w14:solidFill>
          </w14:textFill>
        </w:rPr>
        <w:fldChar w:fldCharType="end"/>
      </w:r>
    </w:p>
    <w:p w14:paraId="1F35BC6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_Toc20783 </w:instrText>
      </w:r>
      <w:r>
        <w:rPr>
          <w:rFonts w:cs="Times New Roman"/>
          <w:caps/>
          <w:snapToGrid w:val="0"/>
          <w:kern w:val="0"/>
          <w:szCs w:val="24"/>
        </w:rPr>
        <w:fldChar w:fldCharType="separate"/>
      </w:r>
      <w:r>
        <w:rPr>
          <w:snapToGrid w:val="0"/>
        </w:rPr>
        <w:t>5.2.5固废影响预测评价</w:t>
      </w:r>
      <w:r>
        <w:tab/>
      </w:r>
      <w:r>
        <w:fldChar w:fldCharType="begin"/>
      </w:r>
      <w:r>
        <w:instrText xml:space="preserve"> PAGEREF _Toc20783 \h </w:instrText>
      </w:r>
      <w:r>
        <w:fldChar w:fldCharType="separate"/>
      </w:r>
      <w:r>
        <w:t>185</w:t>
      </w:r>
      <w:r>
        <w:fldChar w:fldCharType="end"/>
      </w:r>
      <w:r>
        <w:rPr>
          <w:rFonts w:cs="Times New Roman"/>
          <w:caps/>
          <w:snapToGrid w:val="0"/>
          <w:color w:val="000000" w:themeColor="text1"/>
          <w:kern w:val="0"/>
          <w:szCs w:val="24"/>
          <w14:textFill>
            <w14:solidFill>
              <w14:schemeClr w14:val="tx1"/>
            </w14:solidFill>
          </w14:textFill>
        </w:rPr>
        <w:fldChar w:fldCharType="end"/>
      </w:r>
    </w:p>
    <w:p w14:paraId="65871028">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_Toc19250 </w:instrText>
      </w:r>
      <w:r>
        <w:rPr>
          <w:rFonts w:cs="Times New Roman"/>
          <w:caps/>
          <w:snapToGrid w:val="0"/>
          <w:kern w:val="0"/>
          <w:szCs w:val="24"/>
        </w:rPr>
        <w:fldChar w:fldCharType="separate"/>
      </w:r>
      <w:r>
        <w:rPr>
          <w:snapToGrid w:val="0"/>
        </w:rPr>
        <w:t>5.2.6生态影响预测评价</w:t>
      </w:r>
      <w:r>
        <w:tab/>
      </w:r>
      <w:r>
        <w:fldChar w:fldCharType="begin"/>
      </w:r>
      <w:r>
        <w:instrText xml:space="preserve"> PAGEREF _Toc19250 \h </w:instrText>
      </w:r>
      <w:r>
        <w:fldChar w:fldCharType="separate"/>
      </w:r>
      <w:r>
        <w:t>190</w:t>
      </w:r>
      <w:r>
        <w:fldChar w:fldCharType="end"/>
      </w:r>
      <w:r>
        <w:rPr>
          <w:rFonts w:cs="Times New Roman"/>
          <w:caps/>
          <w:snapToGrid w:val="0"/>
          <w:color w:val="000000" w:themeColor="text1"/>
          <w:kern w:val="0"/>
          <w:szCs w:val="24"/>
          <w14:textFill>
            <w14:solidFill>
              <w14:schemeClr w14:val="tx1"/>
            </w14:solidFill>
          </w14:textFill>
        </w:rPr>
        <w:fldChar w:fldCharType="end"/>
      </w:r>
    </w:p>
    <w:p w14:paraId="45854F95">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_Toc2983 </w:instrText>
      </w:r>
      <w:r>
        <w:rPr>
          <w:rFonts w:cs="Times New Roman"/>
          <w:caps/>
          <w:snapToGrid w:val="0"/>
          <w:kern w:val="0"/>
          <w:szCs w:val="24"/>
        </w:rPr>
        <w:fldChar w:fldCharType="separate"/>
      </w:r>
      <w:r>
        <w:rPr>
          <w:snapToGrid w:val="0"/>
        </w:rPr>
        <w:t>5.2.7环境风险预测评价</w:t>
      </w:r>
      <w:r>
        <w:tab/>
      </w:r>
      <w:r>
        <w:fldChar w:fldCharType="begin"/>
      </w:r>
      <w:r>
        <w:instrText xml:space="preserve"> PAGEREF _Toc2983 \h </w:instrText>
      </w:r>
      <w:r>
        <w:fldChar w:fldCharType="separate"/>
      </w:r>
      <w:r>
        <w:t>190</w:t>
      </w:r>
      <w:r>
        <w:fldChar w:fldCharType="end"/>
      </w:r>
      <w:r>
        <w:rPr>
          <w:rFonts w:cs="Times New Roman"/>
          <w:caps/>
          <w:snapToGrid w:val="0"/>
          <w:color w:val="000000" w:themeColor="text1"/>
          <w:kern w:val="0"/>
          <w:szCs w:val="24"/>
          <w14:textFill>
            <w14:solidFill>
              <w14:schemeClr w14:val="tx1"/>
            </w14:solidFill>
          </w14:textFill>
        </w:rPr>
        <w:fldChar w:fldCharType="end"/>
      </w:r>
    </w:p>
    <w:p w14:paraId="415C9466">
      <w:pPr>
        <w:pStyle w:val="33"/>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_Toc10557 </w:instrText>
      </w:r>
      <w:r>
        <w:rPr>
          <w:rFonts w:cs="Times New Roman"/>
          <w:caps/>
          <w:snapToGrid w:val="0"/>
          <w:kern w:val="0"/>
          <w:szCs w:val="24"/>
        </w:rPr>
        <w:fldChar w:fldCharType="separate"/>
      </w:r>
      <w:r>
        <w:rPr>
          <w:snapToGrid w:val="0"/>
        </w:rPr>
        <w:t>6</w:t>
      </w:r>
      <w:r>
        <w:rPr>
          <w:rFonts w:hint="eastAsia"/>
          <w:snapToGrid w:val="0"/>
        </w:rPr>
        <w:t>环境保护措施及其可行性论证</w:t>
      </w:r>
      <w:r>
        <w:tab/>
      </w:r>
      <w:r>
        <w:fldChar w:fldCharType="begin"/>
      </w:r>
      <w:r>
        <w:instrText xml:space="preserve"> PAGEREF _Toc10557 \h </w:instrText>
      </w:r>
      <w:r>
        <w:fldChar w:fldCharType="separate"/>
      </w:r>
      <w:r>
        <w:t>197</w:t>
      </w:r>
      <w:r>
        <w:fldChar w:fldCharType="end"/>
      </w:r>
      <w:r>
        <w:rPr>
          <w:rFonts w:cs="Times New Roman"/>
          <w:caps/>
          <w:snapToGrid w:val="0"/>
          <w:color w:val="000000" w:themeColor="text1"/>
          <w:kern w:val="0"/>
          <w:szCs w:val="24"/>
          <w14:textFill>
            <w14:solidFill>
              <w14:schemeClr w14:val="tx1"/>
            </w14:solidFill>
          </w14:textFill>
        </w:rPr>
        <w:fldChar w:fldCharType="end"/>
      </w:r>
    </w:p>
    <w:p w14:paraId="2853500A">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_Toc19019 </w:instrText>
      </w:r>
      <w:r>
        <w:rPr>
          <w:rFonts w:cs="Times New Roman"/>
          <w:caps/>
          <w:snapToGrid w:val="0"/>
          <w:kern w:val="0"/>
          <w:szCs w:val="24"/>
        </w:rPr>
        <w:fldChar w:fldCharType="separate"/>
      </w:r>
      <w:r>
        <w:rPr>
          <w:snapToGrid w:val="0"/>
        </w:rPr>
        <w:t>6.1施工期污染防治措施</w:t>
      </w:r>
      <w:r>
        <w:tab/>
      </w:r>
      <w:r>
        <w:fldChar w:fldCharType="begin"/>
      </w:r>
      <w:r>
        <w:instrText xml:space="preserve"> PAGEREF _Toc19019 \h </w:instrText>
      </w:r>
      <w:r>
        <w:fldChar w:fldCharType="separate"/>
      </w:r>
      <w:r>
        <w:t>197</w:t>
      </w:r>
      <w:r>
        <w:fldChar w:fldCharType="end"/>
      </w:r>
      <w:r>
        <w:rPr>
          <w:rFonts w:cs="Times New Roman"/>
          <w:caps/>
          <w:snapToGrid w:val="0"/>
          <w:color w:val="000000" w:themeColor="text1"/>
          <w:kern w:val="0"/>
          <w:szCs w:val="24"/>
          <w14:textFill>
            <w14:solidFill>
              <w14:schemeClr w14:val="tx1"/>
            </w14:solidFill>
          </w14:textFill>
        </w:rPr>
        <w:fldChar w:fldCharType="end"/>
      </w:r>
    </w:p>
    <w:p w14:paraId="7A79ECE7">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_Toc30117 </w:instrText>
      </w:r>
      <w:r>
        <w:rPr>
          <w:rFonts w:cs="Times New Roman"/>
          <w:caps/>
          <w:snapToGrid w:val="0"/>
          <w:kern w:val="0"/>
          <w:szCs w:val="24"/>
        </w:rPr>
        <w:fldChar w:fldCharType="separate"/>
      </w:r>
      <w:r>
        <w:rPr>
          <w:snapToGrid w:val="0"/>
        </w:rPr>
        <w:t>6.1.1</w:t>
      </w:r>
      <w:r>
        <w:rPr>
          <w:rFonts w:hint="eastAsia"/>
          <w:snapToGrid w:val="0"/>
        </w:rPr>
        <w:t>废</w:t>
      </w:r>
      <w:r>
        <w:rPr>
          <w:snapToGrid w:val="0"/>
        </w:rPr>
        <w:t>水污染防治措施</w:t>
      </w:r>
      <w:r>
        <w:tab/>
      </w:r>
      <w:r>
        <w:fldChar w:fldCharType="begin"/>
      </w:r>
      <w:r>
        <w:instrText xml:space="preserve"> PAGEREF _Toc30117 \h </w:instrText>
      </w:r>
      <w:r>
        <w:fldChar w:fldCharType="separate"/>
      </w:r>
      <w:r>
        <w:t>197</w:t>
      </w:r>
      <w:r>
        <w:fldChar w:fldCharType="end"/>
      </w:r>
      <w:r>
        <w:rPr>
          <w:rFonts w:cs="Times New Roman"/>
          <w:caps/>
          <w:snapToGrid w:val="0"/>
          <w:color w:val="000000" w:themeColor="text1"/>
          <w:kern w:val="0"/>
          <w:szCs w:val="24"/>
          <w14:textFill>
            <w14:solidFill>
              <w14:schemeClr w14:val="tx1"/>
            </w14:solidFill>
          </w14:textFill>
        </w:rPr>
        <w:fldChar w:fldCharType="end"/>
      </w:r>
    </w:p>
    <w:p w14:paraId="3E0C92DC">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_Toc5175 </w:instrText>
      </w:r>
      <w:r>
        <w:rPr>
          <w:rFonts w:cs="Times New Roman"/>
          <w:caps/>
          <w:snapToGrid w:val="0"/>
          <w:kern w:val="0"/>
          <w:szCs w:val="24"/>
        </w:rPr>
        <w:fldChar w:fldCharType="separate"/>
      </w:r>
      <w:r>
        <w:rPr>
          <w:snapToGrid w:val="0"/>
        </w:rPr>
        <w:t>6.1.2大气污染防治措施</w:t>
      </w:r>
      <w:r>
        <w:tab/>
      </w:r>
      <w:r>
        <w:fldChar w:fldCharType="begin"/>
      </w:r>
      <w:r>
        <w:instrText xml:space="preserve"> PAGEREF _Toc5175 \h </w:instrText>
      </w:r>
      <w:r>
        <w:fldChar w:fldCharType="separate"/>
      </w:r>
      <w:r>
        <w:t>198</w:t>
      </w:r>
      <w:r>
        <w:fldChar w:fldCharType="end"/>
      </w:r>
      <w:r>
        <w:rPr>
          <w:rFonts w:cs="Times New Roman"/>
          <w:caps/>
          <w:snapToGrid w:val="0"/>
          <w:color w:val="000000" w:themeColor="text1"/>
          <w:kern w:val="0"/>
          <w:szCs w:val="24"/>
          <w14:textFill>
            <w14:solidFill>
              <w14:schemeClr w14:val="tx1"/>
            </w14:solidFill>
          </w14:textFill>
        </w:rPr>
        <w:fldChar w:fldCharType="end"/>
      </w:r>
    </w:p>
    <w:p w14:paraId="03B36F7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_Toc12817 </w:instrText>
      </w:r>
      <w:r>
        <w:rPr>
          <w:rFonts w:cs="Times New Roman"/>
          <w:caps/>
          <w:snapToGrid w:val="0"/>
          <w:kern w:val="0"/>
          <w:szCs w:val="24"/>
        </w:rPr>
        <w:fldChar w:fldCharType="separate"/>
      </w:r>
      <w:r>
        <w:rPr>
          <w:snapToGrid w:val="0"/>
        </w:rPr>
        <w:t>6.1.3噪声污染防治措施</w:t>
      </w:r>
      <w:r>
        <w:tab/>
      </w:r>
      <w:r>
        <w:fldChar w:fldCharType="begin"/>
      </w:r>
      <w:r>
        <w:instrText xml:space="preserve"> PAGEREF _Toc12817 \h </w:instrText>
      </w:r>
      <w:r>
        <w:fldChar w:fldCharType="separate"/>
      </w:r>
      <w:r>
        <w:t>199</w:t>
      </w:r>
      <w:r>
        <w:fldChar w:fldCharType="end"/>
      </w:r>
      <w:r>
        <w:rPr>
          <w:rFonts w:cs="Times New Roman"/>
          <w:caps/>
          <w:snapToGrid w:val="0"/>
          <w:color w:val="000000" w:themeColor="text1"/>
          <w:kern w:val="0"/>
          <w:szCs w:val="24"/>
          <w14:textFill>
            <w14:solidFill>
              <w14:schemeClr w14:val="tx1"/>
            </w14:solidFill>
          </w14:textFill>
        </w:rPr>
        <w:fldChar w:fldCharType="end"/>
      </w:r>
    </w:p>
    <w:p w14:paraId="16115E88">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_Toc6532 </w:instrText>
      </w:r>
      <w:r>
        <w:rPr>
          <w:rFonts w:cs="Times New Roman"/>
          <w:caps/>
          <w:snapToGrid w:val="0"/>
          <w:kern w:val="0"/>
          <w:szCs w:val="24"/>
        </w:rPr>
        <w:fldChar w:fldCharType="separate"/>
      </w:r>
      <w:r>
        <w:rPr>
          <w:snapToGrid w:val="0"/>
        </w:rPr>
        <w:t>6.1.4固体废物污染防治措施</w:t>
      </w:r>
      <w:r>
        <w:tab/>
      </w:r>
      <w:r>
        <w:fldChar w:fldCharType="begin"/>
      </w:r>
      <w:r>
        <w:instrText xml:space="preserve"> PAGEREF _Toc6532 \h </w:instrText>
      </w:r>
      <w:r>
        <w:fldChar w:fldCharType="separate"/>
      </w:r>
      <w:r>
        <w:t>199</w:t>
      </w:r>
      <w:r>
        <w:fldChar w:fldCharType="end"/>
      </w:r>
      <w:r>
        <w:rPr>
          <w:rFonts w:cs="Times New Roman"/>
          <w:caps/>
          <w:snapToGrid w:val="0"/>
          <w:color w:val="000000" w:themeColor="text1"/>
          <w:kern w:val="0"/>
          <w:szCs w:val="24"/>
          <w14:textFill>
            <w14:solidFill>
              <w14:schemeClr w14:val="tx1"/>
            </w14:solidFill>
          </w14:textFill>
        </w:rPr>
        <w:fldChar w:fldCharType="end"/>
      </w:r>
    </w:p>
    <w:p w14:paraId="1D83B563">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_Toc22296 </w:instrText>
      </w:r>
      <w:r>
        <w:rPr>
          <w:rFonts w:cs="Times New Roman"/>
          <w:caps/>
          <w:snapToGrid w:val="0"/>
          <w:kern w:val="0"/>
          <w:szCs w:val="24"/>
        </w:rPr>
        <w:fldChar w:fldCharType="separate"/>
      </w:r>
      <w:r>
        <w:rPr>
          <w:snapToGrid w:val="0"/>
        </w:rPr>
        <w:t>6.1.5</w:t>
      </w:r>
      <w:r>
        <w:rPr>
          <w:rFonts w:hint="eastAsia"/>
          <w:snapToGrid w:val="0"/>
        </w:rPr>
        <w:t>生态保护减缓措施</w:t>
      </w:r>
      <w:r>
        <w:tab/>
      </w:r>
      <w:r>
        <w:fldChar w:fldCharType="begin"/>
      </w:r>
      <w:r>
        <w:instrText xml:space="preserve"> PAGEREF _Toc22296 \h </w:instrText>
      </w:r>
      <w:r>
        <w:fldChar w:fldCharType="separate"/>
      </w:r>
      <w:r>
        <w:t>199</w:t>
      </w:r>
      <w:r>
        <w:fldChar w:fldCharType="end"/>
      </w:r>
      <w:r>
        <w:rPr>
          <w:rFonts w:cs="Times New Roman"/>
          <w:caps/>
          <w:snapToGrid w:val="0"/>
          <w:color w:val="000000" w:themeColor="text1"/>
          <w:kern w:val="0"/>
          <w:szCs w:val="24"/>
          <w14:textFill>
            <w14:solidFill>
              <w14:schemeClr w14:val="tx1"/>
            </w14:solidFill>
          </w14:textFill>
        </w:rPr>
        <w:fldChar w:fldCharType="end"/>
      </w:r>
    </w:p>
    <w:p w14:paraId="5B0C1BEC">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_Toc24005 </w:instrText>
      </w:r>
      <w:r>
        <w:rPr>
          <w:rFonts w:cs="Times New Roman"/>
          <w:caps/>
          <w:snapToGrid w:val="0"/>
          <w:kern w:val="0"/>
          <w:szCs w:val="24"/>
        </w:rPr>
        <w:fldChar w:fldCharType="separate"/>
      </w:r>
      <w:r>
        <w:rPr>
          <w:snapToGrid w:val="0"/>
        </w:rPr>
        <w:t>6.2运营期污染防治措施</w:t>
      </w:r>
      <w:r>
        <w:tab/>
      </w:r>
      <w:r>
        <w:fldChar w:fldCharType="begin"/>
      </w:r>
      <w:r>
        <w:instrText xml:space="preserve"> PAGEREF _Toc24005 \h </w:instrText>
      </w:r>
      <w:r>
        <w:fldChar w:fldCharType="separate"/>
      </w:r>
      <w:r>
        <w:t>200</w:t>
      </w:r>
      <w:r>
        <w:fldChar w:fldCharType="end"/>
      </w:r>
      <w:r>
        <w:rPr>
          <w:rFonts w:cs="Times New Roman"/>
          <w:caps/>
          <w:snapToGrid w:val="0"/>
          <w:color w:val="000000" w:themeColor="text1"/>
          <w:kern w:val="0"/>
          <w:szCs w:val="24"/>
          <w14:textFill>
            <w14:solidFill>
              <w14:schemeClr w14:val="tx1"/>
            </w14:solidFill>
          </w14:textFill>
        </w:rPr>
        <w:fldChar w:fldCharType="end"/>
      </w:r>
    </w:p>
    <w:p w14:paraId="2DD72B53">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_Toc31217 </w:instrText>
      </w:r>
      <w:r>
        <w:rPr>
          <w:rFonts w:cs="Times New Roman"/>
          <w:caps/>
          <w:snapToGrid w:val="0"/>
          <w:kern w:val="0"/>
          <w:szCs w:val="24"/>
        </w:rPr>
        <w:fldChar w:fldCharType="separate"/>
      </w:r>
      <w:r>
        <w:rPr>
          <w:snapToGrid w:val="0"/>
        </w:rPr>
        <w:t>6.2.1大气污染物防治措施</w:t>
      </w:r>
      <w:r>
        <w:tab/>
      </w:r>
      <w:r>
        <w:fldChar w:fldCharType="begin"/>
      </w:r>
      <w:r>
        <w:instrText xml:space="preserve"> PAGEREF _Toc31217 \h </w:instrText>
      </w:r>
      <w:r>
        <w:fldChar w:fldCharType="separate"/>
      </w:r>
      <w:r>
        <w:t>200</w:t>
      </w:r>
      <w:r>
        <w:fldChar w:fldCharType="end"/>
      </w:r>
      <w:r>
        <w:rPr>
          <w:rFonts w:cs="Times New Roman"/>
          <w:caps/>
          <w:snapToGrid w:val="0"/>
          <w:color w:val="000000" w:themeColor="text1"/>
          <w:kern w:val="0"/>
          <w:szCs w:val="24"/>
          <w14:textFill>
            <w14:solidFill>
              <w14:schemeClr w14:val="tx1"/>
            </w14:solidFill>
          </w14:textFill>
        </w:rPr>
        <w:fldChar w:fldCharType="end"/>
      </w:r>
    </w:p>
    <w:p w14:paraId="58D9530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_Toc2429 </w:instrText>
      </w:r>
      <w:r>
        <w:rPr>
          <w:rFonts w:cs="Times New Roman"/>
          <w:caps/>
          <w:snapToGrid w:val="0"/>
          <w:kern w:val="0"/>
          <w:szCs w:val="24"/>
        </w:rPr>
        <w:fldChar w:fldCharType="separate"/>
      </w:r>
      <w:r>
        <w:rPr>
          <w:snapToGrid w:val="0"/>
        </w:rPr>
        <w:t>6.2.2废水污染防治措施</w:t>
      </w:r>
      <w:r>
        <w:tab/>
      </w:r>
      <w:r>
        <w:fldChar w:fldCharType="begin"/>
      </w:r>
      <w:r>
        <w:instrText xml:space="preserve"> PAGEREF _Toc2429 \h </w:instrText>
      </w:r>
      <w:r>
        <w:fldChar w:fldCharType="separate"/>
      </w:r>
      <w:r>
        <w:t>202</w:t>
      </w:r>
      <w:r>
        <w:fldChar w:fldCharType="end"/>
      </w:r>
      <w:r>
        <w:rPr>
          <w:rFonts w:cs="Times New Roman"/>
          <w:caps/>
          <w:snapToGrid w:val="0"/>
          <w:color w:val="000000" w:themeColor="text1"/>
          <w:kern w:val="0"/>
          <w:szCs w:val="24"/>
          <w14:textFill>
            <w14:solidFill>
              <w14:schemeClr w14:val="tx1"/>
            </w14:solidFill>
          </w14:textFill>
        </w:rPr>
        <w:fldChar w:fldCharType="end"/>
      </w:r>
    </w:p>
    <w:p w14:paraId="1B085759">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_Toc4250 </w:instrText>
      </w:r>
      <w:r>
        <w:rPr>
          <w:rFonts w:cs="Times New Roman"/>
          <w:caps/>
          <w:snapToGrid w:val="0"/>
          <w:kern w:val="0"/>
          <w:szCs w:val="24"/>
        </w:rPr>
        <w:fldChar w:fldCharType="separate"/>
      </w:r>
      <w:r>
        <w:rPr>
          <w:snapToGrid w:val="0"/>
        </w:rPr>
        <w:t>6.2.3地下水污染防治措施</w:t>
      </w:r>
      <w:r>
        <w:tab/>
      </w:r>
      <w:r>
        <w:fldChar w:fldCharType="begin"/>
      </w:r>
      <w:r>
        <w:instrText xml:space="preserve"> PAGEREF _Toc4250 \h </w:instrText>
      </w:r>
      <w:r>
        <w:fldChar w:fldCharType="separate"/>
      </w:r>
      <w:r>
        <w:t>205</w:t>
      </w:r>
      <w:r>
        <w:fldChar w:fldCharType="end"/>
      </w:r>
      <w:r>
        <w:rPr>
          <w:rFonts w:cs="Times New Roman"/>
          <w:caps/>
          <w:snapToGrid w:val="0"/>
          <w:color w:val="000000" w:themeColor="text1"/>
          <w:kern w:val="0"/>
          <w:szCs w:val="24"/>
          <w14:textFill>
            <w14:solidFill>
              <w14:schemeClr w14:val="tx1"/>
            </w14:solidFill>
          </w14:textFill>
        </w:rPr>
        <w:fldChar w:fldCharType="end"/>
      </w:r>
    </w:p>
    <w:p w14:paraId="4BB51AC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_Toc29745 </w:instrText>
      </w:r>
      <w:r>
        <w:rPr>
          <w:rFonts w:cs="Times New Roman"/>
          <w:caps/>
          <w:snapToGrid w:val="0"/>
          <w:kern w:val="0"/>
          <w:szCs w:val="24"/>
        </w:rPr>
        <w:fldChar w:fldCharType="separate"/>
      </w:r>
      <w:r>
        <w:rPr>
          <w:snapToGrid w:val="0"/>
        </w:rPr>
        <w:t>6.2.4噪声污染防治措施</w:t>
      </w:r>
      <w:r>
        <w:tab/>
      </w:r>
      <w:r>
        <w:fldChar w:fldCharType="begin"/>
      </w:r>
      <w:r>
        <w:instrText xml:space="preserve"> PAGEREF _Toc29745 \h </w:instrText>
      </w:r>
      <w:r>
        <w:fldChar w:fldCharType="separate"/>
      </w:r>
      <w:r>
        <w:t>209</w:t>
      </w:r>
      <w:r>
        <w:fldChar w:fldCharType="end"/>
      </w:r>
      <w:r>
        <w:rPr>
          <w:rFonts w:cs="Times New Roman"/>
          <w:caps/>
          <w:snapToGrid w:val="0"/>
          <w:color w:val="000000" w:themeColor="text1"/>
          <w:kern w:val="0"/>
          <w:szCs w:val="24"/>
          <w14:textFill>
            <w14:solidFill>
              <w14:schemeClr w14:val="tx1"/>
            </w14:solidFill>
          </w14:textFill>
        </w:rPr>
        <w:fldChar w:fldCharType="end"/>
      </w:r>
    </w:p>
    <w:p w14:paraId="4B5A0F4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_Toc20499 </w:instrText>
      </w:r>
      <w:r>
        <w:rPr>
          <w:rFonts w:cs="Times New Roman"/>
          <w:caps/>
          <w:snapToGrid w:val="0"/>
          <w:kern w:val="0"/>
          <w:szCs w:val="24"/>
        </w:rPr>
        <w:fldChar w:fldCharType="separate"/>
      </w:r>
      <w:r>
        <w:rPr>
          <w:snapToGrid w:val="0"/>
        </w:rPr>
        <w:t>6.2.5固废污染防治措施</w:t>
      </w:r>
      <w:r>
        <w:tab/>
      </w:r>
      <w:r>
        <w:fldChar w:fldCharType="begin"/>
      </w:r>
      <w:r>
        <w:instrText xml:space="preserve"> PAGEREF _Toc20499 \h </w:instrText>
      </w:r>
      <w:r>
        <w:fldChar w:fldCharType="separate"/>
      </w:r>
      <w:r>
        <w:t>210</w:t>
      </w:r>
      <w:r>
        <w:fldChar w:fldCharType="end"/>
      </w:r>
      <w:r>
        <w:rPr>
          <w:rFonts w:cs="Times New Roman"/>
          <w:caps/>
          <w:snapToGrid w:val="0"/>
          <w:color w:val="000000" w:themeColor="text1"/>
          <w:kern w:val="0"/>
          <w:szCs w:val="24"/>
          <w14:textFill>
            <w14:solidFill>
              <w14:schemeClr w14:val="tx1"/>
            </w14:solidFill>
          </w14:textFill>
        </w:rPr>
        <w:fldChar w:fldCharType="end"/>
      </w:r>
    </w:p>
    <w:p w14:paraId="28ADAE8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_Toc5161 </w:instrText>
      </w:r>
      <w:r>
        <w:rPr>
          <w:rFonts w:cs="Times New Roman"/>
          <w:caps/>
          <w:snapToGrid w:val="0"/>
          <w:kern w:val="0"/>
          <w:szCs w:val="24"/>
        </w:rPr>
        <w:fldChar w:fldCharType="separate"/>
      </w:r>
      <w:r>
        <w:rPr>
          <w:snapToGrid w:val="0"/>
        </w:rPr>
        <w:t>6.2.6风险防范措施</w:t>
      </w:r>
      <w:r>
        <w:tab/>
      </w:r>
      <w:r>
        <w:fldChar w:fldCharType="begin"/>
      </w:r>
      <w:r>
        <w:instrText xml:space="preserve"> PAGEREF _Toc5161 \h </w:instrText>
      </w:r>
      <w:r>
        <w:fldChar w:fldCharType="separate"/>
      </w:r>
      <w:r>
        <w:t>215</w:t>
      </w:r>
      <w:r>
        <w:fldChar w:fldCharType="end"/>
      </w:r>
      <w:r>
        <w:rPr>
          <w:rFonts w:cs="Times New Roman"/>
          <w:caps/>
          <w:snapToGrid w:val="0"/>
          <w:color w:val="000000" w:themeColor="text1"/>
          <w:kern w:val="0"/>
          <w:szCs w:val="24"/>
          <w14:textFill>
            <w14:solidFill>
              <w14:schemeClr w14:val="tx1"/>
            </w14:solidFill>
          </w14:textFill>
        </w:rPr>
        <w:fldChar w:fldCharType="end"/>
      </w:r>
    </w:p>
    <w:p w14:paraId="71305FB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_Toc15782 </w:instrText>
      </w:r>
      <w:r>
        <w:rPr>
          <w:rFonts w:cs="Times New Roman"/>
          <w:caps/>
          <w:snapToGrid w:val="0"/>
          <w:kern w:val="0"/>
          <w:szCs w:val="24"/>
        </w:rPr>
        <w:fldChar w:fldCharType="separate"/>
      </w:r>
      <w:r>
        <w:rPr>
          <w:rFonts w:hint="eastAsia"/>
          <w:snapToGrid w:val="0"/>
        </w:rPr>
        <w:t>6</w:t>
      </w:r>
      <w:r>
        <w:rPr>
          <w:snapToGrid w:val="0"/>
        </w:rPr>
        <w:t>.2.7</w:t>
      </w:r>
      <w:r>
        <w:rPr>
          <w:rFonts w:hint="eastAsia"/>
          <w:snapToGrid w:val="0"/>
        </w:rPr>
        <w:t>生态环境保护措施</w:t>
      </w:r>
      <w:r>
        <w:tab/>
      </w:r>
      <w:r>
        <w:fldChar w:fldCharType="begin"/>
      </w:r>
      <w:r>
        <w:instrText xml:space="preserve"> PAGEREF _Toc15782 \h </w:instrText>
      </w:r>
      <w:r>
        <w:fldChar w:fldCharType="separate"/>
      </w:r>
      <w:r>
        <w:t>224</w:t>
      </w:r>
      <w:r>
        <w:fldChar w:fldCharType="end"/>
      </w:r>
      <w:r>
        <w:rPr>
          <w:rFonts w:cs="Times New Roman"/>
          <w:caps/>
          <w:snapToGrid w:val="0"/>
          <w:color w:val="000000" w:themeColor="text1"/>
          <w:kern w:val="0"/>
          <w:szCs w:val="24"/>
          <w14:textFill>
            <w14:solidFill>
              <w14:schemeClr w14:val="tx1"/>
            </w14:solidFill>
          </w14:textFill>
        </w:rPr>
        <w:fldChar w:fldCharType="end"/>
      </w:r>
    </w:p>
    <w:p w14:paraId="04A5AFF3">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_Toc10526 </w:instrText>
      </w:r>
      <w:r>
        <w:rPr>
          <w:rFonts w:cs="Times New Roman"/>
          <w:caps/>
          <w:snapToGrid w:val="0"/>
          <w:kern w:val="0"/>
          <w:szCs w:val="24"/>
        </w:rPr>
        <w:fldChar w:fldCharType="separate"/>
      </w:r>
      <w:r>
        <w:rPr>
          <w:snapToGrid w:val="0"/>
        </w:rPr>
        <w:t>6.3环境保护投资估算</w:t>
      </w:r>
      <w:r>
        <w:tab/>
      </w:r>
      <w:r>
        <w:fldChar w:fldCharType="begin"/>
      </w:r>
      <w:r>
        <w:instrText xml:space="preserve"> PAGEREF _Toc10526 \h </w:instrText>
      </w:r>
      <w:r>
        <w:fldChar w:fldCharType="separate"/>
      </w:r>
      <w:r>
        <w:t>224</w:t>
      </w:r>
      <w:r>
        <w:fldChar w:fldCharType="end"/>
      </w:r>
      <w:r>
        <w:rPr>
          <w:rFonts w:cs="Times New Roman"/>
          <w:caps/>
          <w:snapToGrid w:val="0"/>
          <w:color w:val="000000" w:themeColor="text1"/>
          <w:kern w:val="0"/>
          <w:szCs w:val="24"/>
          <w14:textFill>
            <w14:solidFill>
              <w14:schemeClr w14:val="tx1"/>
            </w14:solidFill>
          </w14:textFill>
        </w:rPr>
        <w:fldChar w:fldCharType="end"/>
      </w:r>
    </w:p>
    <w:p w14:paraId="5066A35B">
      <w:pPr>
        <w:pStyle w:val="33"/>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_Toc4957 </w:instrText>
      </w:r>
      <w:r>
        <w:rPr>
          <w:rFonts w:cs="Times New Roman"/>
          <w:caps/>
          <w:snapToGrid w:val="0"/>
          <w:kern w:val="0"/>
          <w:szCs w:val="24"/>
        </w:rPr>
        <w:fldChar w:fldCharType="separate"/>
      </w:r>
      <w:r>
        <w:rPr>
          <w:snapToGrid w:val="0"/>
        </w:rPr>
        <w:t>7环境</w:t>
      </w:r>
      <w:r>
        <w:rPr>
          <w:rFonts w:hint="eastAsia"/>
          <w:snapToGrid w:val="0"/>
        </w:rPr>
        <w:t>影响</w:t>
      </w:r>
      <w:r>
        <w:rPr>
          <w:snapToGrid w:val="0"/>
        </w:rPr>
        <w:t>经济损益分析</w:t>
      </w:r>
      <w:r>
        <w:tab/>
      </w:r>
      <w:r>
        <w:fldChar w:fldCharType="begin"/>
      </w:r>
      <w:r>
        <w:instrText xml:space="preserve"> PAGEREF _Toc4957 \h </w:instrText>
      </w:r>
      <w:r>
        <w:fldChar w:fldCharType="separate"/>
      </w:r>
      <w:r>
        <w:t>226</w:t>
      </w:r>
      <w:r>
        <w:fldChar w:fldCharType="end"/>
      </w:r>
      <w:r>
        <w:rPr>
          <w:rFonts w:cs="Times New Roman"/>
          <w:caps/>
          <w:snapToGrid w:val="0"/>
          <w:color w:val="000000" w:themeColor="text1"/>
          <w:kern w:val="0"/>
          <w:szCs w:val="24"/>
          <w14:textFill>
            <w14:solidFill>
              <w14:schemeClr w14:val="tx1"/>
            </w14:solidFill>
          </w14:textFill>
        </w:rPr>
        <w:fldChar w:fldCharType="end"/>
      </w:r>
    </w:p>
    <w:p w14:paraId="61DB2894">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_Toc24928 </w:instrText>
      </w:r>
      <w:r>
        <w:rPr>
          <w:rFonts w:cs="Times New Roman"/>
          <w:caps/>
          <w:snapToGrid w:val="0"/>
          <w:kern w:val="0"/>
          <w:szCs w:val="24"/>
        </w:rPr>
        <w:fldChar w:fldCharType="separate"/>
      </w:r>
      <w:r>
        <w:rPr>
          <w:snapToGrid w:val="0"/>
        </w:rPr>
        <w:t>7.1项目实施后对环境影响的变化情况</w:t>
      </w:r>
      <w:r>
        <w:tab/>
      </w:r>
      <w:r>
        <w:fldChar w:fldCharType="begin"/>
      </w:r>
      <w:r>
        <w:instrText xml:space="preserve"> PAGEREF _Toc24928 \h </w:instrText>
      </w:r>
      <w:r>
        <w:fldChar w:fldCharType="separate"/>
      </w:r>
      <w:r>
        <w:t>226</w:t>
      </w:r>
      <w:r>
        <w:fldChar w:fldCharType="end"/>
      </w:r>
      <w:r>
        <w:rPr>
          <w:rFonts w:cs="Times New Roman"/>
          <w:caps/>
          <w:snapToGrid w:val="0"/>
          <w:color w:val="000000" w:themeColor="text1"/>
          <w:kern w:val="0"/>
          <w:szCs w:val="24"/>
          <w14:textFill>
            <w14:solidFill>
              <w14:schemeClr w14:val="tx1"/>
            </w14:solidFill>
          </w14:textFill>
        </w:rPr>
        <w:fldChar w:fldCharType="end"/>
      </w:r>
    </w:p>
    <w:p w14:paraId="0206327E">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_Toc22787 </w:instrText>
      </w:r>
      <w:r>
        <w:rPr>
          <w:rFonts w:cs="Times New Roman"/>
          <w:caps/>
          <w:snapToGrid w:val="0"/>
          <w:kern w:val="0"/>
          <w:szCs w:val="24"/>
        </w:rPr>
        <w:fldChar w:fldCharType="separate"/>
      </w:r>
      <w:r>
        <w:rPr>
          <w:snapToGrid w:val="0"/>
        </w:rPr>
        <w:t>7.2</w:t>
      </w:r>
      <w:r>
        <w:rPr>
          <w:rFonts w:hint="eastAsia"/>
          <w:snapToGrid w:val="0"/>
        </w:rPr>
        <w:t>社会经济效益</w:t>
      </w:r>
      <w:r>
        <w:rPr>
          <w:snapToGrid w:val="0"/>
        </w:rPr>
        <w:t>分析</w:t>
      </w:r>
      <w:r>
        <w:tab/>
      </w:r>
      <w:r>
        <w:fldChar w:fldCharType="begin"/>
      </w:r>
      <w:r>
        <w:instrText xml:space="preserve"> PAGEREF _Toc22787 \h </w:instrText>
      </w:r>
      <w:r>
        <w:fldChar w:fldCharType="separate"/>
      </w:r>
      <w:r>
        <w:t>226</w:t>
      </w:r>
      <w:r>
        <w:fldChar w:fldCharType="end"/>
      </w:r>
      <w:r>
        <w:rPr>
          <w:rFonts w:cs="Times New Roman"/>
          <w:caps/>
          <w:snapToGrid w:val="0"/>
          <w:color w:val="000000" w:themeColor="text1"/>
          <w:kern w:val="0"/>
          <w:szCs w:val="24"/>
          <w14:textFill>
            <w14:solidFill>
              <w14:schemeClr w14:val="tx1"/>
            </w14:solidFill>
          </w14:textFill>
        </w:rPr>
        <w:fldChar w:fldCharType="end"/>
      </w:r>
    </w:p>
    <w:p w14:paraId="1F6B3029">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_Toc30021 </w:instrText>
      </w:r>
      <w:r>
        <w:rPr>
          <w:rFonts w:cs="Times New Roman"/>
          <w:caps/>
          <w:snapToGrid w:val="0"/>
          <w:kern w:val="0"/>
          <w:szCs w:val="24"/>
        </w:rPr>
        <w:fldChar w:fldCharType="separate"/>
      </w:r>
      <w:r>
        <w:rPr>
          <w:snapToGrid w:val="0"/>
        </w:rPr>
        <w:t>7</w:t>
      </w:r>
      <w:r>
        <w:rPr>
          <w:rFonts w:hint="eastAsia"/>
          <w:snapToGrid w:val="0"/>
        </w:rPr>
        <w:t>.</w:t>
      </w:r>
      <w:r>
        <w:rPr>
          <w:snapToGrid w:val="0"/>
        </w:rPr>
        <w:t>3</w:t>
      </w:r>
      <w:r>
        <w:rPr>
          <w:rFonts w:hint="eastAsia"/>
          <w:snapToGrid w:val="0"/>
        </w:rPr>
        <w:t>环境效益分析</w:t>
      </w:r>
      <w:r>
        <w:tab/>
      </w:r>
      <w:r>
        <w:fldChar w:fldCharType="begin"/>
      </w:r>
      <w:r>
        <w:instrText xml:space="preserve"> PAGEREF _Toc30021 \h </w:instrText>
      </w:r>
      <w:r>
        <w:fldChar w:fldCharType="separate"/>
      </w:r>
      <w:r>
        <w:t>227</w:t>
      </w:r>
      <w:r>
        <w:fldChar w:fldCharType="end"/>
      </w:r>
      <w:r>
        <w:rPr>
          <w:rFonts w:cs="Times New Roman"/>
          <w:caps/>
          <w:snapToGrid w:val="0"/>
          <w:color w:val="000000" w:themeColor="text1"/>
          <w:kern w:val="0"/>
          <w:szCs w:val="24"/>
          <w14:textFill>
            <w14:solidFill>
              <w14:schemeClr w14:val="tx1"/>
            </w14:solidFill>
          </w14:textFill>
        </w:rPr>
        <w:fldChar w:fldCharType="end"/>
      </w:r>
    </w:p>
    <w:p w14:paraId="24B6E2B7">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_Toc24175 </w:instrText>
      </w:r>
      <w:r>
        <w:rPr>
          <w:rFonts w:cs="Times New Roman"/>
          <w:caps/>
          <w:snapToGrid w:val="0"/>
          <w:kern w:val="0"/>
          <w:szCs w:val="24"/>
        </w:rPr>
        <w:fldChar w:fldCharType="separate"/>
      </w:r>
      <w:r>
        <w:rPr>
          <w:rFonts w:hint="eastAsia"/>
        </w:rPr>
        <w:t>7</w:t>
      </w:r>
      <w:r>
        <w:t>.3.1</w:t>
      </w:r>
      <w:r>
        <w:rPr>
          <w:rFonts w:hint="eastAsia"/>
        </w:rPr>
        <w:t>有利影响</w:t>
      </w:r>
      <w:r>
        <w:tab/>
      </w:r>
      <w:r>
        <w:fldChar w:fldCharType="begin"/>
      </w:r>
      <w:r>
        <w:instrText xml:space="preserve"> PAGEREF _Toc24175 \h </w:instrText>
      </w:r>
      <w:r>
        <w:fldChar w:fldCharType="separate"/>
      </w:r>
      <w:r>
        <w:t>227</w:t>
      </w:r>
      <w:r>
        <w:fldChar w:fldCharType="end"/>
      </w:r>
      <w:r>
        <w:rPr>
          <w:rFonts w:cs="Times New Roman"/>
          <w:caps/>
          <w:snapToGrid w:val="0"/>
          <w:color w:val="000000" w:themeColor="text1"/>
          <w:kern w:val="0"/>
          <w:szCs w:val="24"/>
          <w14:textFill>
            <w14:solidFill>
              <w14:schemeClr w14:val="tx1"/>
            </w14:solidFill>
          </w14:textFill>
        </w:rPr>
        <w:fldChar w:fldCharType="end"/>
      </w:r>
    </w:p>
    <w:p w14:paraId="41DA2A7E">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_Toc21204 </w:instrText>
      </w:r>
      <w:r>
        <w:rPr>
          <w:rFonts w:cs="Times New Roman"/>
          <w:caps/>
          <w:snapToGrid w:val="0"/>
          <w:kern w:val="0"/>
          <w:szCs w:val="24"/>
        </w:rPr>
        <w:fldChar w:fldCharType="separate"/>
      </w:r>
      <w:r>
        <w:rPr>
          <w:rFonts w:hint="eastAsia"/>
        </w:rPr>
        <w:t>7</w:t>
      </w:r>
      <w:r>
        <w:t>.3.2</w:t>
      </w:r>
      <w:r>
        <w:rPr>
          <w:rFonts w:hint="eastAsia"/>
        </w:rPr>
        <w:t>环境损失分析</w:t>
      </w:r>
      <w:r>
        <w:tab/>
      </w:r>
      <w:r>
        <w:fldChar w:fldCharType="begin"/>
      </w:r>
      <w:r>
        <w:instrText xml:space="preserve"> PAGEREF _Toc21204 \h </w:instrText>
      </w:r>
      <w:r>
        <w:fldChar w:fldCharType="separate"/>
      </w:r>
      <w:r>
        <w:t>227</w:t>
      </w:r>
      <w:r>
        <w:fldChar w:fldCharType="end"/>
      </w:r>
      <w:r>
        <w:rPr>
          <w:rFonts w:cs="Times New Roman"/>
          <w:caps/>
          <w:snapToGrid w:val="0"/>
          <w:color w:val="000000" w:themeColor="text1"/>
          <w:kern w:val="0"/>
          <w:szCs w:val="24"/>
          <w14:textFill>
            <w14:solidFill>
              <w14:schemeClr w14:val="tx1"/>
            </w14:solidFill>
          </w14:textFill>
        </w:rPr>
        <w:fldChar w:fldCharType="end"/>
      </w:r>
    </w:p>
    <w:p w14:paraId="6A780489">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_Toc26857 </w:instrText>
      </w:r>
      <w:r>
        <w:rPr>
          <w:rFonts w:cs="Times New Roman"/>
          <w:caps/>
          <w:snapToGrid w:val="0"/>
          <w:kern w:val="0"/>
          <w:szCs w:val="24"/>
        </w:rPr>
        <w:fldChar w:fldCharType="separate"/>
      </w:r>
      <w:r>
        <w:rPr>
          <w:rFonts w:hint="eastAsia"/>
        </w:rPr>
        <w:t>7</w:t>
      </w:r>
      <w:r>
        <w:t>.3.3</w:t>
      </w:r>
      <w:r>
        <w:rPr>
          <w:rFonts w:hint="eastAsia"/>
        </w:rPr>
        <w:t>环境效益分析</w:t>
      </w:r>
      <w:r>
        <w:tab/>
      </w:r>
      <w:r>
        <w:fldChar w:fldCharType="begin"/>
      </w:r>
      <w:r>
        <w:instrText xml:space="preserve"> PAGEREF _Toc26857 \h </w:instrText>
      </w:r>
      <w:r>
        <w:fldChar w:fldCharType="separate"/>
      </w:r>
      <w:r>
        <w:t>228</w:t>
      </w:r>
      <w:r>
        <w:fldChar w:fldCharType="end"/>
      </w:r>
      <w:r>
        <w:rPr>
          <w:rFonts w:cs="Times New Roman"/>
          <w:caps/>
          <w:snapToGrid w:val="0"/>
          <w:color w:val="000000" w:themeColor="text1"/>
          <w:kern w:val="0"/>
          <w:szCs w:val="24"/>
          <w14:textFill>
            <w14:solidFill>
              <w14:schemeClr w14:val="tx1"/>
            </w14:solidFill>
          </w14:textFill>
        </w:rPr>
        <w:fldChar w:fldCharType="end"/>
      </w:r>
    </w:p>
    <w:p w14:paraId="275DCCE0">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_Toc1038 </w:instrText>
      </w:r>
      <w:r>
        <w:rPr>
          <w:rFonts w:cs="Times New Roman"/>
          <w:caps/>
          <w:snapToGrid w:val="0"/>
          <w:kern w:val="0"/>
          <w:szCs w:val="24"/>
        </w:rPr>
        <w:fldChar w:fldCharType="separate"/>
      </w:r>
      <w:r>
        <w:rPr>
          <w:snapToGrid w:val="0"/>
        </w:rPr>
        <w:t>7.4结论</w:t>
      </w:r>
      <w:r>
        <w:tab/>
      </w:r>
      <w:r>
        <w:fldChar w:fldCharType="begin"/>
      </w:r>
      <w:r>
        <w:instrText xml:space="preserve"> PAGEREF _Toc1038 \h </w:instrText>
      </w:r>
      <w:r>
        <w:fldChar w:fldCharType="separate"/>
      </w:r>
      <w:r>
        <w:t>229</w:t>
      </w:r>
      <w:r>
        <w:fldChar w:fldCharType="end"/>
      </w:r>
      <w:r>
        <w:rPr>
          <w:rFonts w:cs="Times New Roman"/>
          <w:caps/>
          <w:snapToGrid w:val="0"/>
          <w:color w:val="000000" w:themeColor="text1"/>
          <w:kern w:val="0"/>
          <w:szCs w:val="24"/>
          <w14:textFill>
            <w14:solidFill>
              <w14:schemeClr w14:val="tx1"/>
            </w14:solidFill>
          </w14:textFill>
        </w:rPr>
        <w:fldChar w:fldCharType="end"/>
      </w:r>
    </w:p>
    <w:p w14:paraId="6B38D46D">
      <w:pPr>
        <w:pStyle w:val="33"/>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_Toc13539 </w:instrText>
      </w:r>
      <w:r>
        <w:rPr>
          <w:rFonts w:cs="Times New Roman"/>
          <w:caps/>
          <w:snapToGrid w:val="0"/>
          <w:kern w:val="0"/>
          <w:szCs w:val="24"/>
        </w:rPr>
        <w:fldChar w:fldCharType="separate"/>
      </w:r>
      <w:r>
        <w:rPr>
          <w:snapToGrid w:val="0"/>
        </w:rPr>
        <w:t>8环境管理与监测计划</w:t>
      </w:r>
      <w:r>
        <w:tab/>
      </w:r>
      <w:r>
        <w:fldChar w:fldCharType="begin"/>
      </w:r>
      <w:r>
        <w:instrText xml:space="preserve"> PAGEREF _Toc13539 \h </w:instrText>
      </w:r>
      <w:r>
        <w:fldChar w:fldCharType="separate"/>
      </w:r>
      <w:r>
        <w:t>230</w:t>
      </w:r>
      <w:r>
        <w:fldChar w:fldCharType="end"/>
      </w:r>
      <w:r>
        <w:rPr>
          <w:rFonts w:cs="Times New Roman"/>
          <w:caps/>
          <w:snapToGrid w:val="0"/>
          <w:color w:val="000000" w:themeColor="text1"/>
          <w:kern w:val="0"/>
          <w:szCs w:val="24"/>
          <w14:textFill>
            <w14:solidFill>
              <w14:schemeClr w14:val="tx1"/>
            </w14:solidFill>
          </w14:textFill>
        </w:rPr>
        <w:fldChar w:fldCharType="end"/>
      </w:r>
    </w:p>
    <w:p w14:paraId="7A985ACA">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_Toc3142 </w:instrText>
      </w:r>
      <w:r>
        <w:rPr>
          <w:rFonts w:cs="Times New Roman"/>
          <w:caps/>
          <w:snapToGrid w:val="0"/>
          <w:kern w:val="0"/>
          <w:szCs w:val="24"/>
        </w:rPr>
        <w:fldChar w:fldCharType="separate"/>
      </w:r>
      <w:r>
        <w:rPr>
          <w:snapToGrid w:val="0"/>
        </w:rPr>
        <w:t>8.1环境管理</w:t>
      </w:r>
      <w:r>
        <w:tab/>
      </w:r>
      <w:r>
        <w:fldChar w:fldCharType="begin"/>
      </w:r>
      <w:r>
        <w:instrText xml:space="preserve"> PAGEREF _Toc3142 \h </w:instrText>
      </w:r>
      <w:r>
        <w:fldChar w:fldCharType="separate"/>
      </w:r>
      <w:r>
        <w:t>230</w:t>
      </w:r>
      <w:r>
        <w:fldChar w:fldCharType="end"/>
      </w:r>
      <w:r>
        <w:rPr>
          <w:rFonts w:cs="Times New Roman"/>
          <w:caps/>
          <w:snapToGrid w:val="0"/>
          <w:color w:val="000000" w:themeColor="text1"/>
          <w:kern w:val="0"/>
          <w:szCs w:val="24"/>
          <w14:textFill>
            <w14:solidFill>
              <w14:schemeClr w14:val="tx1"/>
            </w14:solidFill>
          </w14:textFill>
        </w:rPr>
        <w:fldChar w:fldCharType="end"/>
      </w:r>
    </w:p>
    <w:p w14:paraId="45C7F8C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_Toc13925 </w:instrText>
      </w:r>
      <w:r>
        <w:rPr>
          <w:rFonts w:cs="Times New Roman"/>
          <w:caps/>
          <w:snapToGrid w:val="0"/>
          <w:kern w:val="0"/>
          <w:szCs w:val="24"/>
        </w:rPr>
        <w:fldChar w:fldCharType="separate"/>
      </w:r>
      <w:r>
        <w:rPr>
          <w:snapToGrid w:val="0"/>
        </w:rPr>
        <w:t>8.1.1环境管理体系</w:t>
      </w:r>
      <w:r>
        <w:tab/>
      </w:r>
      <w:r>
        <w:fldChar w:fldCharType="begin"/>
      </w:r>
      <w:r>
        <w:instrText xml:space="preserve"> PAGEREF _Toc13925 \h </w:instrText>
      </w:r>
      <w:r>
        <w:fldChar w:fldCharType="separate"/>
      </w:r>
      <w:r>
        <w:t>230</w:t>
      </w:r>
      <w:r>
        <w:fldChar w:fldCharType="end"/>
      </w:r>
      <w:r>
        <w:rPr>
          <w:rFonts w:cs="Times New Roman"/>
          <w:caps/>
          <w:snapToGrid w:val="0"/>
          <w:color w:val="000000" w:themeColor="text1"/>
          <w:kern w:val="0"/>
          <w:szCs w:val="24"/>
          <w14:textFill>
            <w14:solidFill>
              <w14:schemeClr w14:val="tx1"/>
            </w14:solidFill>
          </w14:textFill>
        </w:rPr>
        <w:fldChar w:fldCharType="end"/>
      </w:r>
    </w:p>
    <w:p w14:paraId="049F443A">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_Toc7521 </w:instrText>
      </w:r>
      <w:r>
        <w:rPr>
          <w:rFonts w:cs="Times New Roman"/>
          <w:caps/>
          <w:snapToGrid w:val="0"/>
          <w:kern w:val="0"/>
          <w:szCs w:val="24"/>
        </w:rPr>
        <w:fldChar w:fldCharType="separate"/>
      </w:r>
      <w:r>
        <w:rPr>
          <w:snapToGrid w:val="0"/>
        </w:rPr>
        <w:t>8.1.2环境管理</w:t>
      </w:r>
      <w:r>
        <w:rPr>
          <w:rFonts w:hint="eastAsia"/>
          <w:snapToGrid w:val="0"/>
        </w:rPr>
        <w:t>内容</w:t>
      </w:r>
      <w:r>
        <w:tab/>
      </w:r>
      <w:r>
        <w:fldChar w:fldCharType="begin"/>
      </w:r>
      <w:r>
        <w:instrText xml:space="preserve"> PAGEREF _Toc7521 \h </w:instrText>
      </w:r>
      <w:r>
        <w:fldChar w:fldCharType="separate"/>
      </w:r>
      <w:r>
        <w:t>231</w:t>
      </w:r>
      <w:r>
        <w:fldChar w:fldCharType="end"/>
      </w:r>
      <w:r>
        <w:rPr>
          <w:rFonts w:cs="Times New Roman"/>
          <w:caps/>
          <w:snapToGrid w:val="0"/>
          <w:color w:val="000000" w:themeColor="text1"/>
          <w:kern w:val="0"/>
          <w:szCs w:val="24"/>
          <w14:textFill>
            <w14:solidFill>
              <w14:schemeClr w14:val="tx1"/>
            </w14:solidFill>
          </w14:textFill>
        </w:rPr>
        <w:fldChar w:fldCharType="end"/>
      </w:r>
    </w:p>
    <w:p w14:paraId="69803707">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_Toc5587 </w:instrText>
      </w:r>
      <w:r>
        <w:rPr>
          <w:rFonts w:cs="Times New Roman"/>
          <w:caps/>
          <w:snapToGrid w:val="0"/>
          <w:kern w:val="0"/>
          <w:szCs w:val="24"/>
        </w:rPr>
        <w:fldChar w:fldCharType="separate"/>
      </w:r>
      <w:r>
        <w:rPr>
          <w:snapToGrid w:val="0"/>
        </w:rPr>
        <w:t>8.1.3施工期环境管理计划</w:t>
      </w:r>
      <w:r>
        <w:tab/>
      </w:r>
      <w:r>
        <w:fldChar w:fldCharType="begin"/>
      </w:r>
      <w:r>
        <w:instrText xml:space="preserve"> PAGEREF _Toc5587 \h </w:instrText>
      </w:r>
      <w:r>
        <w:fldChar w:fldCharType="separate"/>
      </w:r>
      <w:r>
        <w:t>232</w:t>
      </w:r>
      <w:r>
        <w:fldChar w:fldCharType="end"/>
      </w:r>
      <w:r>
        <w:rPr>
          <w:rFonts w:cs="Times New Roman"/>
          <w:caps/>
          <w:snapToGrid w:val="0"/>
          <w:color w:val="000000" w:themeColor="text1"/>
          <w:kern w:val="0"/>
          <w:szCs w:val="24"/>
          <w14:textFill>
            <w14:solidFill>
              <w14:schemeClr w14:val="tx1"/>
            </w14:solidFill>
          </w14:textFill>
        </w:rPr>
        <w:fldChar w:fldCharType="end"/>
      </w:r>
    </w:p>
    <w:p w14:paraId="527CCB25">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_Toc19450 </w:instrText>
      </w:r>
      <w:r>
        <w:rPr>
          <w:rFonts w:cs="Times New Roman"/>
          <w:caps/>
          <w:snapToGrid w:val="0"/>
          <w:kern w:val="0"/>
          <w:szCs w:val="24"/>
        </w:rPr>
        <w:fldChar w:fldCharType="separate"/>
      </w:r>
      <w:r>
        <w:rPr>
          <w:snapToGrid w:val="0"/>
        </w:rPr>
        <w:t>8.1.4运营期环境管理计划</w:t>
      </w:r>
      <w:r>
        <w:tab/>
      </w:r>
      <w:r>
        <w:fldChar w:fldCharType="begin"/>
      </w:r>
      <w:r>
        <w:instrText xml:space="preserve"> PAGEREF _Toc19450 \h </w:instrText>
      </w:r>
      <w:r>
        <w:fldChar w:fldCharType="separate"/>
      </w:r>
      <w:r>
        <w:t>233</w:t>
      </w:r>
      <w:r>
        <w:fldChar w:fldCharType="end"/>
      </w:r>
      <w:r>
        <w:rPr>
          <w:rFonts w:cs="Times New Roman"/>
          <w:caps/>
          <w:snapToGrid w:val="0"/>
          <w:color w:val="000000" w:themeColor="text1"/>
          <w:kern w:val="0"/>
          <w:szCs w:val="24"/>
          <w14:textFill>
            <w14:solidFill>
              <w14:schemeClr w14:val="tx1"/>
            </w14:solidFill>
          </w14:textFill>
        </w:rPr>
        <w:fldChar w:fldCharType="end"/>
      </w:r>
    </w:p>
    <w:p w14:paraId="236C6EEA">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_Toc5118 </w:instrText>
      </w:r>
      <w:r>
        <w:rPr>
          <w:rFonts w:cs="Times New Roman"/>
          <w:caps/>
          <w:snapToGrid w:val="0"/>
          <w:kern w:val="0"/>
          <w:szCs w:val="24"/>
        </w:rPr>
        <w:fldChar w:fldCharType="separate"/>
      </w:r>
      <w:r>
        <w:rPr>
          <w:snapToGrid w:val="0"/>
        </w:rPr>
        <w:t>8.1.5污染物排放清单</w:t>
      </w:r>
      <w:r>
        <w:tab/>
      </w:r>
      <w:r>
        <w:fldChar w:fldCharType="begin"/>
      </w:r>
      <w:r>
        <w:instrText xml:space="preserve"> PAGEREF _Toc5118 \h </w:instrText>
      </w:r>
      <w:r>
        <w:fldChar w:fldCharType="separate"/>
      </w:r>
      <w:r>
        <w:t>234</w:t>
      </w:r>
      <w:r>
        <w:fldChar w:fldCharType="end"/>
      </w:r>
      <w:r>
        <w:rPr>
          <w:rFonts w:cs="Times New Roman"/>
          <w:caps/>
          <w:snapToGrid w:val="0"/>
          <w:color w:val="000000" w:themeColor="text1"/>
          <w:kern w:val="0"/>
          <w:szCs w:val="24"/>
          <w14:textFill>
            <w14:solidFill>
              <w14:schemeClr w14:val="tx1"/>
            </w14:solidFill>
          </w14:textFill>
        </w:rPr>
        <w:fldChar w:fldCharType="end"/>
      </w:r>
    </w:p>
    <w:p w14:paraId="7FFBFD6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_Toc25017 </w:instrText>
      </w:r>
      <w:r>
        <w:rPr>
          <w:rFonts w:cs="Times New Roman"/>
          <w:caps/>
          <w:snapToGrid w:val="0"/>
          <w:kern w:val="0"/>
          <w:szCs w:val="24"/>
        </w:rPr>
        <w:fldChar w:fldCharType="separate"/>
      </w:r>
      <w:r>
        <w:rPr>
          <w:rFonts w:hint="eastAsia"/>
          <w:snapToGrid w:val="0"/>
        </w:rPr>
        <w:t>8.1.</w:t>
      </w:r>
      <w:r>
        <w:rPr>
          <w:snapToGrid w:val="0"/>
        </w:rPr>
        <w:t>6</w:t>
      </w:r>
      <w:r>
        <w:rPr>
          <w:rFonts w:hint="eastAsia"/>
          <w:snapToGrid w:val="0"/>
        </w:rPr>
        <w:t>环境管理建议</w:t>
      </w:r>
      <w:r>
        <w:tab/>
      </w:r>
      <w:r>
        <w:fldChar w:fldCharType="begin"/>
      </w:r>
      <w:r>
        <w:instrText xml:space="preserve"> PAGEREF _Toc25017 \h </w:instrText>
      </w:r>
      <w:r>
        <w:fldChar w:fldCharType="separate"/>
      </w:r>
      <w:r>
        <w:t>237</w:t>
      </w:r>
      <w:r>
        <w:fldChar w:fldCharType="end"/>
      </w:r>
      <w:r>
        <w:rPr>
          <w:rFonts w:cs="Times New Roman"/>
          <w:caps/>
          <w:snapToGrid w:val="0"/>
          <w:color w:val="000000" w:themeColor="text1"/>
          <w:kern w:val="0"/>
          <w:szCs w:val="24"/>
          <w14:textFill>
            <w14:solidFill>
              <w14:schemeClr w14:val="tx1"/>
            </w14:solidFill>
          </w14:textFill>
        </w:rPr>
        <w:fldChar w:fldCharType="end"/>
      </w:r>
    </w:p>
    <w:p w14:paraId="65113F5A">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_Toc6044 </w:instrText>
      </w:r>
      <w:r>
        <w:rPr>
          <w:rFonts w:cs="Times New Roman"/>
          <w:caps/>
          <w:snapToGrid w:val="0"/>
          <w:kern w:val="0"/>
          <w:szCs w:val="24"/>
        </w:rPr>
        <w:fldChar w:fldCharType="separate"/>
      </w:r>
      <w:r>
        <w:rPr>
          <w:rFonts w:hint="eastAsia"/>
          <w:snapToGrid w:val="0"/>
        </w:rPr>
        <w:t>8</w:t>
      </w:r>
      <w:r>
        <w:rPr>
          <w:snapToGrid w:val="0"/>
        </w:rPr>
        <w:t>.2</w:t>
      </w:r>
      <w:r>
        <w:rPr>
          <w:rFonts w:hint="eastAsia"/>
          <w:snapToGrid w:val="0"/>
        </w:rPr>
        <w:t>环境监测计划</w:t>
      </w:r>
      <w:r>
        <w:tab/>
      </w:r>
      <w:r>
        <w:fldChar w:fldCharType="begin"/>
      </w:r>
      <w:r>
        <w:instrText xml:space="preserve"> PAGEREF _Toc6044 \h </w:instrText>
      </w:r>
      <w:r>
        <w:fldChar w:fldCharType="separate"/>
      </w:r>
      <w:r>
        <w:t>238</w:t>
      </w:r>
      <w:r>
        <w:fldChar w:fldCharType="end"/>
      </w:r>
      <w:r>
        <w:rPr>
          <w:rFonts w:cs="Times New Roman"/>
          <w:caps/>
          <w:snapToGrid w:val="0"/>
          <w:color w:val="000000" w:themeColor="text1"/>
          <w:kern w:val="0"/>
          <w:szCs w:val="24"/>
          <w14:textFill>
            <w14:solidFill>
              <w14:schemeClr w14:val="tx1"/>
            </w14:solidFill>
          </w14:textFill>
        </w:rPr>
        <w:fldChar w:fldCharType="end"/>
      </w:r>
    </w:p>
    <w:p w14:paraId="66379AD5">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_Toc10088 </w:instrText>
      </w:r>
      <w:r>
        <w:rPr>
          <w:rFonts w:cs="Times New Roman"/>
          <w:caps/>
          <w:snapToGrid w:val="0"/>
          <w:kern w:val="0"/>
          <w:szCs w:val="24"/>
        </w:rPr>
        <w:fldChar w:fldCharType="separate"/>
      </w:r>
      <w:r>
        <w:rPr>
          <w:snapToGrid w:val="0"/>
        </w:rPr>
        <w:t>8.3环境保护竣工验收</w:t>
      </w:r>
      <w:r>
        <w:tab/>
      </w:r>
      <w:r>
        <w:fldChar w:fldCharType="begin"/>
      </w:r>
      <w:r>
        <w:instrText xml:space="preserve"> PAGEREF _Toc10088 \h </w:instrText>
      </w:r>
      <w:r>
        <w:fldChar w:fldCharType="separate"/>
      </w:r>
      <w:r>
        <w:t>240</w:t>
      </w:r>
      <w:r>
        <w:fldChar w:fldCharType="end"/>
      </w:r>
      <w:r>
        <w:rPr>
          <w:rFonts w:cs="Times New Roman"/>
          <w:caps/>
          <w:snapToGrid w:val="0"/>
          <w:color w:val="000000" w:themeColor="text1"/>
          <w:kern w:val="0"/>
          <w:szCs w:val="24"/>
          <w14:textFill>
            <w14:solidFill>
              <w14:schemeClr w14:val="tx1"/>
            </w14:solidFill>
          </w14:textFill>
        </w:rPr>
        <w:fldChar w:fldCharType="end"/>
      </w:r>
    </w:p>
    <w:p w14:paraId="27FEFF8E">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_Toc30617 </w:instrText>
      </w:r>
      <w:r>
        <w:rPr>
          <w:rFonts w:cs="Times New Roman"/>
          <w:caps/>
          <w:snapToGrid w:val="0"/>
          <w:kern w:val="0"/>
          <w:szCs w:val="24"/>
        </w:rPr>
        <w:fldChar w:fldCharType="separate"/>
      </w:r>
      <w:r>
        <w:rPr>
          <w:rFonts w:hint="eastAsia"/>
          <w:snapToGrid w:val="0"/>
        </w:rPr>
        <w:t>8</w:t>
      </w:r>
      <w:r>
        <w:rPr>
          <w:snapToGrid w:val="0"/>
        </w:rPr>
        <w:t>.4</w:t>
      </w:r>
      <w:r>
        <w:rPr>
          <w:rFonts w:hint="eastAsia"/>
          <w:snapToGrid w:val="0"/>
        </w:rPr>
        <w:t>排污许可证制度衔接</w:t>
      </w:r>
      <w:r>
        <w:tab/>
      </w:r>
      <w:r>
        <w:fldChar w:fldCharType="begin"/>
      </w:r>
      <w:r>
        <w:instrText xml:space="preserve"> PAGEREF _Toc30617 \h </w:instrText>
      </w:r>
      <w:r>
        <w:fldChar w:fldCharType="separate"/>
      </w:r>
      <w:r>
        <w:t>244</w:t>
      </w:r>
      <w:r>
        <w:fldChar w:fldCharType="end"/>
      </w:r>
      <w:r>
        <w:rPr>
          <w:rFonts w:cs="Times New Roman"/>
          <w:caps/>
          <w:snapToGrid w:val="0"/>
          <w:color w:val="000000" w:themeColor="text1"/>
          <w:kern w:val="0"/>
          <w:szCs w:val="24"/>
          <w14:textFill>
            <w14:solidFill>
              <w14:schemeClr w14:val="tx1"/>
            </w14:solidFill>
          </w14:textFill>
        </w:rPr>
        <w:fldChar w:fldCharType="end"/>
      </w:r>
    </w:p>
    <w:p w14:paraId="57D72B22">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_Toc3195 </w:instrText>
      </w:r>
      <w:r>
        <w:rPr>
          <w:rFonts w:cs="Times New Roman"/>
          <w:caps/>
          <w:snapToGrid w:val="0"/>
          <w:kern w:val="0"/>
          <w:szCs w:val="24"/>
        </w:rPr>
        <w:fldChar w:fldCharType="separate"/>
      </w:r>
      <w:r>
        <w:rPr>
          <w:rFonts w:hint="eastAsia"/>
        </w:rPr>
        <w:t>8</w:t>
      </w:r>
      <w:r>
        <w:t>.5</w:t>
      </w:r>
      <w:r>
        <w:rPr>
          <w:rFonts w:hint="eastAsia"/>
        </w:rPr>
        <w:t>总量控制</w:t>
      </w:r>
      <w:r>
        <w:tab/>
      </w:r>
      <w:r>
        <w:fldChar w:fldCharType="begin"/>
      </w:r>
      <w:r>
        <w:instrText xml:space="preserve"> PAGEREF _Toc3195 \h </w:instrText>
      </w:r>
      <w:r>
        <w:fldChar w:fldCharType="separate"/>
      </w:r>
      <w:r>
        <w:t>245</w:t>
      </w:r>
      <w:r>
        <w:fldChar w:fldCharType="end"/>
      </w:r>
      <w:r>
        <w:rPr>
          <w:rFonts w:cs="Times New Roman"/>
          <w:caps/>
          <w:snapToGrid w:val="0"/>
          <w:color w:val="000000" w:themeColor="text1"/>
          <w:kern w:val="0"/>
          <w:szCs w:val="24"/>
          <w14:textFill>
            <w14:solidFill>
              <w14:schemeClr w14:val="tx1"/>
            </w14:solidFill>
          </w14:textFill>
        </w:rPr>
        <w:fldChar w:fldCharType="end"/>
      </w:r>
    </w:p>
    <w:p w14:paraId="2D77114D">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_Toc28898 </w:instrText>
      </w:r>
      <w:r>
        <w:rPr>
          <w:rFonts w:cs="Times New Roman"/>
          <w:caps/>
          <w:snapToGrid w:val="0"/>
          <w:kern w:val="0"/>
          <w:szCs w:val="24"/>
        </w:rPr>
        <w:fldChar w:fldCharType="separate"/>
      </w:r>
      <w:r>
        <w:rPr>
          <w:rFonts w:hint="eastAsia"/>
        </w:rPr>
        <w:t>8</w:t>
      </w:r>
      <w:r>
        <w:t>.5.</w:t>
      </w:r>
      <w:r>
        <w:rPr>
          <w:rFonts w:hint="eastAsia"/>
          <w:lang w:val="en-US" w:eastAsia="zh-CN"/>
        </w:rPr>
        <w:t>1</w:t>
      </w:r>
      <w:r>
        <w:rPr>
          <w:rFonts w:hint="eastAsia"/>
        </w:rPr>
        <w:t>总量控制的意义和原则</w:t>
      </w:r>
      <w:r>
        <w:tab/>
      </w:r>
      <w:r>
        <w:fldChar w:fldCharType="begin"/>
      </w:r>
      <w:r>
        <w:instrText xml:space="preserve"> PAGEREF _Toc28898 \h </w:instrText>
      </w:r>
      <w:r>
        <w:fldChar w:fldCharType="separate"/>
      </w:r>
      <w:r>
        <w:t>245</w:t>
      </w:r>
      <w:r>
        <w:fldChar w:fldCharType="end"/>
      </w:r>
      <w:r>
        <w:rPr>
          <w:rFonts w:cs="Times New Roman"/>
          <w:caps/>
          <w:snapToGrid w:val="0"/>
          <w:color w:val="000000" w:themeColor="text1"/>
          <w:kern w:val="0"/>
          <w:szCs w:val="24"/>
          <w14:textFill>
            <w14:solidFill>
              <w14:schemeClr w14:val="tx1"/>
            </w14:solidFill>
          </w14:textFill>
        </w:rPr>
        <w:fldChar w:fldCharType="end"/>
      </w:r>
    </w:p>
    <w:p w14:paraId="084D3A6C">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_Toc52 </w:instrText>
      </w:r>
      <w:r>
        <w:rPr>
          <w:rFonts w:cs="Times New Roman"/>
          <w:caps/>
          <w:snapToGrid w:val="0"/>
          <w:kern w:val="0"/>
          <w:szCs w:val="24"/>
        </w:rPr>
        <w:fldChar w:fldCharType="separate"/>
      </w:r>
      <w:r>
        <w:rPr>
          <w:rFonts w:hint="eastAsia"/>
        </w:rPr>
        <w:t>8.5.</w:t>
      </w:r>
      <w:r>
        <w:rPr>
          <w:rFonts w:hint="eastAsia"/>
          <w:lang w:val="en-US" w:eastAsia="zh-CN"/>
        </w:rPr>
        <w:t>2</w:t>
      </w:r>
      <w:r>
        <w:rPr>
          <w:rFonts w:hint="eastAsia"/>
        </w:rPr>
        <w:t>总量控制因子</w:t>
      </w:r>
      <w:r>
        <w:tab/>
      </w:r>
      <w:r>
        <w:fldChar w:fldCharType="begin"/>
      </w:r>
      <w:r>
        <w:instrText xml:space="preserve"> PAGEREF _Toc52 \h </w:instrText>
      </w:r>
      <w:r>
        <w:fldChar w:fldCharType="separate"/>
      </w:r>
      <w:r>
        <w:t>246</w:t>
      </w:r>
      <w:r>
        <w:fldChar w:fldCharType="end"/>
      </w:r>
      <w:r>
        <w:rPr>
          <w:rFonts w:cs="Times New Roman"/>
          <w:caps/>
          <w:snapToGrid w:val="0"/>
          <w:color w:val="000000" w:themeColor="text1"/>
          <w:kern w:val="0"/>
          <w:szCs w:val="24"/>
          <w14:textFill>
            <w14:solidFill>
              <w14:schemeClr w14:val="tx1"/>
            </w14:solidFill>
          </w14:textFill>
        </w:rPr>
        <w:fldChar w:fldCharType="end"/>
      </w:r>
    </w:p>
    <w:p w14:paraId="58D9C9F3">
      <w:pPr>
        <w:pStyle w:val="33"/>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_Toc27546 </w:instrText>
      </w:r>
      <w:r>
        <w:rPr>
          <w:rFonts w:cs="Times New Roman"/>
          <w:caps/>
          <w:snapToGrid w:val="0"/>
          <w:kern w:val="0"/>
          <w:szCs w:val="24"/>
        </w:rPr>
        <w:fldChar w:fldCharType="separate"/>
      </w:r>
      <w:r>
        <w:rPr>
          <w:snapToGrid w:val="0"/>
        </w:rPr>
        <w:t>9</w:t>
      </w:r>
      <w:r>
        <w:rPr>
          <w:rFonts w:hint="eastAsia"/>
          <w:snapToGrid w:val="0"/>
        </w:rPr>
        <w:t>环境影响评价结论</w:t>
      </w:r>
      <w:r>
        <w:tab/>
      </w:r>
      <w:r>
        <w:fldChar w:fldCharType="begin"/>
      </w:r>
      <w:r>
        <w:instrText xml:space="preserve"> PAGEREF _Toc27546 \h </w:instrText>
      </w:r>
      <w:r>
        <w:fldChar w:fldCharType="separate"/>
      </w:r>
      <w:r>
        <w:t>247</w:t>
      </w:r>
      <w:r>
        <w:fldChar w:fldCharType="end"/>
      </w:r>
      <w:r>
        <w:rPr>
          <w:rFonts w:cs="Times New Roman"/>
          <w:caps/>
          <w:snapToGrid w:val="0"/>
          <w:color w:val="000000" w:themeColor="text1"/>
          <w:kern w:val="0"/>
          <w:szCs w:val="24"/>
          <w14:textFill>
            <w14:solidFill>
              <w14:schemeClr w14:val="tx1"/>
            </w14:solidFill>
          </w14:textFill>
        </w:rPr>
        <w:fldChar w:fldCharType="end"/>
      </w:r>
    </w:p>
    <w:p w14:paraId="23A56B4B">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_Toc12423 </w:instrText>
      </w:r>
      <w:r>
        <w:rPr>
          <w:rFonts w:cs="Times New Roman"/>
          <w:caps/>
          <w:snapToGrid w:val="0"/>
          <w:kern w:val="0"/>
          <w:szCs w:val="24"/>
        </w:rPr>
        <w:fldChar w:fldCharType="separate"/>
      </w:r>
      <w:r>
        <w:rPr>
          <w:snapToGrid w:val="0"/>
        </w:rPr>
        <w:t>9.1评价结论</w:t>
      </w:r>
      <w:r>
        <w:tab/>
      </w:r>
      <w:r>
        <w:fldChar w:fldCharType="begin"/>
      </w:r>
      <w:r>
        <w:instrText xml:space="preserve"> PAGEREF _Toc12423 \h </w:instrText>
      </w:r>
      <w:r>
        <w:fldChar w:fldCharType="separate"/>
      </w:r>
      <w:r>
        <w:t>247</w:t>
      </w:r>
      <w:r>
        <w:fldChar w:fldCharType="end"/>
      </w:r>
      <w:r>
        <w:rPr>
          <w:rFonts w:cs="Times New Roman"/>
          <w:caps/>
          <w:snapToGrid w:val="0"/>
          <w:color w:val="000000" w:themeColor="text1"/>
          <w:kern w:val="0"/>
          <w:szCs w:val="24"/>
          <w14:textFill>
            <w14:solidFill>
              <w14:schemeClr w14:val="tx1"/>
            </w14:solidFill>
          </w14:textFill>
        </w:rPr>
        <w:fldChar w:fldCharType="end"/>
      </w:r>
    </w:p>
    <w:p w14:paraId="7BC020BD">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_Toc4821 </w:instrText>
      </w:r>
      <w:r>
        <w:rPr>
          <w:rFonts w:cs="Times New Roman"/>
          <w:caps/>
          <w:snapToGrid w:val="0"/>
          <w:kern w:val="0"/>
          <w:szCs w:val="24"/>
        </w:rPr>
        <w:fldChar w:fldCharType="separate"/>
      </w:r>
      <w:r>
        <w:rPr>
          <w:snapToGrid w:val="0"/>
        </w:rPr>
        <w:t>9.1.1建设项目概况</w:t>
      </w:r>
      <w:r>
        <w:tab/>
      </w:r>
      <w:r>
        <w:fldChar w:fldCharType="begin"/>
      </w:r>
      <w:r>
        <w:instrText xml:space="preserve"> PAGEREF _Toc4821 \h </w:instrText>
      </w:r>
      <w:r>
        <w:fldChar w:fldCharType="separate"/>
      </w:r>
      <w:r>
        <w:t>247</w:t>
      </w:r>
      <w:r>
        <w:fldChar w:fldCharType="end"/>
      </w:r>
      <w:r>
        <w:rPr>
          <w:rFonts w:cs="Times New Roman"/>
          <w:caps/>
          <w:snapToGrid w:val="0"/>
          <w:color w:val="000000" w:themeColor="text1"/>
          <w:kern w:val="0"/>
          <w:szCs w:val="24"/>
          <w14:textFill>
            <w14:solidFill>
              <w14:schemeClr w14:val="tx1"/>
            </w14:solidFill>
          </w14:textFill>
        </w:rPr>
        <w:fldChar w:fldCharType="end"/>
      </w:r>
    </w:p>
    <w:p w14:paraId="453F9E1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_Toc17760 </w:instrText>
      </w:r>
      <w:r>
        <w:rPr>
          <w:rFonts w:cs="Times New Roman"/>
          <w:caps/>
          <w:snapToGrid w:val="0"/>
          <w:kern w:val="0"/>
          <w:szCs w:val="24"/>
        </w:rPr>
        <w:fldChar w:fldCharType="separate"/>
      </w:r>
      <w:r>
        <w:rPr>
          <w:snapToGrid w:val="0"/>
        </w:rPr>
        <w:t>9.1.2</w:t>
      </w:r>
      <w:r>
        <w:rPr>
          <w:rFonts w:hint="eastAsia"/>
          <w:snapToGrid w:val="0"/>
        </w:rPr>
        <w:t>项目</w:t>
      </w:r>
      <w:r>
        <w:rPr>
          <w:snapToGrid w:val="0"/>
        </w:rPr>
        <w:t>符合性</w:t>
      </w:r>
      <w:r>
        <w:rPr>
          <w:rFonts w:hint="eastAsia"/>
          <w:snapToGrid w:val="0"/>
        </w:rPr>
        <w:t>结论</w:t>
      </w:r>
      <w:r>
        <w:tab/>
      </w:r>
      <w:r>
        <w:fldChar w:fldCharType="begin"/>
      </w:r>
      <w:r>
        <w:instrText xml:space="preserve"> PAGEREF _Toc17760 \h </w:instrText>
      </w:r>
      <w:r>
        <w:fldChar w:fldCharType="separate"/>
      </w:r>
      <w:r>
        <w:t>247</w:t>
      </w:r>
      <w:r>
        <w:fldChar w:fldCharType="end"/>
      </w:r>
      <w:r>
        <w:rPr>
          <w:rFonts w:cs="Times New Roman"/>
          <w:caps/>
          <w:snapToGrid w:val="0"/>
          <w:color w:val="000000" w:themeColor="text1"/>
          <w:kern w:val="0"/>
          <w:szCs w:val="24"/>
          <w14:textFill>
            <w14:solidFill>
              <w14:schemeClr w14:val="tx1"/>
            </w14:solidFill>
          </w14:textFill>
        </w:rPr>
        <w:fldChar w:fldCharType="end"/>
      </w:r>
    </w:p>
    <w:p w14:paraId="61DEF1D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_Toc6988 </w:instrText>
      </w:r>
      <w:r>
        <w:rPr>
          <w:rFonts w:cs="Times New Roman"/>
          <w:caps/>
          <w:snapToGrid w:val="0"/>
          <w:kern w:val="0"/>
          <w:szCs w:val="24"/>
        </w:rPr>
        <w:fldChar w:fldCharType="separate"/>
      </w:r>
      <w:r>
        <w:rPr>
          <w:snapToGrid w:val="0"/>
        </w:rPr>
        <w:t>9.1.3环境质量现状评价结论</w:t>
      </w:r>
      <w:r>
        <w:tab/>
      </w:r>
      <w:r>
        <w:fldChar w:fldCharType="begin"/>
      </w:r>
      <w:r>
        <w:instrText xml:space="preserve"> PAGEREF _Toc6988 \h </w:instrText>
      </w:r>
      <w:r>
        <w:fldChar w:fldCharType="separate"/>
      </w:r>
      <w:r>
        <w:t>247</w:t>
      </w:r>
      <w:r>
        <w:fldChar w:fldCharType="end"/>
      </w:r>
      <w:r>
        <w:rPr>
          <w:rFonts w:cs="Times New Roman"/>
          <w:caps/>
          <w:snapToGrid w:val="0"/>
          <w:color w:val="000000" w:themeColor="text1"/>
          <w:kern w:val="0"/>
          <w:szCs w:val="24"/>
          <w14:textFill>
            <w14:solidFill>
              <w14:schemeClr w14:val="tx1"/>
            </w14:solidFill>
          </w14:textFill>
        </w:rPr>
        <w:fldChar w:fldCharType="end"/>
      </w:r>
    </w:p>
    <w:p w14:paraId="56E5B9B4">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_Toc8972 </w:instrText>
      </w:r>
      <w:r>
        <w:rPr>
          <w:rFonts w:cs="Times New Roman"/>
          <w:caps/>
          <w:snapToGrid w:val="0"/>
          <w:kern w:val="0"/>
          <w:szCs w:val="24"/>
        </w:rPr>
        <w:fldChar w:fldCharType="separate"/>
      </w:r>
      <w:r>
        <w:rPr>
          <w:snapToGrid w:val="0"/>
        </w:rPr>
        <w:t>9.1.4污染物排放情况</w:t>
      </w:r>
      <w:r>
        <w:tab/>
      </w:r>
      <w:r>
        <w:fldChar w:fldCharType="begin"/>
      </w:r>
      <w:r>
        <w:instrText xml:space="preserve"> PAGEREF _Toc8972 \h </w:instrText>
      </w:r>
      <w:r>
        <w:fldChar w:fldCharType="separate"/>
      </w:r>
      <w:r>
        <w:t>249</w:t>
      </w:r>
      <w:r>
        <w:fldChar w:fldCharType="end"/>
      </w:r>
      <w:r>
        <w:rPr>
          <w:rFonts w:cs="Times New Roman"/>
          <w:caps/>
          <w:snapToGrid w:val="0"/>
          <w:color w:val="000000" w:themeColor="text1"/>
          <w:kern w:val="0"/>
          <w:szCs w:val="24"/>
          <w14:textFill>
            <w14:solidFill>
              <w14:schemeClr w14:val="tx1"/>
            </w14:solidFill>
          </w14:textFill>
        </w:rPr>
        <w:fldChar w:fldCharType="end"/>
      </w:r>
    </w:p>
    <w:p w14:paraId="5F653F45">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_Toc14514 </w:instrText>
      </w:r>
      <w:r>
        <w:rPr>
          <w:rFonts w:cs="Times New Roman"/>
          <w:caps/>
          <w:snapToGrid w:val="0"/>
          <w:kern w:val="0"/>
          <w:szCs w:val="24"/>
        </w:rPr>
        <w:fldChar w:fldCharType="separate"/>
      </w:r>
      <w:r>
        <w:rPr>
          <w:snapToGrid w:val="0"/>
        </w:rPr>
        <w:t>9.1.5环境影响评价结论</w:t>
      </w:r>
      <w:r>
        <w:tab/>
      </w:r>
      <w:r>
        <w:fldChar w:fldCharType="begin"/>
      </w:r>
      <w:r>
        <w:instrText xml:space="preserve"> PAGEREF _Toc14514 \h </w:instrText>
      </w:r>
      <w:r>
        <w:fldChar w:fldCharType="separate"/>
      </w:r>
      <w:r>
        <w:t>249</w:t>
      </w:r>
      <w:r>
        <w:fldChar w:fldCharType="end"/>
      </w:r>
      <w:r>
        <w:rPr>
          <w:rFonts w:cs="Times New Roman"/>
          <w:caps/>
          <w:snapToGrid w:val="0"/>
          <w:color w:val="000000" w:themeColor="text1"/>
          <w:kern w:val="0"/>
          <w:szCs w:val="24"/>
          <w14:textFill>
            <w14:solidFill>
              <w14:schemeClr w14:val="tx1"/>
            </w14:solidFill>
          </w14:textFill>
        </w:rPr>
        <w:fldChar w:fldCharType="end"/>
      </w:r>
    </w:p>
    <w:p w14:paraId="245DC0CA">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_Toc21697 </w:instrText>
      </w:r>
      <w:r>
        <w:rPr>
          <w:rFonts w:cs="Times New Roman"/>
          <w:caps/>
          <w:snapToGrid w:val="0"/>
          <w:kern w:val="0"/>
          <w:szCs w:val="24"/>
        </w:rPr>
        <w:fldChar w:fldCharType="separate"/>
      </w:r>
      <w:r>
        <w:rPr>
          <w:snapToGrid w:val="0"/>
        </w:rPr>
        <w:t>9.1.6污染防治措施</w:t>
      </w:r>
      <w:r>
        <w:tab/>
      </w:r>
      <w:r>
        <w:fldChar w:fldCharType="begin"/>
      </w:r>
      <w:r>
        <w:instrText xml:space="preserve"> PAGEREF _Toc21697 \h </w:instrText>
      </w:r>
      <w:r>
        <w:fldChar w:fldCharType="separate"/>
      </w:r>
      <w:r>
        <w:t>253</w:t>
      </w:r>
      <w:r>
        <w:fldChar w:fldCharType="end"/>
      </w:r>
      <w:r>
        <w:rPr>
          <w:rFonts w:cs="Times New Roman"/>
          <w:caps/>
          <w:snapToGrid w:val="0"/>
          <w:color w:val="000000" w:themeColor="text1"/>
          <w:kern w:val="0"/>
          <w:szCs w:val="24"/>
          <w14:textFill>
            <w14:solidFill>
              <w14:schemeClr w14:val="tx1"/>
            </w14:solidFill>
          </w14:textFill>
        </w:rPr>
        <w:fldChar w:fldCharType="end"/>
      </w:r>
    </w:p>
    <w:p w14:paraId="05D2220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_Toc32387 </w:instrText>
      </w:r>
      <w:r>
        <w:rPr>
          <w:rFonts w:cs="Times New Roman"/>
          <w:caps/>
          <w:snapToGrid w:val="0"/>
          <w:kern w:val="0"/>
          <w:szCs w:val="24"/>
        </w:rPr>
        <w:fldChar w:fldCharType="separate"/>
      </w:r>
      <w:r>
        <w:rPr>
          <w:snapToGrid w:val="0"/>
        </w:rPr>
        <w:t>9.1.7公众</w:t>
      </w:r>
      <w:r>
        <w:rPr>
          <w:rFonts w:hint="eastAsia"/>
          <w:snapToGrid w:val="0"/>
        </w:rPr>
        <w:t>参与情况</w:t>
      </w:r>
      <w:r>
        <w:tab/>
      </w:r>
      <w:r>
        <w:fldChar w:fldCharType="begin"/>
      </w:r>
      <w:r>
        <w:instrText xml:space="preserve"> PAGEREF _Toc32387 \h </w:instrText>
      </w:r>
      <w:r>
        <w:fldChar w:fldCharType="separate"/>
      </w:r>
      <w:r>
        <w:t>255</w:t>
      </w:r>
      <w:r>
        <w:fldChar w:fldCharType="end"/>
      </w:r>
      <w:r>
        <w:rPr>
          <w:rFonts w:cs="Times New Roman"/>
          <w:caps/>
          <w:snapToGrid w:val="0"/>
          <w:color w:val="000000" w:themeColor="text1"/>
          <w:kern w:val="0"/>
          <w:szCs w:val="24"/>
          <w14:textFill>
            <w14:solidFill>
              <w14:schemeClr w14:val="tx1"/>
            </w14:solidFill>
          </w14:textFill>
        </w:rPr>
        <w:fldChar w:fldCharType="end"/>
      </w:r>
    </w:p>
    <w:p w14:paraId="2753696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_Toc2208 </w:instrText>
      </w:r>
      <w:r>
        <w:rPr>
          <w:rFonts w:cs="Times New Roman"/>
          <w:caps/>
          <w:snapToGrid w:val="0"/>
          <w:kern w:val="0"/>
          <w:szCs w:val="24"/>
        </w:rPr>
        <w:fldChar w:fldCharType="separate"/>
      </w:r>
      <w:r>
        <w:rPr>
          <w:snapToGrid w:val="0"/>
        </w:rPr>
        <w:t>9.1.8环境经济损益分析结论</w:t>
      </w:r>
      <w:r>
        <w:tab/>
      </w:r>
      <w:r>
        <w:fldChar w:fldCharType="begin"/>
      </w:r>
      <w:r>
        <w:instrText xml:space="preserve"> PAGEREF _Toc2208 \h </w:instrText>
      </w:r>
      <w:r>
        <w:fldChar w:fldCharType="separate"/>
      </w:r>
      <w:r>
        <w:t>256</w:t>
      </w:r>
      <w:r>
        <w:fldChar w:fldCharType="end"/>
      </w:r>
      <w:r>
        <w:rPr>
          <w:rFonts w:cs="Times New Roman"/>
          <w:caps/>
          <w:snapToGrid w:val="0"/>
          <w:color w:val="000000" w:themeColor="text1"/>
          <w:kern w:val="0"/>
          <w:szCs w:val="24"/>
          <w14:textFill>
            <w14:solidFill>
              <w14:schemeClr w14:val="tx1"/>
            </w14:solidFill>
          </w14:textFill>
        </w:rPr>
        <w:fldChar w:fldCharType="end"/>
      </w:r>
    </w:p>
    <w:p w14:paraId="1F059887">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_Toc4236 </w:instrText>
      </w:r>
      <w:r>
        <w:rPr>
          <w:rFonts w:cs="Times New Roman"/>
          <w:caps/>
          <w:snapToGrid w:val="0"/>
          <w:kern w:val="0"/>
          <w:szCs w:val="24"/>
        </w:rPr>
        <w:fldChar w:fldCharType="separate"/>
      </w:r>
      <w:r>
        <w:rPr>
          <w:snapToGrid w:val="0"/>
        </w:rPr>
        <w:t>9.1.9环境管理与监测</w:t>
      </w:r>
      <w:r>
        <w:rPr>
          <w:rFonts w:hint="eastAsia"/>
          <w:snapToGrid w:val="0"/>
        </w:rPr>
        <w:t>计划</w:t>
      </w:r>
      <w:r>
        <w:rPr>
          <w:snapToGrid w:val="0"/>
        </w:rPr>
        <w:t>结论</w:t>
      </w:r>
      <w:r>
        <w:tab/>
      </w:r>
      <w:r>
        <w:fldChar w:fldCharType="begin"/>
      </w:r>
      <w:r>
        <w:instrText xml:space="preserve"> PAGEREF _Toc4236 \h </w:instrText>
      </w:r>
      <w:r>
        <w:fldChar w:fldCharType="separate"/>
      </w:r>
      <w:r>
        <w:t>256</w:t>
      </w:r>
      <w:r>
        <w:fldChar w:fldCharType="end"/>
      </w:r>
      <w:r>
        <w:rPr>
          <w:rFonts w:cs="Times New Roman"/>
          <w:caps/>
          <w:snapToGrid w:val="0"/>
          <w:color w:val="000000" w:themeColor="text1"/>
          <w:kern w:val="0"/>
          <w:szCs w:val="24"/>
          <w14:textFill>
            <w14:solidFill>
              <w14:schemeClr w14:val="tx1"/>
            </w14:solidFill>
          </w14:textFill>
        </w:rPr>
        <w:fldChar w:fldCharType="end"/>
      </w:r>
    </w:p>
    <w:p w14:paraId="4FEB8310">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_Toc4271 </w:instrText>
      </w:r>
      <w:r>
        <w:rPr>
          <w:rFonts w:cs="Times New Roman"/>
          <w:caps/>
          <w:snapToGrid w:val="0"/>
          <w:kern w:val="0"/>
          <w:szCs w:val="24"/>
        </w:rPr>
        <w:fldChar w:fldCharType="separate"/>
      </w:r>
      <w:r>
        <w:rPr>
          <w:snapToGrid w:val="0"/>
        </w:rPr>
        <w:t>9.1.10综合结论</w:t>
      </w:r>
      <w:r>
        <w:tab/>
      </w:r>
      <w:r>
        <w:fldChar w:fldCharType="begin"/>
      </w:r>
      <w:r>
        <w:instrText xml:space="preserve"> PAGEREF _Toc4271 \h </w:instrText>
      </w:r>
      <w:r>
        <w:fldChar w:fldCharType="separate"/>
      </w:r>
      <w:r>
        <w:t>256</w:t>
      </w:r>
      <w:r>
        <w:fldChar w:fldCharType="end"/>
      </w:r>
      <w:r>
        <w:rPr>
          <w:rFonts w:cs="Times New Roman"/>
          <w:caps/>
          <w:snapToGrid w:val="0"/>
          <w:color w:val="000000" w:themeColor="text1"/>
          <w:kern w:val="0"/>
          <w:szCs w:val="24"/>
          <w14:textFill>
            <w14:solidFill>
              <w14:schemeClr w14:val="tx1"/>
            </w14:solidFill>
          </w14:textFill>
        </w:rPr>
        <w:fldChar w:fldCharType="end"/>
      </w:r>
    </w:p>
    <w:p w14:paraId="6933B6BA">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_Toc26752 </w:instrText>
      </w:r>
      <w:r>
        <w:rPr>
          <w:rFonts w:cs="Times New Roman"/>
          <w:caps/>
          <w:snapToGrid w:val="0"/>
          <w:kern w:val="0"/>
          <w:szCs w:val="24"/>
        </w:rPr>
        <w:fldChar w:fldCharType="separate"/>
      </w:r>
      <w:r>
        <w:rPr>
          <w:snapToGrid w:val="0"/>
        </w:rPr>
        <w:t>9.2对策与建议</w:t>
      </w:r>
      <w:r>
        <w:tab/>
      </w:r>
      <w:r>
        <w:fldChar w:fldCharType="begin"/>
      </w:r>
      <w:r>
        <w:instrText xml:space="preserve"> PAGEREF _Toc26752 \h </w:instrText>
      </w:r>
      <w:r>
        <w:fldChar w:fldCharType="separate"/>
      </w:r>
      <w:r>
        <w:t>256</w:t>
      </w:r>
      <w:r>
        <w:fldChar w:fldCharType="end"/>
      </w:r>
      <w:r>
        <w:rPr>
          <w:rFonts w:cs="Times New Roman"/>
          <w:caps/>
          <w:snapToGrid w:val="0"/>
          <w:color w:val="000000" w:themeColor="text1"/>
          <w:kern w:val="0"/>
          <w:szCs w:val="24"/>
          <w14:textFill>
            <w14:solidFill>
              <w14:schemeClr w14:val="tx1"/>
            </w14:solidFill>
          </w14:textFill>
        </w:rPr>
        <w:fldChar w:fldCharType="end"/>
      </w:r>
    </w:p>
    <w:p w14:paraId="12F56206">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_Toc14480 </w:instrText>
      </w:r>
      <w:r>
        <w:rPr>
          <w:rFonts w:cs="Times New Roman"/>
          <w:caps/>
          <w:snapToGrid w:val="0"/>
          <w:kern w:val="0"/>
          <w:szCs w:val="24"/>
        </w:rPr>
        <w:fldChar w:fldCharType="separate"/>
      </w:r>
      <w:r>
        <w:rPr>
          <w:rFonts w:hint="eastAsia"/>
          <w:snapToGrid w:val="0"/>
        </w:rPr>
        <w:t>附件</w:t>
      </w:r>
      <w:r>
        <w:tab/>
      </w:r>
      <w:r>
        <w:fldChar w:fldCharType="begin"/>
      </w:r>
      <w:r>
        <w:instrText xml:space="preserve"> PAGEREF _Toc14480 \h </w:instrText>
      </w:r>
      <w:r>
        <w:fldChar w:fldCharType="separate"/>
      </w:r>
      <w:r>
        <w:t>258</w:t>
      </w:r>
      <w:r>
        <w:fldChar w:fldCharType="end"/>
      </w:r>
      <w:r>
        <w:rPr>
          <w:rFonts w:cs="Times New Roman"/>
          <w:caps/>
          <w:snapToGrid w:val="0"/>
          <w:color w:val="000000" w:themeColor="text1"/>
          <w:kern w:val="0"/>
          <w:szCs w:val="24"/>
          <w14:textFill>
            <w14:solidFill>
              <w14:schemeClr w14:val="tx1"/>
            </w14:solidFill>
          </w14:textFill>
        </w:rPr>
        <w:fldChar w:fldCharType="end"/>
      </w:r>
    </w:p>
    <w:p w14:paraId="7031058B">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_Toc24908 </w:instrText>
      </w:r>
      <w:r>
        <w:rPr>
          <w:rFonts w:cs="Times New Roman"/>
          <w:caps/>
          <w:snapToGrid w:val="0"/>
          <w:kern w:val="0"/>
          <w:szCs w:val="24"/>
        </w:rPr>
        <w:fldChar w:fldCharType="separate"/>
      </w:r>
      <w:r>
        <w:rPr>
          <w:rFonts w:hint="eastAsia"/>
        </w:rPr>
        <w:t>附件1</w:t>
      </w:r>
      <w:r>
        <w:t xml:space="preserve"> </w:t>
      </w:r>
      <w:r>
        <w:rPr>
          <w:rFonts w:hint="eastAsia"/>
        </w:rPr>
        <w:t>营业执照</w:t>
      </w:r>
      <w:r>
        <w:tab/>
      </w:r>
      <w:r>
        <w:fldChar w:fldCharType="begin"/>
      </w:r>
      <w:r>
        <w:instrText xml:space="preserve"> PAGEREF _Toc24908 \h </w:instrText>
      </w:r>
      <w:r>
        <w:fldChar w:fldCharType="separate"/>
      </w:r>
      <w:r>
        <w:t>258</w:t>
      </w:r>
      <w:r>
        <w:fldChar w:fldCharType="end"/>
      </w:r>
      <w:r>
        <w:rPr>
          <w:rFonts w:cs="Times New Roman"/>
          <w:caps/>
          <w:snapToGrid w:val="0"/>
          <w:color w:val="000000" w:themeColor="text1"/>
          <w:kern w:val="0"/>
          <w:szCs w:val="24"/>
          <w14:textFill>
            <w14:solidFill>
              <w14:schemeClr w14:val="tx1"/>
            </w14:solidFill>
          </w14:textFill>
        </w:rPr>
        <w:fldChar w:fldCharType="end"/>
      </w:r>
    </w:p>
    <w:p w14:paraId="2692C1F3">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_Toc32257 </w:instrText>
      </w:r>
      <w:r>
        <w:rPr>
          <w:rFonts w:cs="Times New Roman"/>
          <w:caps/>
          <w:snapToGrid w:val="0"/>
          <w:kern w:val="0"/>
          <w:szCs w:val="24"/>
        </w:rPr>
        <w:fldChar w:fldCharType="separate"/>
      </w:r>
      <w:r>
        <w:rPr>
          <w:rFonts w:hint="eastAsia"/>
          <w:snapToGrid w:val="0"/>
        </w:rPr>
        <w:t>附件2</w:t>
      </w:r>
      <w:r>
        <w:rPr>
          <w:snapToGrid w:val="0"/>
        </w:rPr>
        <w:t xml:space="preserve"> </w:t>
      </w:r>
      <w:r>
        <w:rPr>
          <w:rFonts w:hint="eastAsia"/>
          <w:snapToGrid w:val="0"/>
        </w:rPr>
        <w:t>立项备案表</w:t>
      </w:r>
      <w:r>
        <w:tab/>
      </w:r>
      <w:r>
        <w:fldChar w:fldCharType="begin"/>
      </w:r>
      <w:r>
        <w:instrText xml:space="preserve"> PAGEREF _Toc32257 \h </w:instrText>
      </w:r>
      <w:r>
        <w:fldChar w:fldCharType="separate"/>
      </w:r>
      <w:r>
        <w:t>259</w:t>
      </w:r>
      <w:r>
        <w:fldChar w:fldCharType="end"/>
      </w:r>
      <w:r>
        <w:rPr>
          <w:rFonts w:cs="Times New Roman"/>
          <w:caps/>
          <w:snapToGrid w:val="0"/>
          <w:color w:val="000000" w:themeColor="text1"/>
          <w:kern w:val="0"/>
          <w:szCs w:val="24"/>
          <w14:textFill>
            <w14:solidFill>
              <w14:schemeClr w14:val="tx1"/>
            </w14:solidFill>
          </w14:textFill>
        </w:rPr>
        <w:fldChar w:fldCharType="end"/>
      </w:r>
    </w:p>
    <w:p w14:paraId="322AAB85">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_Toc32276 </w:instrText>
      </w:r>
      <w:r>
        <w:rPr>
          <w:rFonts w:cs="Times New Roman"/>
          <w:caps/>
          <w:snapToGrid w:val="0"/>
          <w:kern w:val="0"/>
          <w:szCs w:val="24"/>
        </w:rPr>
        <w:fldChar w:fldCharType="separate"/>
      </w:r>
      <w:r>
        <w:rPr>
          <w:rFonts w:hint="eastAsia"/>
          <w:snapToGrid w:val="0"/>
        </w:rPr>
        <w:t>附件</w:t>
      </w:r>
      <w:r>
        <w:rPr>
          <w:rFonts w:hint="eastAsia"/>
          <w:snapToGrid w:val="0"/>
          <w:lang w:val="en-US" w:eastAsia="zh-CN"/>
        </w:rPr>
        <w:t>3</w:t>
      </w:r>
      <w:r>
        <w:rPr>
          <w:snapToGrid w:val="0"/>
        </w:rPr>
        <w:t xml:space="preserve"> </w:t>
      </w:r>
      <w:r>
        <w:rPr>
          <w:rFonts w:hint="eastAsia"/>
          <w:snapToGrid w:val="0"/>
        </w:rPr>
        <w:t>生态环境分区管控分析报告</w:t>
      </w:r>
      <w:r>
        <w:tab/>
      </w:r>
      <w:r>
        <w:fldChar w:fldCharType="begin"/>
      </w:r>
      <w:r>
        <w:instrText xml:space="preserve"> PAGEREF _Toc32276 \h </w:instrText>
      </w:r>
      <w:r>
        <w:fldChar w:fldCharType="separate"/>
      </w:r>
      <w:r>
        <w:t>260</w:t>
      </w:r>
      <w:r>
        <w:fldChar w:fldCharType="end"/>
      </w:r>
      <w:r>
        <w:rPr>
          <w:rFonts w:cs="Times New Roman"/>
          <w:caps/>
          <w:snapToGrid w:val="0"/>
          <w:color w:val="000000" w:themeColor="text1"/>
          <w:kern w:val="0"/>
          <w:szCs w:val="24"/>
          <w14:textFill>
            <w14:solidFill>
              <w14:schemeClr w14:val="tx1"/>
            </w14:solidFill>
          </w14:textFill>
        </w:rPr>
        <w:fldChar w:fldCharType="end"/>
      </w:r>
    </w:p>
    <w:p w14:paraId="59F679FD">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_Toc27252 </w:instrText>
      </w:r>
      <w:r>
        <w:rPr>
          <w:rFonts w:cs="Times New Roman"/>
          <w:caps/>
          <w:snapToGrid w:val="0"/>
          <w:kern w:val="0"/>
          <w:szCs w:val="24"/>
        </w:rPr>
        <w:fldChar w:fldCharType="separate"/>
      </w:r>
      <w:r>
        <w:rPr>
          <w:rFonts w:hint="eastAsia"/>
          <w:snapToGrid w:val="0"/>
        </w:rPr>
        <w:t>附件</w:t>
      </w:r>
      <w:r>
        <w:rPr>
          <w:rFonts w:hint="eastAsia"/>
          <w:snapToGrid w:val="0"/>
          <w:lang w:val="en-US" w:eastAsia="zh-CN"/>
        </w:rPr>
        <w:t>4</w:t>
      </w:r>
      <w:r>
        <w:rPr>
          <w:snapToGrid w:val="0"/>
        </w:rPr>
        <w:t xml:space="preserve"> </w:t>
      </w:r>
      <w:r>
        <w:rPr>
          <w:rFonts w:hint="eastAsia"/>
          <w:snapToGrid w:val="0"/>
        </w:rPr>
        <w:t>土地手续</w:t>
      </w:r>
      <w:r>
        <w:tab/>
      </w:r>
      <w:r>
        <w:fldChar w:fldCharType="begin"/>
      </w:r>
      <w:r>
        <w:instrText xml:space="preserve"> PAGEREF _Toc27252 \h </w:instrText>
      </w:r>
      <w:r>
        <w:fldChar w:fldCharType="separate"/>
      </w:r>
      <w:r>
        <w:t>267</w:t>
      </w:r>
      <w:r>
        <w:fldChar w:fldCharType="end"/>
      </w:r>
      <w:r>
        <w:rPr>
          <w:rFonts w:cs="Times New Roman"/>
          <w:caps/>
          <w:snapToGrid w:val="0"/>
          <w:color w:val="000000" w:themeColor="text1"/>
          <w:kern w:val="0"/>
          <w:szCs w:val="24"/>
          <w14:textFill>
            <w14:solidFill>
              <w14:schemeClr w14:val="tx1"/>
            </w14:solidFill>
          </w14:textFill>
        </w:rPr>
        <w:fldChar w:fldCharType="end"/>
      </w:r>
    </w:p>
    <w:p w14:paraId="6AB8B054">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_Toc20983 </w:instrText>
      </w:r>
      <w:r>
        <w:rPr>
          <w:rFonts w:cs="Times New Roman"/>
          <w:caps/>
          <w:snapToGrid w:val="0"/>
          <w:kern w:val="0"/>
          <w:szCs w:val="24"/>
        </w:rPr>
        <w:fldChar w:fldCharType="separate"/>
      </w:r>
      <w:r>
        <w:rPr>
          <w:rFonts w:cs="Times New Roman"/>
        </w:rPr>
        <w:t>附件</w:t>
      </w:r>
      <w:r>
        <w:rPr>
          <w:rFonts w:hint="eastAsia" w:cs="Times New Roman"/>
          <w:lang w:val="en-US" w:eastAsia="zh-CN"/>
        </w:rPr>
        <w:t>5</w:t>
      </w:r>
      <w:r>
        <w:rPr>
          <w:rFonts w:cs="Times New Roman"/>
        </w:rPr>
        <w:t xml:space="preserve"> </w:t>
      </w:r>
      <w:r>
        <w:rPr>
          <w:rFonts w:hint="eastAsia" w:cs="Times New Roman"/>
        </w:rPr>
        <w:t>现状监测报告</w:t>
      </w:r>
      <w:r>
        <w:tab/>
      </w:r>
      <w:r>
        <w:fldChar w:fldCharType="begin"/>
      </w:r>
      <w:r>
        <w:instrText xml:space="preserve"> PAGEREF _Toc20983 \h </w:instrText>
      </w:r>
      <w:r>
        <w:fldChar w:fldCharType="separate"/>
      </w:r>
      <w:r>
        <w:t>273</w:t>
      </w:r>
      <w:r>
        <w:fldChar w:fldCharType="end"/>
      </w:r>
      <w:r>
        <w:rPr>
          <w:rFonts w:cs="Times New Roman"/>
          <w:caps/>
          <w:snapToGrid w:val="0"/>
          <w:color w:val="000000" w:themeColor="text1"/>
          <w:kern w:val="0"/>
          <w:szCs w:val="24"/>
          <w14:textFill>
            <w14:solidFill>
              <w14:schemeClr w14:val="tx1"/>
            </w14:solidFill>
          </w14:textFill>
        </w:rPr>
        <w:fldChar w:fldCharType="end"/>
      </w:r>
    </w:p>
    <w:p w14:paraId="202DC2A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_Toc32313 </w:instrText>
      </w:r>
      <w:r>
        <w:rPr>
          <w:rFonts w:cs="Times New Roman"/>
          <w:caps/>
          <w:snapToGrid w:val="0"/>
          <w:kern w:val="0"/>
          <w:szCs w:val="24"/>
        </w:rPr>
        <w:fldChar w:fldCharType="separate"/>
      </w:r>
      <w:r>
        <w:rPr>
          <w:rFonts w:hint="eastAsia" w:cs="Times New Roman"/>
        </w:rPr>
        <w:t>附件</w:t>
      </w:r>
      <w:r>
        <w:rPr>
          <w:rFonts w:hint="eastAsia" w:cs="Times New Roman"/>
          <w:lang w:val="en-US" w:eastAsia="zh-CN"/>
        </w:rPr>
        <w:t>6</w:t>
      </w:r>
      <w:r>
        <w:rPr>
          <w:rFonts w:cs="Times New Roman"/>
        </w:rPr>
        <w:t xml:space="preserve"> </w:t>
      </w:r>
      <w:r>
        <w:rPr>
          <w:rFonts w:hint="eastAsia" w:cs="Times New Roman"/>
        </w:rPr>
        <w:t>关于《黑龙江绥芬河综合保税区总体规划（2021-2035年）环境影响报告书》的审查意见</w:t>
      </w:r>
      <w:r>
        <w:tab/>
      </w:r>
      <w:r>
        <w:fldChar w:fldCharType="begin"/>
      </w:r>
      <w:r>
        <w:instrText xml:space="preserve"> PAGEREF _Toc32313 \h </w:instrText>
      </w:r>
      <w:r>
        <w:fldChar w:fldCharType="separate"/>
      </w:r>
      <w:r>
        <w:t>284</w:t>
      </w:r>
      <w:r>
        <w:fldChar w:fldCharType="end"/>
      </w:r>
      <w:r>
        <w:rPr>
          <w:rFonts w:cs="Times New Roman"/>
          <w:caps/>
          <w:snapToGrid w:val="0"/>
          <w:color w:val="000000" w:themeColor="text1"/>
          <w:kern w:val="0"/>
          <w:szCs w:val="24"/>
          <w14:textFill>
            <w14:solidFill>
              <w14:schemeClr w14:val="tx1"/>
            </w14:solidFill>
          </w14:textFill>
        </w:rPr>
        <w:fldChar w:fldCharType="end"/>
      </w:r>
    </w:p>
    <w:p w14:paraId="05E51FD8">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_Toc22281 </w:instrText>
      </w:r>
      <w:r>
        <w:rPr>
          <w:rFonts w:cs="Times New Roman"/>
          <w:caps/>
          <w:snapToGrid w:val="0"/>
          <w:kern w:val="0"/>
          <w:szCs w:val="24"/>
        </w:rPr>
        <w:fldChar w:fldCharType="separate"/>
      </w:r>
      <w:r>
        <w:rPr>
          <w:rFonts w:hint="eastAsia"/>
          <w:snapToGrid w:val="0"/>
        </w:rPr>
        <w:t>附表</w:t>
      </w:r>
      <w:r>
        <w:tab/>
      </w:r>
      <w:r>
        <w:fldChar w:fldCharType="begin"/>
      </w:r>
      <w:r>
        <w:instrText xml:space="preserve"> PAGEREF _Toc22281 \h </w:instrText>
      </w:r>
      <w:r>
        <w:fldChar w:fldCharType="separate"/>
      </w:r>
      <w:r>
        <w:t>290</w:t>
      </w:r>
      <w:r>
        <w:fldChar w:fldCharType="end"/>
      </w:r>
      <w:r>
        <w:rPr>
          <w:rFonts w:cs="Times New Roman"/>
          <w:caps/>
          <w:snapToGrid w:val="0"/>
          <w:color w:val="000000" w:themeColor="text1"/>
          <w:kern w:val="0"/>
          <w:szCs w:val="24"/>
          <w14:textFill>
            <w14:solidFill>
              <w14:schemeClr w14:val="tx1"/>
            </w14:solidFill>
          </w14:textFill>
        </w:rPr>
        <w:fldChar w:fldCharType="end"/>
      </w:r>
    </w:p>
    <w:p w14:paraId="1F48D7C6">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_Toc25095 </w:instrText>
      </w:r>
      <w:r>
        <w:rPr>
          <w:rFonts w:cs="Times New Roman"/>
          <w:caps/>
          <w:snapToGrid w:val="0"/>
          <w:kern w:val="0"/>
          <w:szCs w:val="24"/>
        </w:rPr>
        <w:fldChar w:fldCharType="separate"/>
      </w:r>
      <w:r>
        <w:rPr>
          <w:rFonts w:cs="Times New Roman"/>
        </w:rPr>
        <w:t>附</w:t>
      </w:r>
      <w:r>
        <w:rPr>
          <w:rFonts w:hint="eastAsia" w:cs="Times New Roman"/>
        </w:rPr>
        <w:t>表1</w:t>
      </w:r>
      <w:r>
        <w:rPr>
          <w:rFonts w:cs="Times New Roman"/>
        </w:rPr>
        <w:t>建设项目大气环境影响评价自查表</w:t>
      </w:r>
      <w:r>
        <w:tab/>
      </w:r>
      <w:r>
        <w:fldChar w:fldCharType="begin"/>
      </w:r>
      <w:r>
        <w:instrText xml:space="preserve"> PAGEREF _Toc25095 \h </w:instrText>
      </w:r>
      <w:r>
        <w:fldChar w:fldCharType="separate"/>
      </w:r>
      <w:r>
        <w:t>290</w:t>
      </w:r>
      <w:r>
        <w:fldChar w:fldCharType="end"/>
      </w:r>
      <w:r>
        <w:rPr>
          <w:rFonts w:cs="Times New Roman"/>
          <w:caps/>
          <w:snapToGrid w:val="0"/>
          <w:color w:val="000000" w:themeColor="text1"/>
          <w:kern w:val="0"/>
          <w:szCs w:val="24"/>
          <w14:textFill>
            <w14:solidFill>
              <w14:schemeClr w14:val="tx1"/>
            </w14:solidFill>
          </w14:textFill>
        </w:rPr>
        <w:fldChar w:fldCharType="end"/>
      </w:r>
    </w:p>
    <w:p w14:paraId="215B767D">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_Toc13871 </w:instrText>
      </w:r>
      <w:r>
        <w:rPr>
          <w:rFonts w:cs="Times New Roman"/>
          <w:caps/>
          <w:snapToGrid w:val="0"/>
          <w:kern w:val="0"/>
          <w:szCs w:val="24"/>
        </w:rPr>
        <w:fldChar w:fldCharType="separate"/>
      </w:r>
      <w:r>
        <w:rPr>
          <w:rFonts w:cs="Times New Roman"/>
        </w:rPr>
        <w:t>附</w:t>
      </w:r>
      <w:r>
        <w:rPr>
          <w:rFonts w:hint="eastAsia" w:cs="Times New Roman"/>
        </w:rPr>
        <w:t>表2</w:t>
      </w:r>
      <w:r>
        <w:rPr>
          <w:rFonts w:cs="Times New Roman"/>
        </w:rPr>
        <w:t>建设项目地表水环境影响评价自查表</w:t>
      </w:r>
      <w:r>
        <w:tab/>
      </w:r>
      <w:r>
        <w:fldChar w:fldCharType="begin"/>
      </w:r>
      <w:r>
        <w:instrText xml:space="preserve"> PAGEREF _Toc13871 \h </w:instrText>
      </w:r>
      <w:r>
        <w:fldChar w:fldCharType="separate"/>
      </w:r>
      <w:r>
        <w:t>291</w:t>
      </w:r>
      <w:r>
        <w:fldChar w:fldCharType="end"/>
      </w:r>
      <w:r>
        <w:rPr>
          <w:rFonts w:cs="Times New Roman"/>
          <w:caps/>
          <w:snapToGrid w:val="0"/>
          <w:color w:val="000000" w:themeColor="text1"/>
          <w:kern w:val="0"/>
          <w:szCs w:val="24"/>
          <w14:textFill>
            <w14:solidFill>
              <w14:schemeClr w14:val="tx1"/>
            </w14:solidFill>
          </w14:textFill>
        </w:rPr>
        <w:fldChar w:fldCharType="end"/>
      </w:r>
    </w:p>
    <w:p w14:paraId="61FFC39C">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_Toc31227 </w:instrText>
      </w:r>
      <w:r>
        <w:rPr>
          <w:rFonts w:cs="Times New Roman"/>
          <w:caps/>
          <w:snapToGrid w:val="0"/>
          <w:kern w:val="0"/>
          <w:szCs w:val="24"/>
        </w:rPr>
        <w:fldChar w:fldCharType="separate"/>
      </w:r>
      <w:r>
        <w:rPr>
          <w:rFonts w:cs="Times New Roman"/>
        </w:rPr>
        <w:t>附</w:t>
      </w:r>
      <w:r>
        <w:rPr>
          <w:rFonts w:hint="eastAsia" w:cs="Times New Roman"/>
        </w:rPr>
        <w:t>表3建设</w:t>
      </w:r>
      <w:r>
        <w:rPr>
          <w:rFonts w:cs="Times New Roman"/>
        </w:rPr>
        <w:t>项目环境风险环境影响评价自查</w:t>
      </w:r>
      <w:r>
        <w:tab/>
      </w:r>
      <w:r>
        <w:fldChar w:fldCharType="begin"/>
      </w:r>
      <w:r>
        <w:instrText xml:space="preserve"> PAGEREF _Toc31227 \h </w:instrText>
      </w:r>
      <w:r>
        <w:fldChar w:fldCharType="separate"/>
      </w:r>
      <w:r>
        <w:t>293</w:t>
      </w:r>
      <w:r>
        <w:fldChar w:fldCharType="end"/>
      </w:r>
      <w:r>
        <w:rPr>
          <w:rFonts w:cs="Times New Roman"/>
          <w:caps/>
          <w:snapToGrid w:val="0"/>
          <w:color w:val="000000" w:themeColor="text1"/>
          <w:kern w:val="0"/>
          <w:szCs w:val="24"/>
          <w14:textFill>
            <w14:solidFill>
              <w14:schemeClr w14:val="tx1"/>
            </w14:solidFill>
          </w14:textFill>
        </w:rPr>
        <w:fldChar w:fldCharType="end"/>
      </w:r>
    </w:p>
    <w:p w14:paraId="1ED44960">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_Toc20157 </w:instrText>
      </w:r>
      <w:r>
        <w:rPr>
          <w:rFonts w:cs="Times New Roman"/>
          <w:caps/>
          <w:snapToGrid w:val="0"/>
          <w:kern w:val="0"/>
          <w:szCs w:val="24"/>
        </w:rPr>
        <w:fldChar w:fldCharType="separate"/>
      </w:r>
      <w:r>
        <w:rPr>
          <w:rFonts w:hint="eastAsia" w:cs="Times New Roman"/>
        </w:rPr>
        <w:t>附表</w:t>
      </w:r>
      <w:r>
        <w:rPr>
          <w:rFonts w:cs="Times New Roman"/>
        </w:rPr>
        <w:t>4</w:t>
      </w:r>
      <w:r>
        <w:rPr>
          <w:rFonts w:hint="eastAsia" w:cs="Times New Roman"/>
        </w:rPr>
        <w:t>建设项目生态影响评价自查表</w:t>
      </w:r>
      <w:r>
        <w:tab/>
      </w:r>
      <w:r>
        <w:fldChar w:fldCharType="begin"/>
      </w:r>
      <w:r>
        <w:instrText xml:space="preserve"> PAGEREF _Toc20157 \h </w:instrText>
      </w:r>
      <w:r>
        <w:fldChar w:fldCharType="separate"/>
      </w:r>
      <w:r>
        <w:t>294</w:t>
      </w:r>
      <w:r>
        <w:fldChar w:fldCharType="end"/>
      </w:r>
      <w:r>
        <w:rPr>
          <w:rFonts w:cs="Times New Roman"/>
          <w:caps/>
          <w:snapToGrid w:val="0"/>
          <w:color w:val="000000" w:themeColor="text1"/>
          <w:kern w:val="0"/>
          <w:szCs w:val="24"/>
          <w14:textFill>
            <w14:solidFill>
              <w14:schemeClr w14:val="tx1"/>
            </w14:solidFill>
          </w14:textFill>
        </w:rPr>
        <w:fldChar w:fldCharType="end"/>
      </w:r>
    </w:p>
    <w:p w14:paraId="11BF7CB2">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_Toc3382 </w:instrText>
      </w:r>
      <w:r>
        <w:rPr>
          <w:rFonts w:cs="Times New Roman"/>
          <w:caps/>
          <w:snapToGrid w:val="0"/>
          <w:kern w:val="0"/>
          <w:szCs w:val="24"/>
        </w:rPr>
        <w:fldChar w:fldCharType="separate"/>
      </w:r>
      <w:r>
        <w:rPr>
          <w:rFonts w:hint="eastAsia" w:cs="Times New Roman"/>
        </w:rPr>
        <w:t>附表</w:t>
      </w:r>
      <w:r>
        <w:rPr>
          <w:rFonts w:cs="Times New Roman"/>
        </w:rPr>
        <w:t>5</w:t>
      </w:r>
      <w:r>
        <w:rPr>
          <w:rFonts w:hint="eastAsia" w:cs="Times New Roman"/>
        </w:rPr>
        <w:t>建设项目声环境影响评价自查表</w:t>
      </w:r>
      <w:r>
        <w:tab/>
      </w:r>
      <w:r>
        <w:fldChar w:fldCharType="begin"/>
      </w:r>
      <w:r>
        <w:instrText xml:space="preserve"> PAGEREF _Toc3382 \h </w:instrText>
      </w:r>
      <w:r>
        <w:fldChar w:fldCharType="separate"/>
      </w:r>
      <w:r>
        <w:t>295</w:t>
      </w:r>
      <w:r>
        <w:fldChar w:fldCharType="end"/>
      </w:r>
      <w:r>
        <w:rPr>
          <w:rFonts w:cs="Times New Roman"/>
          <w:caps/>
          <w:snapToGrid w:val="0"/>
          <w:color w:val="000000" w:themeColor="text1"/>
          <w:kern w:val="0"/>
          <w:szCs w:val="24"/>
          <w14:textFill>
            <w14:solidFill>
              <w14:schemeClr w14:val="tx1"/>
            </w14:solidFill>
          </w14:textFill>
        </w:rPr>
        <w:fldChar w:fldCharType="end"/>
      </w:r>
    </w:p>
    <w:p w14:paraId="7E309348">
      <w:pPr>
        <w:pStyle w:val="38"/>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_Toc1021 </w:instrText>
      </w:r>
      <w:r>
        <w:rPr>
          <w:rFonts w:cs="Times New Roman"/>
          <w:caps/>
          <w:snapToGrid w:val="0"/>
          <w:kern w:val="0"/>
          <w:szCs w:val="24"/>
        </w:rPr>
        <w:fldChar w:fldCharType="separate"/>
      </w:r>
      <w:r>
        <w:rPr>
          <w:rFonts w:cs="Times New Roman"/>
          <w:snapToGrid w:val="0"/>
        </w:rPr>
        <w:t>附图</w:t>
      </w:r>
      <w:r>
        <w:tab/>
      </w:r>
      <w:r>
        <w:fldChar w:fldCharType="begin"/>
      </w:r>
      <w:r>
        <w:instrText xml:space="preserve"> PAGEREF _Toc1021 \h </w:instrText>
      </w:r>
      <w:r>
        <w:fldChar w:fldCharType="separate"/>
      </w:r>
      <w:r>
        <w:t>296</w:t>
      </w:r>
      <w:r>
        <w:fldChar w:fldCharType="end"/>
      </w:r>
      <w:r>
        <w:rPr>
          <w:rFonts w:cs="Times New Roman"/>
          <w:caps/>
          <w:snapToGrid w:val="0"/>
          <w:color w:val="000000" w:themeColor="text1"/>
          <w:kern w:val="0"/>
          <w:szCs w:val="24"/>
          <w14:textFill>
            <w14:solidFill>
              <w14:schemeClr w14:val="tx1"/>
            </w14:solidFill>
          </w14:textFill>
        </w:rPr>
        <w:fldChar w:fldCharType="end"/>
      </w:r>
    </w:p>
    <w:p w14:paraId="721CD738">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_Toc4036 </w:instrText>
      </w:r>
      <w:r>
        <w:rPr>
          <w:rFonts w:cs="Times New Roman"/>
          <w:caps/>
          <w:snapToGrid w:val="0"/>
          <w:kern w:val="0"/>
          <w:szCs w:val="24"/>
        </w:rPr>
        <w:fldChar w:fldCharType="separate"/>
      </w:r>
      <w:r>
        <w:rPr>
          <w:rFonts w:cs="Times New Roman"/>
          <w:snapToGrid w:val="0"/>
        </w:rPr>
        <w:t>附图1</w:t>
      </w:r>
      <w:r>
        <w:rPr>
          <w:rFonts w:hint="eastAsia" w:cs="Times New Roman"/>
          <w:snapToGrid w:val="0"/>
        </w:rPr>
        <w:t>地理位置</w:t>
      </w:r>
      <w:r>
        <w:rPr>
          <w:rFonts w:cs="Times New Roman"/>
          <w:snapToGrid w:val="0"/>
        </w:rPr>
        <w:t>图</w:t>
      </w:r>
      <w:r>
        <w:tab/>
      </w:r>
      <w:r>
        <w:fldChar w:fldCharType="begin"/>
      </w:r>
      <w:r>
        <w:instrText xml:space="preserve"> PAGEREF _Toc4036 \h </w:instrText>
      </w:r>
      <w:r>
        <w:fldChar w:fldCharType="separate"/>
      </w:r>
      <w:r>
        <w:t>296</w:t>
      </w:r>
      <w:r>
        <w:fldChar w:fldCharType="end"/>
      </w:r>
      <w:r>
        <w:rPr>
          <w:rFonts w:cs="Times New Roman"/>
          <w:caps/>
          <w:snapToGrid w:val="0"/>
          <w:color w:val="000000" w:themeColor="text1"/>
          <w:kern w:val="0"/>
          <w:szCs w:val="24"/>
          <w14:textFill>
            <w14:solidFill>
              <w14:schemeClr w14:val="tx1"/>
            </w14:solidFill>
          </w14:textFill>
        </w:rPr>
        <w:fldChar w:fldCharType="end"/>
      </w:r>
    </w:p>
    <w:p w14:paraId="7E4CE594">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_Toc18448 </w:instrText>
      </w:r>
      <w:r>
        <w:rPr>
          <w:rFonts w:cs="Times New Roman"/>
          <w:caps/>
          <w:snapToGrid w:val="0"/>
          <w:kern w:val="0"/>
          <w:szCs w:val="24"/>
        </w:rPr>
        <w:fldChar w:fldCharType="separate"/>
      </w:r>
      <w:r>
        <w:rPr>
          <w:rFonts w:cs="Times New Roman"/>
          <w:snapToGrid w:val="0"/>
        </w:rPr>
        <w:t>附图2</w:t>
      </w:r>
      <w:r>
        <w:rPr>
          <w:rFonts w:hint="eastAsia" w:cs="Times New Roman"/>
          <w:snapToGrid w:val="0"/>
        </w:rPr>
        <w:t>生态环境管控分区单元</w:t>
      </w:r>
      <w:r>
        <w:rPr>
          <w:rFonts w:cs="Times New Roman"/>
          <w:snapToGrid w:val="0"/>
        </w:rPr>
        <w:t>图</w:t>
      </w:r>
      <w:r>
        <w:tab/>
      </w:r>
      <w:r>
        <w:fldChar w:fldCharType="begin"/>
      </w:r>
      <w:r>
        <w:instrText xml:space="preserve"> PAGEREF _Toc18448 \h </w:instrText>
      </w:r>
      <w:r>
        <w:fldChar w:fldCharType="separate"/>
      </w:r>
      <w:r>
        <w:t>297</w:t>
      </w:r>
      <w:r>
        <w:fldChar w:fldCharType="end"/>
      </w:r>
      <w:r>
        <w:rPr>
          <w:rFonts w:cs="Times New Roman"/>
          <w:caps/>
          <w:snapToGrid w:val="0"/>
          <w:color w:val="000000" w:themeColor="text1"/>
          <w:kern w:val="0"/>
          <w:szCs w:val="24"/>
          <w14:textFill>
            <w14:solidFill>
              <w14:schemeClr w14:val="tx1"/>
            </w14:solidFill>
          </w14:textFill>
        </w:rPr>
        <w:fldChar w:fldCharType="end"/>
      </w:r>
    </w:p>
    <w:p w14:paraId="3B3E9B98">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_Toc18551 </w:instrText>
      </w:r>
      <w:r>
        <w:rPr>
          <w:rFonts w:cs="Times New Roman"/>
          <w:caps/>
          <w:snapToGrid w:val="0"/>
          <w:kern w:val="0"/>
          <w:szCs w:val="24"/>
        </w:rPr>
        <w:fldChar w:fldCharType="separate"/>
      </w:r>
      <w:r>
        <w:rPr>
          <w:rFonts w:cs="Times New Roman"/>
          <w:snapToGrid w:val="0"/>
        </w:rPr>
        <w:t>附图3评价范围图</w:t>
      </w:r>
      <w:r>
        <w:rPr>
          <w:rFonts w:hint="eastAsia" w:cs="Times New Roman"/>
          <w:snapToGrid w:val="0"/>
          <w:lang w:val="en-US" w:eastAsia="zh-CN"/>
        </w:rPr>
        <w:t>就敏感目标分布图</w:t>
      </w:r>
      <w:r>
        <w:tab/>
      </w:r>
      <w:r>
        <w:fldChar w:fldCharType="begin"/>
      </w:r>
      <w:r>
        <w:instrText xml:space="preserve"> PAGEREF _Toc18551 \h </w:instrText>
      </w:r>
      <w:r>
        <w:fldChar w:fldCharType="separate"/>
      </w:r>
      <w:r>
        <w:t>298</w:t>
      </w:r>
      <w:r>
        <w:fldChar w:fldCharType="end"/>
      </w:r>
      <w:r>
        <w:rPr>
          <w:rFonts w:cs="Times New Roman"/>
          <w:caps/>
          <w:snapToGrid w:val="0"/>
          <w:color w:val="000000" w:themeColor="text1"/>
          <w:kern w:val="0"/>
          <w:szCs w:val="24"/>
          <w14:textFill>
            <w14:solidFill>
              <w14:schemeClr w14:val="tx1"/>
            </w14:solidFill>
          </w14:textFill>
        </w:rPr>
        <w:fldChar w:fldCharType="end"/>
      </w:r>
    </w:p>
    <w:p w14:paraId="15754EF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_Toc22221 </w:instrText>
      </w:r>
      <w:r>
        <w:rPr>
          <w:rFonts w:cs="Times New Roman"/>
          <w:caps/>
          <w:snapToGrid w:val="0"/>
          <w:kern w:val="0"/>
          <w:szCs w:val="24"/>
        </w:rPr>
        <w:fldChar w:fldCharType="separate"/>
      </w:r>
      <w:r>
        <w:rPr>
          <w:rFonts w:cs="Times New Roman"/>
          <w:snapToGrid w:val="0"/>
        </w:rPr>
        <w:t>附图4</w:t>
      </w:r>
      <w:r>
        <w:rPr>
          <w:rFonts w:hint="eastAsia" w:cs="Times New Roman"/>
          <w:snapToGrid w:val="0"/>
        </w:rPr>
        <w:t>本项目总</w:t>
      </w:r>
      <w:r>
        <w:rPr>
          <w:rFonts w:cs="Times New Roman"/>
          <w:snapToGrid w:val="0"/>
        </w:rPr>
        <w:t>平面布置图</w:t>
      </w:r>
      <w:r>
        <w:tab/>
      </w:r>
      <w:r>
        <w:fldChar w:fldCharType="begin"/>
      </w:r>
      <w:r>
        <w:instrText xml:space="preserve"> PAGEREF _Toc22221 \h </w:instrText>
      </w:r>
      <w:r>
        <w:fldChar w:fldCharType="separate"/>
      </w:r>
      <w:r>
        <w:t>299</w:t>
      </w:r>
      <w:r>
        <w:fldChar w:fldCharType="end"/>
      </w:r>
      <w:r>
        <w:rPr>
          <w:rFonts w:cs="Times New Roman"/>
          <w:caps/>
          <w:snapToGrid w:val="0"/>
          <w:color w:val="000000" w:themeColor="text1"/>
          <w:kern w:val="0"/>
          <w:szCs w:val="24"/>
          <w14:textFill>
            <w14:solidFill>
              <w14:schemeClr w14:val="tx1"/>
            </w14:solidFill>
          </w14:textFill>
        </w:rPr>
        <w:fldChar w:fldCharType="end"/>
      </w:r>
    </w:p>
    <w:p w14:paraId="66FA0FF1">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_Toc6872 </w:instrText>
      </w:r>
      <w:r>
        <w:rPr>
          <w:rFonts w:cs="Times New Roman"/>
          <w:caps/>
          <w:snapToGrid w:val="0"/>
          <w:kern w:val="0"/>
          <w:szCs w:val="24"/>
        </w:rPr>
        <w:fldChar w:fldCharType="separate"/>
      </w:r>
      <w:r>
        <w:rPr>
          <w:rFonts w:cs="Times New Roman"/>
          <w:snapToGrid w:val="0"/>
        </w:rPr>
        <w:t>附图5</w:t>
      </w:r>
      <w:r>
        <w:rPr>
          <w:rFonts w:hint="eastAsia" w:cs="Times New Roman"/>
          <w:snapToGrid w:val="0"/>
          <w:lang w:val="en-US" w:eastAsia="zh-CN"/>
        </w:rPr>
        <w:t>本项目在</w:t>
      </w:r>
      <w:r>
        <w:rPr>
          <w:lang w:val="en-US" w:eastAsia="zh-CN"/>
        </w:rPr>
        <w:t>桦南经济开发区</w:t>
      </w:r>
      <w:r>
        <w:rPr>
          <w:rFonts w:hint="eastAsia"/>
          <w:lang w:val="en-US" w:eastAsia="zh-CN"/>
        </w:rPr>
        <w:t>位置图</w:t>
      </w:r>
      <w:r>
        <w:tab/>
      </w:r>
      <w:r>
        <w:fldChar w:fldCharType="begin"/>
      </w:r>
      <w:r>
        <w:instrText xml:space="preserve"> PAGEREF _Toc6872 \h </w:instrText>
      </w:r>
      <w:r>
        <w:fldChar w:fldCharType="separate"/>
      </w:r>
      <w:r>
        <w:t>300</w:t>
      </w:r>
      <w:r>
        <w:fldChar w:fldCharType="end"/>
      </w:r>
      <w:r>
        <w:rPr>
          <w:rFonts w:cs="Times New Roman"/>
          <w:caps/>
          <w:snapToGrid w:val="0"/>
          <w:color w:val="000000" w:themeColor="text1"/>
          <w:kern w:val="0"/>
          <w:szCs w:val="24"/>
          <w14:textFill>
            <w14:solidFill>
              <w14:schemeClr w14:val="tx1"/>
            </w14:solidFill>
          </w14:textFill>
        </w:rPr>
        <w:fldChar w:fldCharType="end"/>
      </w:r>
    </w:p>
    <w:p w14:paraId="6843D36F">
      <w:pPr>
        <w:pStyle w:val="25"/>
        <w:tabs>
          <w:tab w:val="right" w:leader="dot" w:pos="8306"/>
        </w:tabs>
      </w:pPr>
      <w:r>
        <w:rPr>
          <w:rFonts w:cs="Times New Roman"/>
          <w:caps/>
          <w:snapToGrid w:val="0"/>
          <w:color w:val="000000" w:themeColor="text1"/>
          <w:kern w:val="0"/>
          <w:szCs w:val="24"/>
          <w14:textFill>
            <w14:solidFill>
              <w14:schemeClr w14:val="tx1"/>
            </w14:solidFill>
          </w14:textFill>
        </w:rPr>
        <w:fldChar w:fldCharType="begin"/>
      </w:r>
      <w:r>
        <w:rPr>
          <w:rFonts w:cs="Times New Roman"/>
          <w:caps/>
          <w:snapToGrid w:val="0"/>
          <w:kern w:val="0"/>
          <w:szCs w:val="24"/>
        </w:rPr>
        <w:instrText xml:space="preserve"> HYPERLINK \l _Toc15708 </w:instrText>
      </w:r>
      <w:r>
        <w:rPr>
          <w:rFonts w:cs="Times New Roman"/>
          <w:caps/>
          <w:snapToGrid w:val="0"/>
          <w:kern w:val="0"/>
          <w:szCs w:val="24"/>
        </w:rPr>
        <w:fldChar w:fldCharType="separate"/>
      </w:r>
      <w:r>
        <w:rPr>
          <w:rFonts w:cs="Times New Roman"/>
          <w:snapToGrid w:val="0"/>
        </w:rPr>
        <w:t>附图</w:t>
      </w:r>
      <w:r>
        <w:rPr>
          <w:rFonts w:hint="eastAsia" w:cs="Times New Roman"/>
          <w:snapToGrid w:val="0"/>
          <w:lang w:val="en-US" w:eastAsia="zh-CN"/>
        </w:rPr>
        <w:t>6</w:t>
      </w:r>
      <w:r>
        <w:rPr>
          <w:rFonts w:hint="eastAsia" w:cs="Times New Roman"/>
          <w:snapToGrid w:val="0"/>
        </w:rPr>
        <w:t>本项目</w:t>
      </w:r>
      <w:r>
        <w:rPr>
          <w:rFonts w:hint="eastAsia" w:cs="Times New Roman"/>
          <w:snapToGrid w:val="0"/>
          <w:lang w:val="en-US" w:eastAsia="zh-CN"/>
        </w:rPr>
        <w:t>周围环境照片</w:t>
      </w:r>
      <w:r>
        <w:tab/>
      </w:r>
      <w:r>
        <w:fldChar w:fldCharType="begin"/>
      </w:r>
      <w:r>
        <w:instrText xml:space="preserve"> PAGEREF _Toc15708 \h </w:instrText>
      </w:r>
      <w:r>
        <w:fldChar w:fldCharType="separate"/>
      </w:r>
      <w:r>
        <w:t>301</w:t>
      </w:r>
      <w:r>
        <w:fldChar w:fldCharType="end"/>
      </w:r>
      <w:r>
        <w:rPr>
          <w:rFonts w:cs="Times New Roman"/>
          <w:caps/>
          <w:snapToGrid w:val="0"/>
          <w:color w:val="000000" w:themeColor="text1"/>
          <w:kern w:val="0"/>
          <w:szCs w:val="24"/>
          <w14:textFill>
            <w14:solidFill>
              <w14:schemeClr w14:val="tx1"/>
            </w14:solidFill>
          </w14:textFill>
        </w:rPr>
        <w:fldChar w:fldCharType="end"/>
      </w:r>
    </w:p>
    <w:p w14:paraId="7418D58A">
      <w:pPr>
        <w:spacing w:line="240" w:lineRule="auto"/>
        <w:ind w:firstLine="0" w:firstLineChars="0"/>
        <w:rPr>
          <w:snapToGrid w:val="0"/>
          <w:color w:val="000000" w:themeColor="text1"/>
          <w:kern w:val="0"/>
          <w:sz w:val="20"/>
          <w:szCs w:val="24"/>
          <w:lang w:val="zh-CN"/>
          <w14:textFill>
            <w14:solidFill>
              <w14:schemeClr w14:val="tx1"/>
            </w14:solidFill>
          </w14:textFill>
        </w:rPr>
      </w:pPr>
      <w:r>
        <w:rPr>
          <w:rFonts w:cs="Times New Roman"/>
          <w:caps/>
          <w:snapToGrid w:val="0"/>
          <w:color w:val="000000" w:themeColor="text1"/>
          <w:kern w:val="0"/>
          <w:szCs w:val="24"/>
          <w14:textFill>
            <w14:solidFill>
              <w14:schemeClr w14:val="tx1"/>
            </w14:solidFill>
          </w14:textFill>
        </w:rPr>
        <w:fldChar w:fldCharType="end"/>
      </w:r>
    </w:p>
    <w:p w14:paraId="337A0A2E">
      <w:pPr>
        <w:spacing w:line="276" w:lineRule="auto"/>
        <w:ind w:firstLine="0" w:firstLineChars="0"/>
        <w:rPr>
          <w:snapToGrid w:val="0"/>
          <w:color w:val="000000" w:themeColor="text1"/>
          <w:kern w:val="0"/>
          <w:sz w:val="20"/>
          <w:szCs w:val="24"/>
          <w:lang w:val="zh-CN"/>
          <w14:textFill>
            <w14:solidFill>
              <w14:schemeClr w14:val="tx1"/>
            </w14:solidFill>
          </w14:textFill>
        </w:rPr>
        <w:sectPr>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720" w:num="1"/>
          <w:docGrid w:type="lines" w:linePitch="312" w:charSpace="0"/>
        </w:sectPr>
      </w:pPr>
    </w:p>
    <w:p w14:paraId="0E3583C7">
      <w:pPr>
        <w:pStyle w:val="4"/>
        <w:rPr>
          <w:snapToGrid w:val="0"/>
          <w:color w:val="000000" w:themeColor="text1"/>
          <w14:textFill>
            <w14:solidFill>
              <w14:schemeClr w14:val="tx1"/>
            </w14:solidFill>
          </w14:textFill>
        </w:rPr>
      </w:pPr>
      <w:bookmarkStart w:id="2" w:name="_Toc472585611"/>
      <w:bookmarkStart w:id="3" w:name="_Toc439236473"/>
      <w:bookmarkStart w:id="4" w:name="_Toc477190959"/>
      <w:bookmarkStart w:id="5" w:name="_Toc3168"/>
      <w:bookmarkStart w:id="6" w:name="_Toc475378597"/>
      <w:r>
        <w:rPr>
          <w:snapToGrid w:val="0"/>
          <w:color w:val="000000" w:themeColor="text1"/>
          <w14:textFill>
            <w14:solidFill>
              <w14:schemeClr w14:val="tx1"/>
            </w14:solidFill>
          </w14:textFill>
        </w:rPr>
        <w:t>1</w:t>
      </w:r>
      <w:r>
        <w:rPr>
          <w:rFonts w:hint="eastAsia"/>
          <w:snapToGrid w:val="0"/>
          <w:color w:val="000000" w:themeColor="text1"/>
          <w14:textFill>
            <w14:solidFill>
              <w14:schemeClr w14:val="tx1"/>
            </w14:solidFill>
          </w14:textFill>
        </w:rPr>
        <w:t>概述</w:t>
      </w:r>
      <w:bookmarkEnd w:id="2"/>
      <w:bookmarkEnd w:id="3"/>
      <w:bookmarkEnd w:id="4"/>
      <w:bookmarkEnd w:id="5"/>
    </w:p>
    <w:p w14:paraId="13706802">
      <w:pPr>
        <w:pStyle w:val="85"/>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啤酒是人类最古老的酒精饮料，是水和茶之后世界上消耗量排名第三的饮料。啤酒于二十世纪初传入</w:t>
      </w:r>
      <w:r>
        <w:rPr>
          <w:rFonts w:hint="eastAsia"/>
          <w:snapToGrid w:val="0"/>
          <w:color w:val="000000" w:themeColor="text1"/>
          <w:lang w:val="en-US" w:eastAsia="zh-CN"/>
          <w14:textFill>
            <w14:solidFill>
              <w14:schemeClr w14:val="tx1"/>
            </w14:solidFill>
          </w14:textFill>
        </w:rPr>
        <w:fldChar w:fldCharType="begin"/>
      </w:r>
      <w:r>
        <w:rPr>
          <w:rFonts w:hint="eastAsia"/>
          <w:snapToGrid w:val="0"/>
          <w:color w:val="000000" w:themeColor="text1"/>
          <w:lang w:val="en-US" w:eastAsia="zh-CN"/>
          <w14:textFill>
            <w14:solidFill>
              <w14:schemeClr w14:val="tx1"/>
            </w14:solidFill>
          </w14:textFill>
        </w:rPr>
        <w:instrText xml:space="preserve"> HYPERLINK "http://baike.baidu.com/view/61891.htm" \t "_blank" </w:instrText>
      </w:r>
      <w:r>
        <w:rPr>
          <w:rFonts w:hint="eastAsia"/>
          <w:snapToGrid w:val="0"/>
          <w:color w:val="000000" w:themeColor="text1"/>
          <w:lang w:val="en-US" w:eastAsia="zh-CN"/>
          <w14:textFill>
            <w14:solidFill>
              <w14:schemeClr w14:val="tx1"/>
            </w14:solidFill>
          </w14:textFill>
        </w:rPr>
        <w:fldChar w:fldCharType="separate"/>
      </w:r>
      <w:r>
        <w:rPr>
          <w:rFonts w:hint="eastAsia"/>
          <w:snapToGrid w:val="0"/>
          <w:color w:val="000000" w:themeColor="text1"/>
          <w:lang w:val="en-US" w:eastAsia="zh-CN"/>
          <w14:textFill>
            <w14:solidFill>
              <w14:schemeClr w14:val="tx1"/>
            </w14:solidFill>
          </w14:textFill>
        </w:rPr>
        <w:t>中国</w:t>
      </w:r>
      <w:r>
        <w:rPr>
          <w:rFonts w:hint="eastAsia"/>
          <w:snapToGrid w:val="0"/>
          <w:color w:val="000000" w:themeColor="text1"/>
          <w:lang w:val="en-US" w:eastAsia="zh-CN"/>
          <w14:textFill>
            <w14:solidFill>
              <w14:schemeClr w14:val="tx1"/>
            </w14:solidFill>
          </w14:textFill>
        </w:rPr>
        <w:fldChar w:fldCharType="end"/>
      </w:r>
      <w:r>
        <w:rPr>
          <w:rFonts w:hint="eastAsia"/>
          <w:snapToGrid w:val="0"/>
          <w:color w:val="000000" w:themeColor="text1"/>
          <w:lang w:val="en-US" w:eastAsia="zh-CN"/>
          <w14:textFill>
            <w14:solidFill>
              <w14:schemeClr w14:val="tx1"/>
            </w14:solidFill>
          </w14:textFill>
        </w:rPr>
        <w:t>，属外来酒种。啤酒是根据英语Beer译成中文“啤”，称其为“啤酒”，沿用至今。啤酒以大</w:t>
      </w:r>
      <w:r>
        <w:rPr>
          <w:rFonts w:hint="eastAsia"/>
          <w:snapToGrid w:val="0"/>
          <w:color w:val="000000" w:themeColor="text1"/>
          <w:lang w:val="en-US" w:eastAsia="zh-CN"/>
          <w14:textFill>
            <w14:solidFill>
              <w14:schemeClr w14:val="tx1"/>
            </w14:solidFill>
          </w14:textFill>
        </w:rPr>
        <w:fldChar w:fldCharType="begin"/>
      </w:r>
      <w:r>
        <w:rPr>
          <w:rFonts w:hint="eastAsia"/>
          <w:snapToGrid w:val="0"/>
          <w:color w:val="000000" w:themeColor="text1"/>
          <w:lang w:val="en-US" w:eastAsia="zh-CN"/>
          <w14:textFill>
            <w14:solidFill>
              <w14:schemeClr w14:val="tx1"/>
            </w14:solidFill>
          </w14:textFill>
        </w:rPr>
        <w:instrText xml:space="preserve"> HYPERLINK "http://baike.baidu.com/view/20415.htm" \t "_blank" </w:instrText>
      </w:r>
      <w:r>
        <w:rPr>
          <w:rFonts w:hint="eastAsia"/>
          <w:snapToGrid w:val="0"/>
          <w:color w:val="000000" w:themeColor="text1"/>
          <w:lang w:val="en-US" w:eastAsia="zh-CN"/>
          <w14:textFill>
            <w14:solidFill>
              <w14:schemeClr w14:val="tx1"/>
            </w14:solidFill>
          </w14:textFill>
        </w:rPr>
        <w:fldChar w:fldCharType="separate"/>
      </w:r>
      <w:r>
        <w:rPr>
          <w:rFonts w:hint="eastAsia"/>
          <w:snapToGrid w:val="0"/>
          <w:color w:val="000000" w:themeColor="text1"/>
          <w:lang w:val="en-US" w:eastAsia="zh-CN"/>
          <w14:textFill>
            <w14:solidFill>
              <w14:schemeClr w14:val="tx1"/>
            </w14:solidFill>
          </w14:textFill>
        </w:rPr>
        <w:t>麦芽</w:t>
      </w:r>
      <w:r>
        <w:rPr>
          <w:rFonts w:hint="eastAsia"/>
          <w:snapToGrid w:val="0"/>
          <w:color w:val="000000" w:themeColor="text1"/>
          <w:lang w:val="en-US" w:eastAsia="zh-CN"/>
          <w14:textFill>
            <w14:solidFill>
              <w14:schemeClr w14:val="tx1"/>
            </w14:solidFill>
          </w14:textFill>
        </w:rPr>
        <w:fldChar w:fldCharType="end"/>
      </w:r>
      <w:r>
        <w:rPr>
          <w:rFonts w:hint="eastAsia"/>
          <w:snapToGrid w:val="0"/>
          <w:color w:val="000000" w:themeColor="text1"/>
          <w:lang w:val="en-US" w:eastAsia="zh-CN"/>
          <w14:textFill>
            <w14:solidFill>
              <w14:schemeClr w14:val="tx1"/>
            </w14:solidFill>
          </w14:textFill>
        </w:rPr>
        <w:t>﹑酒花﹑水为主要原料﹐经酵母</w:t>
      </w:r>
      <w:r>
        <w:rPr>
          <w:rFonts w:hint="eastAsia"/>
          <w:snapToGrid w:val="0"/>
          <w:color w:val="000000" w:themeColor="text1"/>
          <w:lang w:val="en-US" w:eastAsia="zh-CN"/>
          <w14:textFill>
            <w14:solidFill>
              <w14:schemeClr w14:val="tx1"/>
            </w14:solidFill>
          </w14:textFill>
        </w:rPr>
        <w:fldChar w:fldCharType="begin"/>
      </w:r>
      <w:r>
        <w:rPr>
          <w:rFonts w:hint="eastAsia"/>
          <w:snapToGrid w:val="0"/>
          <w:color w:val="000000" w:themeColor="text1"/>
          <w:lang w:val="en-US" w:eastAsia="zh-CN"/>
          <w14:textFill>
            <w14:solidFill>
              <w14:schemeClr w14:val="tx1"/>
            </w14:solidFill>
          </w14:textFill>
        </w:rPr>
        <w:instrText xml:space="preserve"> HYPERLINK "http://baike.baidu.com/view/1461803.htm" \t "_blank" </w:instrText>
      </w:r>
      <w:r>
        <w:rPr>
          <w:rFonts w:hint="eastAsia"/>
          <w:snapToGrid w:val="0"/>
          <w:color w:val="000000" w:themeColor="text1"/>
          <w:lang w:val="en-US" w:eastAsia="zh-CN"/>
          <w14:textFill>
            <w14:solidFill>
              <w14:schemeClr w14:val="tx1"/>
            </w14:solidFill>
          </w14:textFill>
        </w:rPr>
        <w:fldChar w:fldCharType="separate"/>
      </w:r>
      <w:r>
        <w:rPr>
          <w:rFonts w:hint="eastAsia"/>
          <w:snapToGrid w:val="0"/>
          <w:color w:val="000000" w:themeColor="text1"/>
          <w:lang w:val="en-US" w:eastAsia="zh-CN"/>
          <w14:textFill>
            <w14:solidFill>
              <w14:schemeClr w14:val="tx1"/>
            </w14:solidFill>
          </w14:textFill>
        </w:rPr>
        <w:t>发酵作用</w:t>
      </w:r>
      <w:r>
        <w:rPr>
          <w:rFonts w:hint="eastAsia"/>
          <w:snapToGrid w:val="0"/>
          <w:color w:val="000000" w:themeColor="text1"/>
          <w:lang w:val="en-US" w:eastAsia="zh-CN"/>
          <w14:textFill>
            <w14:solidFill>
              <w14:schemeClr w14:val="tx1"/>
            </w14:solidFill>
          </w14:textFill>
        </w:rPr>
        <w:fldChar w:fldCharType="end"/>
      </w:r>
      <w:r>
        <w:rPr>
          <w:rFonts w:hint="eastAsia"/>
          <w:snapToGrid w:val="0"/>
          <w:color w:val="000000" w:themeColor="text1"/>
          <w:lang w:val="en-US" w:eastAsia="zh-CN"/>
          <w14:textFill>
            <w14:solidFill>
              <w14:schemeClr w14:val="tx1"/>
            </w14:solidFill>
          </w14:textFill>
        </w:rPr>
        <w:t>酿制而成的饱含二氧化碳的低</w:t>
      </w:r>
      <w:r>
        <w:rPr>
          <w:rFonts w:hint="eastAsia"/>
          <w:snapToGrid w:val="0"/>
          <w:color w:val="000000" w:themeColor="text1"/>
          <w:lang w:val="en-US" w:eastAsia="zh-CN"/>
          <w14:textFill>
            <w14:solidFill>
              <w14:schemeClr w14:val="tx1"/>
            </w14:solidFill>
          </w14:textFill>
        </w:rPr>
        <w:fldChar w:fldCharType="begin"/>
      </w:r>
      <w:r>
        <w:rPr>
          <w:rFonts w:hint="eastAsia"/>
          <w:snapToGrid w:val="0"/>
          <w:color w:val="000000" w:themeColor="text1"/>
          <w:lang w:val="en-US" w:eastAsia="zh-CN"/>
          <w14:textFill>
            <w14:solidFill>
              <w14:schemeClr w14:val="tx1"/>
            </w14:solidFill>
          </w14:textFill>
        </w:rPr>
        <w:instrText xml:space="preserve"> HYPERLINK "http://baike.baidu.com/view/682440.htm" \t "_blank" </w:instrText>
      </w:r>
      <w:r>
        <w:rPr>
          <w:rFonts w:hint="eastAsia"/>
          <w:snapToGrid w:val="0"/>
          <w:color w:val="000000" w:themeColor="text1"/>
          <w:lang w:val="en-US" w:eastAsia="zh-CN"/>
          <w14:textFill>
            <w14:solidFill>
              <w14:schemeClr w14:val="tx1"/>
            </w14:solidFill>
          </w14:textFill>
        </w:rPr>
        <w:fldChar w:fldCharType="separate"/>
      </w:r>
      <w:r>
        <w:rPr>
          <w:rFonts w:hint="eastAsia"/>
          <w:snapToGrid w:val="0"/>
          <w:color w:val="000000" w:themeColor="text1"/>
          <w:lang w:val="en-US" w:eastAsia="zh-CN"/>
          <w14:textFill>
            <w14:solidFill>
              <w14:schemeClr w14:val="tx1"/>
            </w14:solidFill>
          </w14:textFill>
        </w:rPr>
        <w:t>酒精度</w:t>
      </w:r>
      <w:r>
        <w:rPr>
          <w:rFonts w:hint="eastAsia"/>
          <w:snapToGrid w:val="0"/>
          <w:color w:val="000000" w:themeColor="text1"/>
          <w:lang w:val="en-US" w:eastAsia="zh-CN"/>
          <w14:textFill>
            <w14:solidFill>
              <w14:schemeClr w14:val="tx1"/>
            </w14:solidFill>
          </w14:textFill>
        </w:rPr>
        <w:fldChar w:fldCharType="end"/>
      </w:r>
      <w:r>
        <w:rPr>
          <w:rFonts w:hint="eastAsia"/>
          <w:snapToGrid w:val="0"/>
          <w:color w:val="000000" w:themeColor="text1"/>
          <w:lang w:val="en-US" w:eastAsia="zh-CN"/>
          <w14:textFill>
            <w14:solidFill>
              <w14:schemeClr w14:val="tx1"/>
            </w14:solidFill>
          </w14:textFill>
        </w:rPr>
        <w:t>酒。现在国际上的啤酒大部分均添加辅助原料。有的国家规定辅助原料的用量总计不超过麦芽用量的50%。在德国，除出口啤酒外，德国国内销售啤酒一概不使用辅助原料。在2009年，亚洲的啤酒产量约5867万升，首次超越</w:t>
      </w:r>
      <w:r>
        <w:rPr>
          <w:rFonts w:hint="eastAsia"/>
          <w:snapToGrid w:val="0"/>
          <w:color w:val="000000" w:themeColor="text1"/>
          <w:lang w:val="en-US" w:eastAsia="zh-CN"/>
          <w14:textFill>
            <w14:solidFill>
              <w14:schemeClr w14:val="tx1"/>
            </w14:solidFill>
          </w14:textFill>
        </w:rPr>
        <w:fldChar w:fldCharType="begin"/>
      </w:r>
      <w:r>
        <w:rPr>
          <w:rFonts w:hint="eastAsia"/>
          <w:snapToGrid w:val="0"/>
          <w:color w:val="000000" w:themeColor="text1"/>
          <w:lang w:val="en-US" w:eastAsia="zh-CN"/>
          <w14:textFill>
            <w14:solidFill>
              <w14:schemeClr w14:val="tx1"/>
            </w14:solidFill>
          </w14:textFill>
        </w:rPr>
        <w:instrText xml:space="preserve"> HYPERLINK "http://baike.baidu.com/view/3622.htm" \t "_blank" </w:instrText>
      </w:r>
      <w:r>
        <w:rPr>
          <w:rFonts w:hint="eastAsia"/>
          <w:snapToGrid w:val="0"/>
          <w:color w:val="000000" w:themeColor="text1"/>
          <w:lang w:val="en-US" w:eastAsia="zh-CN"/>
          <w14:textFill>
            <w14:solidFill>
              <w14:schemeClr w14:val="tx1"/>
            </w14:solidFill>
          </w14:textFill>
        </w:rPr>
        <w:fldChar w:fldCharType="separate"/>
      </w:r>
      <w:r>
        <w:rPr>
          <w:rFonts w:hint="eastAsia"/>
          <w:snapToGrid w:val="0"/>
          <w:color w:val="000000" w:themeColor="text1"/>
          <w:lang w:val="en-US" w:eastAsia="zh-CN"/>
          <w14:textFill>
            <w14:solidFill>
              <w14:schemeClr w14:val="tx1"/>
            </w14:solidFill>
          </w14:textFill>
        </w:rPr>
        <w:t>欧洲</w:t>
      </w:r>
      <w:r>
        <w:rPr>
          <w:rFonts w:hint="eastAsia"/>
          <w:snapToGrid w:val="0"/>
          <w:color w:val="000000" w:themeColor="text1"/>
          <w:lang w:val="en-US" w:eastAsia="zh-CN"/>
          <w14:textFill>
            <w14:solidFill>
              <w14:schemeClr w14:val="tx1"/>
            </w14:solidFill>
          </w14:textFill>
        </w:rPr>
        <w:fldChar w:fldCharType="end"/>
      </w:r>
      <w:r>
        <w:rPr>
          <w:rFonts w:hint="eastAsia"/>
          <w:snapToGrid w:val="0"/>
          <w:color w:val="000000" w:themeColor="text1"/>
          <w:lang w:val="en-US" w:eastAsia="zh-CN"/>
          <w14:textFill>
            <w14:solidFill>
              <w14:schemeClr w14:val="tx1"/>
            </w14:solidFill>
          </w14:textFill>
        </w:rPr>
        <w:t>，成为全球最大的啤酒生产地。啤酒是以发芽大麦为主要原料酿造的一类饮料。含酒精度最低，营养价值高，成分有水分、碳水化合物、蛋白质、二氧化碳、维生素及钙、磷等物质。有“液体面包”之称，经常饮用有消暑解热、帮助消化、开胃健脾、增进食欲等功能。近年来，随着我国经济的快速发展，人民生活质量的不断提高，我国的啤酒业也获得了充足的发展，市场规模急剧扩大，品种需求越来越多，质量要求也不断提高。</w:t>
      </w:r>
    </w:p>
    <w:p w14:paraId="43C1297A">
      <w:pPr>
        <w:pStyle w:val="85"/>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近年来，随着精酿啤酒市场的快速发展，消费者对特色、健康啤酒的需求日益增长。紫苏作为一种药食同源的植物，富含迷迭香酸、丁香酸、绿原酸和黄酮等活性成分，具有降血糖、抗氧化等健康功效。利用桦南县优质紫苏子开发精酿啤酒，不仅能够提升产品附加值，还能满足现代消费者对健康饮品的需求。</w:t>
      </w:r>
    </w:p>
    <w:p w14:paraId="1649FE32">
      <w:pPr>
        <w:pStyle w:val="85"/>
        <w:rPr>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桦南县紫苏种植历史悠久，早在1986年就已开始大面积种植，到2018年全县紫苏种植面积已达15万亩，年产量约1.5万吨，是当地重要的特色农产品。</w:t>
      </w:r>
      <w:r>
        <w:rPr>
          <w:rFonts w:hint="eastAsia"/>
          <w:color w:val="000000" w:themeColor="text1"/>
          <w:lang w:eastAsia="zh-CN"/>
          <w14:textFill>
            <w14:solidFill>
              <w14:schemeClr w14:val="tx1"/>
            </w14:solidFill>
          </w14:textFill>
        </w:rPr>
        <w:t>黑龙江省紫沐禾精酿啤酒有限公司</w:t>
      </w:r>
      <w:r>
        <w:rPr>
          <w:rFonts w:hint="eastAsia"/>
          <w:color w:val="000000" w:themeColor="text1"/>
          <w:lang w:val="en-US" w:eastAsia="zh-CN"/>
          <w14:textFill>
            <w14:solidFill>
              <w14:schemeClr w14:val="tx1"/>
            </w14:solidFill>
          </w14:textFill>
        </w:rPr>
        <w:t>利用紫苏子生产紫苏子精酿啤酒，</w:t>
      </w:r>
      <w:r>
        <w:rPr>
          <w:rFonts w:hint="eastAsia"/>
          <w:snapToGrid w:val="0"/>
          <w:color w:val="000000" w:themeColor="text1"/>
          <w:lang w:val="en-US" w:eastAsia="zh-CN"/>
          <w14:textFill>
            <w14:solidFill>
              <w14:schemeClr w14:val="tx1"/>
            </w14:solidFill>
          </w14:textFill>
        </w:rPr>
        <w:t>选址</w:t>
      </w:r>
      <w:r>
        <w:rPr>
          <w:rFonts w:hint="eastAsia"/>
          <w:snapToGrid w:val="0"/>
          <w:color w:val="000000" w:themeColor="text1"/>
          <w14:textFill>
            <w14:solidFill>
              <w14:schemeClr w14:val="tx1"/>
            </w14:solidFill>
          </w14:textFill>
        </w:rPr>
        <w:t>位于</w:t>
      </w:r>
      <w:r>
        <w:rPr>
          <w:rFonts w:hint="eastAsia"/>
          <w:snapToGrid w:val="0"/>
          <w:color w:val="000000" w:themeColor="text1"/>
          <w:lang w:eastAsia="zh-CN"/>
          <w14:textFill>
            <w14:solidFill>
              <w14:schemeClr w14:val="tx1"/>
            </w14:solidFill>
          </w14:textFill>
        </w:rPr>
        <w:t>黑龙江省佳木斯市桦南县经济开发区兴企路东园兴街北</w:t>
      </w:r>
      <w:r>
        <w:rPr>
          <w:snapToGrid w:val="0"/>
          <w:color w:val="000000" w:themeColor="text1"/>
          <w14:textFill>
            <w14:solidFill>
              <w14:schemeClr w14:val="tx1"/>
            </w14:solidFill>
          </w14:textFill>
        </w:rPr>
        <w:t>，</w:t>
      </w:r>
      <w:r>
        <w:rPr>
          <w:rFonts w:hint="eastAsia"/>
          <w:kern w:val="0"/>
          <w:lang w:val="en-US" w:eastAsia="zh-CN"/>
        </w:rPr>
        <w:t>年产30000吨紫苏精酿啤酒</w:t>
      </w:r>
      <w:r>
        <w:rPr>
          <w:snapToGrid w:val="0"/>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对促进桦南县紫苏子产业</w:t>
      </w:r>
      <w:r>
        <w:rPr>
          <w:rFonts w:hint="eastAsia"/>
          <w:color w:val="000000" w:themeColor="text1"/>
          <w:lang w:eastAsia="zh-CN"/>
          <w14:textFill>
            <w14:solidFill>
              <w14:schemeClr w14:val="tx1"/>
            </w14:solidFill>
          </w14:textFill>
        </w:rPr>
        <w:t>发展，推动产业优化升级，培育新的经济增长点，拉动地方经济发展以及带动就业等方面具有重要意义。</w:t>
      </w:r>
    </w:p>
    <w:p w14:paraId="0B5E0A1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根据《建设项目环境影响评价分类管理名录》（2021年）</w:t>
      </w:r>
      <w:r>
        <w:rPr>
          <w:snapToGrid w:val="0"/>
          <w:color w:val="000000" w:themeColor="text1"/>
          <w14:textFill>
            <w14:solidFill>
              <w14:schemeClr w14:val="tx1"/>
            </w14:solidFill>
          </w14:textFill>
        </w:rPr>
        <w:t>本项目属于十二、酒、饮料制造业，25酒的制造中有发酵工艺的（年生产能力1000千升以下的除外），本项目为啤酒制造中有发酵工艺且年生产能力为</w:t>
      </w:r>
      <w:r>
        <w:rPr>
          <w:rFonts w:hint="eastAsia"/>
          <w:kern w:val="0"/>
          <w:lang w:val="en-US" w:eastAsia="zh-CN"/>
        </w:rPr>
        <w:t>30000KL</w:t>
      </w:r>
      <w:r>
        <w:rPr>
          <w:snapToGrid w:val="0"/>
          <w:color w:val="000000" w:themeColor="text1"/>
          <w14:textFill>
            <w14:solidFill>
              <w14:schemeClr w14:val="tx1"/>
            </w14:solidFill>
          </w14:textFill>
        </w:rPr>
        <w:t>，应编制环境影响报告书。按照《中华人民共和国环境影响评价法》和《建设项目环境保护管理条例》等环保法规和条例中的有关规定，需对该项目进行环境影响评价，受</w:t>
      </w:r>
      <w:r>
        <w:rPr>
          <w:rFonts w:hint="eastAsia"/>
          <w:snapToGrid w:val="0"/>
          <w:color w:val="000000" w:themeColor="text1"/>
          <w:lang w:eastAsia="zh-CN"/>
          <w14:textFill>
            <w14:solidFill>
              <w14:schemeClr w14:val="tx1"/>
            </w14:solidFill>
          </w14:textFill>
        </w:rPr>
        <w:t>黑龙江省紫沐禾精酿啤酒有限公司</w:t>
      </w:r>
      <w:r>
        <w:rPr>
          <w:snapToGrid w:val="0"/>
          <w:color w:val="000000" w:themeColor="text1"/>
          <w14:textFill>
            <w14:solidFill>
              <w14:schemeClr w14:val="tx1"/>
            </w14:solidFill>
          </w14:textFill>
        </w:rPr>
        <w:t>委托，</w:t>
      </w:r>
      <w:r>
        <w:rPr>
          <w:rFonts w:hint="eastAsia"/>
          <w:snapToGrid w:val="0"/>
          <w:color w:val="000000" w:themeColor="text1"/>
          <w:lang w:eastAsia="zh-CN"/>
          <w14:textFill>
            <w14:solidFill>
              <w14:schemeClr w14:val="tx1"/>
            </w14:solidFill>
          </w14:textFill>
        </w:rPr>
        <w:t>黑龙江煜枫环保技术有限公司</w:t>
      </w:r>
      <w:r>
        <w:rPr>
          <w:snapToGrid w:val="0"/>
          <w:color w:val="000000" w:themeColor="text1"/>
          <w14:textFill>
            <w14:solidFill>
              <w14:schemeClr w14:val="tx1"/>
            </w14:solidFill>
          </w14:textFill>
        </w:rPr>
        <w:t>承担了本项目的环境影响评价工作，对</w:t>
      </w:r>
      <w:r>
        <w:rPr>
          <w:rFonts w:hint="eastAsia"/>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年产30000吨紫苏精酿啤酒生产线建设项目</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的建设与运营可能产生的环境影响进行分析、预测与评估，提出减缓不利环境影响的对策与措施，从环境保护角度论证项目建设的可行性，给出明确的环境影响评价结论</w:t>
      </w:r>
      <w:r>
        <w:rPr>
          <w:rFonts w:hint="eastAsia"/>
          <w:snapToGrid w:val="0"/>
          <w:color w:val="000000" w:themeColor="text1"/>
          <w14:textFill>
            <w14:solidFill>
              <w14:schemeClr w14:val="tx1"/>
            </w14:solidFill>
          </w14:textFill>
        </w:rPr>
        <w:t>，经资料整理、模式计算及统计分析，编制出该项目的环境影响报告书，现提交主管部门审查。</w:t>
      </w:r>
    </w:p>
    <w:p w14:paraId="31B61575">
      <w:pPr>
        <w:pStyle w:val="5"/>
        <w:rPr>
          <w:snapToGrid w:val="0"/>
          <w:color w:val="000000" w:themeColor="text1"/>
          <w14:textFill>
            <w14:solidFill>
              <w14:schemeClr w14:val="tx1"/>
            </w14:solidFill>
          </w14:textFill>
        </w:rPr>
      </w:pPr>
      <w:bookmarkStart w:id="7" w:name="_Toc2767"/>
      <w:bookmarkStart w:id="8" w:name="_Hlk203378742"/>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.1</w:t>
      </w:r>
      <w:r>
        <w:rPr>
          <w:rFonts w:hint="eastAsia"/>
          <w:snapToGrid w:val="0"/>
          <w:color w:val="000000" w:themeColor="text1"/>
          <w14:textFill>
            <w14:solidFill>
              <w14:schemeClr w14:val="tx1"/>
            </w14:solidFill>
          </w14:textFill>
        </w:rPr>
        <w:t>项目</w:t>
      </w:r>
      <w:r>
        <w:rPr>
          <w:snapToGrid w:val="0"/>
          <w:color w:val="000000" w:themeColor="text1"/>
          <w14:textFill>
            <w14:solidFill>
              <w14:schemeClr w14:val="tx1"/>
            </w14:solidFill>
          </w14:textFill>
        </w:rPr>
        <w:t>的基本情况</w:t>
      </w:r>
      <w:bookmarkEnd w:id="7"/>
    </w:p>
    <w:bookmarkEnd w:id="8"/>
    <w:p w14:paraId="22895C27">
      <w:pPr>
        <w:adjustRightInd/>
        <w:snapToGrid/>
        <w:spacing w:line="500" w:lineRule="exact"/>
        <w:rPr>
          <w:rFonts w:hint="eastAsia" w:eastAsia="宋体"/>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项目名称：</w:t>
      </w:r>
      <w:r>
        <w:rPr>
          <w:rFonts w:hint="eastAsia"/>
          <w:snapToGrid w:val="0"/>
          <w:color w:val="000000" w:themeColor="text1"/>
          <w:kern w:val="0"/>
          <w:lang w:eastAsia="zh-CN"/>
          <w14:textFill>
            <w14:solidFill>
              <w14:schemeClr w14:val="tx1"/>
            </w14:solidFill>
          </w14:textFill>
        </w:rPr>
        <w:t>年产30000吨紫苏精酿啤酒生产线建设项目</w:t>
      </w:r>
    </w:p>
    <w:p w14:paraId="0AA10B47">
      <w:pPr>
        <w:adjustRightInd/>
        <w:snapToGrid/>
        <w:spacing w:line="500" w:lineRule="exact"/>
        <w:rPr>
          <w:rFonts w:hint="eastAsia" w:eastAsia="宋体"/>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建设单位：</w:t>
      </w:r>
      <w:r>
        <w:rPr>
          <w:rFonts w:hint="eastAsia"/>
          <w:snapToGrid w:val="0"/>
          <w:color w:val="000000" w:themeColor="text1"/>
          <w:kern w:val="0"/>
          <w:lang w:eastAsia="zh-CN"/>
          <w14:textFill>
            <w14:solidFill>
              <w14:schemeClr w14:val="tx1"/>
            </w14:solidFill>
          </w14:textFill>
        </w:rPr>
        <w:t>黑龙江省紫沐禾精酿啤酒有限公司</w:t>
      </w:r>
    </w:p>
    <w:p w14:paraId="5F3A64BA">
      <w:pPr>
        <w:adjustRightInd/>
        <w:snapToGrid/>
        <w:spacing w:line="500" w:lineRule="exact"/>
        <w:rPr>
          <w:rFonts w:hint="eastAsia" w:eastAsia="宋体"/>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建设地点：</w:t>
      </w:r>
      <w:r>
        <w:rPr>
          <w:rFonts w:hint="eastAsia"/>
          <w:snapToGrid w:val="0"/>
          <w:color w:val="000000" w:themeColor="text1"/>
          <w:kern w:val="0"/>
          <w:lang w:eastAsia="zh-CN"/>
          <w14:textFill>
            <w14:solidFill>
              <w14:schemeClr w14:val="tx1"/>
            </w14:solidFill>
          </w14:textFill>
        </w:rPr>
        <w:t>黑龙江省佳木斯市桦南县经济开发区兴企路东园兴街北</w:t>
      </w:r>
    </w:p>
    <w:p w14:paraId="5E372DC7">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建设性质：</w:t>
      </w:r>
      <w:r>
        <w:rPr>
          <w:rFonts w:hint="eastAsia"/>
          <w:snapToGrid w:val="0"/>
          <w:color w:val="000000" w:themeColor="text1"/>
          <w:kern w:val="0"/>
          <w:lang w:val="en-US" w:eastAsia="zh-CN"/>
          <w14:textFill>
            <w14:solidFill>
              <w14:schemeClr w14:val="tx1"/>
            </w14:solidFill>
          </w14:textFill>
        </w:rPr>
        <w:t>新</w:t>
      </w:r>
      <w:r>
        <w:rPr>
          <w:rFonts w:hint="eastAsia"/>
          <w:snapToGrid w:val="0"/>
          <w:color w:val="000000" w:themeColor="text1"/>
          <w:kern w:val="0"/>
          <w14:textFill>
            <w14:solidFill>
              <w14:schemeClr w14:val="tx1"/>
            </w14:solidFill>
          </w14:textFill>
        </w:rPr>
        <w:t>建</w:t>
      </w:r>
    </w:p>
    <w:p w14:paraId="05E40EF4">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工程投资：</w:t>
      </w:r>
      <w:r>
        <w:rPr>
          <w:rFonts w:hint="eastAsia"/>
          <w:snapToGrid w:val="0"/>
          <w:color w:val="000000" w:themeColor="text1"/>
          <w:kern w:val="0"/>
          <w14:textFill>
            <w14:solidFill>
              <w14:schemeClr w14:val="tx1"/>
            </w14:solidFill>
          </w14:textFill>
        </w:rPr>
        <w:t>3</w:t>
      </w:r>
      <w:r>
        <w:rPr>
          <w:rFonts w:hint="eastAsia"/>
          <w:snapToGrid w:val="0"/>
          <w:color w:val="000000" w:themeColor="text1"/>
          <w:kern w:val="0"/>
          <w:lang w:val="en-US" w:eastAsia="zh-CN"/>
          <w14:textFill>
            <w14:solidFill>
              <w14:schemeClr w14:val="tx1"/>
            </w14:solidFill>
          </w14:textFill>
        </w:rPr>
        <w:t>.5亿</w:t>
      </w:r>
      <w:r>
        <w:rPr>
          <w:snapToGrid w:val="0"/>
          <w:color w:val="000000" w:themeColor="text1"/>
          <w:kern w:val="0"/>
          <w14:textFill>
            <w14:solidFill>
              <w14:schemeClr w14:val="tx1"/>
            </w14:solidFill>
          </w14:textFill>
        </w:rPr>
        <w:t>元</w:t>
      </w:r>
    </w:p>
    <w:p w14:paraId="191E4A16">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占地面积：</w:t>
      </w:r>
      <w:r>
        <w:rPr>
          <w:rFonts w:hint="eastAsia"/>
          <w:snapToGrid w:val="0"/>
          <w:color w:val="000000" w:themeColor="text1"/>
          <w14:textFill>
            <w14:solidFill>
              <w14:schemeClr w14:val="tx1"/>
            </w14:solidFill>
          </w14:textFill>
        </w:rPr>
        <w:t>项目建成后总占地面积为</w:t>
      </w:r>
      <w:r>
        <w:rPr>
          <w:rFonts w:hint="eastAsia"/>
          <w:snapToGrid w:val="0"/>
          <w:color w:val="000000" w:themeColor="text1"/>
          <w:lang w:val="en-US" w:eastAsia="zh-CN"/>
          <w14:textFill>
            <w14:solidFill>
              <w14:schemeClr w14:val="tx1"/>
            </w14:solidFill>
          </w14:textFill>
        </w:rPr>
        <w:t>55000.03</w:t>
      </w:r>
      <w:r>
        <w:rPr>
          <w:rFonts w:hint="eastAsia"/>
          <w:snapToGrid w:val="0"/>
          <w:color w:val="000000" w:themeColor="text1"/>
          <w14:textFill>
            <w14:solidFill>
              <w14:schemeClr w14:val="tx1"/>
            </w14:solidFill>
          </w14:textFill>
        </w:rPr>
        <w:t>平方米</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总建筑面积为36439.43</w:t>
      </w:r>
      <w:r>
        <w:rPr>
          <w:rFonts w:hint="eastAsia"/>
          <w:snapToGrid w:val="0"/>
          <w:color w:val="000000" w:themeColor="text1"/>
          <w14:textFill>
            <w14:solidFill>
              <w14:schemeClr w14:val="tx1"/>
            </w14:solidFill>
          </w14:textFill>
        </w:rPr>
        <w:t>平方米</w:t>
      </w:r>
    </w:p>
    <w:p w14:paraId="3A0CDE3F">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占地类型：</w:t>
      </w:r>
      <w:r>
        <w:rPr>
          <w:rFonts w:hint="eastAsia"/>
          <w:snapToGrid w:val="0"/>
          <w:color w:val="000000" w:themeColor="text1"/>
          <w:kern w:val="0"/>
          <w14:textFill>
            <w14:solidFill>
              <w14:schemeClr w14:val="tx1"/>
            </w14:solidFill>
          </w14:textFill>
        </w:rPr>
        <w:t>工业用地</w:t>
      </w:r>
    </w:p>
    <w:p w14:paraId="1AB6EFD4">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劳动定员及工作制度：</w:t>
      </w:r>
      <w:r>
        <w:rPr>
          <w:rFonts w:hint="eastAsia"/>
          <w:snapToGrid w:val="0"/>
          <w:color w:val="000000" w:themeColor="text1"/>
          <w:kern w:val="0"/>
          <w14:textFill>
            <w14:solidFill>
              <w14:schemeClr w14:val="tx1"/>
            </w14:solidFill>
          </w14:textFill>
        </w:rPr>
        <w:t>本项目劳动定员</w:t>
      </w:r>
      <w:r>
        <w:rPr>
          <w:rFonts w:hint="eastAsia"/>
          <w:snapToGrid w:val="0"/>
          <w:color w:val="000000" w:themeColor="text1"/>
          <w:kern w:val="0"/>
          <w:lang w:val="en-US" w:eastAsia="zh-CN"/>
          <w14:textFill>
            <w14:solidFill>
              <w14:schemeClr w14:val="tx1"/>
            </w14:solidFill>
          </w14:textFill>
        </w:rPr>
        <w:t>110人</w:t>
      </w:r>
      <w:r>
        <w:rPr>
          <w:rFonts w:hint="eastAsia"/>
          <w:snapToGrid w:val="0"/>
          <w:color w:val="000000" w:themeColor="text1"/>
          <w:kern w:val="0"/>
          <w14:textFill>
            <w14:solidFill>
              <w14:schemeClr w14:val="tx1"/>
            </w14:solidFill>
          </w14:textFill>
        </w:rPr>
        <w:t>，全年工作天数为300天，实行</w:t>
      </w:r>
      <w:r>
        <w:rPr>
          <w:rFonts w:hint="eastAsia"/>
          <w:snapToGrid w:val="0"/>
          <w:color w:val="000000" w:themeColor="text1"/>
          <w:kern w:val="0"/>
          <w:lang w:val="en-US" w:eastAsia="zh-CN"/>
          <w14:textFill>
            <w14:solidFill>
              <w14:schemeClr w14:val="tx1"/>
            </w14:solidFill>
          </w14:textFill>
        </w:rPr>
        <w:t>三</w:t>
      </w:r>
      <w:r>
        <w:rPr>
          <w:rFonts w:hint="eastAsia"/>
          <w:snapToGrid w:val="0"/>
          <w:color w:val="000000" w:themeColor="text1"/>
          <w:kern w:val="0"/>
          <w14:textFill>
            <w14:solidFill>
              <w14:schemeClr w14:val="tx1"/>
            </w14:solidFill>
          </w14:textFill>
        </w:rPr>
        <w:t>班制，每班8小时。</w:t>
      </w:r>
    </w:p>
    <w:p w14:paraId="771B62CB">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建设周期：</w:t>
      </w:r>
      <w:r>
        <w:rPr>
          <w:rFonts w:hint="eastAsia"/>
          <w:snapToGrid w:val="0"/>
          <w:color w:val="000000" w:themeColor="text1"/>
          <w14:textFill>
            <w14:solidFill>
              <w14:schemeClr w14:val="tx1"/>
            </w14:solidFill>
          </w14:textFill>
        </w:rPr>
        <w:t>本项目工程建设期约</w:t>
      </w:r>
      <w:r>
        <w:rPr>
          <w:snapToGrid w:val="0"/>
          <w:color w:val="000000" w:themeColor="text1"/>
          <w14:textFill>
            <w14:solidFill>
              <w14:schemeClr w14:val="tx1"/>
            </w14:solidFill>
          </w14:textFill>
        </w:rPr>
        <w:t>26</w:t>
      </w:r>
      <w:r>
        <w:rPr>
          <w:rFonts w:hint="eastAsia"/>
          <w:snapToGrid w:val="0"/>
          <w:color w:val="000000" w:themeColor="text1"/>
          <w14:textFill>
            <w14:solidFill>
              <w14:schemeClr w14:val="tx1"/>
            </w14:solidFill>
          </w14:textFill>
        </w:rPr>
        <w:t>个月，为202</w:t>
      </w:r>
      <w:r>
        <w:rPr>
          <w:rFonts w:hint="eastAsia"/>
          <w:snapToGrid w:val="0"/>
          <w:color w:val="000000" w:themeColor="text1"/>
          <w:lang w:val="en-US" w:eastAsia="zh-CN"/>
          <w14:textFill>
            <w14:solidFill>
              <w14:schemeClr w14:val="tx1"/>
            </w14:solidFill>
          </w14:textFill>
        </w:rPr>
        <w:t>6</w:t>
      </w:r>
      <w:r>
        <w:rPr>
          <w:rFonts w:hint="eastAsia"/>
          <w:snapToGrid w:val="0"/>
          <w:color w:val="000000" w:themeColor="text1"/>
          <w14:textFill>
            <w14:solidFill>
              <w14:schemeClr w14:val="tx1"/>
            </w14:solidFill>
          </w14:textFill>
        </w:rPr>
        <w:t>年</w:t>
      </w:r>
      <w:r>
        <w:rPr>
          <w:rFonts w:hint="eastAsia"/>
          <w:snapToGrid w:val="0"/>
          <w:color w:val="000000" w:themeColor="text1"/>
          <w:lang w:val="en-US" w:eastAsia="zh-CN"/>
          <w14:textFill>
            <w14:solidFill>
              <w14:schemeClr w14:val="tx1"/>
            </w14:solidFill>
          </w14:textFill>
        </w:rPr>
        <w:t>8</w:t>
      </w:r>
      <w:r>
        <w:rPr>
          <w:rFonts w:hint="eastAsia"/>
          <w:snapToGrid w:val="0"/>
          <w:color w:val="000000" w:themeColor="text1"/>
          <w14:textFill>
            <w14:solidFill>
              <w14:schemeClr w14:val="tx1"/>
            </w14:solidFill>
          </w14:textFill>
        </w:rPr>
        <w:t>月-2027年</w:t>
      </w:r>
      <w:r>
        <w:rPr>
          <w:rFonts w:hint="eastAsia"/>
          <w:snapToGrid w:val="0"/>
          <w:color w:val="000000" w:themeColor="text1"/>
          <w:lang w:val="en-US" w:eastAsia="zh-CN"/>
          <w14:textFill>
            <w14:solidFill>
              <w14:schemeClr w14:val="tx1"/>
            </w14:solidFill>
          </w14:textFill>
        </w:rPr>
        <w:t>10</w:t>
      </w:r>
      <w:r>
        <w:rPr>
          <w:rFonts w:hint="eastAsia"/>
          <w:snapToGrid w:val="0"/>
          <w:color w:val="000000" w:themeColor="text1"/>
          <w14:textFill>
            <w14:solidFill>
              <w14:schemeClr w14:val="tx1"/>
            </w14:solidFill>
          </w14:textFill>
        </w:rPr>
        <w:t>月，本项目计划于2027年1</w:t>
      </w:r>
      <w:r>
        <w:rPr>
          <w:rFonts w:hint="eastAsia"/>
          <w:snapToGrid w:val="0"/>
          <w:color w:val="000000" w:themeColor="text1"/>
          <w:lang w:val="en-US" w:eastAsia="zh-CN"/>
          <w14:textFill>
            <w14:solidFill>
              <w14:schemeClr w14:val="tx1"/>
            </w14:solidFill>
          </w14:textFill>
        </w:rPr>
        <w:t>1</w:t>
      </w:r>
      <w:r>
        <w:rPr>
          <w:rFonts w:hint="eastAsia"/>
          <w:snapToGrid w:val="0"/>
          <w:color w:val="000000" w:themeColor="text1"/>
          <w14:textFill>
            <w14:solidFill>
              <w14:schemeClr w14:val="tx1"/>
            </w14:solidFill>
          </w14:textFill>
        </w:rPr>
        <w:t>月投产。</w:t>
      </w:r>
    </w:p>
    <w:p w14:paraId="5A25A2B6">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本项目主要建设内容为</w:t>
      </w:r>
      <w:r>
        <w:rPr>
          <w:rFonts w:hint="eastAsia"/>
          <w:snapToGrid w:val="0"/>
          <w:color w:val="000000" w:themeColor="text1"/>
          <w:lang w:val="en-US" w:eastAsia="zh-CN"/>
          <w14:textFill>
            <w14:solidFill>
              <w14:schemeClr w14:val="tx1"/>
            </w14:solidFill>
          </w14:textFill>
        </w:rPr>
        <w:t>酿造车间1座、包装车间1座、门卫2座、倒班楼1座、办公楼1座、包装车间1座、酿造车间1座、污水处理站1座</w:t>
      </w:r>
      <w:r>
        <w:rPr>
          <w:rFonts w:hint="eastAsia"/>
          <w:snapToGrid w:val="0"/>
          <w:color w:val="000000" w:themeColor="text1"/>
          <w:kern w:val="0"/>
          <w14:textFill>
            <w14:solidFill>
              <w14:schemeClr w14:val="tx1"/>
            </w14:solidFill>
          </w14:textFill>
        </w:rPr>
        <w:t>。并配套建设大门、道路、停车场、围墙、绿化、环保设施、供配电、给排水、消防等公用辅助工程</w:t>
      </w:r>
      <w:r>
        <w:rPr>
          <w:snapToGrid w:val="0"/>
          <w:color w:val="000000" w:themeColor="text1"/>
          <w:kern w:val="0"/>
          <w14:textFill>
            <w14:solidFill>
              <w14:schemeClr w14:val="tx1"/>
            </w14:solidFill>
          </w14:textFill>
        </w:rPr>
        <w:t>。</w:t>
      </w:r>
    </w:p>
    <w:p w14:paraId="70E00891">
      <w:pPr>
        <w:pStyle w:val="5"/>
        <w:rPr>
          <w:snapToGrid w:val="0"/>
          <w:color w:val="000000" w:themeColor="text1"/>
          <w14:textFill>
            <w14:solidFill>
              <w14:schemeClr w14:val="tx1"/>
            </w14:solidFill>
          </w14:textFill>
        </w:rPr>
      </w:pPr>
      <w:bookmarkStart w:id="9" w:name="_Toc3167"/>
      <w:r>
        <w:rPr>
          <w:rFonts w:hint="eastAsia"/>
          <w:snapToGrid w:val="0"/>
          <w:color w:val="000000" w:themeColor="text1"/>
          <w14:textFill>
            <w14:solidFill>
              <w14:schemeClr w14:val="tx1"/>
            </w14:solidFill>
          </w14:textFill>
        </w:rPr>
        <w:t>1.2项目</w:t>
      </w:r>
      <w:r>
        <w:rPr>
          <w:snapToGrid w:val="0"/>
          <w:color w:val="000000" w:themeColor="text1"/>
          <w14:textFill>
            <w14:solidFill>
              <w14:schemeClr w14:val="tx1"/>
            </w14:solidFill>
          </w14:textFill>
        </w:rPr>
        <w:t>特点</w:t>
      </w:r>
      <w:bookmarkEnd w:id="9"/>
    </w:p>
    <w:p w14:paraId="459DDADD">
      <w:pPr>
        <w:pStyle w:val="6"/>
        <w:rPr>
          <w:snapToGrid w:val="0"/>
          <w:color w:val="000000" w:themeColor="text1"/>
          <w14:textFill>
            <w14:solidFill>
              <w14:schemeClr w14:val="tx1"/>
            </w14:solidFill>
          </w14:textFill>
        </w:rPr>
      </w:pPr>
      <w:bookmarkStart w:id="10" w:name="_Toc17674"/>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.2.1</w:t>
      </w:r>
      <w:r>
        <w:rPr>
          <w:rFonts w:hint="eastAsia"/>
          <w:snapToGrid w:val="0"/>
          <w:color w:val="000000" w:themeColor="text1"/>
          <w14:textFill>
            <w14:solidFill>
              <w14:schemeClr w14:val="tx1"/>
            </w14:solidFill>
          </w14:textFill>
        </w:rPr>
        <w:t>项目特点</w:t>
      </w:r>
      <w:bookmarkEnd w:id="10"/>
    </w:p>
    <w:p w14:paraId="3FCFCE50">
      <w:pPr>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本项目的</w:t>
      </w:r>
      <w:r>
        <w:rPr>
          <w:snapToGrid w:val="0"/>
          <w:color w:val="000000" w:themeColor="text1"/>
          <w14:textFill>
            <w14:solidFill>
              <w14:schemeClr w14:val="tx1"/>
            </w14:solidFill>
          </w14:textFill>
        </w:rPr>
        <w:t>主要建设内容为</w:t>
      </w:r>
      <w:r>
        <w:rPr>
          <w:rFonts w:hint="eastAsia"/>
          <w:snapToGrid w:val="0"/>
          <w:color w:val="000000" w:themeColor="text1"/>
          <w:lang w:val="en-US" w:eastAsia="zh-CN"/>
          <w14:textFill>
            <w14:solidFill>
              <w14:schemeClr w14:val="tx1"/>
            </w14:solidFill>
          </w14:textFill>
        </w:rPr>
        <w:t>酿造车间1座、包装车间1座、门卫2座、倒班楼1座、办公楼1座、污水处理站1座</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酿造车间内新建</w:t>
      </w:r>
      <w:r>
        <w:rPr>
          <w:rFonts w:hint="eastAsia"/>
          <w:snapToGrid w:val="0"/>
          <w:color w:val="000000" w:themeColor="text1"/>
          <w14:textFill>
            <w14:solidFill>
              <w14:schemeClr w14:val="tx1"/>
            </w14:solidFill>
          </w14:textFill>
        </w:rPr>
        <w:t>1条</w:t>
      </w:r>
      <w:r>
        <w:rPr>
          <w:rFonts w:hint="eastAsia"/>
          <w:snapToGrid w:val="0"/>
          <w:color w:val="000000" w:themeColor="text1"/>
          <w:lang w:val="en-US" w:eastAsia="zh-CN"/>
          <w14:textFill>
            <w14:solidFill>
              <w14:schemeClr w14:val="tx1"/>
            </w14:solidFill>
          </w14:textFill>
        </w:rPr>
        <w:t>年产30000kL</w:t>
      </w:r>
      <w:r>
        <w:rPr>
          <w:rFonts w:hint="eastAsia"/>
          <w:snapToGrid w:val="0"/>
          <w:color w:val="000000" w:themeColor="text1"/>
          <w14:textFill>
            <w14:solidFill>
              <w14:schemeClr w14:val="tx1"/>
            </w14:solidFill>
          </w14:textFill>
        </w:rPr>
        <w:t>精酿啤酒生产线。</w:t>
      </w:r>
    </w:p>
    <w:p w14:paraId="09E77CCD">
      <w:pPr>
        <w:pStyle w:val="6"/>
        <w:rPr>
          <w:snapToGrid w:val="0"/>
          <w:color w:val="000000" w:themeColor="text1"/>
          <w14:textFill>
            <w14:solidFill>
              <w14:schemeClr w14:val="tx1"/>
            </w14:solidFill>
          </w14:textFill>
        </w:rPr>
      </w:pPr>
      <w:bookmarkStart w:id="11" w:name="_Toc1831"/>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.2.2</w:t>
      </w:r>
      <w:r>
        <w:rPr>
          <w:rFonts w:hint="eastAsia"/>
          <w:snapToGrid w:val="0"/>
          <w:color w:val="000000" w:themeColor="text1"/>
          <w14:textFill>
            <w14:solidFill>
              <w14:schemeClr w14:val="tx1"/>
            </w14:solidFill>
          </w14:textFill>
        </w:rPr>
        <w:t>污染物</w:t>
      </w:r>
      <w:r>
        <w:rPr>
          <w:snapToGrid w:val="0"/>
          <w:color w:val="000000" w:themeColor="text1"/>
          <w14:textFill>
            <w14:solidFill>
              <w14:schemeClr w14:val="tx1"/>
            </w14:solidFill>
          </w14:textFill>
        </w:rPr>
        <w:t>产生情况</w:t>
      </w:r>
      <w:bookmarkEnd w:id="11"/>
    </w:p>
    <w:p w14:paraId="17BC1E04">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（1）废气</w:t>
      </w:r>
    </w:p>
    <w:p w14:paraId="478538B3">
      <w:pPr>
        <w:spacing w:line="500" w:lineRule="exact"/>
        <w:rPr>
          <w:color w:val="000000" w:themeColor="text1"/>
          <w14:textFill>
            <w14:solidFill>
              <w14:schemeClr w14:val="tx1"/>
            </w14:solidFill>
          </w14:textFill>
        </w:rPr>
      </w:pPr>
      <w:bookmarkStart w:id="12" w:name="_Hlk120960243"/>
      <w:r>
        <w:rPr>
          <w:rFonts w:hint="eastAsia"/>
          <w:color w:val="000000" w:themeColor="text1"/>
          <w14:textFill>
            <w14:solidFill>
              <w14:schemeClr w14:val="tx1"/>
            </w14:solidFill>
          </w14:textFill>
        </w:rPr>
        <w:t>施工期：施工期大气污染物主要为施工机械、运输车辆尾气，施工环节产生的扬尘。</w:t>
      </w:r>
    </w:p>
    <w:p w14:paraId="26D840B8">
      <w:pPr>
        <w:spacing w:line="500" w:lineRule="exact"/>
        <w:rPr>
          <w:snapToGrid w:val="0"/>
          <w:color w:val="000000" w:themeColor="text1"/>
          <w:kern w:val="0"/>
          <w14:textFill>
            <w14:solidFill>
              <w14:schemeClr w14:val="tx1"/>
            </w14:solidFill>
          </w14:textFill>
        </w:rPr>
      </w:pPr>
      <w:r>
        <w:rPr>
          <w:rFonts w:hint="eastAsia"/>
          <w:color w:val="000000" w:themeColor="text1"/>
          <w14:textFill>
            <w14:solidFill>
              <w14:schemeClr w14:val="tx1"/>
            </w14:solidFill>
          </w14:textFill>
        </w:rPr>
        <w:t>运营期：运营期大气污染源主要为污水处理站恶臭气体、发酵车间异味、锅炉烟气、原料处理间粉尘、沼气燃烧废气</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食堂油烟</w:t>
      </w:r>
      <w:r>
        <w:rPr>
          <w:rFonts w:hint="eastAsia"/>
          <w:color w:val="000000" w:themeColor="text1"/>
          <w14:textFill>
            <w14:solidFill>
              <w14:schemeClr w14:val="tx1"/>
            </w14:solidFill>
          </w14:textFill>
        </w:rPr>
        <w:t>等。</w:t>
      </w:r>
    </w:p>
    <w:p w14:paraId="51378E56">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（2）废水</w:t>
      </w:r>
    </w:p>
    <w:p w14:paraId="3C7071A4">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施工期：本项目在施工过程中对水环境污染源主要为施工废水、生活污水等。</w:t>
      </w:r>
    </w:p>
    <w:p w14:paraId="5B5C5B9F">
      <w:pPr>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运营期：本项目</w:t>
      </w:r>
      <w:r>
        <w:rPr>
          <w:rFonts w:hint="eastAsia"/>
          <w:snapToGrid w:val="0"/>
          <w:color w:val="000000" w:themeColor="text1"/>
          <w:kern w:val="0"/>
          <w14:textFill>
            <w14:solidFill>
              <w14:schemeClr w14:val="tx1"/>
            </w14:solidFill>
          </w14:textFill>
        </w:rPr>
        <w:t>运营期</w:t>
      </w:r>
      <w:r>
        <w:rPr>
          <w:snapToGrid w:val="0"/>
          <w:color w:val="000000" w:themeColor="text1"/>
          <w:kern w:val="0"/>
          <w14:textFill>
            <w14:solidFill>
              <w14:schemeClr w14:val="tx1"/>
            </w14:solidFill>
          </w14:textFill>
        </w:rPr>
        <w:t>废水主要为</w:t>
      </w:r>
      <w:r>
        <w:rPr>
          <w:rFonts w:hint="eastAsia"/>
          <w:color w:val="000000" w:themeColor="text1"/>
          <w:lang w:val="en-US" w:eastAsia="zh-CN"/>
          <w14:textFill>
            <w14:solidFill>
              <w14:schemeClr w14:val="tx1"/>
            </w14:solidFill>
          </w14:textFill>
        </w:rPr>
        <w:t>生活污水、食堂废水、</w:t>
      </w:r>
      <w:r>
        <w:rPr>
          <w:color w:val="000000" w:themeColor="text1"/>
          <w14:textFill>
            <w14:solidFill>
              <w14:schemeClr w14:val="tx1"/>
            </w14:solidFill>
          </w14:textFill>
        </w:rPr>
        <w:t>车间地面冲洗废水、CO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回收系统洗气废水、啤酒生产工艺废水、CIP清洗废水、玻璃瓶清洗废水、化验室废水、锅炉废水及软水制备废水、纯水制备废水</w:t>
      </w:r>
      <w:r>
        <w:rPr>
          <w:rFonts w:hint="eastAsia"/>
          <w:snapToGrid w:val="0"/>
          <w:color w:val="000000" w:themeColor="text1"/>
          <w:kern w:val="0"/>
          <w14:textFill>
            <w14:solidFill>
              <w14:schemeClr w14:val="tx1"/>
            </w14:solidFill>
          </w14:textFill>
        </w:rPr>
        <w:t>。</w:t>
      </w:r>
    </w:p>
    <w:p w14:paraId="0133CF90">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（3）噪声</w:t>
      </w:r>
    </w:p>
    <w:p w14:paraId="209D9EFB">
      <w:pPr>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施工期：施工期的噪声主要来源于施工机械，如装载机、推土机、重型运输车辆等。</w:t>
      </w:r>
    </w:p>
    <w:p w14:paraId="3BAE70E6">
      <w:pPr>
        <w:spacing w:line="500" w:lineRule="exact"/>
        <w:rPr>
          <w:snapToGrid w:val="0"/>
          <w:color w:val="000000" w:themeColor="text1"/>
          <w:kern w:val="0"/>
          <w14:textFill>
            <w14:solidFill>
              <w14:schemeClr w14:val="tx1"/>
            </w14:solidFill>
          </w14:textFill>
        </w:rPr>
      </w:pPr>
      <w:r>
        <w:rPr>
          <w:color w:val="000000" w:themeColor="text1"/>
          <w14:textFill>
            <w14:solidFill>
              <w14:schemeClr w14:val="tx1"/>
            </w14:solidFill>
          </w14:textFill>
        </w:rPr>
        <w:t>运营期：本项目噪声源主要为</w:t>
      </w:r>
      <w:r>
        <w:rPr>
          <w:rFonts w:hint="eastAsia"/>
          <w:color w:val="000000" w:themeColor="text1"/>
          <w:lang w:val="en-US" w:eastAsia="zh-CN"/>
          <w14:textFill>
            <w14:solidFill>
              <w14:schemeClr w14:val="tx1"/>
            </w14:solidFill>
          </w14:textFill>
        </w:rPr>
        <w:t>斗提机、</w:t>
      </w:r>
      <w:r>
        <w:rPr>
          <w:color w:val="000000" w:themeColor="text1"/>
          <w14:textFill>
            <w14:solidFill>
              <w14:schemeClr w14:val="tx1"/>
            </w14:solidFill>
          </w14:textFill>
        </w:rPr>
        <w:t>粉碎机、</w:t>
      </w:r>
      <w:r>
        <w:rPr>
          <w:rFonts w:ascii="Segoe UI Emoji" w:hAnsi="Segoe UI Emoji" w:eastAsia="Segoe UI Emoji" w:cs="Segoe UI Emoji"/>
          <w:i w:val="0"/>
          <w:iCs w:val="0"/>
          <w:caps w:val="0"/>
          <w:color w:val="000000" w:themeColor="text1"/>
          <w:spacing w:val="0"/>
          <w:sz w:val="24"/>
          <w:szCs w:val="24"/>
          <w14:textFill>
            <w14:solidFill>
              <w14:schemeClr w14:val="tx1"/>
            </w14:solidFill>
          </w14:textFill>
        </w:rPr>
        <w:t>糊化锅</w:t>
      </w:r>
      <w:r>
        <w:rPr>
          <w:rFonts w:hint="eastAsia" w:ascii="Segoe UI Emoji" w:hAnsi="Segoe UI Emoji" w:eastAsia="宋体" w:cs="Segoe UI Emoji"/>
          <w:i w:val="0"/>
          <w:iCs w:val="0"/>
          <w:caps w:val="0"/>
          <w:color w:val="000000" w:themeColor="text1"/>
          <w:spacing w:val="0"/>
          <w:sz w:val="24"/>
          <w:szCs w:val="24"/>
          <w:lang w:eastAsia="zh-CN"/>
          <w14:textFill>
            <w14:solidFill>
              <w14:schemeClr w14:val="tx1"/>
            </w14:solidFill>
          </w14:textFill>
        </w:rPr>
        <w:t>、</w:t>
      </w:r>
      <w:r>
        <w:rPr>
          <w:rFonts w:ascii="Segoe UI Emoji" w:hAnsi="Segoe UI Emoji" w:eastAsia="Segoe UI Emoji" w:cs="Segoe UI Emoji"/>
          <w:i w:val="0"/>
          <w:iCs w:val="0"/>
          <w:caps w:val="0"/>
          <w:color w:val="000000" w:themeColor="text1"/>
          <w:spacing w:val="0"/>
          <w:sz w:val="24"/>
          <w:szCs w:val="24"/>
          <w14:textFill>
            <w14:solidFill>
              <w14:schemeClr w14:val="tx1"/>
            </w14:solidFill>
          </w14:textFill>
        </w:rPr>
        <w:t>糖化锅</w:t>
      </w:r>
      <w:r>
        <w:rPr>
          <w:rFonts w:hint="eastAsia" w:ascii="Segoe UI Emoji" w:hAnsi="Segoe UI Emoji" w:eastAsia="宋体" w:cs="Segoe UI Emoji"/>
          <w:i w:val="0"/>
          <w:iCs w:val="0"/>
          <w:caps w:val="0"/>
          <w:color w:val="000000" w:themeColor="text1"/>
          <w:spacing w:val="0"/>
          <w:sz w:val="24"/>
          <w:szCs w:val="24"/>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离心机、螺杆空压机、</w:t>
      </w:r>
      <w:r>
        <w:rPr>
          <w:snapToGrid w:val="0"/>
          <w:color w:val="000000" w:themeColor="text1"/>
          <w:kern w:val="0"/>
          <w:szCs w:val="21"/>
          <w:lang w:val="en-US" w:eastAsia="zh-CN"/>
          <w14:textFill>
            <w14:solidFill>
              <w14:schemeClr w14:val="tx1"/>
            </w14:solidFill>
          </w14:textFill>
        </w:rPr>
        <w:t>吸附式干燥机</w:t>
      </w:r>
      <w:r>
        <w:rPr>
          <w:rFonts w:hint="eastAsia"/>
          <w:snapToGrid w:val="0"/>
          <w:color w:val="000000" w:themeColor="text1"/>
          <w:kern w:val="0"/>
          <w:szCs w:val="21"/>
          <w:lang w:val="en-US" w:eastAsia="zh-CN"/>
          <w14:textFill>
            <w14:solidFill>
              <w14:schemeClr w14:val="tx1"/>
            </w14:solidFill>
          </w14:textFill>
        </w:rPr>
        <w:t>、</w:t>
      </w:r>
      <w:r>
        <w:rPr>
          <w:snapToGrid w:val="0"/>
          <w:color w:val="000000" w:themeColor="text1"/>
          <w:kern w:val="0"/>
          <w:szCs w:val="21"/>
          <w:lang w:val="en-US" w:eastAsia="zh-CN"/>
          <w14:textFill>
            <w14:solidFill>
              <w14:schemeClr w14:val="tx1"/>
            </w14:solidFill>
          </w14:textFill>
        </w:rPr>
        <w:t>制冷压缩机</w:t>
      </w:r>
      <w:r>
        <w:rPr>
          <w:rFonts w:hint="eastAsia"/>
          <w:snapToGrid w:val="0"/>
          <w:color w:val="000000" w:themeColor="text1"/>
          <w:kern w:val="0"/>
          <w:szCs w:val="21"/>
          <w:lang w:val="en-US" w:eastAsia="zh-CN"/>
          <w14:textFill>
            <w14:solidFill>
              <w14:schemeClr w14:val="tx1"/>
            </w14:solidFill>
          </w14:textFill>
        </w:rPr>
        <w:t>、</w:t>
      </w:r>
      <w:r>
        <w:rPr>
          <w:color w:val="000000" w:themeColor="text1"/>
          <w14:textFill>
            <w14:solidFill>
              <w14:schemeClr w14:val="tx1"/>
            </w14:solidFill>
          </w14:textFill>
        </w:rPr>
        <w:t>灌装机、风机、各种泵类等运行噪声</w:t>
      </w:r>
      <w:r>
        <w:rPr>
          <w:rFonts w:hint="eastAsia"/>
          <w:color w:val="000000" w:themeColor="text1"/>
          <w14:textFill>
            <w14:solidFill>
              <w14:schemeClr w14:val="tx1"/>
            </w14:solidFill>
          </w14:textFill>
        </w:rPr>
        <w:t>。</w:t>
      </w:r>
    </w:p>
    <w:p w14:paraId="2E2DFA21">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（4）固体</w:t>
      </w:r>
      <w:r>
        <w:rPr>
          <w:snapToGrid w:val="0"/>
          <w:color w:val="000000" w:themeColor="text1"/>
          <w:kern w:val="0"/>
          <w14:textFill>
            <w14:solidFill>
              <w14:schemeClr w14:val="tx1"/>
            </w14:solidFill>
          </w14:textFill>
        </w:rPr>
        <w:t>废物</w:t>
      </w:r>
    </w:p>
    <w:p w14:paraId="560EB022">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施工期：施工期固体废物主要包括建筑垃圾、施工弃土弃渣和生活垃圾。</w:t>
      </w:r>
    </w:p>
    <w:p w14:paraId="6749446A">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运营期：</w:t>
      </w:r>
      <w:bookmarkEnd w:id="12"/>
      <w:r>
        <w:rPr>
          <w:rFonts w:hint="eastAsia"/>
          <w:snapToGrid w:val="0"/>
          <w:color w:val="000000" w:themeColor="text1"/>
          <w:kern w:val="0"/>
          <w14:textFill>
            <w14:solidFill>
              <w14:schemeClr w14:val="tx1"/>
            </w14:solidFill>
          </w14:textFill>
        </w:rPr>
        <w:t>本项目固体废物主要为</w:t>
      </w:r>
      <w:r>
        <w:rPr>
          <w:rFonts w:hint="eastAsia"/>
          <w:color w:val="000000" w:themeColor="text1"/>
          <w:lang w:val="en-US" w:eastAsia="zh-CN"/>
          <w14:textFill>
            <w14:solidFill>
              <w14:schemeClr w14:val="tx1"/>
            </w14:solidFill>
          </w14:textFill>
        </w:rPr>
        <w:t>生活垃圾、餐厨废弃物以及废油脂、</w:t>
      </w:r>
      <w:r>
        <w:rPr>
          <w:color w:val="000000" w:themeColor="text1"/>
          <w14:textFill>
            <w14:solidFill>
              <w14:schemeClr w14:val="tx1"/>
            </w14:solidFill>
          </w14:textFill>
        </w:rPr>
        <w:t>杂质、酒糟及废酵母、除尘器收尘、废布袋、污水处理站污泥、废脱硫剂、废包装物、废活性炭、化验室废液、废过滤材料、废离子交换树脂</w:t>
      </w:r>
      <w:r>
        <w:rPr>
          <w:rFonts w:hint="eastAsia"/>
          <w:color w:val="000000" w:themeColor="text1"/>
          <w14:textFill>
            <w14:solidFill>
              <w14:schemeClr w14:val="tx1"/>
            </w14:solidFill>
          </w14:textFill>
        </w:rPr>
        <w:t>等。</w:t>
      </w:r>
    </w:p>
    <w:p w14:paraId="00D27A3E">
      <w:pPr>
        <w:pStyle w:val="6"/>
        <w:rPr>
          <w:color w:val="000000" w:themeColor="text1"/>
          <w14:textFill>
            <w14:solidFill>
              <w14:schemeClr w14:val="tx1"/>
            </w14:solidFill>
          </w14:textFill>
        </w:rPr>
      </w:pPr>
      <w:bookmarkStart w:id="13" w:name="_Toc20452"/>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.2.3</w:t>
      </w:r>
      <w:r>
        <w:rPr>
          <w:rFonts w:hint="eastAsia"/>
          <w:snapToGrid w:val="0"/>
          <w:color w:val="000000" w:themeColor="text1"/>
          <w14:textFill>
            <w14:solidFill>
              <w14:schemeClr w14:val="tx1"/>
            </w14:solidFill>
          </w14:textFill>
        </w:rPr>
        <w:t>主要</w:t>
      </w:r>
      <w:r>
        <w:rPr>
          <w:snapToGrid w:val="0"/>
          <w:color w:val="000000" w:themeColor="text1"/>
          <w14:textFill>
            <w14:solidFill>
              <w14:schemeClr w14:val="tx1"/>
            </w14:solidFill>
          </w14:textFill>
        </w:rPr>
        <w:t>环保措施</w:t>
      </w:r>
      <w:bookmarkEnd w:id="13"/>
    </w:p>
    <w:p w14:paraId="736E5770">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1、废气</w:t>
      </w:r>
    </w:p>
    <w:p w14:paraId="6B1D68FC">
      <w:pPr>
        <w:pStyle w:val="85"/>
        <w:rPr>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施工期：采取加强施工管理、减小作业面面积、洒水降尘、避免雨天作业以及避免大风天气施工等措施，施工期</w:t>
      </w:r>
      <w:r>
        <w:rPr>
          <w:rFonts w:hint="eastAsia" w:cs="Times New Roman"/>
          <w:color w:val="000000" w:themeColor="text1"/>
          <w14:textFill>
            <w14:solidFill>
              <w14:schemeClr w14:val="tx1"/>
            </w14:solidFill>
          </w14:textFill>
        </w:rPr>
        <w:t>对周边环境空气影响较小。</w:t>
      </w:r>
    </w:p>
    <w:p w14:paraId="62516AC7">
      <w:pPr>
        <w:adjustRightInd/>
        <w:snapToGrid/>
        <w:spacing w:line="500" w:lineRule="exact"/>
        <w:rPr>
          <w:snapToGrid w:val="0"/>
          <w:color w:val="000000" w:themeColor="text1"/>
          <w:kern w:val="0"/>
          <w14:textFill>
            <w14:solidFill>
              <w14:schemeClr w14:val="tx1"/>
            </w14:solidFill>
          </w14:textFill>
        </w:rPr>
      </w:pPr>
      <w:r>
        <w:rPr>
          <w:rFonts w:hint="eastAsia"/>
          <w:color w:val="000000" w:themeColor="text1"/>
          <w14:textFill>
            <w14:solidFill>
              <w14:schemeClr w14:val="tx1"/>
            </w14:solidFill>
          </w14:textFill>
        </w:rPr>
        <w:t>运营期：</w:t>
      </w:r>
      <w:r>
        <w:rPr>
          <w:color w:val="000000" w:themeColor="text1"/>
          <w14:textFill>
            <w14:solidFill>
              <w14:schemeClr w14:val="tx1"/>
            </w14:solidFill>
          </w14:textFill>
        </w:rPr>
        <w:t>污水处理站恶臭气体经引风机引至</w:t>
      </w:r>
      <w:r>
        <w:rPr>
          <w:rFonts w:hint="eastAsia"/>
          <w:snapToGrid w:val="0"/>
          <w:color w:val="000000" w:themeColor="text1"/>
          <w:kern w:val="0"/>
          <w:lang w:val="en-US" w:eastAsia="zh-CN"/>
          <w14:textFill>
            <w14:solidFill>
              <w14:schemeClr w14:val="tx1"/>
            </w14:solidFill>
          </w14:textFill>
        </w:rPr>
        <w:t>活性炭吸附</w:t>
      </w:r>
      <w:r>
        <w:rPr>
          <w:snapToGrid w:val="0"/>
          <w:color w:val="000000" w:themeColor="text1"/>
          <w:kern w:val="0"/>
          <w:lang w:val="en-US"/>
          <w14:textFill>
            <w14:solidFill>
              <w14:schemeClr w14:val="tx1"/>
            </w14:solidFill>
          </w14:textFill>
        </w:rPr>
        <w:t>设施</w:t>
      </w:r>
      <w:r>
        <w:rPr>
          <w:color w:val="000000" w:themeColor="text1"/>
          <w14:textFill>
            <w14:solidFill>
              <w14:schemeClr w14:val="tx1"/>
            </w14:solidFill>
          </w14:textFill>
        </w:rPr>
        <w:t>，经处理后由15m排气筒</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A00</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。二氧化碳逸出夹带少量异味废气排出，其异味废气产生量极少，在二氧化碳回收系统采用活性炭吸附异味气体后排放量甚微，主要为无组织排放。</w:t>
      </w:r>
      <w:r>
        <w:rPr>
          <w:color w:val="000000" w:themeColor="text1"/>
          <w14:textFill>
            <w14:solidFill>
              <w14:schemeClr w14:val="tx1"/>
            </w14:solidFill>
          </w14:textFill>
        </w:rPr>
        <w:t>在厂区道路两边种植灌木，厂界边缘地带种植杨、槐等高大乔木树种，形成多层防护林带，以降低恶臭污染的影响。</w:t>
      </w:r>
      <w:r>
        <w:rPr>
          <w:rFonts w:hint="eastAsia"/>
          <w:color w:val="000000" w:themeColor="text1"/>
          <w14:textFill>
            <w14:solidFill>
              <w14:schemeClr w14:val="tx1"/>
            </w14:solidFill>
          </w14:textFill>
        </w:rPr>
        <w:t>本项目锅炉配套</w:t>
      </w:r>
      <w:r>
        <w:rPr>
          <w:color w:val="000000" w:themeColor="text1"/>
          <w14:textFill>
            <w14:solidFill>
              <w14:schemeClr w14:val="tx1"/>
            </w14:solidFill>
          </w14:textFill>
        </w:rPr>
        <w:t>低氮燃烧</w:t>
      </w:r>
      <w:r>
        <w:rPr>
          <w:rFonts w:hint="eastAsia"/>
          <w:color w:val="000000" w:themeColor="text1"/>
          <w14:textFill>
            <w14:solidFill>
              <w14:schemeClr w14:val="tx1"/>
            </w14:solidFill>
          </w14:textFill>
        </w:rPr>
        <w:t>，锅炉烟气</w:t>
      </w:r>
      <w:r>
        <w:rPr>
          <w:rFonts w:hint="eastAsia"/>
          <w:color w:val="000000" w:themeColor="text1"/>
          <w:lang w:val="en-US" w:eastAsia="zh-CN"/>
          <w14:textFill>
            <w14:solidFill>
              <w14:schemeClr w14:val="tx1"/>
            </w14:solidFill>
          </w14:textFill>
        </w:rPr>
        <w:t>经</w:t>
      </w:r>
      <w:r>
        <w:rPr>
          <w:color w:val="000000" w:themeColor="text1"/>
          <w14:textFill>
            <w14:solidFill>
              <w14:schemeClr w14:val="tx1"/>
            </w14:solidFill>
          </w14:textFill>
        </w:rPr>
        <w:t>25m烟囱DA00</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。原料处理间为封闭设备，原料投料、输送及去石筛分过程中产生的粉尘</w:t>
      </w:r>
      <w:r>
        <w:rPr>
          <w:color w:val="000000" w:themeColor="text1"/>
          <w14:textFill>
            <w14:solidFill>
              <w14:schemeClr w14:val="tx1"/>
            </w14:solidFill>
          </w14:textFill>
        </w:rPr>
        <w:t>经引风机引至布袋除尘器，经处理后由15m排气筒</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A00</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沼气脱硫后经火炬燃烧排放，</w:t>
      </w:r>
      <w:r>
        <w:rPr>
          <w:rFonts w:hint="eastAsia"/>
          <w:color w:val="000000" w:themeColor="text1"/>
          <w14:textFill>
            <w14:solidFill>
              <w14:schemeClr w14:val="tx1"/>
            </w14:solidFill>
          </w14:textFill>
        </w:rPr>
        <w:t>颗粒物</w:t>
      </w:r>
      <w:r>
        <w:rPr>
          <w:color w:val="000000" w:themeColor="text1"/>
          <w14:textFill>
            <w14:solidFill>
              <w14:schemeClr w14:val="tx1"/>
            </w14:solidFill>
          </w14:textFill>
        </w:rPr>
        <w:t>、NOx、SO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量均较小</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食堂油烟经</w:t>
      </w:r>
      <w:r>
        <w:rPr>
          <w:rFonts w:hint="default"/>
          <w:snapToGrid w:val="0"/>
          <w:color w:val="000000" w:themeColor="text1"/>
          <w:kern w:val="0"/>
          <w:lang w:val="en-US" w:eastAsia="zh-CN"/>
          <w14:textFill>
            <w14:solidFill>
              <w14:schemeClr w14:val="tx1"/>
            </w14:solidFill>
          </w14:textFill>
        </w:rPr>
        <w:t>净化效率为85%的油烟净化设施处理后引至屋顶排放</w:t>
      </w:r>
      <w:r>
        <w:rPr>
          <w:rFonts w:hint="eastAsia"/>
          <w:color w:val="000000" w:themeColor="text1"/>
          <w:lang w:val="en-US" w:eastAsia="zh-CN"/>
          <w14:textFill>
            <w14:solidFill>
              <w14:schemeClr w14:val="tx1"/>
            </w14:solidFill>
          </w14:textFill>
        </w:rPr>
        <w:t>。柴油发电机废气经内置烟井引至房顶无组织排放。</w:t>
      </w:r>
      <w:r>
        <w:rPr>
          <w:color w:val="000000" w:themeColor="text1"/>
          <w14:textFill>
            <w14:solidFill>
              <w14:schemeClr w14:val="tx1"/>
            </w14:solidFill>
          </w14:textFill>
        </w:rPr>
        <w:t>对环境影响很小，可以被环境接受。</w:t>
      </w:r>
    </w:p>
    <w:p w14:paraId="687A4F66">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2、废水</w:t>
      </w:r>
    </w:p>
    <w:p w14:paraId="3744E69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施工期：施工现场设置临时沉淀池，施工废水经沉淀后上清液用于施工场地和道路洒水降尘；</w:t>
      </w:r>
      <w:r>
        <w:rPr>
          <w:rFonts w:hint="eastAsia"/>
          <w:snapToGrid w:val="0"/>
          <w:color w:val="000000" w:themeColor="text1"/>
          <w14:textFill>
            <w14:solidFill>
              <w14:schemeClr w14:val="tx1"/>
            </w14:solidFill>
          </w14:textFill>
        </w:rPr>
        <w:t>施工现场</w:t>
      </w:r>
      <w:r>
        <w:rPr>
          <w:rFonts w:hint="eastAsia" w:ascii="Times New Roman" w:hAnsi="Times New Roman" w:eastAsia="宋体"/>
          <w:bCs/>
          <w:color w:val="000000" w:themeColor="text1"/>
          <w:sz w:val="24"/>
          <w:szCs w:val="24"/>
          <w:lang w:val="en-US" w:eastAsia="zh-CN"/>
          <w14:textFill>
            <w14:solidFill>
              <w14:schemeClr w14:val="tx1"/>
            </w14:solidFill>
          </w14:textFill>
        </w:rPr>
        <w:t>设置</w:t>
      </w:r>
      <w:r>
        <w:rPr>
          <w:rFonts w:hint="eastAsia"/>
          <w:bCs/>
          <w:color w:val="000000" w:themeColor="text1"/>
          <w:sz w:val="24"/>
          <w:szCs w:val="24"/>
          <w:lang w:val="en-US" w:eastAsia="zh-CN"/>
          <w14:textFill>
            <w14:solidFill>
              <w14:schemeClr w14:val="tx1"/>
            </w14:solidFill>
          </w14:textFill>
        </w:rPr>
        <w:t>临时防渗旱厕</w:t>
      </w:r>
      <w:r>
        <w:rPr>
          <w:rFonts w:hint="eastAsia" w:ascii="Times New Roman" w:hAnsi="Times New Roman" w:eastAsia="宋体"/>
          <w:bCs/>
          <w:color w:val="000000" w:themeColor="text1"/>
          <w:sz w:val="24"/>
          <w:szCs w:val="24"/>
          <w:lang w:val="en-US" w:eastAsia="zh-CN"/>
          <w14:textFill>
            <w14:solidFill>
              <w14:schemeClr w14:val="tx1"/>
            </w14:solidFill>
          </w14:textFill>
        </w:rPr>
        <w:t>，</w:t>
      </w:r>
      <w:r>
        <w:rPr>
          <w:rFonts w:hint="eastAsia"/>
          <w:bCs/>
          <w:color w:val="000000" w:themeColor="text1"/>
          <w:sz w:val="24"/>
          <w:szCs w:val="24"/>
          <w:lang w:val="en-US" w:eastAsia="zh-CN"/>
          <w14:textFill>
            <w14:solidFill>
              <w14:schemeClr w14:val="tx1"/>
            </w14:solidFill>
          </w14:textFill>
        </w:rPr>
        <w:t>待施工期结束后，拆除临时防渗旱厕</w:t>
      </w:r>
      <w:r>
        <w:rPr>
          <w:rFonts w:hint="eastAsia" w:ascii="Times New Roman" w:hAnsi="Times New Roman" w:eastAsia="宋体"/>
          <w:bCs/>
          <w:color w:val="000000" w:themeColor="text1"/>
          <w:sz w:val="24"/>
          <w:szCs w:val="24"/>
          <w:lang w:val="en-US" w:eastAsia="zh-CN"/>
          <w14:textFill>
            <w14:solidFill>
              <w14:schemeClr w14:val="tx1"/>
            </w14:solidFill>
          </w14:textFill>
        </w:rPr>
        <w:t>，粪污</w:t>
      </w:r>
      <w:r>
        <w:rPr>
          <w:rFonts w:hint="eastAsia"/>
          <w:bCs/>
          <w:color w:val="000000" w:themeColor="text1"/>
          <w:sz w:val="24"/>
          <w:szCs w:val="24"/>
          <w:lang w:val="en-US" w:eastAsia="zh-CN"/>
          <w14:textFill>
            <w14:solidFill>
              <w14:schemeClr w14:val="tx1"/>
            </w14:solidFill>
          </w14:textFill>
        </w:rPr>
        <w:t>外售堆肥</w:t>
      </w:r>
      <w:r>
        <w:rPr>
          <w:rFonts w:hint="eastAsia" w:ascii="Times New Roman" w:hAnsi="Times New Roman" w:eastAsia="宋体"/>
          <w:bCs/>
          <w:color w:val="000000" w:themeColor="text1"/>
          <w:sz w:val="24"/>
          <w:szCs w:val="24"/>
          <w:lang w:val="en-US" w:eastAsia="zh-CN"/>
          <w14:textFill>
            <w14:solidFill>
              <w14:schemeClr w14:val="tx1"/>
            </w14:solidFill>
          </w14:textFill>
        </w:rPr>
        <w:t>。</w:t>
      </w:r>
    </w:p>
    <w:p w14:paraId="694F8705">
      <w:pPr>
        <w:pStyle w:val="85"/>
        <w:rPr>
          <w:snapToGrid w:val="0"/>
          <w:color w:val="000000" w:themeColor="text1"/>
          <w:kern w:val="0"/>
          <w14:textFill>
            <w14:solidFill>
              <w14:schemeClr w14:val="tx1"/>
            </w14:solidFill>
          </w14:textFill>
        </w:rPr>
      </w:pPr>
      <w:r>
        <w:rPr>
          <w:rFonts w:hint="eastAsia"/>
          <w:color w:val="000000" w:themeColor="text1"/>
          <w14:textFill>
            <w14:solidFill>
              <w14:schemeClr w14:val="tx1"/>
            </w14:solidFill>
          </w14:textFill>
        </w:rPr>
        <w:t>运营期：</w:t>
      </w:r>
      <w:r>
        <w:rPr>
          <w:color w:val="000000" w:themeColor="text1"/>
          <w14:textFill>
            <w14:solidFill>
              <w14:schemeClr w14:val="tx1"/>
            </w14:solidFill>
          </w14:textFill>
        </w:rPr>
        <w:t>本项目废水由新建</w:t>
      </w:r>
      <w:r>
        <w:rPr>
          <w:rFonts w:hint="eastAsia"/>
          <w:color w:val="000000" w:themeColor="text1"/>
          <w14:textFill>
            <w14:solidFill>
              <w14:schemeClr w14:val="tx1"/>
            </w14:solidFill>
          </w14:textFill>
        </w:rPr>
        <w:t>的处理能力为</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污水处理站处理满足《</w:t>
      </w:r>
      <w:r>
        <w:rPr>
          <w:rFonts w:hint="eastAsia"/>
          <w:color w:val="000000" w:themeColor="text1"/>
          <w:lang w:eastAsia="zh-CN"/>
          <w14:textFill>
            <w14:solidFill>
              <w14:schemeClr w14:val="tx1"/>
            </w14:solidFill>
          </w14:textFill>
        </w:rPr>
        <w:t>酒类制造业水污染物排放标准</w:t>
      </w:r>
      <w:r>
        <w:rPr>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GB19821-2025</w:t>
      </w:r>
      <w:r>
        <w:rPr>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color w:val="000000" w:themeColor="text1"/>
          <w14:textFill>
            <w14:solidFill>
              <w14:schemeClr w14:val="tx1"/>
            </w14:solidFill>
          </w14:textFill>
        </w:rPr>
        <w:t>及</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进水指标后进入市政污水管网，排入</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统一处理，废水</w:t>
      </w:r>
      <w:r>
        <w:rPr>
          <w:rFonts w:hint="eastAsia"/>
          <w:color w:val="000000" w:themeColor="text1"/>
          <w14:textFill>
            <w14:solidFill>
              <w14:schemeClr w14:val="tx1"/>
            </w14:solidFill>
          </w14:textFill>
        </w:rPr>
        <w:t>达到《城镇污水处理厂污染物排放标准》（GB 18918-2002）及修改单中的一级A标准排入</w:t>
      </w:r>
      <w:r>
        <w:rPr>
          <w:rFonts w:hint="default" w:eastAsia="宋体"/>
          <w:color w:val="000000" w:themeColor="text1"/>
          <w:lang w:val="en-US" w:eastAsia="zh-CN"/>
          <w14:textFill>
            <w14:solidFill>
              <w14:schemeClr w14:val="tx1"/>
            </w14:solidFill>
          </w14:textFill>
        </w:rPr>
        <w:t>八虎力河，最终汇入倭肯河</w:t>
      </w:r>
      <w:r>
        <w:rPr>
          <w:rFonts w:hint="eastAsia"/>
          <w:color w:val="000000" w:themeColor="text1"/>
          <w14:textFill>
            <w14:solidFill>
              <w14:schemeClr w14:val="tx1"/>
            </w14:solidFill>
          </w14:textFill>
        </w:rPr>
        <w:t>。</w:t>
      </w:r>
    </w:p>
    <w:p w14:paraId="2AFBCC4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3、地下水污染防治</w:t>
      </w:r>
    </w:p>
    <w:p w14:paraId="18D92E4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采取分区防渗措施，各防渗分区的防渗结构，应由专业设计单位根据相关要求进行设计，但不应低于环评提出的防渗级别和要求。</w:t>
      </w:r>
    </w:p>
    <w:p w14:paraId="5ED1ACF0">
      <w:pPr>
        <w:pStyle w:val="8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1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①</w:t>
      </w:r>
      <w:r>
        <w:rPr>
          <w:color w:val="000000" w:themeColor="text1"/>
          <w14:textFill>
            <w14:solidFill>
              <w14:schemeClr w14:val="tx1"/>
            </w14:solidFill>
          </w14:textFill>
        </w:rPr>
        <w:fldChar w:fldCharType="end"/>
      </w:r>
      <w:r>
        <w:rPr>
          <w:color w:val="000000" w:themeColor="text1"/>
          <w14:textFill>
            <w14:solidFill>
              <w14:schemeClr w14:val="tx1"/>
            </w14:solidFill>
          </w14:textFill>
        </w:rPr>
        <w:t>平时注意污水处理等设施的维护，确保系统正常运行。</w:t>
      </w:r>
    </w:p>
    <w:p w14:paraId="2CE46E25">
      <w:pPr>
        <w:pStyle w:val="8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2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②</w:t>
      </w:r>
      <w:r>
        <w:rPr>
          <w:color w:val="000000" w:themeColor="text1"/>
          <w14:textFill>
            <w14:solidFill>
              <w14:schemeClr w14:val="tx1"/>
            </w14:solidFill>
          </w14:textFill>
        </w:rPr>
        <w:fldChar w:fldCharType="end"/>
      </w:r>
      <w:r>
        <w:rPr>
          <w:color w:val="000000" w:themeColor="text1"/>
          <w14:textFill>
            <w14:solidFill>
              <w14:schemeClr w14:val="tx1"/>
            </w14:solidFill>
          </w14:textFill>
        </w:rPr>
        <w:t>确保管道质量，应用质量良好的管材，增加管段长度，减少管道接口，避免废水的跑、冒、滴、漏现象的发生。</w:t>
      </w:r>
    </w:p>
    <w:p w14:paraId="52625E0D">
      <w:pPr>
        <w:pStyle w:val="8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3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③</w:t>
      </w:r>
      <w:r>
        <w:rPr>
          <w:color w:val="000000" w:themeColor="text1"/>
          <w14:textFill>
            <w14:solidFill>
              <w14:schemeClr w14:val="tx1"/>
            </w14:solidFill>
          </w14:textFill>
        </w:rPr>
        <w:fldChar w:fldCharType="end"/>
      </w:r>
      <w:r>
        <w:rPr>
          <w:color w:val="000000" w:themeColor="text1"/>
          <w14:textFill>
            <w14:solidFill>
              <w14:schemeClr w14:val="tx1"/>
            </w14:solidFill>
          </w14:textFill>
        </w:rPr>
        <w:t>加强管理，建立巡逻制度，定期对污水处理站等地进行检查，及时发现问题，查找隐患，杜绝污染物的外排。</w:t>
      </w:r>
    </w:p>
    <w:p w14:paraId="22BF060C">
      <w:pPr>
        <w:pStyle w:val="8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4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④</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按照监测要求对厂区内</w:t>
      </w:r>
      <w:r>
        <w:rPr>
          <w:color w:val="000000" w:themeColor="text1"/>
          <w14:textFill>
            <w14:solidFill>
              <w14:schemeClr w14:val="tx1"/>
            </w14:solidFill>
          </w14:textFill>
        </w:rPr>
        <w:t>地下水跟踪监控井及时监控</w:t>
      </w:r>
      <w:r>
        <w:rPr>
          <w:rFonts w:hint="eastAsia"/>
          <w:color w:val="000000" w:themeColor="text1"/>
          <w14:textFill>
            <w14:solidFill>
              <w14:schemeClr w14:val="tx1"/>
            </w14:solidFill>
          </w14:textFill>
        </w:rPr>
        <w:t>，确保</w:t>
      </w:r>
      <w:r>
        <w:rPr>
          <w:color w:val="000000" w:themeColor="text1"/>
          <w14:textFill>
            <w14:solidFill>
              <w14:schemeClr w14:val="tx1"/>
            </w14:solidFill>
          </w14:textFill>
        </w:rPr>
        <w:t>地下水环境</w:t>
      </w:r>
      <w:r>
        <w:rPr>
          <w:rFonts w:hint="eastAsia"/>
          <w:color w:val="000000" w:themeColor="text1"/>
          <w14:textFill>
            <w14:solidFill>
              <w14:schemeClr w14:val="tx1"/>
            </w14:solidFill>
          </w14:textFill>
        </w:rPr>
        <w:t>不受影响。</w:t>
      </w:r>
    </w:p>
    <w:p w14:paraId="1557AE5D">
      <w:pPr>
        <w:pStyle w:val="85"/>
        <w:rPr>
          <w:snapToGrid w:val="0"/>
          <w:color w:val="000000" w:themeColor="text1"/>
          <w:kern w:val="0"/>
          <w14:textFill>
            <w14:solidFill>
              <w14:schemeClr w14:val="tx1"/>
            </w14:solidFill>
          </w14:textFill>
        </w:rPr>
      </w:pPr>
      <w:r>
        <w:rPr>
          <w:color w:val="000000" w:themeColor="text1"/>
          <w14:textFill>
            <w14:solidFill>
              <w14:schemeClr w14:val="tx1"/>
            </w14:solidFill>
          </w14:textFill>
        </w:rPr>
        <w:t>本项目对地下水的主要污染途径为废水渗透，在认真采取以上措施的基础上，由于防渗层的保护作用，废水不会对地下水源造成影响。</w:t>
      </w:r>
    </w:p>
    <w:p w14:paraId="5FC8DB82">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4、噪声</w:t>
      </w:r>
      <w:r>
        <w:rPr>
          <w:snapToGrid w:val="0"/>
          <w:color w:val="000000" w:themeColor="text1"/>
          <w:kern w:val="0"/>
          <w14:textFill>
            <w14:solidFill>
              <w14:schemeClr w14:val="tx1"/>
            </w14:solidFill>
          </w14:textFill>
        </w:rPr>
        <w:t>防治措施</w:t>
      </w:r>
    </w:p>
    <w:p w14:paraId="6E7FB645">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施工期：选用低噪声施工机械，加强施工期管理，合理安排施工运输路线，</w:t>
      </w:r>
      <w:r>
        <w:rPr>
          <w:color w:val="000000" w:themeColor="text1"/>
          <w14:textFill>
            <w14:solidFill>
              <w14:schemeClr w14:val="tx1"/>
            </w14:solidFill>
          </w14:textFill>
        </w:rPr>
        <w:t>严格控制夜间施工不使用噪声设备的前提下，本项目施工期间产生的噪声不会对周围环境造成明显影响。</w:t>
      </w:r>
    </w:p>
    <w:p w14:paraId="272B0233">
      <w:pPr>
        <w:pStyle w:val="85"/>
        <w:rPr>
          <w:snapToGrid w:val="0"/>
          <w:color w:val="000000" w:themeColor="text1"/>
          <w:kern w:val="0"/>
          <w14:textFill>
            <w14:solidFill>
              <w14:schemeClr w14:val="tx1"/>
            </w14:solidFill>
          </w14:textFill>
        </w:rPr>
      </w:pPr>
      <w:r>
        <w:rPr>
          <w:rFonts w:hint="eastAsia"/>
          <w:snapToGrid w:val="0"/>
          <w:color w:val="000000" w:themeColor="text1"/>
          <w14:textFill>
            <w14:solidFill>
              <w14:schemeClr w14:val="tx1"/>
            </w14:solidFill>
          </w14:textFill>
        </w:rPr>
        <w:t>运营期：选用低噪声设备</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设置基础减振，高噪声设备隔声措施</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在厂区内外种植树木，以降低噪声</w:t>
      </w:r>
      <w:r>
        <w:rPr>
          <w:rFonts w:hint="eastAsia"/>
          <w:snapToGrid w:val="0"/>
          <w:color w:val="000000" w:themeColor="text1"/>
          <w14:textFill>
            <w14:solidFill>
              <w14:schemeClr w14:val="tx1"/>
            </w14:solidFill>
          </w14:textFill>
        </w:rPr>
        <w:t>影响</w:t>
      </w:r>
      <w:r>
        <w:rPr>
          <w:snapToGrid w:val="0"/>
          <w:color w:val="000000" w:themeColor="text1"/>
          <w14:textFill>
            <w14:solidFill>
              <w14:schemeClr w14:val="tx1"/>
            </w14:solidFill>
          </w14:textFill>
        </w:rPr>
        <w:t>；通过合理布局，达到阻隔、衰减噪声的目的。</w:t>
      </w:r>
    </w:p>
    <w:p w14:paraId="380037FE">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5、固体废物</w:t>
      </w:r>
    </w:p>
    <w:p w14:paraId="7B70E07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施工期：</w:t>
      </w:r>
      <w:r>
        <w:rPr>
          <w:rFonts w:hint="eastAsia"/>
          <w:snapToGrid w:val="0"/>
          <w:color w:val="000000" w:themeColor="text1"/>
          <w14:textFill>
            <w14:solidFill>
              <w14:schemeClr w14:val="tx1"/>
            </w14:solidFill>
          </w14:textFill>
        </w:rPr>
        <w:t>施工期建筑垃圾、施工弃土弃渣中可再利用的建筑废料，应进行回收利用，以节省资源。多余废弃的砂、砾石可结合修路利用；除可回收利用外建筑垃圾应运输到环境保护管理部门指定的地点进行填埋，最大程度减小对环境的影响。在施工现场设置垃圾收集箱，集中收集后应由市政环卫部门统一清运处置。</w:t>
      </w:r>
    </w:p>
    <w:p w14:paraId="7BA7B0A4">
      <w:pPr>
        <w:pStyle w:val="85"/>
        <w:rPr>
          <w:snapToGrid w:val="0"/>
          <w:color w:val="FF0000"/>
          <w:kern w:val="0"/>
        </w:rPr>
      </w:pPr>
      <w:r>
        <w:rPr>
          <w:rFonts w:hint="eastAsia"/>
          <w:snapToGrid w:val="0"/>
          <w:color w:val="000000" w:themeColor="text1"/>
          <w14:textFill>
            <w14:solidFill>
              <w14:schemeClr w14:val="tx1"/>
            </w14:solidFill>
          </w14:textFill>
        </w:rPr>
        <w:t>运营期：</w:t>
      </w:r>
      <w:r>
        <w:rPr>
          <w:rFonts w:hint="eastAsia"/>
          <w:b w:val="0"/>
          <w:bCs w:val="0"/>
          <w:color w:val="000000" w:themeColor="text1"/>
          <w:lang w:val="en-US" w:eastAsia="zh-CN"/>
          <w14:textFill>
            <w14:solidFill>
              <w14:schemeClr w14:val="tx1"/>
            </w14:solidFill>
          </w14:textFill>
        </w:rPr>
        <w:t>生活垃圾经垃圾桶收集暂存后委托环卫部门集中处理；</w:t>
      </w:r>
      <w:r>
        <w:rPr>
          <w:rFonts w:hint="eastAsia"/>
          <w:color w:val="000000" w:themeColor="text1"/>
          <w:highlight w:val="none"/>
          <w14:textFill>
            <w14:solidFill>
              <w14:schemeClr w14:val="tx1"/>
            </w14:solidFill>
          </w14:textFill>
        </w:rPr>
        <w:t>餐厨垃圾</w:t>
      </w:r>
      <w:r>
        <w:rPr>
          <w:rFonts w:hint="eastAsia"/>
          <w:color w:val="000000" w:themeColor="text1"/>
          <w:highlight w:val="none"/>
          <w:lang w:val="en-US" w:eastAsia="zh-CN"/>
          <w14:textFill>
            <w14:solidFill>
              <w14:schemeClr w14:val="tx1"/>
            </w14:solidFill>
          </w14:textFill>
        </w:rPr>
        <w:t>集中收集，交由有资质单位处理；生产过程产生的</w:t>
      </w:r>
      <w:r>
        <w:rPr>
          <w:rFonts w:hint="eastAsia"/>
          <w:color w:val="auto"/>
          <w:lang w:val="en-US" w:eastAsia="zh-CN"/>
        </w:rPr>
        <w:t>原料</w:t>
      </w:r>
      <w:r>
        <w:rPr>
          <w:rFonts w:hint="eastAsia"/>
          <w:color w:val="auto"/>
        </w:rPr>
        <w:t>杂质，集中收集，外售有机肥厂生产有机肥</w:t>
      </w:r>
      <w:r>
        <w:rPr>
          <w:rFonts w:hint="eastAsia"/>
          <w:color w:val="auto"/>
          <w:lang w:eastAsia="zh-CN"/>
        </w:rPr>
        <w:t>；</w:t>
      </w:r>
      <w:r>
        <w:rPr>
          <w:rFonts w:hint="eastAsia"/>
          <w:color w:val="auto"/>
          <w:lang w:val="en-US" w:eastAsia="zh-CN"/>
        </w:rPr>
        <w:t>废</w:t>
      </w:r>
      <w:r>
        <w:rPr>
          <w:color w:val="auto"/>
        </w:rPr>
        <w:t>酒糟及废酵母采用专用容器收集并加盖密封，外售作饲料，日产日清</w:t>
      </w:r>
      <w:r>
        <w:rPr>
          <w:rFonts w:hint="eastAsia"/>
          <w:color w:val="auto"/>
          <w:lang w:eastAsia="zh-CN"/>
        </w:rPr>
        <w:t>；</w:t>
      </w:r>
      <w:r>
        <w:rPr>
          <w:rFonts w:hint="eastAsia"/>
          <w:color w:val="000000" w:themeColor="text1"/>
          <w:lang w:val="en-US" w:eastAsia="zh-CN"/>
          <w14:textFill>
            <w14:solidFill>
              <w14:schemeClr w14:val="tx1"/>
            </w14:solidFill>
          </w14:textFill>
        </w:rPr>
        <w:t>废硅藻土暂存在密闭废土罐中</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外售综合利用</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定期转运</w:t>
      </w:r>
      <w:r>
        <w:rPr>
          <w:rFonts w:hint="default"/>
          <w:color w:val="000000" w:themeColor="text1"/>
          <w:lang w:val="en-US" w:eastAsia="zh-CN"/>
          <w14:textFill>
            <w14:solidFill>
              <w14:schemeClr w14:val="tx1"/>
            </w14:solidFill>
          </w14:textFill>
        </w:rPr>
        <w:t>不在厂区长时间贮存</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除尘器收尘集中收集，外售有机肥厂生产有机肥</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废布袋更换时交厂家回收处置</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污水处理站产生的污泥外运前应采取压滤脱水处理，确保含水率低于</w:t>
      </w:r>
      <w:r>
        <w:rPr>
          <w:color w:val="000000" w:themeColor="text1"/>
          <w14:textFill>
            <w14:solidFill>
              <w14:schemeClr w14:val="tx1"/>
            </w14:solidFill>
          </w14:textFill>
        </w:rPr>
        <w:t>60%</w:t>
      </w:r>
      <w:r>
        <w:rPr>
          <w:rFonts w:hint="eastAsia"/>
          <w:color w:val="000000" w:themeColor="text1"/>
          <w14:textFill>
            <w14:solidFill>
              <w14:schemeClr w14:val="tx1"/>
            </w14:solidFill>
          </w14:textFill>
        </w:rPr>
        <w:t>，定期交由市政部门统一处理</w:t>
      </w:r>
      <w:r>
        <w:rPr>
          <w:rFonts w:hint="eastAsia"/>
          <w:color w:val="000000" w:themeColor="text1"/>
          <w:lang w:eastAsia="zh-CN"/>
          <w14:textFill>
            <w14:solidFill>
              <w14:schemeClr w14:val="tx1"/>
            </w14:solidFill>
          </w14:textFill>
        </w:rPr>
        <w:t>；废脱硫剂</w:t>
      </w:r>
      <w:r>
        <w:rPr>
          <w:rFonts w:hint="eastAsia"/>
          <w:color w:val="000000" w:themeColor="text1"/>
          <w:lang w:val="en-US" w:eastAsia="zh-CN"/>
          <w14:textFill>
            <w14:solidFill>
              <w14:schemeClr w14:val="tx1"/>
            </w14:solidFill>
          </w14:textFill>
        </w:rPr>
        <w:t>更换时</w:t>
      </w:r>
      <w:r>
        <w:rPr>
          <w:rFonts w:hint="eastAsia"/>
          <w:color w:val="000000" w:themeColor="text1"/>
          <w:lang w:eastAsia="zh-CN"/>
          <w14:textFill>
            <w14:solidFill>
              <w14:schemeClr w14:val="tx1"/>
            </w14:solidFill>
          </w14:textFill>
        </w:rPr>
        <w:t>由厂家回收；</w:t>
      </w:r>
      <w:r>
        <w:rPr>
          <w:rFonts w:hint="eastAsia"/>
          <w:color w:val="000000" w:themeColor="text1"/>
          <w:highlight w:val="none"/>
          <w14:textFill>
            <w14:solidFill>
              <w14:schemeClr w14:val="tx1"/>
            </w14:solidFill>
          </w14:textFill>
        </w:rPr>
        <w:t>废包装物</w:t>
      </w:r>
      <w:r>
        <w:rPr>
          <w:rFonts w:hint="eastAsia"/>
          <w:color w:val="000000" w:themeColor="text1"/>
          <w14:textFill>
            <w14:solidFill>
              <w14:schemeClr w14:val="tx1"/>
            </w14:solidFill>
          </w14:textFill>
        </w:rPr>
        <w:t>集中收集，外售废品收购站综合利用</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废过滤材料</w:t>
      </w:r>
      <w:r>
        <w:rPr>
          <w:rFonts w:hint="eastAsia"/>
          <w:color w:val="000000" w:themeColor="text1"/>
          <w:lang w:val="en-US" w:eastAsia="zh-CN"/>
          <w14:textFill>
            <w14:solidFill>
              <w14:schemeClr w14:val="tx1"/>
            </w14:solidFill>
          </w14:textFill>
        </w:rPr>
        <w:t>由</w:t>
      </w:r>
      <w:r>
        <w:rPr>
          <w:rFonts w:hint="eastAsia"/>
          <w:color w:val="000000" w:themeColor="text1"/>
          <w14:textFill>
            <w14:solidFill>
              <w14:schemeClr w14:val="tx1"/>
            </w14:solidFill>
          </w14:textFill>
        </w:rPr>
        <w:t>纯水设备公司</w:t>
      </w:r>
      <w:r>
        <w:rPr>
          <w:rFonts w:hint="eastAsia"/>
          <w:color w:val="000000" w:themeColor="text1"/>
          <w:lang w:val="en-US" w:eastAsia="zh-CN"/>
          <w14:textFill>
            <w14:solidFill>
              <w14:schemeClr w14:val="tx1"/>
            </w14:solidFill>
          </w14:textFill>
        </w:rPr>
        <w:t>定期更换时</w:t>
      </w:r>
      <w:r>
        <w:rPr>
          <w:rFonts w:hint="eastAsia"/>
          <w:color w:val="000000" w:themeColor="text1"/>
          <w14:textFill>
            <w14:solidFill>
              <w14:schemeClr w14:val="tx1"/>
            </w14:solidFill>
          </w14:textFill>
        </w:rPr>
        <w:t>回收处理</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废离子交换树脂由软水设备</w:t>
      </w:r>
      <w:r>
        <w:rPr>
          <w:rFonts w:hint="eastAsia"/>
          <w:color w:val="000000" w:themeColor="text1"/>
          <w:lang w:val="en-US" w:eastAsia="zh-CN"/>
          <w14:textFill>
            <w14:solidFill>
              <w14:schemeClr w14:val="tx1"/>
            </w14:solidFill>
          </w14:textFill>
        </w:rPr>
        <w:t>公司更换时</w:t>
      </w:r>
      <w:r>
        <w:rPr>
          <w:rFonts w:hint="eastAsia"/>
          <w:color w:val="000000" w:themeColor="text1"/>
          <w14:textFill>
            <w14:solidFill>
              <w14:schemeClr w14:val="tx1"/>
            </w14:solidFill>
          </w14:textFill>
        </w:rPr>
        <w:t>回收处理</w:t>
      </w:r>
      <w:r>
        <w:rPr>
          <w:rFonts w:hint="eastAsia"/>
          <w:color w:val="000000" w:themeColor="text1"/>
          <w:lang w:eastAsia="zh-CN"/>
          <w14:textFill>
            <w14:solidFill>
              <w14:schemeClr w14:val="tx1"/>
            </w14:solidFill>
          </w14:textFill>
        </w:rPr>
        <w:t>；</w:t>
      </w:r>
      <w:r>
        <w:rPr>
          <w:rFonts w:hint="default" w:ascii="Times New Roman" w:hAnsi="Times New Roman" w:eastAsia="宋体" w:cs="Times New Roman"/>
          <w:b w:val="0"/>
          <w:bCs w:val="0"/>
          <w:color w:val="000000"/>
          <w:kern w:val="0"/>
          <w:sz w:val="24"/>
          <w:szCs w:val="24"/>
          <w:lang w:val="en-US" w:eastAsia="zh-CN" w:bidi="ar"/>
        </w:rPr>
        <w:t>CO</w:t>
      </w:r>
      <w:r>
        <w:rPr>
          <w:rFonts w:hint="default" w:ascii="Times New Roman" w:hAnsi="Times New Roman" w:eastAsia="宋体" w:cs="Times New Roman"/>
          <w:b w:val="0"/>
          <w:bCs w:val="0"/>
          <w:color w:val="000000"/>
          <w:kern w:val="0"/>
          <w:sz w:val="15"/>
          <w:szCs w:val="15"/>
          <w:lang w:val="en-US" w:eastAsia="zh-CN" w:bidi="ar"/>
        </w:rPr>
        <w:t>2</w:t>
      </w:r>
      <w:r>
        <w:rPr>
          <w:rFonts w:hint="eastAsia" w:ascii="宋体" w:hAnsi="宋体" w:eastAsia="宋体" w:cs="宋体"/>
          <w:b w:val="0"/>
          <w:bCs w:val="0"/>
          <w:color w:val="000000"/>
          <w:kern w:val="0"/>
          <w:sz w:val="24"/>
          <w:szCs w:val="24"/>
          <w:lang w:val="en-US" w:eastAsia="zh-CN" w:bidi="ar"/>
        </w:rPr>
        <w:t>回收系统的</w:t>
      </w:r>
      <w:r>
        <w:rPr>
          <w:rFonts w:hint="eastAsia" w:ascii="宋体" w:hAnsi="宋体" w:eastAsia="宋体" w:cs="宋体"/>
          <w:color w:val="000000"/>
          <w:kern w:val="0"/>
          <w:sz w:val="24"/>
          <w:szCs w:val="24"/>
          <w:lang w:val="en-US" w:eastAsia="zh-CN" w:bidi="ar"/>
        </w:rPr>
        <w:t>废分子筛和废活性炭属于一般固废，</w:t>
      </w: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r>
        <w:rPr>
          <w:rFonts w:hint="eastAsia" w:ascii="宋体" w:hAnsi="宋体" w:eastAsia="宋体" w:cs="宋体"/>
          <w:color w:val="000000"/>
          <w:kern w:val="0"/>
          <w:sz w:val="24"/>
          <w:szCs w:val="24"/>
          <w:lang w:val="en-US" w:eastAsia="zh-CN" w:bidi="ar"/>
        </w:rPr>
        <w:t>。</w:t>
      </w:r>
      <w:r>
        <w:rPr>
          <w:rFonts w:hint="eastAsia"/>
          <w:color w:val="000000" w:themeColor="text1"/>
          <w:lang w:val="en-US" w:eastAsia="zh-CN"/>
          <w14:textFill>
            <w14:solidFill>
              <w14:schemeClr w14:val="tx1"/>
            </w14:solidFill>
          </w14:textFill>
        </w:rPr>
        <w:t>废危化品包装材料、</w:t>
      </w:r>
      <w:r>
        <w:rPr>
          <w:rFonts w:hint="eastAsia"/>
          <w:color w:val="000000" w:themeColor="text1"/>
          <w14:textFill>
            <w14:solidFill>
              <w14:schemeClr w14:val="tx1"/>
            </w14:solidFill>
          </w14:textFill>
        </w:rPr>
        <w:t>化验室废液</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废机油、废机油桶、废含油抹布手套分类暂存于危险废物贮存点，定期委托有资质单位处置。</w:t>
      </w:r>
    </w:p>
    <w:p w14:paraId="54361C31">
      <w:pPr>
        <w:pStyle w:val="6"/>
        <w:rPr>
          <w:snapToGrid w:val="0"/>
          <w:color w:val="000000" w:themeColor="text1"/>
          <w14:textFill>
            <w14:solidFill>
              <w14:schemeClr w14:val="tx1"/>
            </w14:solidFill>
          </w14:textFill>
        </w:rPr>
      </w:pPr>
      <w:bookmarkStart w:id="14" w:name="_Toc3612"/>
      <w:r>
        <w:rPr>
          <w:rFonts w:hint="eastAsia"/>
          <w:snapToGrid w:val="0"/>
          <w:color w:val="000000" w:themeColor="text1"/>
          <w14:textFill>
            <w14:solidFill>
              <w14:schemeClr w14:val="tx1"/>
            </w14:solidFill>
          </w14:textFill>
        </w:rPr>
        <w:t>1.2.4主要</w:t>
      </w:r>
      <w:r>
        <w:rPr>
          <w:snapToGrid w:val="0"/>
          <w:color w:val="000000" w:themeColor="text1"/>
          <w14:textFill>
            <w14:solidFill>
              <w14:schemeClr w14:val="tx1"/>
            </w14:solidFill>
          </w14:textFill>
        </w:rPr>
        <w:t>结论</w:t>
      </w:r>
      <w:bookmarkEnd w:id="14"/>
    </w:p>
    <w:p w14:paraId="67283FE5">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的建设符合国家产业政策、工程建设符合相关要求；本项目周边环境情况良好，工程的建设会对所在地区的环境产生不同程度的影响，通过积极有效的环保措施后，项目的建设可以实现污染物的达标排放，可以满足区域环境功能区划要求。在采取本报告书所提出的各项环保措施，且措施落实良好的前提下，</w:t>
      </w:r>
      <w:r>
        <w:rPr>
          <w:snapToGrid w:val="0"/>
          <w:color w:val="000000" w:themeColor="text1"/>
          <w:kern w:val="0"/>
          <w14:textFill>
            <w14:solidFill>
              <w14:schemeClr w14:val="tx1"/>
            </w14:solidFill>
          </w14:textFill>
        </w:rPr>
        <w:t>从环境保护角度分析，本项目</w:t>
      </w:r>
      <w:r>
        <w:rPr>
          <w:rFonts w:hint="eastAsia"/>
          <w:snapToGrid w:val="0"/>
          <w:color w:val="000000" w:themeColor="text1"/>
          <w:kern w:val="0"/>
          <w14:textFill>
            <w14:solidFill>
              <w14:schemeClr w14:val="tx1"/>
            </w14:solidFill>
          </w14:textFill>
        </w:rPr>
        <w:t>建设合理可行</w:t>
      </w:r>
      <w:r>
        <w:rPr>
          <w:snapToGrid w:val="0"/>
          <w:color w:val="000000" w:themeColor="text1"/>
          <w:kern w:val="0"/>
          <w14:textFill>
            <w14:solidFill>
              <w14:schemeClr w14:val="tx1"/>
            </w14:solidFill>
          </w14:textFill>
        </w:rPr>
        <w:t>。</w:t>
      </w:r>
    </w:p>
    <w:p w14:paraId="0E281082">
      <w:pPr>
        <w:pStyle w:val="5"/>
        <w:rPr>
          <w:snapToGrid w:val="0"/>
          <w:color w:val="000000" w:themeColor="text1"/>
          <w14:textFill>
            <w14:solidFill>
              <w14:schemeClr w14:val="tx1"/>
            </w14:solidFill>
          </w14:textFill>
        </w:rPr>
      </w:pPr>
      <w:bookmarkStart w:id="15" w:name="_Toc30999"/>
      <w:r>
        <w:rPr>
          <w:rFonts w:hint="eastAsia"/>
          <w:snapToGrid w:val="0"/>
          <w:color w:val="000000" w:themeColor="text1"/>
          <w14:textFill>
            <w14:solidFill>
              <w14:schemeClr w14:val="tx1"/>
            </w14:solidFill>
          </w14:textFill>
        </w:rPr>
        <w:t>1.3环境</w:t>
      </w:r>
      <w:r>
        <w:rPr>
          <w:snapToGrid w:val="0"/>
          <w:color w:val="000000" w:themeColor="text1"/>
          <w14:textFill>
            <w14:solidFill>
              <w14:schemeClr w14:val="tx1"/>
            </w14:solidFill>
          </w14:textFill>
        </w:rPr>
        <w:t>影响评价</w:t>
      </w:r>
      <w:r>
        <w:rPr>
          <w:rFonts w:hint="eastAsia"/>
          <w:snapToGrid w:val="0"/>
          <w:color w:val="000000" w:themeColor="text1"/>
          <w14:textFill>
            <w14:solidFill>
              <w14:schemeClr w14:val="tx1"/>
            </w14:solidFill>
          </w14:textFill>
        </w:rPr>
        <w:t>工作</w:t>
      </w:r>
      <w:r>
        <w:rPr>
          <w:snapToGrid w:val="0"/>
          <w:color w:val="000000" w:themeColor="text1"/>
          <w14:textFill>
            <w14:solidFill>
              <w14:schemeClr w14:val="tx1"/>
            </w14:solidFill>
          </w14:textFill>
        </w:rPr>
        <w:t>过程</w:t>
      </w:r>
      <w:bookmarkEnd w:id="15"/>
    </w:p>
    <w:p w14:paraId="2846795D">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依据</w:t>
      </w:r>
      <w:r>
        <w:rPr>
          <w:rStyle w:val="84"/>
          <w:rFonts w:hint="eastAsia"/>
          <w:color w:val="000000" w:themeColor="text1"/>
          <w14:textFill>
            <w14:solidFill>
              <w14:schemeClr w14:val="tx1"/>
            </w14:solidFill>
          </w14:textFill>
        </w:rPr>
        <w:t>《建设项目环境影响评价技术导则 总纲》（HJ2.1-2016）要求，本次环评工作分为三个阶段进行。</w:t>
      </w:r>
    </w:p>
    <w:p w14:paraId="32AA9FA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（1）根据《建设项目环境影响评价分类管理名录》（2021年）</w:t>
      </w:r>
      <w:r>
        <w:rPr>
          <w:color w:val="000000" w:themeColor="text1"/>
          <w14:textFill>
            <w14:solidFill>
              <w14:schemeClr w14:val="tx1"/>
            </w14:solidFill>
          </w14:textFill>
        </w:rPr>
        <w:t>本项目属于十二、酒、饮料制造业，25酒的制造中有发酵工艺的（年生产能力1000千升以下的除外），本项目为啤酒制造中有发酵工艺且</w:t>
      </w:r>
      <w:r>
        <w:rPr>
          <w:snapToGrid w:val="0"/>
          <w:color w:val="000000" w:themeColor="text1"/>
          <w14:textFill>
            <w14:solidFill>
              <w14:schemeClr w14:val="tx1"/>
            </w14:solidFill>
          </w14:textFill>
        </w:rPr>
        <w:t>年生产能力为</w:t>
      </w:r>
      <w:r>
        <w:rPr>
          <w:rFonts w:hint="eastAsia"/>
          <w:kern w:val="0"/>
          <w:lang w:val="en-US" w:eastAsia="zh-CN"/>
        </w:rPr>
        <w:t>30000KL</w:t>
      </w:r>
      <w:r>
        <w:rPr>
          <w:color w:val="000000" w:themeColor="text1"/>
          <w14:textFill>
            <w14:solidFill>
              <w14:schemeClr w14:val="tx1"/>
            </w14:solidFill>
          </w14:textFill>
        </w:rPr>
        <w:t>，应编制环境影响报告书。</w:t>
      </w:r>
    </w:p>
    <w:p w14:paraId="56BCA735">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在研究相关技术及其他有关文件基础上进行初步工程分析，开展了初步环境现状调查，进行了环境影响识别和评价因子筛选。明确了评价重点，确定了保护目标，进一步确定评价工作等级、范围及评价标准，制定出相应工作方案。</w:t>
      </w:r>
    </w:p>
    <w:p w14:paraId="1E6783A8">
      <w:pPr>
        <w:pStyle w:val="85"/>
        <w:rPr>
          <w:color w:val="000000" w:themeColor="text1"/>
          <w14:textFill>
            <w14:solidFill>
              <w14:schemeClr w14:val="tx1"/>
            </w14:solidFill>
          </w14:textFill>
        </w:rPr>
      </w:pPr>
      <w:r>
        <w:rPr>
          <w:color w:val="000000" w:themeColor="text1"/>
          <w14:textFill>
            <w14:solidFill>
              <w14:schemeClr w14:val="tx1"/>
            </w14:solidFill>
          </w14:textFill>
        </w:rPr>
        <w:t>（2）根据第一阶段工作成果，对环境现状的大气环境、地下水环境、声环境等进行了调查、监测与评价，详细进行工程分析，确定了主要环境影响因素，并采取相应的模式对各环境要素影响进行了预测与分析。</w:t>
      </w:r>
    </w:p>
    <w:p w14:paraId="2C68BE68">
      <w:pPr>
        <w:pStyle w:val="85"/>
        <w:rPr>
          <w:color w:val="000000" w:themeColor="text1"/>
          <w14:textFill>
            <w14:solidFill>
              <w14:schemeClr w14:val="tx1"/>
            </w14:solidFill>
          </w14:textFill>
        </w:rPr>
      </w:pPr>
      <w:r>
        <w:rPr>
          <w:color w:val="000000" w:themeColor="text1"/>
          <w14:textFill>
            <w14:solidFill>
              <w14:schemeClr w14:val="tx1"/>
            </w14:solidFill>
          </w14:textFill>
        </w:rPr>
        <w:t>（3）对</w:t>
      </w:r>
      <w:r>
        <w:rPr>
          <w:rFonts w:hint="eastAsia"/>
          <w:color w:val="000000" w:themeColor="text1"/>
          <w14:textFill>
            <w14:solidFill>
              <w14:schemeClr w14:val="tx1"/>
            </w14:solidFill>
          </w14:textFill>
        </w:rPr>
        <w:t>本项目排放的污染物</w:t>
      </w:r>
      <w:r>
        <w:rPr>
          <w:color w:val="000000" w:themeColor="text1"/>
          <w14:textFill>
            <w14:solidFill>
              <w14:schemeClr w14:val="tx1"/>
            </w14:solidFill>
          </w14:textFill>
        </w:rPr>
        <w:t>采取了相应环保措施，并进行经济技术可行性论证，给出污染物排放清单并给出评价结论。</w:t>
      </w:r>
    </w:p>
    <w:p w14:paraId="495D7253">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drawing>
          <wp:inline distT="0" distB="0" distL="0" distR="0">
            <wp:extent cx="5244465" cy="5064125"/>
            <wp:effectExtent l="0" t="0" r="0" b="3175"/>
            <wp:docPr id="7" name="图片 7" descr="C:\Users\Administrator\Desktop\新总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Desktop\新总纲.jpg"/>
                    <pic:cNvPicPr>
                      <a:picLocks noChangeAspect="1" noChangeArrowheads="1"/>
                    </pic:cNvPicPr>
                  </pic:nvPicPr>
                  <pic:blipFill>
                    <a:blip r:embed="rId28" cstate="print">
                      <a:extLst>
                        <a:ext uri="{28A0092B-C50C-407E-A947-70E740481C1C}">
                          <a14:useLocalDpi xmlns:a14="http://schemas.microsoft.com/office/drawing/2010/main" val="0"/>
                        </a:ext>
                      </a:extLst>
                    </a:blip>
                    <a:srcRect t="4459" b="3967"/>
                    <a:stretch>
                      <a:fillRect/>
                    </a:stretch>
                  </pic:blipFill>
                  <pic:spPr>
                    <a:xfrm>
                      <a:off x="0" y="0"/>
                      <a:ext cx="5254001" cy="5072873"/>
                    </a:xfrm>
                    <a:prstGeom prst="rect">
                      <a:avLst/>
                    </a:prstGeom>
                    <a:noFill/>
                    <a:ln>
                      <a:noFill/>
                    </a:ln>
                  </pic:spPr>
                </pic:pic>
              </a:graphicData>
            </a:graphic>
          </wp:inline>
        </w:drawing>
      </w:r>
    </w:p>
    <w:p w14:paraId="20F7AC20">
      <w:pPr>
        <w:pStyle w:val="206"/>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图1</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-1</w:t>
      </w:r>
      <w:r>
        <w:rPr>
          <w:rFonts w:hint="eastAsia"/>
          <w:snapToGrid w:val="0"/>
          <w:color w:val="000000" w:themeColor="text1"/>
          <w14:textFill>
            <w14:solidFill>
              <w14:schemeClr w14:val="tx1"/>
            </w14:solidFill>
          </w14:textFill>
        </w:rPr>
        <w:t>建设项目</w:t>
      </w:r>
      <w:r>
        <w:rPr>
          <w:snapToGrid w:val="0"/>
          <w:color w:val="000000" w:themeColor="text1"/>
          <w14:textFill>
            <w14:solidFill>
              <w14:schemeClr w14:val="tx1"/>
            </w14:solidFill>
          </w14:textFill>
        </w:rPr>
        <w:t>环境影响评价工作</w:t>
      </w:r>
      <w:r>
        <w:rPr>
          <w:rFonts w:hint="eastAsia"/>
          <w:snapToGrid w:val="0"/>
          <w:color w:val="000000" w:themeColor="text1"/>
          <w14:textFill>
            <w14:solidFill>
              <w14:schemeClr w14:val="tx1"/>
            </w14:solidFill>
          </w14:textFill>
        </w:rPr>
        <w:t>程序</w:t>
      </w:r>
      <w:r>
        <w:rPr>
          <w:snapToGrid w:val="0"/>
          <w:color w:val="000000" w:themeColor="text1"/>
          <w14:textFill>
            <w14:solidFill>
              <w14:schemeClr w14:val="tx1"/>
            </w14:solidFill>
          </w14:textFill>
        </w:rPr>
        <w:t>图</w:t>
      </w:r>
    </w:p>
    <w:p w14:paraId="58931686">
      <w:pPr>
        <w:pStyle w:val="5"/>
        <w:rPr>
          <w:snapToGrid w:val="0"/>
          <w:color w:val="000000" w:themeColor="text1"/>
          <w:highlight w:val="none"/>
          <w14:textFill>
            <w14:solidFill>
              <w14:schemeClr w14:val="tx1"/>
            </w14:solidFill>
          </w14:textFill>
        </w:rPr>
      </w:pPr>
      <w:bookmarkStart w:id="16" w:name="_Toc14958"/>
      <w:r>
        <w:rPr>
          <w:rFonts w:hint="eastAsia"/>
          <w:snapToGrid w:val="0"/>
          <w:color w:val="000000" w:themeColor="text1"/>
          <w:highlight w:val="none"/>
          <w14:textFill>
            <w14:solidFill>
              <w14:schemeClr w14:val="tx1"/>
            </w14:solidFill>
          </w14:textFill>
        </w:rPr>
        <w:t>1.4分析判定</w:t>
      </w:r>
      <w:r>
        <w:rPr>
          <w:snapToGrid w:val="0"/>
          <w:color w:val="000000" w:themeColor="text1"/>
          <w:highlight w:val="none"/>
          <w14:textFill>
            <w14:solidFill>
              <w14:schemeClr w14:val="tx1"/>
            </w14:solidFill>
          </w14:textFill>
        </w:rPr>
        <w:t>相关情况</w:t>
      </w:r>
      <w:bookmarkEnd w:id="16"/>
    </w:p>
    <w:p w14:paraId="1DD3F6C9">
      <w:pPr>
        <w:pStyle w:val="6"/>
        <w:rPr>
          <w:color w:val="000000" w:themeColor="text1"/>
          <w14:textFill>
            <w14:solidFill>
              <w14:schemeClr w14:val="tx1"/>
            </w14:solidFill>
          </w14:textFill>
        </w:rPr>
      </w:pPr>
      <w:bookmarkStart w:id="17" w:name="_Toc22022"/>
      <w:r>
        <w:rPr>
          <w:rFonts w:hint="eastAsia"/>
          <w:color w:val="000000" w:themeColor="text1"/>
          <w14:textFill>
            <w14:solidFill>
              <w14:schemeClr w14:val="tx1"/>
            </w14:solidFill>
          </w14:textFill>
        </w:rPr>
        <w:t>1.</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.1产业政策符合性分析</w:t>
      </w:r>
      <w:bookmarkEnd w:id="17"/>
    </w:p>
    <w:p w14:paraId="4C30D072">
      <w:pPr>
        <w:adjustRightInd/>
        <w:snapToGrid/>
        <w:spacing w:line="500" w:lineRule="exact"/>
        <w:rPr>
          <w:color w:val="000000" w:themeColor="text1"/>
          <w14:textFill>
            <w14:solidFill>
              <w14:schemeClr w14:val="tx1"/>
            </w14:solidFill>
          </w14:textFill>
        </w:rPr>
      </w:pPr>
      <w:bookmarkStart w:id="18" w:name="_Hlk121298087"/>
      <w:r>
        <w:rPr>
          <w:rFonts w:hint="eastAsia"/>
          <w:color w:val="000000" w:themeColor="text1"/>
          <w14:textFill>
            <w14:solidFill>
              <w14:schemeClr w14:val="tx1"/>
            </w14:solidFill>
          </w14:textFill>
        </w:rPr>
        <w:t>本项目属于啤酒生产项目，蒸汽锅炉采用</w:t>
      </w:r>
      <w:r>
        <w:rPr>
          <w:rFonts w:hint="eastAsia"/>
          <w:color w:val="000000" w:themeColor="text1"/>
          <w:lang w:eastAsia="zh-CN"/>
          <w14:textFill>
            <w14:solidFill>
              <w14:schemeClr w14:val="tx1"/>
            </w14:solidFill>
          </w14:textFill>
        </w:rPr>
        <w:t>燃气</w:t>
      </w:r>
      <w:r>
        <w:rPr>
          <w:rFonts w:hint="eastAsia"/>
          <w:color w:val="000000" w:themeColor="text1"/>
          <w14:textFill>
            <w14:solidFill>
              <w14:schemeClr w14:val="tx1"/>
            </w14:solidFill>
          </w14:textFill>
        </w:rPr>
        <w:t>锅炉，根据</w:t>
      </w:r>
      <w:r>
        <w:rPr>
          <w:rFonts w:hint="eastAsia" w:cs="Times New Roman"/>
          <w:snapToGrid w:val="0"/>
          <w:color w:val="000000" w:themeColor="text1"/>
          <w14:textFill>
            <w14:solidFill>
              <w14:schemeClr w14:val="tx1"/>
            </w14:solidFill>
          </w14:textFill>
        </w:rPr>
        <w:t>《产业结构调整指导目录（2024年本）》</w:t>
      </w:r>
      <w:r>
        <w:rPr>
          <w:rFonts w:hint="eastAsia"/>
          <w:color w:val="000000" w:themeColor="text1"/>
          <w14:textFill>
            <w14:solidFill>
              <w14:schemeClr w14:val="tx1"/>
            </w14:solidFill>
          </w14:textFill>
        </w:rPr>
        <w:t>有关条款，</w:t>
      </w:r>
      <w:bookmarkEnd w:id="18"/>
      <w:r>
        <w:rPr>
          <w:color w:val="000000" w:themeColor="text1"/>
          <w14:textFill>
            <w14:solidFill>
              <w14:schemeClr w14:val="tx1"/>
            </w14:solidFill>
          </w14:textFill>
        </w:rPr>
        <w:t>本项目不属于鼓励类、限制类和淘汰类项目，因此该项目属于“允许类”项目，符合产业政策。</w:t>
      </w:r>
    </w:p>
    <w:p w14:paraId="07B970CC">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项目所用设备无《部分工业行业淘汰落后生产工艺装备和产品指导目录》（2010年本）中淘汰落后生产工艺装备，符合国家产业政策要求。项目所涉及行业性、领域性、区域性等方面无《关于印发&lt;市场准入负面清单（20</w:t>
      </w:r>
      <w:r>
        <w:rPr>
          <w:color w:val="000000" w:themeColor="text1"/>
          <w14:textFill>
            <w14:solidFill>
              <w14:schemeClr w14:val="tx1"/>
            </w14:solidFill>
          </w14:textFill>
        </w:rPr>
        <w:t>25</w:t>
      </w:r>
      <w:r>
        <w:rPr>
          <w:rFonts w:hint="eastAsia"/>
          <w:color w:val="000000" w:themeColor="text1"/>
          <w14:textFill>
            <w14:solidFill>
              <w14:schemeClr w14:val="tx1"/>
            </w14:solidFill>
          </w14:textFill>
        </w:rPr>
        <w:t>年版）&gt;的通知》中的违规另设市场准入行政审批情况。</w:t>
      </w:r>
    </w:p>
    <w:p w14:paraId="1792024A">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综上所述，本项目建设符合国家产业政策要求。</w:t>
      </w:r>
    </w:p>
    <w:p w14:paraId="1E30494D">
      <w:pPr>
        <w:pStyle w:val="6"/>
        <w:rPr>
          <w:color w:val="000000" w:themeColor="text1"/>
          <w14:textFill>
            <w14:solidFill>
              <w14:schemeClr w14:val="tx1"/>
            </w14:solidFill>
          </w14:textFill>
        </w:rPr>
      </w:pPr>
      <w:bookmarkStart w:id="19" w:name="_Toc28955"/>
      <w:r>
        <w:rPr>
          <w:rFonts w:hint="eastAsia"/>
          <w:color w:val="000000" w:themeColor="text1"/>
          <w14:textFill>
            <w14:solidFill>
              <w14:schemeClr w14:val="tx1"/>
            </w14:solidFill>
          </w14:textFill>
        </w:rPr>
        <w:t>1.</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.2规划符合性分析</w:t>
      </w:r>
      <w:bookmarkEnd w:id="19"/>
    </w:p>
    <w:p w14:paraId="486C32ED">
      <w:pPr>
        <w:pStyle w:val="7"/>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w:t>
      </w:r>
      <w:r>
        <w:rPr>
          <w:color w:val="000000" w:themeColor="text1"/>
          <w:lang w:eastAsia="zh-CN"/>
          <w14:textFill>
            <w14:solidFill>
              <w14:schemeClr w14:val="tx1"/>
            </w14:solidFill>
          </w14:textFill>
        </w:rPr>
        <w:t xml:space="preserve">.4.2.1 </w:t>
      </w:r>
      <w:r>
        <w:rPr>
          <w:rFonts w:hint="eastAsia"/>
          <w:color w:val="000000" w:themeColor="text1"/>
          <w:lang w:eastAsia="zh-CN"/>
          <w14:textFill>
            <w14:solidFill>
              <w14:schemeClr w14:val="tx1"/>
            </w14:solidFill>
          </w14:textFill>
        </w:rPr>
        <w:t>与</w:t>
      </w:r>
      <w:r>
        <w:rPr>
          <w:rFonts w:hint="eastAsia"/>
          <w:color w:val="000000" w:themeColor="text1"/>
          <w:lang w:val="en-US" w:eastAsia="zh-CN"/>
          <w14:textFill>
            <w14:solidFill>
              <w14:schemeClr w14:val="tx1"/>
            </w14:solidFill>
          </w14:textFill>
        </w:rPr>
        <w:t>《黑龙江省人民政府关于印发黑龙江省“十四五”生态环境保护规划的通知》（2021年12月29日）符合性分析</w:t>
      </w:r>
    </w:p>
    <w:p w14:paraId="2DB3FDA4">
      <w:pPr>
        <w:pStyle w:val="85"/>
      </w:pPr>
      <w:r>
        <w:rPr>
          <w:rFonts w:hint="eastAsia"/>
        </w:rPr>
        <w:t>《黑龙江省人民政府关于印发黑龙江省“十四五”生态环境保护规划的通知》（2021年12月29日）提出：</w:t>
      </w:r>
    </w:p>
    <w:p w14:paraId="539D0F72">
      <w:pPr>
        <w:pStyle w:val="85"/>
      </w:pPr>
      <w:r>
        <w:rPr>
          <w:rFonts w:hint="eastAsia"/>
        </w:rPr>
        <w:t>1.统筹推进区域绿色发展。</w:t>
      </w:r>
    </w:p>
    <w:p w14:paraId="4B666493">
      <w:pPr>
        <w:pStyle w:val="85"/>
      </w:pPr>
      <w:r>
        <w:rPr>
          <w:rFonts w:hint="eastAsia"/>
        </w:rPr>
        <w:t>构建国土空间开发保护新格局。围绕城市化地区、农产品主产区、生态功能区，立足资源环境承载能力，优化重大基础设施、重大生产力和公共资源布局，优化生产、生活、生态空间，推动形成主体功能明显、优势互补、高质量发展的国土空间保护开发新格局。</w:t>
      </w:r>
    </w:p>
    <w:p w14:paraId="322D4547">
      <w:pPr>
        <w:pStyle w:val="85"/>
      </w:pPr>
      <w:r>
        <w:rPr>
          <w:rFonts w:hint="eastAsia"/>
        </w:rPr>
        <w:t>加强生态环境分区管控。统筹衔接国土空间规划、生态保护红线、自然保护地分区和用途管制要求，动态更新“三线一单”成果，完善生态环境分区管控体系。建立并不断完善以政府为主体、部门深度参与的落地应用机制，加强“三线一单”成果在政策制定、环境准入、园区管理、执法监管及各类开放建设活动等方面的应用。</w:t>
      </w:r>
    </w:p>
    <w:p w14:paraId="6D9BD9F5">
      <w:pPr>
        <w:pStyle w:val="85"/>
      </w:pPr>
      <w:r>
        <w:rPr>
          <w:rFonts w:hint="eastAsia"/>
        </w:rPr>
        <w:t>3.构建清洁低碳能源体系。</w:t>
      </w:r>
    </w:p>
    <w:p w14:paraId="0F0583BE">
      <w:pPr>
        <w:pStyle w:val="85"/>
      </w:pPr>
      <w:r>
        <w:rPr>
          <w:rFonts w:hint="eastAsia"/>
        </w:rPr>
        <w:t>优化能源供给结构。建设清洁低碳、安全高效的能源体系。严格控制煤炭消费总量增速，实施煤炭消费减量替代，推动煤炭等化石能源清洁高效利用。实施能耗总量和强度双控，大幅降低能耗强度。实施可再生能源替代行动，促进非化石能源成为能源消费增量的主体。优化电力生产和输送通道布局，提高能源输配效率。优化风电、光伏发电布局。优先发展新能源产业，推进核能供暖示范，探索可再生能源制氢，开展绿色氢能利用。</w:t>
      </w:r>
    </w:p>
    <w:p w14:paraId="619BCDB0">
      <w:pPr>
        <w:pStyle w:val="85"/>
      </w:pPr>
      <w:r>
        <w:rPr>
          <w:rFonts w:hint="eastAsia"/>
        </w:rPr>
        <w:t>实施终端用能清洁化替代。重点削减小型燃煤锅炉、民用散煤与农业用煤消费量，降低煤炭在终端分散利用比例，对以煤、石焦油、渣油、重油等为燃料的锅炉和工业炉窑，加快使用清洁低碳能源以及工厂余热、电力热力等进行替代。深入实施“气化龙江”战略，率先在哈尔滨市、齐齐哈尔市、大庆市、黑河市等城市以及工业园区推广应用分布式天然气供暖，重点将哈尔滨新区打造成天然气应用示范区。加快推进齐齐哈尔市、大庆市可再生能源综合应用示范区建设和四煤城新能源项目建设。到2025年，全省清洁取暖率提高到75%以上</w:t>
      </w:r>
    </w:p>
    <w:p w14:paraId="1DAB37A7">
      <w:pPr>
        <w:pStyle w:val="85"/>
      </w:pPr>
      <w:r>
        <w:rPr>
          <w:rFonts w:hint="eastAsia"/>
        </w:rPr>
        <w:t>推动其他涉气污染物治理。推进大气氨排放控制，注重源头防控，优化饲料结构，强化畜禽养殖业氨排放综合管控；加强氮肥、纯碱等行业氨排放治理，强化工业源烟气脱硫脱硝氨逃逸防控。推动开展消耗臭氧层物质和氢氟碳化物环境管理。开展重点行业恶臭综合治理，推动恶臭投诉集中的重点企业和园区安装运行在线监测预警系统。</w:t>
      </w:r>
    </w:p>
    <w:p w14:paraId="78A5CCD8">
      <w:pPr>
        <w:pStyle w:val="85"/>
      </w:pPr>
      <w:r>
        <w:rPr>
          <w:rFonts w:hint="eastAsia"/>
        </w:rPr>
        <w:t>本项目为啤酒生产项目，不建设燃煤锅炉，</w:t>
      </w:r>
      <w:r>
        <w:rPr>
          <w:rFonts w:hint="eastAsia"/>
          <w:color w:val="000000" w:themeColor="text1"/>
          <w14:textFill>
            <w14:solidFill>
              <w14:schemeClr w14:val="tx1"/>
            </w14:solidFill>
          </w14:textFill>
        </w:rPr>
        <w:t>蒸汽锅炉采用</w:t>
      </w:r>
      <w:r>
        <w:rPr>
          <w:rFonts w:hint="eastAsia"/>
          <w:color w:val="000000" w:themeColor="text1"/>
          <w:lang w:val="en-US" w:eastAsia="zh-CN"/>
          <w14:textFill>
            <w14:solidFill>
              <w14:schemeClr w14:val="tx1"/>
            </w14:solidFill>
          </w14:textFill>
        </w:rPr>
        <w:t>天然气</w:t>
      </w:r>
      <w:r>
        <w:rPr>
          <w:rFonts w:hint="eastAsia"/>
          <w:color w:val="000000" w:themeColor="text1"/>
          <w14:textFill>
            <w14:solidFill>
              <w14:schemeClr w14:val="tx1"/>
            </w14:solidFill>
          </w14:textFill>
        </w:rPr>
        <w:t>作为能源，不采用高污染燃料；</w:t>
      </w:r>
      <w:r>
        <w:rPr>
          <w:color w:val="000000" w:themeColor="text1"/>
          <w14:textFill>
            <w14:solidFill>
              <w14:schemeClr w14:val="tx1"/>
            </w14:solidFill>
          </w14:textFill>
        </w:rPr>
        <w:t>污水处理站恶臭气体经引风机引至</w:t>
      </w:r>
      <w:r>
        <w:rPr>
          <w:rFonts w:hint="eastAsia"/>
          <w:color w:val="000000" w:themeColor="text1"/>
          <w:lang w:val="en-US" w:eastAsia="zh-CN"/>
          <w14:textFill>
            <w14:solidFill>
              <w14:schemeClr w14:val="tx1"/>
            </w14:solidFill>
          </w14:textFill>
        </w:rPr>
        <w:t>活性炭吸附</w:t>
      </w:r>
      <w:r>
        <w:rPr>
          <w:color w:val="000000" w:themeColor="text1"/>
          <w14:textFill>
            <w14:solidFill>
              <w14:schemeClr w14:val="tx1"/>
            </w14:solidFill>
          </w14:textFill>
        </w:rPr>
        <w:t>设施，经处理后由15m排气筒</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A00</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。二氧化碳逸出夹带少量异味废气排出，其异味废气产生量极少，在二氧化碳回收系统采用活性炭吸附异味气体后排放量甚微，主要为无组织排放。</w:t>
      </w:r>
      <w:r>
        <w:rPr>
          <w:color w:val="000000" w:themeColor="text1"/>
          <w14:textFill>
            <w14:solidFill>
              <w14:schemeClr w14:val="tx1"/>
            </w14:solidFill>
          </w14:textFill>
        </w:rPr>
        <w:t>在厂区道路两边种植灌木，厂界边缘地带种植杨、槐等高大乔木树种，形成多层防护林带，以降低恶臭污染的影响</w:t>
      </w:r>
      <w:r>
        <w:rPr>
          <w:rFonts w:hint="eastAsia"/>
          <w:color w:val="000000" w:themeColor="text1"/>
          <w14:textFill>
            <w14:solidFill>
              <w14:schemeClr w14:val="tx1"/>
            </w14:solidFill>
          </w14:textFill>
        </w:rPr>
        <w:t>；制冷剂采用R</w:t>
      </w:r>
      <w:r>
        <w:rPr>
          <w:color w:val="000000" w:themeColor="text1"/>
          <w14:textFill>
            <w14:solidFill>
              <w14:schemeClr w14:val="tx1"/>
            </w14:solidFill>
          </w14:textFill>
        </w:rPr>
        <w:t>410-A</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属于无氯环保制冷剂，且毒性低、不可燃、使用安全。</w:t>
      </w:r>
      <w:r>
        <w:rPr>
          <w:rFonts w:hint="eastAsia"/>
          <w:color w:val="000000" w:themeColor="text1"/>
          <w14:textFill>
            <w14:solidFill>
              <w14:schemeClr w14:val="tx1"/>
            </w14:solidFill>
          </w14:textFill>
        </w:rPr>
        <w:t>综上所述，本项目采取上述环保措施，</w:t>
      </w:r>
      <w:r>
        <w:rPr>
          <w:rFonts w:hint="eastAsia"/>
        </w:rPr>
        <w:t>符合《黑龙江省人民政府关于印发黑龙江省“十四五”生态环境保护规划的通知》（2021年12月29日）中相关要求。</w:t>
      </w:r>
    </w:p>
    <w:p w14:paraId="7D5394C2">
      <w:pPr>
        <w:pStyle w:val="7"/>
      </w:pPr>
      <w:r>
        <w:rPr>
          <w:rFonts w:hint="eastAsia"/>
        </w:rPr>
        <w:t>1</w:t>
      </w:r>
      <w:r>
        <w:t xml:space="preserve">.4.2.2 </w:t>
      </w:r>
      <w:r>
        <w:rPr>
          <w:rFonts w:hint="eastAsia"/>
        </w:rPr>
        <w:t>与</w:t>
      </w:r>
      <w:r>
        <w:rPr>
          <w:rFonts w:hint="eastAsia"/>
          <w:lang w:val="en-US"/>
        </w:rPr>
        <w:t>《黑龙江省主体功能区规划》</w:t>
      </w:r>
      <w:r>
        <w:rPr>
          <w:rFonts w:hint="eastAsia"/>
        </w:rPr>
        <w:t>符合性分析</w:t>
      </w:r>
    </w:p>
    <w:p w14:paraId="6D144868">
      <w:pPr>
        <w:pStyle w:val="85"/>
        <w:rPr>
          <w:rFonts w:hint="eastAsia"/>
        </w:rPr>
      </w:pPr>
      <w:r>
        <w:rPr>
          <w:rFonts w:hint="eastAsia"/>
          <w:lang w:val="en-US" w:eastAsia="zh-CN"/>
        </w:rPr>
        <w:t>本项目位于桦南县桦南镇，区域</w:t>
      </w:r>
      <w:r>
        <w:rPr>
          <w:rFonts w:hint="eastAsia"/>
        </w:rPr>
        <w:t>功能定位：</w:t>
      </w:r>
      <w:r>
        <w:rPr>
          <w:rFonts w:hint="eastAsia"/>
          <w:lang w:val="en-US" w:eastAsia="zh-CN"/>
        </w:rPr>
        <w:t>优质农产品生产加工基地，县域经济发展的核心区和引导区，特色优势产业的集聚区，周边农业人口转移的集散区。</w:t>
      </w:r>
    </w:p>
    <w:p w14:paraId="364692CF">
      <w:pPr>
        <w:pStyle w:val="85"/>
        <w:rPr>
          <w:rFonts w:hint="eastAsia"/>
        </w:rPr>
      </w:pPr>
      <w:r>
        <w:rPr>
          <w:rFonts w:hint="eastAsia"/>
        </w:rPr>
        <w:t>产业发展方向及布局：</w:t>
      </w:r>
      <w:r>
        <w:rPr>
          <w:rFonts w:hint="eastAsia"/>
          <w:lang w:val="en-US" w:eastAsia="zh-CN"/>
        </w:rPr>
        <w:t>因地制宜发展优势特色产业，重点发展农畜产品精深加工、食品加工、轻纺、新材料、新能源、生物、旅游等产业。</w:t>
      </w:r>
    </w:p>
    <w:p w14:paraId="305512E9">
      <w:pPr>
        <w:pStyle w:val="85"/>
        <w:rPr>
          <w:rFonts w:hint="eastAsia"/>
        </w:rPr>
      </w:pPr>
      <w:r>
        <w:rPr>
          <w:rFonts w:hint="eastAsia"/>
        </w:rPr>
        <w:t>生态</w:t>
      </w:r>
      <w:r>
        <w:rPr>
          <w:rFonts w:hint="eastAsia"/>
          <w:lang w:val="en-US" w:eastAsia="zh-CN"/>
        </w:rPr>
        <w:t>和农业</w:t>
      </w:r>
      <w:r>
        <w:rPr>
          <w:rFonts w:hint="eastAsia"/>
        </w:rPr>
        <w:t>建设：</w:t>
      </w:r>
      <w:r>
        <w:rPr>
          <w:rFonts w:hint="eastAsia"/>
          <w:lang w:val="en-US" w:eastAsia="zh-CN"/>
        </w:rPr>
        <w:t>积极保护耕地，保障粮食生产，大力发展生态农业，积极推广应用保护性耕作技术，治理水土流失，实施退耕还林还草还湿，强化西部地区的防风固沙功能，加强水资源保护治理。</w:t>
      </w:r>
    </w:p>
    <w:p w14:paraId="611C94C6">
      <w:pPr>
        <w:pStyle w:val="85"/>
        <w:rPr>
          <w:rFonts w:hint="eastAsia"/>
        </w:rPr>
      </w:pPr>
      <w:r>
        <w:rPr>
          <w:rFonts w:hint="eastAsia"/>
        </w:rPr>
        <w:t>基础设施建设：</w:t>
      </w:r>
      <w:r>
        <w:rPr>
          <w:rFonts w:hint="eastAsia"/>
          <w:lang w:val="en-US" w:eastAsia="zh-CN"/>
        </w:rPr>
        <w:t>完善城镇各类道路、供水、电力、通信、交通等基础设施，优化居住环境，提升服务水平。</w:t>
      </w:r>
    </w:p>
    <w:p w14:paraId="67B57960">
      <w:pPr>
        <w:pStyle w:val="85"/>
      </w:pPr>
      <w:r>
        <w:rPr>
          <w:rFonts w:hint="eastAsia"/>
        </w:rPr>
        <w:t>本项目为啤酒生产项目，位于</w:t>
      </w:r>
      <w:r>
        <w:rPr>
          <w:rFonts w:hint="eastAsia"/>
          <w:lang w:val="en-US" w:eastAsia="zh-CN"/>
        </w:rPr>
        <w:t>省</w:t>
      </w:r>
      <w:r>
        <w:rPr>
          <w:rFonts w:hint="eastAsia"/>
        </w:rPr>
        <w:t>级重点开发</w:t>
      </w:r>
      <w:r>
        <w:rPr>
          <w:rFonts w:hint="eastAsia"/>
          <w:lang w:val="en-US" w:eastAsia="zh-CN"/>
        </w:rPr>
        <w:t>城镇</w:t>
      </w:r>
      <w:r>
        <w:rPr>
          <w:rFonts w:hint="eastAsia"/>
        </w:rPr>
        <w:t>，项目建设地点位于</w:t>
      </w:r>
      <w:r>
        <w:rPr>
          <w:rFonts w:hint="eastAsia"/>
          <w:lang w:eastAsia="zh-CN"/>
        </w:rPr>
        <w:t>黑龙江省佳木斯市桦南县经济开发区兴企路东园兴街北</w:t>
      </w:r>
      <w:r>
        <w:rPr>
          <w:rFonts w:hint="eastAsia"/>
        </w:rPr>
        <w:t>，本项目的建设运营</w:t>
      </w:r>
      <w:r>
        <w:rPr>
          <w:rFonts w:hint="eastAsia"/>
          <w:lang w:val="en-US" w:eastAsia="zh-CN"/>
        </w:rPr>
        <w:t>属于因地制宜发展优势特色产业</w:t>
      </w:r>
      <w:r>
        <w:rPr>
          <w:rFonts w:hint="eastAsia"/>
        </w:rPr>
        <w:t>，</w:t>
      </w:r>
      <w:r>
        <w:rPr>
          <w:rFonts w:hint="eastAsia"/>
          <w:lang w:val="en-US" w:eastAsia="zh-CN"/>
        </w:rPr>
        <w:t>依托桦南地区规模化紫苏种植基地与地域特色资源，立足“紫苏+啤酒”差异化发展路径，</w:t>
      </w:r>
      <w:r>
        <w:rPr>
          <w:rFonts w:hint="eastAsia"/>
        </w:rPr>
        <w:t>符合《黑龙江省主体功能区规划》要求。</w:t>
      </w:r>
    </w:p>
    <w:p w14:paraId="3005084B">
      <w:pPr>
        <w:pStyle w:val="7"/>
      </w:pPr>
      <w:r>
        <w:rPr>
          <w:rFonts w:hint="eastAsia"/>
        </w:rPr>
        <w:t>1</w:t>
      </w:r>
      <w:r>
        <w:t>.4.2.3</w:t>
      </w:r>
      <w:r>
        <w:rPr>
          <w:rFonts w:hint="eastAsia"/>
        </w:rPr>
        <w:t>与《佳木斯市国土空间总体规划（2021—2035年）》（佳政发〔2025〕3号）符合性分析</w:t>
      </w:r>
    </w:p>
    <w:p w14:paraId="7FF60FE1">
      <w:pPr>
        <w:pStyle w:val="85"/>
      </w:pPr>
      <w:r>
        <w:rPr>
          <w:rFonts w:hint="eastAsia"/>
        </w:rPr>
        <w:t>根据《佳木斯市国土空间总体规划（2021—2035年）》（佳政发〔2025〕3号）中提出，《规划》</w:t>
      </w:r>
      <w:r>
        <w:rPr>
          <w:rFonts w:hint="eastAsia"/>
          <w:lang w:val="en-US" w:eastAsia="zh-CN"/>
        </w:rPr>
        <w:t>提出</w:t>
      </w:r>
      <w:r>
        <w:rPr>
          <w:rFonts w:hint="eastAsia"/>
        </w:rPr>
        <w:t>推动生态产品价值转换。以桦南县、汤原县为重点，发展林菌、林药、林果、林菜等多种林下经济，充分发挥桦南县国家林下经济示范基地作用，展示推广先进实用技术和发展模式，形成以点带面的辐射效应。培育林下经济生产龙头企业，引导食用菌、山野菜、中药材、紫苏等特色农林产品向高附加值、高科技含量方向发展。大力发展森林游、湿地游等生态旅游项目，推动健康养生产业发展。健全碳汇补偿和交易机制，加快培育碳减排服务业。。</w:t>
      </w:r>
    </w:p>
    <w:p w14:paraId="64DFD129">
      <w:pPr>
        <w:pStyle w:val="85"/>
      </w:pPr>
      <w:r>
        <w:rPr>
          <w:rFonts w:hint="eastAsia"/>
        </w:rPr>
        <w:t>本项目用地地块位于</w:t>
      </w:r>
      <w:r>
        <w:rPr>
          <w:rFonts w:hint="eastAsia"/>
          <w:snapToGrid w:val="0"/>
          <w:color w:val="000000" w:themeColor="text1"/>
          <w:lang w:eastAsia="zh-CN"/>
          <w14:textFill>
            <w14:solidFill>
              <w14:schemeClr w14:val="tx1"/>
            </w14:solidFill>
          </w14:textFill>
        </w:rPr>
        <w:t>黑龙江省佳木斯市桦南县经济开发区</w:t>
      </w:r>
      <w:r>
        <w:rPr>
          <w:rFonts w:hint="eastAsia"/>
        </w:rPr>
        <w:t>，</w:t>
      </w:r>
      <w:r>
        <w:rPr>
          <w:rFonts w:hint="eastAsia"/>
          <w:lang w:val="en-US" w:eastAsia="zh-CN"/>
        </w:rPr>
        <w:t>以优质麦芽为主料，以大米、燕麦、紫苏等为辅料，制作优质麦汁</w:t>
      </w:r>
      <w:r>
        <w:rPr>
          <w:rFonts w:hint="eastAsia"/>
        </w:rPr>
        <w:t>，</w:t>
      </w:r>
      <w:r>
        <w:rPr>
          <w:rFonts w:hint="eastAsia"/>
          <w:lang w:val="en-US" w:eastAsia="zh-CN"/>
        </w:rPr>
        <w:t>属于</w:t>
      </w:r>
      <w:r>
        <w:rPr>
          <w:rFonts w:hint="eastAsia"/>
        </w:rPr>
        <w:t>特色农林产品向高附加值方向发展</w:t>
      </w:r>
      <w:r>
        <w:rPr>
          <w:rFonts w:hint="eastAsia"/>
          <w:lang w:val="en-US" w:eastAsia="zh-CN"/>
        </w:rPr>
        <w:t>项目，</w:t>
      </w:r>
      <w:r>
        <w:rPr>
          <w:rFonts w:hint="eastAsia"/>
        </w:rPr>
        <w:t>符合《佳木斯市国土空间总体规划（2021—2035年）》</w:t>
      </w:r>
      <w:r>
        <w:rPr>
          <w:rFonts w:hint="eastAsia"/>
          <w:lang w:val="en-US" w:eastAsia="zh-CN"/>
        </w:rPr>
        <w:t>要求</w:t>
      </w:r>
      <w:r>
        <w:rPr>
          <w:rFonts w:hint="eastAsia"/>
        </w:rPr>
        <w:t>。</w:t>
      </w:r>
    </w:p>
    <w:p w14:paraId="245AEAFF">
      <w:pPr>
        <w:pStyle w:val="7"/>
      </w:pPr>
      <w:r>
        <w:rPr>
          <w:rFonts w:hint="eastAsia"/>
        </w:rPr>
        <w:t>1</w:t>
      </w:r>
      <w:r>
        <w:t>.4.2.4</w:t>
      </w:r>
      <w:r>
        <w:rPr>
          <w:rFonts w:hint="eastAsia"/>
        </w:rPr>
        <w:t>与《佳木斯市人民政府关于划定高污染燃料禁燃区的通告》（</w:t>
      </w:r>
      <w:r>
        <w:rPr>
          <w:rFonts w:hint="eastAsia"/>
          <w:lang w:val="en-US" w:eastAsia="zh-CN"/>
        </w:rPr>
        <w:t>佳</w:t>
      </w:r>
      <w:r>
        <w:rPr>
          <w:rFonts w:hint="eastAsia"/>
          <w:lang w:val="en-US"/>
        </w:rPr>
        <w:t>政</w:t>
      </w:r>
      <w:r>
        <w:rPr>
          <w:rFonts w:hint="eastAsia"/>
          <w:lang w:val="en-US" w:eastAsia="zh-CN"/>
        </w:rPr>
        <w:t>布</w:t>
      </w:r>
      <w:r>
        <w:rPr>
          <w:rFonts w:hint="eastAsia"/>
          <w:lang w:val="en-US"/>
        </w:rPr>
        <w:t>〔20</w:t>
      </w:r>
      <w:r>
        <w:rPr>
          <w:rFonts w:hint="eastAsia"/>
          <w:lang w:val="en-US" w:eastAsia="zh-CN"/>
        </w:rPr>
        <w:t>17</w:t>
      </w:r>
      <w:r>
        <w:rPr>
          <w:rFonts w:hint="eastAsia"/>
          <w:lang w:val="en-US"/>
        </w:rPr>
        <w:t>〕</w:t>
      </w:r>
      <w:r>
        <w:rPr>
          <w:rFonts w:hint="eastAsia"/>
          <w:lang w:val="en-US" w:eastAsia="zh-CN"/>
        </w:rPr>
        <w:t>6</w:t>
      </w:r>
      <w:r>
        <w:rPr>
          <w:rFonts w:hint="eastAsia"/>
          <w:lang w:val="en-US"/>
        </w:rPr>
        <w:t>号</w:t>
      </w:r>
      <w:r>
        <w:rPr>
          <w:rFonts w:hint="eastAsia"/>
        </w:rPr>
        <w:t>）符合性分析</w:t>
      </w:r>
    </w:p>
    <w:p w14:paraId="4BC62254">
      <w:pPr>
        <w:pStyle w:val="85"/>
      </w:pPr>
      <w:r>
        <w:rPr>
          <w:rFonts w:hint="eastAsia"/>
        </w:rPr>
        <w:t>禁燃区范围。I类禁燃区：向阳区北至永久胡同、西至久西巷、南至西林路、东至文久街围成区域，北至志同胡同、西至文久街、南至福丰街、东至红光巷围成区域；东风区北至松花江、西至科技大道、南至中华路、东至乌苏里江街围成区域，北至模范路、西至建国路、南至双合路、东至铃铛麦街围成区域； 郊区北至沃尔德路、西至G201国道、南至哈同高速公路、东至鹤大高速公路围成区域。II类禁燃区：除I类禁燃区区域外，东起乌苏里江街（延长线）、西至雨润街（延长线），南起中华路（延长线）、北至松花江南岸围成的区域。</w:t>
      </w:r>
    </w:p>
    <w:p w14:paraId="5C49E640">
      <w:pPr>
        <w:pStyle w:val="85"/>
      </w:pPr>
      <w:r>
        <w:rPr>
          <w:rFonts w:hint="eastAsia"/>
        </w:rPr>
        <w:t>本项目</w:t>
      </w:r>
      <w:r>
        <w:rPr>
          <w:rFonts w:hint="eastAsia"/>
          <w:lang w:val="en-US" w:eastAsia="zh-CN"/>
        </w:rPr>
        <w:t>不</w:t>
      </w:r>
      <w:r>
        <w:rPr>
          <w:rFonts w:hint="eastAsia"/>
        </w:rPr>
        <w:t>位于高污染燃料禁燃区范围内，本项目采用</w:t>
      </w:r>
      <w:r>
        <w:rPr>
          <w:rFonts w:hint="eastAsia"/>
          <w:lang w:val="en-US" w:eastAsia="zh-CN"/>
        </w:rPr>
        <w:t>天然气</w:t>
      </w:r>
      <w:r>
        <w:rPr>
          <w:rFonts w:hint="eastAsia"/>
        </w:rPr>
        <w:t>作为锅炉燃料，不属于高污染燃料，因此本项目建设符合《佳木斯市人民政府关于划定高污染燃料禁燃区的通告》（</w:t>
      </w:r>
      <w:r>
        <w:rPr>
          <w:rFonts w:hint="eastAsia"/>
          <w:lang w:val="en-US" w:eastAsia="zh-CN"/>
        </w:rPr>
        <w:t>佳</w:t>
      </w:r>
      <w:r>
        <w:rPr>
          <w:rFonts w:hint="eastAsia"/>
          <w:lang w:val="en-US"/>
        </w:rPr>
        <w:t>政</w:t>
      </w:r>
      <w:r>
        <w:rPr>
          <w:rFonts w:hint="eastAsia"/>
          <w:lang w:val="en-US" w:eastAsia="zh-CN"/>
        </w:rPr>
        <w:t>布</w:t>
      </w:r>
      <w:r>
        <w:rPr>
          <w:rFonts w:hint="eastAsia"/>
          <w:lang w:val="en-US"/>
        </w:rPr>
        <w:t>〔20</w:t>
      </w:r>
      <w:r>
        <w:rPr>
          <w:rFonts w:hint="eastAsia"/>
          <w:lang w:val="en-US" w:eastAsia="zh-CN"/>
        </w:rPr>
        <w:t>17</w:t>
      </w:r>
      <w:r>
        <w:rPr>
          <w:rFonts w:hint="eastAsia"/>
          <w:lang w:val="en-US"/>
        </w:rPr>
        <w:t>〕</w:t>
      </w:r>
      <w:r>
        <w:rPr>
          <w:rFonts w:hint="eastAsia"/>
          <w:lang w:val="en-US" w:eastAsia="zh-CN"/>
        </w:rPr>
        <w:t>6</w:t>
      </w:r>
      <w:r>
        <w:rPr>
          <w:rFonts w:hint="eastAsia"/>
          <w:lang w:val="en-US"/>
        </w:rPr>
        <w:t>号</w:t>
      </w:r>
      <w:r>
        <w:rPr>
          <w:rFonts w:hint="eastAsia"/>
        </w:rPr>
        <w:t>）</w:t>
      </w:r>
      <w:r>
        <w:rPr>
          <w:rFonts w:hint="eastAsia"/>
          <w:lang w:val="en-US" w:eastAsia="zh-CN"/>
        </w:rPr>
        <w:t>中要求</w:t>
      </w:r>
      <w:r>
        <w:rPr>
          <w:rFonts w:hint="eastAsia"/>
        </w:rPr>
        <w:t>。</w:t>
      </w:r>
    </w:p>
    <w:p w14:paraId="66EB520F">
      <w:pPr>
        <w:pStyle w:val="7"/>
      </w:pPr>
      <w:r>
        <w:rPr>
          <w:rFonts w:hint="eastAsia"/>
        </w:rPr>
        <w:t>1</w:t>
      </w:r>
      <w:r>
        <w:t xml:space="preserve">.4.2.5 </w:t>
      </w:r>
      <w:r>
        <w:rPr>
          <w:rFonts w:hint="eastAsia"/>
          <w:lang w:eastAsia="zh-CN"/>
        </w:rPr>
        <w:t>与</w:t>
      </w:r>
      <w:r>
        <w:rPr>
          <w:rFonts w:hint="eastAsia"/>
        </w:rPr>
        <w:t>《关于进一步加强环境影响评价管理防范环境风险的通知》（环境保护部，环发〔2012〕77号）</w:t>
      </w:r>
      <w:r>
        <w:rPr>
          <w:rFonts w:hint="eastAsia"/>
          <w:lang w:eastAsia="zh-CN"/>
        </w:rPr>
        <w:t>符合性分析</w:t>
      </w:r>
    </w:p>
    <w:p w14:paraId="67DC056E">
      <w:pPr>
        <w:pStyle w:val="85"/>
      </w:pPr>
      <w:r>
        <w:rPr>
          <w:rFonts w:hint="eastAsia"/>
        </w:rPr>
        <w:t>新、改、扩建相关建设项目环境影响评价应按照相应技术导则要求，科学预测评价突发性事件或事故可能引发的环境风险，提出环境风险防范和应急措施；从环境风险源、扩散途径、保护目标三方面识别环境风险，科学开展环境风险预测，并提出合理有效的环境风险防范和应急措施；对存在较大环境风险的相关建设项目，应严格按照《环境影响评价公众参与暂行办法》（环发〔2006〕28号）做好环境影响评价公众参与工作。</w:t>
      </w:r>
    </w:p>
    <w:p w14:paraId="078BC502">
      <w:pPr>
        <w:pStyle w:val="85"/>
      </w:pPr>
      <w:r>
        <w:rPr>
          <w:rFonts w:hint="eastAsia"/>
        </w:rPr>
        <w:t>本项目属于啤酒生产项目。本次环评对项目环境风险进行评价分析，建设单位按照规定设计完善的防范措施和应急措施，具体内容见本报告相关章节，并在开展环境影响评价的过程中，在当地网站上进行公示，项目建设符合上述环保政策要求。</w:t>
      </w:r>
    </w:p>
    <w:p w14:paraId="7586435A">
      <w:pPr>
        <w:pStyle w:val="7"/>
      </w:pPr>
      <w:r>
        <w:rPr>
          <w:rFonts w:hint="eastAsia"/>
        </w:rPr>
        <w:t>1</w:t>
      </w:r>
      <w:r>
        <w:t>.4.2.6</w:t>
      </w:r>
      <w:r>
        <w:rPr>
          <w:rFonts w:hint="eastAsia"/>
        </w:rPr>
        <w:t>与《</w:t>
      </w:r>
      <w:r>
        <w:rPr>
          <w:rFonts w:hint="eastAsia"/>
          <w:lang w:eastAsia="zh-CN"/>
        </w:rPr>
        <w:t>黑龙江桦南经济开发区总体规划（2021-2035 年）环境影响报告书</w:t>
      </w:r>
      <w:r>
        <w:rPr>
          <w:rFonts w:hint="eastAsia"/>
        </w:rPr>
        <w:t>》及其审查意见符合性分析</w:t>
      </w:r>
    </w:p>
    <w:p w14:paraId="09D16FE2">
      <w:pPr>
        <w:pStyle w:val="85"/>
      </w:pPr>
      <w:r>
        <w:rPr>
          <w:rFonts w:hint="eastAsia"/>
        </w:rPr>
        <w:t>1、规划环评</w:t>
      </w:r>
      <w:r>
        <w:rPr>
          <w:rFonts w:hint="eastAsia"/>
          <w:lang w:val="en-US" w:eastAsia="zh-CN"/>
        </w:rPr>
        <w:t>审查意见</w:t>
      </w:r>
      <w:r>
        <w:rPr>
          <w:rFonts w:hint="eastAsia"/>
        </w:rPr>
        <w:t>结论符合性分析</w:t>
      </w:r>
    </w:p>
    <w:p w14:paraId="1FFD4056">
      <w:pPr>
        <w:pStyle w:val="85"/>
        <w:rPr>
          <w:rFonts w:hint="default" w:eastAsia="宋体"/>
          <w:lang w:val="en-US" w:eastAsia="zh-CN"/>
        </w:rPr>
      </w:pPr>
      <w:r>
        <w:rPr>
          <w:rFonts w:hint="eastAsia"/>
          <w:lang w:val="en-US" w:eastAsia="zh-CN"/>
        </w:rPr>
        <w:t>“</w:t>
      </w:r>
      <w:r>
        <w:rPr>
          <w:lang w:val="en-US" w:eastAsia="zh-CN"/>
        </w:rPr>
        <w:t>黑龙江桦南经济开发区位于佳木斯市桦南县。</w:t>
      </w:r>
      <w:r>
        <w:rPr>
          <w:rFonts w:hint="default"/>
          <w:lang w:val="en-US" w:eastAsia="zh-CN"/>
        </w:rPr>
        <w:t>2014</w:t>
      </w:r>
      <w:r>
        <w:rPr>
          <w:rFonts w:hint="eastAsia"/>
          <w:lang w:val="en-US" w:eastAsia="zh-CN"/>
        </w:rPr>
        <w:t xml:space="preserve">年 </w:t>
      </w:r>
      <w:r>
        <w:rPr>
          <w:rFonts w:hint="default"/>
          <w:lang w:val="en-US" w:eastAsia="zh-CN"/>
        </w:rPr>
        <w:t>3</w:t>
      </w:r>
      <w:r>
        <w:rPr>
          <w:rFonts w:hint="eastAsia"/>
        </w:rPr>
        <w:t>月，黑龙江省人民政府同意桦南工业示范基地升级为省级经济开发区，并定名为黑龙江桦南经济开发区（黑政办函〔</w:t>
      </w:r>
      <w:r>
        <w:rPr>
          <w:rFonts w:hint="default"/>
        </w:rPr>
        <w:t>2014</w:t>
      </w:r>
      <w:r>
        <w:rPr>
          <w:rFonts w:hint="eastAsia"/>
        </w:rPr>
        <w:t>〕</w:t>
      </w:r>
      <w:r>
        <w:rPr>
          <w:rFonts w:hint="default"/>
        </w:rPr>
        <w:t>17</w:t>
      </w:r>
      <w:r>
        <w:rPr>
          <w:rFonts w:hint="eastAsia"/>
        </w:rPr>
        <w:t>号，以下简称“开发区”）。</w:t>
      </w:r>
      <w:r>
        <w:rPr>
          <w:rFonts w:hint="default"/>
        </w:rPr>
        <w:t>2019</w:t>
      </w:r>
      <w:r>
        <w:rPr>
          <w:rFonts w:hint="eastAsia"/>
        </w:rPr>
        <w:t xml:space="preserve">年 </w:t>
      </w:r>
      <w:r>
        <w:rPr>
          <w:rFonts w:hint="default"/>
        </w:rPr>
        <w:t>11</w:t>
      </w:r>
      <w:r>
        <w:rPr>
          <w:rFonts w:hint="eastAsia"/>
        </w:rPr>
        <w:t>月，黑龙江省人民政府同意开发区托管桦南化工园区，并同意调整原批准范围（黑政函</w:t>
      </w:r>
      <w:r>
        <w:rPr>
          <w:rFonts w:hint="eastAsia"/>
          <w:lang w:val="en-US" w:eastAsia="zh-CN"/>
        </w:rPr>
        <w:t>〔</w:t>
      </w:r>
      <w:r>
        <w:rPr>
          <w:rFonts w:hint="default"/>
          <w:lang w:val="en-US" w:eastAsia="zh-CN"/>
        </w:rPr>
        <w:t>2019</w:t>
      </w:r>
      <w:r>
        <w:rPr>
          <w:rFonts w:hint="eastAsia"/>
          <w:lang w:val="en-US" w:eastAsia="zh-CN"/>
        </w:rPr>
        <w:t>〕</w:t>
      </w:r>
      <w:r>
        <w:rPr>
          <w:rFonts w:hint="default"/>
          <w:lang w:val="en-US" w:eastAsia="zh-CN"/>
        </w:rPr>
        <w:t>97</w:t>
      </w:r>
      <w:r>
        <w:rPr>
          <w:rFonts w:hint="eastAsia"/>
          <w:lang w:val="en-US" w:eastAsia="zh-CN"/>
        </w:rPr>
        <w:t xml:space="preserve">号），优化整合后的面积为 </w:t>
      </w:r>
      <w:r>
        <w:rPr>
          <w:rFonts w:hint="default"/>
          <w:lang w:val="en-US" w:eastAsia="zh-CN"/>
        </w:rPr>
        <w:t>688</w:t>
      </w:r>
      <w:r>
        <w:rPr>
          <w:rFonts w:hint="eastAsia"/>
          <w:lang w:val="en-US" w:eastAsia="zh-CN"/>
        </w:rPr>
        <w:t>公顷。你单位编制了《黑龙江桦南经济开发区总体规划（</w:t>
      </w:r>
      <w:r>
        <w:rPr>
          <w:rFonts w:hint="default"/>
          <w:lang w:val="en-US" w:eastAsia="zh-CN"/>
        </w:rPr>
        <w:t>2021—2035</w:t>
      </w:r>
      <w:r>
        <w:rPr>
          <w:rFonts w:hint="eastAsia"/>
          <w:lang w:val="en-US" w:eastAsia="zh-CN"/>
        </w:rPr>
        <w:t>年）环境影</w:t>
      </w:r>
      <w:r>
        <w:rPr>
          <w:rFonts w:hint="eastAsia"/>
        </w:rPr>
        <w:t>响报告书》（以下简称《规划》），并同步开展了规划环境影响评价工作。开发区划分为精细化工产业区、农产品加工产业区和装备制造及建材产业区等三个功能区片。主导产业为精细化工、</w:t>
      </w:r>
      <w:r>
        <w:rPr>
          <w:rFonts w:hint="eastAsia"/>
          <w:lang w:val="en-US" w:eastAsia="zh-CN"/>
        </w:rPr>
        <w:t>食品药品、装备制造和建材等产业。</w:t>
      </w:r>
    </w:p>
    <w:p w14:paraId="780A34ED">
      <w:pPr>
        <w:pStyle w:val="85"/>
        <w:rPr>
          <w:rFonts w:hint="eastAsia" w:eastAsia="宋体"/>
          <w:lang w:val="en-US" w:eastAsia="zh-CN"/>
        </w:rPr>
      </w:pPr>
      <w:r>
        <w:rPr>
          <w:rFonts w:hint="eastAsia"/>
        </w:rPr>
        <w:t>《报告书》在梳理开发区发展历程、开展生态环境现状调查监测和回顾性评价的基础上，分析了《规划》与佳木斯市生态环境分区管控方案及相关规划的协调性，识别了《规划》实施的主要资源环境制约因素，预测了《规划》实施对生态环境的影响，开展了减污降碳分析、环境风险评价、公众参与等工作，论证了《规划》方案的环境合理性，提出了《规划》优化调整建议和减缓不良生态环境影响的对策措施。 《报告书》基础资料较丰富，评价内容较全面，采用的技术路线和方法基本适当，对主要生态环境影响的预测分析结果基本合理，提出的《规划》优化调整建议和减缓不良生态环境影响的对策措施原则可行，评价结论总体</w:t>
      </w:r>
      <w:r>
        <w:rPr>
          <w:rFonts w:hint="eastAsia"/>
          <w:lang w:val="en-US" w:eastAsia="zh-CN"/>
        </w:rPr>
        <w:t>可信。”</w:t>
      </w:r>
    </w:p>
    <w:p w14:paraId="0762B873">
      <w:pPr>
        <w:pStyle w:val="85"/>
      </w:pPr>
      <w:r>
        <w:rPr>
          <w:rFonts w:hint="eastAsia"/>
        </w:rPr>
        <w:t>根据《</w:t>
      </w:r>
      <w:r>
        <w:rPr>
          <w:rFonts w:hint="eastAsia"/>
          <w:lang w:eastAsia="zh-CN"/>
        </w:rPr>
        <w:t>黑龙江桦南经济开发区总体规划（2021-2035 年）环境影响报告书</w:t>
      </w:r>
      <w:r>
        <w:rPr>
          <w:rFonts w:hint="eastAsia"/>
        </w:rPr>
        <w:t>》，</w:t>
      </w:r>
      <w:r>
        <w:rPr>
          <w:rFonts w:hint="eastAsia"/>
          <w:lang w:val="en-US" w:eastAsia="zh-CN"/>
        </w:rPr>
        <w:t>本项目选址</w:t>
      </w:r>
      <w:r>
        <w:rPr>
          <w:rFonts w:hint="eastAsia"/>
        </w:rPr>
        <w:t>位于</w:t>
      </w:r>
      <w:r>
        <w:rPr>
          <w:rFonts w:hint="eastAsia"/>
          <w:lang w:val="en-US" w:eastAsia="zh-CN"/>
        </w:rPr>
        <w:t>农产品加工产业</w:t>
      </w:r>
      <w:r>
        <w:t>区</w:t>
      </w:r>
      <w:r>
        <w:rPr>
          <w:rFonts w:hint="eastAsia"/>
        </w:rPr>
        <w:t>，</w:t>
      </w:r>
      <w:r>
        <w:rPr>
          <w:rFonts w:hint="eastAsia"/>
          <w:lang w:val="en-US" w:eastAsia="zh-CN"/>
        </w:rPr>
        <w:t>农产品加工产业</w:t>
      </w:r>
      <w:r>
        <w:t>区</w:t>
      </w:r>
      <w:r>
        <w:rPr>
          <w:rFonts w:hint="eastAsia"/>
        </w:rPr>
        <w:t>主导产业为食品行业和药品行业，主要发展农产品初加工、农副食品加工、食品制造、酒、饮料和精制茶制造、中药饮片加工和中成药生产等产业。</w:t>
      </w:r>
      <w:r>
        <w:rPr>
          <w:rFonts w:hint="eastAsia"/>
          <w:lang w:val="en-US" w:eastAsia="zh-CN"/>
        </w:rPr>
        <w:t>本项目为紫苏啤酒制造项目，</w:t>
      </w:r>
      <w:r>
        <w:rPr>
          <w:rFonts w:hint="eastAsia"/>
        </w:rPr>
        <w:t>符合园区功能区规划。</w:t>
      </w:r>
    </w:p>
    <w:p w14:paraId="77CA190C">
      <w:pPr>
        <w:pStyle w:val="85"/>
      </w:pPr>
      <w:r>
        <w:rPr>
          <w:rFonts w:hint="eastAsia"/>
        </w:rPr>
        <w:t>2、供热规划符合性分析</w:t>
      </w:r>
    </w:p>
    <w:p w14:paraId="4E665BD0">
      <w:pPr>
        <w:pStyle w:val="85"/>
      </w:pPr>
      <w:r>
        <w:rPr>
          <w:rFonts w:hint="eastAsia"/>
          <w:lang w:eastAsia="zh-CN"/>
        </w:rPr>
        <w:t>“</w:t>
      </w:r>
      <w:r>
        <w:rPr>
          <w:rFonts w:hint="eastAsia"/>
        </w:rPr>
        <w:t>八虎力河以南生活采暖采用城区集中供热热源桦南协联报春热电有限公司3</w:t>
      </w:r>
      <w:r>
        <w:rPr>
          <w:rFonts w:hint="eastAsia"/>
          <w:lang w:val="en-US" w:eastAsia="zh-CN"/>
        </w:rPr>
        <w:t>×</w:t>
      </w:r>
      <w:r>
        <w:rPr>
          <w:rFonts w:hint="eastAsia"/>
        </w:rPr>
        <w:t>130t/h高温高压循环流化床锅炉+3</w:t>
      </w:r>
      <w:r>
        <w:rPr>
          <w:rFonts w:hint="eastAsia"/>
          <w:lang w:val="en-US" w:eastAsia="zh-CN"/>
        </w:rPr>
        <w:t>×</w:t>
      </w:r>
      <w:r>
        <w:rPr>
          <w:rFonts w:hint="eastAsia"/>
        </w:rPr>
        <w:t>6MW抽凝式汽轮发电机组+1</w:t>
      </w:r>
      <w:r>
        <w:rPr>
          <w:rFonts w:hint="eastAsia"/>
          <w:lang w:val="en-US" w:eastAsia="zh-CN"/>
        </w:rPr>
        <w:t>×</w:t>
      </w:r>
      <w:r>
        <w:rPr>
          <w:rFonts w:hint="eastAsia"/>
        </w:rPr>
        <w:t>12MW 抽凝式汽轮发电机组+1</w:t>
      </w:r>
      <w:r>
        <w:rPr>
          <w:rFonts w:hint="eastAsia"/>
          <w:lang w:val="en-US" w:eastAsia="zh-CN"/>
        </w:rPr>
        <w:t>×</w:t>
      </w:r>
      <w:r>
        <w:rPr>
          <w:rFonts w:hint="eastAsia"/>
        </w:rPr>
        <w:t>12MW背压式汽轮发电机组或工业余热，生产供热采用企业自建燃用电、天然气、生物质成型燃料等清洁能源锅炉</w:t>
      </w:r>
      <w:r>
        <w:rPr>
          <w:rFonts w:hint="eastAsia"/>
          <w:lang w:eastAsia="zh-CN"/>
        </w:rPr>
        <w:t>；</w:t>
      </w:r>
      <w:r>
        <w:rPr>
          <w:rFonts w:hint="eastAsia"/>
        </w:rPr>
        <w:t>2025年底前按照有关部门要求拆除《产业结构调整指导目录(2024年本)》中“淘汰类”落后生产工艺设备“每小时2蒸吨及以下</w:t>
      </w:r>
      <w:r>
        <w:rPr>
          <w:rFonts w:hint="eastAsia"/>
          <w:lang w:eastAsia="zh-CN"/>
        </w:rPr>
        <w:t>天然气锅炉</w:t>
      </w:r>
      <w:r>
        <w:rPr>
          <w:rFonts w:hint="eastAsia"/>
        </w:rPr>
        <w:t>”。</w:t>
      </w:r>
      <w:r>
        <w:rPr>
          <w:rFonts w:hint="eastAsia"/>
          <w:lang w:eastAsia="zh-CN"/>
        </w:rPr>
        <w:t>”</w:t>
      </w:r>
    </w:p>
    <w:p w14:paraId="3403AB51">
      <w:pPr>
        <w:pStyle w:val="85"/>
        <w:rPr>
          <w:rFonts w:hint="eastAsia"/>
        </w:rPr>
      </w:pPr>
      <w:r>
        <w:rPr>
          <w:rFonts w:hint="eastAsia"/>
        </w:rPr>
        <w:t>本项目</w:t>
      </w:r>
      <w:r>
        <w:rPr>
          <w:rFonts w:hint="eastAsia"/>
          <w:lang w:val="en-US" w:eastAsia="zh-CN"/>
        </w:rPr>
        <w:t>冬季供暖采用园区集中供热，生产用热采用</w:t>
      </w:r>
      <w:r>
        <w:rPr>
          <w:rFonts w:hint="eastAsia"/>
          <w:snapToGrid w:val="0"/>
          <w:color w:val="000000" w:themeColor="text1"/>
          <w:kern w:val="0"/>
          <w:szCs w:val="21"/>
          <w:lang w:val="en-US" w:eastAsia="zh-CN"/>
          <w14:textFill>
            <w14:solidFill>
              <w14:schemeClr w14:val="tx1"/>
            </w14:solidFill>
          </w14:textFill>
        </w:rPr>
        <w:t>3台4t/h燃气锅炉</w:t>
      </w:r>
      <w:r>
        <w:rPr>
          <w:rFonts w:hint="eastAsia"/>
          <w:lang w:val="en-US" w:eastAsia="zh-CN"/>
        </w:rPr>
        <w:t>，</w:t>
      </w:r>
      <w:r>
        <w:rPr>
          <w:rFonts w:hint="eastAsia"/>
        </w:rPr>
        <w:t>采</w:t>
      </w:r>
      <w:r>
        <w:rPr>
          <w:rFonts w:hint="eastAsia"/>
          <w:lang w:val="en-US" w:eastAsia="zh-CN"/>
        </w:rPr>
        <w:t>用天然气</w:t>
      </w:r>
      <w:r>
        <w:rPr>
          <w:rFonts w:hint="eastAsia"/>
        </w:rPr>
        <w:t>作为燃料，不属于高污染燃料，符合园区供</w:t>
      </w:r>
      <w:r>
        <w:rPr>
          <w:rFonts w:hint="eastAsia"/>
          <w:lang w:val="en-US" w:eastAsia="zh-CN"/>
        </w:rPr>
        <w:t>热</w:t>
      </w:r>
      <w:r>
        <w:rPr>
          <w:rFonts w:hint="eastAsia"/>
        </w:rPr>
        <w:t>规划。</w:t>
      </w:r>
    </w:p>
    <w:p w14:paraId="6DABF184">
      <w:pPr>
        <w:pStyle w:val="85"/>
      </w:pPr>
      <w:r>
        <w:rPr>
          <w:rFonts w:hint="eastAsia"/>
          <w:lang w:val="en-US" w:eastAsia="zh-CN"/>
        </w:rPr>
        <w:t>3</w:t>
      </w:r>
      <w:r>
        <w:rPr>
          <w:rFonts w:hint="eastAsia"/>
        </w:rPr>
        <w:t>、供</w:t>
      </w:r>
      <w:r>
        <w:rPr>
          <w:rFonts w:hint="eastAsia"/>
          <w:lang w:val="en-US" w:eastAsia="zh-CN"/>
        </w:rPr>
        <w:t>水</w:t>
      </w:r>
      <w:r>
        <w:rPr>
          <w:rFonts w:hint="eastAsia"/>
        </w:rPr>
        <w:t>规划符合性分析</w:t>
      </w:r>
    </w:p>
    <w:p w14:paraId="16C796B7">
      <w:pPr>
        <w:pStyle w:val="85"/>
        <w:rPr>
          <w:rFonts w:hint="eastAsia"/>
        </w:rPr>
      </w:pPr>
      <w:r>
        <w:rPr>
          <w:rFonts w:hint="eastAsia"/>
          <w:lang w:val="en-US" w:eastAsia="zh-CN"/>
        </w:rPr>
        <w:t>“由桦南县清源供水有限公司提供，即采用城镇给水系统，供水范围为桦南县中心城区，供水管线已铺设到开发区。”</w:t>
      </w:r>
    </w:p>
    <w:p w14:paraId="2AB7E1BB">
      <w:pPr>
        <w:pStyle w:val="85"/>
        <w:rPr>
          <w:rFonts w:hint="default" w:eastAsia="宋体"/>
          <w:lang w:val="en-US" w:eastAsia="zh-CN"/>
        </w:rPr>
      </w:pPr>
      <w:r>
        <w:rPr>
          <w:rFonts w:hint="eastAsia"/>
          <w:lang w:val="en-US" w:eastAsia="zh-CN"/>
        </w:rPr>
        <w:t>本项目供水依托园区供水管网，符合</w:t>
      </w:r>
      <w:r>
        <w:rPr>
          <w:rFonts w:hint="eastAsia"/>
        </w:rPr>
        <w:t>园区供</w:t>
      </w:r>
      <w:r>
        <w:rPr>
          <w:rFonts w:hint="eastAsia"/>
          <w:lang w:val="en-US" w:eastAsia="zh-CN"/>
        </w:rPr>
        <w:t>水</w:t>
      </w:r>
      <w:r>
        <w:rPr>
          <w:rFonts w:hint="eastAsia"/>
        </w:rPr>
        <w:t>规划。</w:t>
      </w:r>
    </w:p>
    <w:p w14:paraId="7F0E6439">
      <w:pPr>
        <w:pStyle w:val="85"/>
        <w:numPr>
          <w:ilvl w:val="0"/>
          <w:numId w:val="0"/>
        </w:numPr>
        <w:ind w:firstLine="480" w:firstLineChars="200"/>
        <w:rPr>
          <w:rFonts w:hint="eastAsia"/>
        </w:rPr>
      </w:pPr>
      <w:r>
        <w:rPr>
          <w:rFonts w:hint="eastAsia"/>
          <w:lang w:val="en-US" w:eastAsia="zh-CN"/>
        </w:rPr>
        <w:t>4、排水规划</w:t>
      </w:r>
      <w:r>
        <w:rPr>
          <w:rFonts w:hint="eastAsia"/>
        </w:rPr>
        <w:t>符合性分析</w:t>
      </w:r>
    </w:p>
    <w:p w14:paraId="3953A95A">
      <w:pPr>
        <w:pStyle w:val="85"/>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w:t>
      </w:r>
      <w:r>
        <w:rPr>
          <w:rFonts w:hint="default" w:eastAsia="宋体"/>
          <w:lang w:val="en-US" w:eastAsia="zh-CN"/>
        </w:rPr>
        <w:t>黑龙江桦南经济开发区农产品加工产业区（八虎力河以南）和装备制造及建材产业区各类废水依托桦南县城镇污水处理厂进行处理，该污水处理厂处理规模3.0万 m</w:t>
      </w:r>
      <w:r>
        <w:rPr>
          <w:rFonts w:hint="default" w:eastAsia="宋体"/>
          <w:vertAlign w:val="superscript"/>
          <w:lang w:val="en-US" w:eastAsia="zh-CN"/>
        </w:rPr>
        <w:t>3</w:t>
      </w:r>
      <w:r>
        <w:rPr>
          <w:rFonts w:hint="default" w:eastAsia="宋体"/>
          <w:lang w:val="en-US" w:eastAsia="zh-CN"/>
        </w:rPr>
        <w:t xml:space="preserve"> /d ，一期工程处理规模 1.5 万 m</w:t>
      </w:r>
      <w:r>
        <w:rPr>
          <w:rFonts w:hint="default" w:eastAsia="宋体"/>
          <w:vertAlign w:val="superscript"/>
          <w:lang w:val="en-US" w:eastAsia="zh-CN"/>
        </w:rPr>
        <w:t>3</w:t>
      </w:r>
      <w:r>
        <w:rPr>
          <w:rFonts w:hint="default" w:eastAsia="宋体"/>
          <w:lang w:val="en-US" w:eastAsia="zh-CN"/>
        </w:rPr>
        <w:t xml:space="preserve"> /d、主体工艺“粗格栅+细格栅+平流沉砂池+多段 A/O 生化池+深度处理（混凝沉淀池+纤维球过滤器）+紫外线消毒处理”，二期工程处理规模</w:t>
      </w:r>
      <w:r>
        <w:rPr>
          <w:rFonts w:hint="eastAsia"/>
          <w:lang w:val="en-US" w:eastAsia="zh-CN"/>
        </w:rPr>
        <w:t>1</w:t>
      </w:r>
      <w:r>
        <w:rPr>
          <w:rFonts w:hint="default" w:eastAsia="宋体"/>
          <w:lang w:val="en-US" w:eastAsia="zh-CN"/>
        </w:rPr>
        <w:t>.5万m</w:t>
      </w:r>
      <w:r>
        <w:rPr>
          <w:rFonts w:hint="default" w:eastAsia="宋体"/>
          <w:vertAlign w:val="superscript"/>
          <w:lang w:val="en-US" w:eastAsia="zh-CN"/>
        </w:rPr>
        <w:t>3</w:t>
      </w:r>
      <w:r>
        <w:rPr>
          <w:rFonts w:hint="default" w:eastAsia="宋体"/>
          <w:lang w:val="en-US" w:eastAsia="zh-CN"/>
        </w:rPr>
        <w:t>/d、主体工艺“粗格栅+细格栅+旋流沉砂池+EBIS 生化池+深度处理（混凝沉淀池+纤维转盘滤池）+紫外线消毒处理”，出水水质满足《城镇污水处理厂污染物排放标准》（GB18918-2002）表 1 一级 A 标准要求排入八虎力河，最终汇入倭肯河</w:t>
      </w:r>
      <w:r>
        <w:rPr>
          <w:rFonts w:hint="eastAsia"/>
          <w:lang w:val="en-US" w:eastAsia="zh-CN"/>
        </w:rPr>
        <w:t>。</w:t>
      </w:r>
    </w:p>
    <w:p w14:paraId="4D788F55">
      <w:pPr>
        <w:pStyle w:val="85"/>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《桦南县城污水处理厂升级改造工程建设项目环境影响报告表》和《桦南县污水处理厂扩建工程建设项目环境影响报告表》已获得佳木斯市桦南生态环境局批复（桦环建审〔2015〕11 号和桦环建审〔2019〕26 号），并均完成了建设项目竣工环境保护验收工作。”</w:t>
      </w:r>
    </w:p>
    <w:p w14:paraId="0B3479AE">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本项目</w:t>
      </w:r>
      <w:r>
        <w:rPr>
          <w:rFonts w:hint="eastAsia"/>
          <w:snapToGrid w:val="0"/>
          <w:color w:val="000000" w:themeColor="text1"/>
          <w14:textFill>
            <w14:solidFill>
              <w14:schemeClr w14:val="tx1"/>
            </w14:solidFill>
          </w14:textFill>
        </w:rPr>
        <w:t>废水</w:t>
      </w:r>
      <w:r>
        <w:rPr>
          <w:rFonts w:hint="eastAsia"/>
          <w:snapToGrid w:val="0"/>
          <w:color w:val="000000" w:themeColor="text1"/>
          <w:lang w:val="en-US" w:eastAsia="zh-CN"/>
          <w14:textFill>
            <w14:solidFill>
              <w14:schemeClr w14:val="tx1"/>
            </w14:solidFill>
          </w14:textFill>
        </w:rPr>
        <w:t>经新建污水处理站处理后，</w:t>
      </w:r>
      <w:r>
        <w:rPr>
          <w:rFonts w:hint="eastAsia"/>
          <w:color w:val="000000" w:themeColor="text1"/>
          <w14:textFill>
            <w14:solidFill>
              <w14:schemeClr w14:val="tx1"/>
            </w14:solidFill>
          </w14:textFill>
        </w:rPr>
        <w:t>废水</w:t>
      </w:r>
      <w:r>
        <w:rPr>
          <w:rFonts w:hint="eastAsia"/>
          <w:color w:val="000000" w:themeColor="text1"/>
          <w:lang w:val="en-US" w:eastAsia="zh-CN"/>
          <w14:textFill>
            <w14:solidFill>
              <w14:schemeClr w14:val="tx1"/>
            </w14:solidFill>
          </w14:textFill>
        </w:rPr>
        <w:t>排放</w:t>
      </w:r>
      <w:r>
        <w:rPr>
          <w:rFonts w:hint="eastAsia"/>
          <w:color w:val="000000" w:themeColor="text1"/>
          <w14:textFill>
            <w14:solidFill>
              <w14:schemeClr w14:val="tx1"/>
            </w14:solidFill>
          </w14:textFill>
        </w:rPr>
        <w:t>浓度低于</w:t>
      </w:r>
      <w:r>
        <w:rPr>
          <w:rFonts w:hint="eastAsia"/>
          <w:color w:val="000000" w:themeColor="text1"/>
          <w:lang w:eastAsia="zh-CN"/>
          <w14:textFill>
            <w14:solidFill>
              <w14:schemeClr w14:val="tx1"/>
            </w14:solidFill>
          </w14:textFill>
        </w:rPr>
        <w:t>桦南县城镇污水处理厂</w:t>
      </w:r>
      <w:r>
        <w:rPr>
          <w:rFonts w:hint="eastAsia"/>
          <w:color w:val="000000" w:themeColor="text1"/>
          <w14:textFill>
            <w14:solidFill>
              <w14:schemeClr w14:val="tx1"/>
            </w14:solidFill>
          </w14:textFill>
        </w:rPr>
        <w:t>进水指标</w:t>
      </w:r>
      <w:r>
        <w:rPr>
          <w:rFonts w:hint="eastAsia"/>
          <w:color w:val="000000" w:themeColor="text1"/>
          <w:lang w:eastAsia="zh-CN"/>
          <w14:textFill>
            <w14:solidFill>
              <w14:schemeClr w14:val="tx1"/>
            </w14:solidFill>
          </w14:textFill>
        </w:rPr>
        <w:t>。污水处理厂</w:t>
      </w:r>
      <w:r>
        <w:rPr>
          <w:rFonts w:hint="eastAsia"/>
          <w:color w:val="000000" w:themeColor="text1"/>
          <w:lang w:val="en-US" w:eastAsia="zh-CN"/>
          <w14:textFill>
            <w14:solidFill>
              <w14:schemeClr w14:val="tx1"/>
            </w14:solidFill>
          </w14:textFill>
        </w:rPr>
        <w:t>接纳污水量约为1.5万t/d，本项目</w:t>
      </w:r>
      <w:r>
        <w:rPr>
          <w:rFonts w:hint="eastAsia"/>
          <w:snapToGrid w:val="0"/>
          <w:color w:val="000000" w:themeColor="text1"/>
          <w14:textFill>
            <w14:solidFill>
              <w14:schemeClr w14:val="tx1"/>
            </w14:solidFill>
          </w14:textFill>
        </w:rPr>
        <w:t>最大日排放量为</w:t>
      </w:r>
      <w:r>
        <w:rPr>
          <w:rFonts w:hint="eastAsia"/>
          <w:snapToGrid w:val="0"/>
          <w:color w:val="000000" w:themeColor="text1"/>
          <w:lang w:val="en-US" w:eastAsia="zh-CN"/>
          <w14:textFill>
            <w14:solidFill>
              <w14:schemeClr w14:val="tx1"/>
            </w14:solidFill>
          </w14:textFill>
        </w:rPr>
        <w:t>123.56</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/d</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可满足</w:t>
      </w:r>
      <w:r>
        <w:rPr>
          <w:rFonts w:hint="eastAsia"/>
          <w:color w:val="000000" w:themeColor="text1"/>
          <w:lang w:eastAsia="zh-CN"/>
          <w14:textFill>
            <w14:solidFill>
              <w14:schemeClr w14:val="tx1"/>
            </w14:solidFill>
          </w14:textFill>
        </w:rPr>
        <w:t>桦南县城镇污水处理厂</w:t>
      </w:r>
      <w:r>
        <w:rPr>
          <w:rFonts w:hint="eastAsia"/>
          <w:color w:val="000000" w:themeColor="text1"/>
          <w:lang w:val="en-US" w:eastAsia="zh-CN"/>
          <w14:textFill>
            <w14:solidFill>
              <w14:schemeClr w14:val="tx1"/>
            </w14:solidFill>
          </w14:textFill>
        </w:rPr>
        <w:t>接纳要求，</w:t>
      </w:r>
      <w:r>
        <w:rPr>
          <w:rFonts w:hint="eastAsia"/>
          <w:snapToGrid w:val="0"/>
          <w:color w:val="000000" w:themeColor="text1"/>
          <w14:textFill>
            <w14:solidFill>
              <w14:schemeClr w14:val="tx1"/>
            </w14:solidFill>
          </w14:textFill>
        </w:rPr>
        <w:t>因此</w:t>
      </w:r>
      <w:r>
        <w:rPr>
          <w:rFonts w:hint="eastAsia"/>
          <w:snapToGrid w:val="0"/>
          <w:color w:val="000000" w:themeColor="text1"/>
          <w:lang w:val="en-US" w:eastAsia="zh-CN"/>
          <w14:textFill>
            <w14:solidFill>
              <w14:schemeClr w14:val="tx1"/>
            </w14:solidFill>
          </w14:textFill>
        </w:rPr>
        <w:t>本项目水量及水质不会对</w:t>
      </w:r>
      <w:r>
        <w:rPr>
          <w:rFonts w:hint="eastAsia"/>
          <w:color w:val="000000" w:themeColor="text1"/>
          <w:lang w:eastAsia="zh-CN"/>
          <w14:textFill>
            <w14:solidFill>
              <w14:schemeClr w14:val="tx1"/>
            </w14:solidFill>
          </w14:textFill>
        </w:rPr>
        <w:t>桦南县城镇污水处理厂</w:t>
      </w:r>
      <w:r>
        <w:rPr>
          <w:rFonts w:hint="eastAsia"/>
          <w:snapToGrid w:val="0"/>
          <w:color w:val="000000" w:themeColor="text1"/>
          <w:lang w:val="en-US" w:eastAsia="zh-CN"/>
          <w14:textFill>
            <w14:solidFill>
              <w14:schemeClr w14:val="tx1"/>
            </w14:solidFill>
          </w14:textFill>
        </w:rPr>
        <w:t>产生冲击</w:t>
      </w:r>
      <w:r>
        <w:rPr>
          <w:rFonts w:hint="eastAsia"/>
          <w:snapToGrid w:val="0"/>
          <w:color w:val="000000" w:themeColor="text1"/>
          <w14:textFill>
            <w14:solidFill>
              <w14:schemeClr w14:val="tx1"/>
            </w14:solidFill>
          </w14:textFill>
        </w:rPr>
        <w:t>，从处理能力角度分析，本项目废水排入</w:t>
      </w:r>
      <w:r>
        <w:rPr>
          <w:rFonts w:hint="eastAsia"/>
          <w:snapToGrid w:val="0"/>
          <w:color w:val="000000" w:themeColor="text1"/>
          <w:lang w:eastAsia="zh-CN"/>
          <w14:textFill>
            <w14:solidFill>
              <w14:schemeClr w14:val="tx1"/>
            </w14:solidFill>
          </w14:textFill>
        </w:rPr>
        <w:t>桦南县城镇污水处理厂</w:t>
      </w:r>
      <w:r>
        <w:rPr>
          <w:rFonts w:hint="eastAsia"/>
          <w:snapToGrid w:val="0"/>
          <w:color w:val="000000" w:themeColor="text1"/>
          <w14:textFill>
            <w14:solidFill>
              <w14:schemeClr w14:val="tx1"/>
            </w14:solidFill>
          </w14:textFill>
        </w:rPr>
        <w:t>处理可行。</w:t>
      </w:r>
    </w:p>
    <w:p w14:paraId="0C917C0B">
      <w:pPr>
        <w:pStyle w:val="85"/>
      </w:pPr>
      <w:r>
        <w:rPr>
          <w:rFonts w:hint="eastAsia"/>
          <w:lang w:val="en-US" w:eastAsia="zh-CN"/>
        </w:rPr>
        <w:t>5</w:t>
      </w:r>
      <w:r>
        <w:rPr>
          <w:rFonts w:hint="eastAsia"/>
        </w:rPr>
        <w:t>、环境保护措施符合性分析</w:t>
      </w:r>
    </w:p>
    <w:p w14:paraId="72EC4C32">
      <w:pPr>
        <w:pStyle w:val="85"/>
        <w:rPr>
          <w:rFonts w:hint="eastAsia"/>
        </w:rPr>
      </w:pPr>
      <w:r>
        <w:rPr>
          <w:rFonts w:hint="eastAsia"/>
          <w:lang w:val="en-US" w:eastAsia="zh-CN"/>
        </w:rPr>
        <w:t>“（1）大气污染</w:t>
      </w:r>
    </w:p>
    <w:p w14:paraId="7E0DD09F">
      <w:pPr>
        <w:pStyle w:val="85"/>
        <w:rPr>
          <w:rFonts w:hint="eastAsia"/>
        </w:rPr>
      </w:pPr>
      <w:r>
        <w:rPr>
          <w:rFonts w:hint="eastAsia"/>
          <w:lang w:val="en-US" w:eastAsia="zh-CN"/>
        </w:rPr>
        <w:t>①入驻企业需满足清洁生产要求，要求企业开展清洁生产审核，减少废气产生量。</w:t>
      </w:r>
    </w:p>
    <w:p w14:paraId="70695D79">
      <w:pPr>
        <w:pStyle w:val="85"/>
        <w:rPr>
          <w:rFonts w:hint="eastAsia"/>
        </w:rPr>
      </w:pPr>
      <w:r>
        <w:rPr>
          <w:rFonts w:hint="eastAsia"/>
          <w:lang w:val="en-US" w:eastAsia="zh-CN"/>
        </w:rPr>
        <w:t>②工业窑炉需使用电、天然气、生物质成型燃料等清洁能源；燃气锅炉需低氮燃烧并确保低氮燃烧系统稳定运行；燃生物质成型燃料锅炉需采用专用锅炉，配套布袋等高效除尘设施，禁止掺烧煤炭、生活垃圾等其他物料；煤电企业需满足超低排放要求。</w:t>
      </w:r>
    </w:p>
    <w:p w14:paraId="290D53EC">
      <w:pPr>
        <w:pStyle w:val="85"/>
        <w:rPr>
          <w:rFonts w:hint="eastAsia"/>
        </w:rPr>
      </w:pPr>
      <w:r>
        <w:rPr>
          <w:rFonts w:hint="eastAsia"/>
          <w:lang w:val="en-US" w:eastAsia="zh-CN"/>
        </w:rPr>
        <w:t xml:space="preserve">③废气污染治理设施需采用污染防治可行技术指南、排污许可技术规范中可行技术或其他文件中规定的可行技术，强化挥发性有机物、恶臭污染物污染治理和废气无组织排放控制管理；精细化工产业区应建立完善的挥发性有机物控制管控体系，建设细颗粒物与臭氧协同控制监测站。 </w:t>
      </w:r>
    </w:p>
    <w:p w14:paraId="2CB13180">
      <w:pPr>
        <w:pStyle w:val="85"/>
        <w:rPr>
          <w:rFonts w:hint="eastAsia"/>
        </w:rPr>
      </w:pPr>
      <w:r>
        <w:rPr>
          <w:rFonts w:hint="eastAsia"/>
          <w:lang w:val="en-US" w:eastAsia="zh-CN"/>
        </w:rPr>
        <w:t xml:space="preserve">④精细化工产业区和装备制造及建材产业区严格落实《黑龙江省重点行业挥发性有机物综合治理行动方案》要求。 </w:t>
      </w:r>
    </w:p>
    <w:p w14:paraId="7B07C456">
      <w:pPr>
        <w:pStyle w:val="85"/>
        <w:rPr>
          <w:rFonts w:hint="eastAsia"/>
        </w:rPr>
      </w:pPr>
      <w:r>
        <w:rPr>
          <w:rFonts w:hint="eastAsia"/>
          <w:lang w:val="en-US" w:eastAsia="zh-CN"/>
        </w:rPr>
        <w:t>⑤工业废气达标排放率 100%。</w:t>
      </w:r>
    </w:p>
    <w:p w14:paraId="4BF5E775">
      <w:pPr>
        <w:pStyle w:val="85"/>
        <w:rPr>
          <w:rFonts w:hint="eastAsia"/>
        </w:rPr>
      </w:pPr>
      <w:r>
        <w:rPr>
          <w:rFonts w:hint="eastAsia"/>
          <w:lang w:val="en-US" w:eastAsia="zh-CN"/>
        </w:rPr>
        <w:t xml:space="preserve">（2）水污染 </w:t>
      </w:r>
    </w:p>
    <w:p w14:paraId="301E62A7">
      <w:pPr>
        <w:pStyle w:val="85"/>
        <w:rPr>
          <w:rFonts w:hint="eastAsia"/>
        </w:rPr>
      </w:pPr>
      <w:r>
        <w:rPr>
          <w:rFonts w:hint="eastAsia"/>
          <w:lang w:val="en-US" w:eastAsia="zh-CN"/>
        </w:rPr>
        <w:t xml:space="preserve">①入驻企业需满足清洁生产要求，要求企业开展清洁生产审核，减少废水产生量；不断提高水重复利用率和中水回用率，减少废水排放量。 </w:t>
      </w:r>
    </w:p>
    <w:p w14:paraId="1AD628CA">
      <w:pPr>
        <w:pStyle w:val="85"/>
        <w:rPr>
          <w:rFonts w:hint="eastAsia"/>
        </w:rPr>
      </w:pPr>
      <w:r>
        <w:rPr>
          <w:rFonts w:hint="eastAsia"/>
          <w:lang w:val="en-US" w:eastAsia="zh-CN"/>
        </w:rPr>
        <w:t xml:space="preserve">②开发区内企业要做到“清污分流、雨污分流，污污分治”，实现分类收集、分质处理；废水应满足相应的许可排放浓度排入污水管网送至开发区污水处理厂。 </w:t>
      </w:r>
    </w:p>
    <w:p w14:paraId="376C7F85">
      <w:pPr>
        <w:pStyle w:val="85"/>
        <w:rPr>
          <w:rFonts w:hint="eastAsia"/>
        </w:rPr>
      </w:pPr>
      <w:r>
        <w:rPr>
          <w:rFonts w:hint="eastAsia"/>
          <w:lang w:val="en-US" w:eastAsia="zh-CN"/>
        </w:rPr>
        <w:t>③开发区内企业将厂区污染区域初期雨水、地面冲洗水进行有效收集，管控要求与生产废水和生活污水一致，不得排入雨水管网；危险化学品车辆专用停车场已建设 1 座 700m</w:t>
      </w:r>
      <w:r>
        <w:rPr>
          <w:rFonts w:hint="eastAsia"/>
          <w:vertAlign w:val="superscript"/>
          <w:lang w:val="en-US" w:eastAsia="zh-CN"/>
        </w:rPr>
        <w:t>3</w:t>
      </w:r>
      <w:r>
        <w:rPr>
          <w:rFonts w:hint="eastAsia"/>
          <w:lang w:val="en-US" w:eastAsia="zh-CN"/>
        </w:rPr>
        <w:t xml:space="preserve"> 事故应急池（兼做初期雨水池），初期雨水经收集后排至开发区污水处理厂。 </w:t>
      </w:r>
    </w:p>
    <w:p w14:paraId="3974FC91">
      <w:pPr>
        <w:pStyle w:val="85"/>
        <w:rPr>
          <w:rFonts w:hint="eastAsia"/>
        </w:rPr>
      </w:pPr>
      <w:r>
        <w:rPr>
          <w:rFonts w:hint="eastAsia"/>
          <w:lang w:val="en-US" w:eastAsia="zh-CN"/>
        </w:rPr>
        <w:t xml:space="preserve">④开发区内建设污水处理站的企业均应设置足够容量的事故水池，杜绝废水事故排放。 </w:t>
      </w:r>
    </w:p>
    <w:p w14:paraId="0E9B7707">
      <w:pPr>
        <w:pStyle w:val="85"/>
        <w:rPr>
          <w:rFonts w:hint="eastAsia"/>
        </w:rPr>
      </w:pPr>
      <w:r>
        <w:rPr>
          <w:rFonts w:hint="eastAsia"/>
          <w:lang w:val="en-US" w:eastAsia="zh-CN"/>
        </w:rPr>
        <w:t xml:space="preserve">⑤开发区应结合当地的气候和实际情况建设污水管网，原则上在监测端口实现明管设置，并对纳管废水进行在线监测监控和阀门自控，纳管废水水质满足国家和地方相关管理规定或签订具有法律效力的纳管协议；设置入江（河）排污口的，排污口设置应符合相关规定。 </w:t>
      </w:r>
    </w:p>
    <w:p w14:paraId="754F8B09">
      <w:pPr>
        <w:pStyle w:val="85"/>
        <w:rPr>
          <w:rFonts w:hint="eastAsia"/>
          <w:lang w:val="en-US" w:eastAsia="zh-CN"/>
        </w:rPr>
      </w:pPr>
      <w:r>
        <w:rPr>
          <w:rFonts w:hint="eastAsia"/>
          <w:lang w:val="en-US" w:eastAsia="zh-CN"/>
        </w:rPr>
        <w:t xml:space="preserve">⑥开发区内企业废水达标排放率 100%，园区污水集中处理率和集中污水处理厂达标排放率 100%。 </w:t>
      </w:r>
    </w:p>
    <w:p w14:paraId="6439D311">
      <w:pPr>
        <w:pStyle w:val="85"/>
        <w:rPr>
          <w:rFonts w:hint="eastAsia"/>
          <w:lang w:val="en-US" w:eastAsia="zh-CN"/>
        </w:rPr>
      </w:pPr>
      <w:r>
        <w:rPr>
          <w:rFonts w:hint="eastAsia"/>
          <w:lang w:val="en-US" w:eastAsia="zh-CN"/>
        </w:rPr>
        <w:t>⑦开发区内企业需按照“源头控制、分区防控、污染监控、应急响应”原则制定地下水环境保护措施与对策。</w:t>
      </w:r>
    </w:p>
    <w:p w14:paraId="24DAC527">
      <w:pPr>
        <w:pStyle w:val="85"/>
        <w:rPr>
          <w:rFonts w:hint="eastAsia"/>
        </w:rPr>
      </w:pPr>
      <w:r>
        <w:rPr>
          <w:rFonts w:hint="eastAsia"/>
          <w:lang w:val="en-US" w:eastAsia="zh-CN"/>
        </w:rPr>
        <w:t xml:space="preserve">（3）噪声污染 </w:t>
      </w:r>
    </w:p>
    <w:p w14:paraId="71D12208">
      <w:pPr>
        <w:pStyle w:val="85"/>
        <w:rPr>
          <w:rFonts w:hint="eastAsia"/>
        </w:rPr>
      </w:pPr>
      <w:r>
        <w:rPr>
          <w:rFonts w:hint="eastAsia"/>
          <w:lang w:val="en-US" w:eastAsia="zh-CN"/>
        </w:rPr>
        <w:t xml:space="preserve">开发区内工业企业厂界环境噪声达标排放率 100%。 </w:t>
      </w:r>
    </w:p>
    <w:p w14:paraId="4A2CAAB9">
      <w:pPr>
        <w:pStyle w:val="85"/>
        <w:rPr>
          <w:rFonts w:hint="eastAsia"/>
        </w:rPr>
      </w:pPr>
      <w:r>
        <w:rPr>
          <w:rFonts w:hint="eastAsia"/>
          <w:lang w:val="en-US" w:eastAsia="zh-CN"/>
        </w:rPr>
        <w:t xml:space="preserve">（4）固体废物污染 </w:t>
      </w:r>
    </w:p>
    <w:p w14:paraId="49CB80B4">
      <w:pPr>
        <w:pStyle w:val="85"/>
        <w:rPr>
          <w:rFonts w:hint="eastAsia"/>
        </w:rPr>
      </w:pPr>
      <w:r>
        <w:rPr>
          <w:rFonts w:hint="eastAsia"/>
          <w:lang w:val="en-US" w:eastAsia="zh-CN"/>
        </w:rPr>
        <w:t xml:space="preserve">①开发区内固体废物按照“减量化、资源化、无害化”原则进行处理处置，处置率 100%，执行的标准主要包括《一般工业固体废物贮存和填埋污染控制标准》（GB18599-2020）和《危险废物贮存污染控制标准》（GB18597-2023）。 </w:t>
      </w:r>
    </w:p>
    <w:p w14:paraId="37EA1712">
      <w:pPr>
        <w:pStyle w:val="85"/>
        <w:rPr>
          <w:rFonts w:hint="eastAsia"/>
        </w:rPr>
      </w:pPr>
      <w:r>
        <w:rPr>
          <w:rFonts w:hint="eastAsia"/>
          <w:lang w:val="en-US" w:eastAsia="zh-CN"/>
        </w:rPr>
        <w:t xml:space="preserve">②完善固废处理处置监督机制，明确固废处理重点管理环节及其在贮存、转移、加工利用、处理处置过程中污染防治要求，积极推进产废企业的源头减量，强化源头减量措施，实现固废处理处置全流程管控。收集、贮存、运输、利用、处置固体废物的企业，必须采取防扬散、防流失、防渗漏或者其他防止污染环境的措施；不得擅自倾倒、堆放、丢弃、遗撒固体废物。 </w:t>
      </w:r>
    </w:p>
    <w:p w14:paraId="1F5862ED">
      <w:pPr>
        <w:pStyle w:val="85"/>
        <w:rPr>
          <w:rFonts w:hint="eastAsia"/>
        </w:rPr>
      </w:pPr>
      <w:r>
        <w:rPr>
          <w:rFonts w:hint="eastAsia"/>
          <w:lang w:val="en-US" w:eastAsia="zh-CN"/>
        </w:rPr>
        <w:t xml:space="preserve">③开发区内企业对环评批复中明确为危险废物和暂按危险废物管理的固体废物，应按照危险废物规范化管理要求进行严格管理；危险废物贮存设施和贮存点严格按照《危险废物贮存污染控制标准》（GB18597-2023）要求进行设计、建设、运行和管理；转移危险废物必须严格执行危险废物转移联单制度和危险货物运输管理的规定；委托有资质单位进行危险废物处置。禁止将不符合入场要求的危险废物和一般工业固体废物混入生活垃圾填埋场或一般工业固体废物填埋场。 </w:t>
      </w:r>
    </w:p>
    <w:p w14:paraId="59575847">
      <w:pPr>
        <w:pStyle w:val="85"/>
        <w:rPr>
          <w:rFonts w:hint="eastAsia"/>
        </w:rPr>
      </w:pPr>
      <w:r>
        <w:rPr>
          <w:rFonts w:hint="eastAsia"/>
          <w:lang w:val="en-US" w:eastAsia="zh-CN"/>
        </w:rPr>
        <w:t xml:space="preserve">（5）土壤和地下水污染 </w:t>
      </w:r>
    </w:p>
    <w:p w14:paraId="4B361E13">
      <w:pPr>
        <w:pStyle w:val="85"/>
        <w:rPr>
          <w:rFonts w:hint="eastAsia"/>
          <w:lang w:val="en-US" w:eastAsia="zh-CN"/>
        </w:rPr>
      </w:pPr>
      <w:r>
        <w:rPr>
          <w:rFonts w:hint="eastAsia"/>
          <w:lang w:val="en-US" w:eastAsia="zh-CN"/>
        </w:rPr>
        <w:t xml:space="preserve">①源头控制措施：针对关键污染源、污染物的迁移途径提出源头污染控制措施，并与 HJ2.2、HJ2.3、HJ19、HJ169、HJ610 等要求相协调。 </w:t>
      </w:r>
    </w:p>
    <w:p w14:paraId="45C32B0F">
      <w:pPr>
        <w:pStyle w:val="85"/>
        <w:rPr>
          <w:rFonts w:hint="eastAsia"/>
          <w:lang w:val="en-US" w:eastAsia="zh-CN"/>
        </w:rPr>
      </w:pPr>
      <w:r>
        <w:rPr>
          <w:rFonts w:hint="eastAsia"/>
          <w:lang w:val="en-US" w:eastAsia="zh-CN"/>
        </w:rPr>
        <w:t xml:space="preserve">②过程防控措施：针对大气沉降影响的，占地范围内应采取绿化措施，以种植具有较强吸附能力的植物为主；涉及地面漫流影响的，应根据建设项目所在地的地形特点优化地面布局，必要时设置地面硬化、围堰或围墙；涉及入渗途径影响的，应根据相关标准规范要求，对设备设施采取相应的防渗措施。 </w:t>
      </w:r>
    </w:p>
    <w:p w14:paraId="5818AE2C">
      <w:pPr>
        <w:pStyle w:val="85"/>
        <w:rPr>
          <w:rFonts w:hint="eastAsia"/>
          <w:lang w:val="en-US" w:eastAsia="zh-CN"/>
        </w:rPr>
      </w:pPr>
      <w:r>
        <w:rPr>
          <w:rFonts w:hint="eastAsia"/>
          <w:lang w:val="en-US" w:eastAsia="zh-CN"/>
        </w:rPr>
        <w:t xml:space="preserve">③加强以排污许可为核心的环境管理，督促土壤污染重点监管单位按照排污许可证规定和标准规范落实控制有毒有害物质排放、土壤污染隐患排查、自行监测等要求。完善重点场所和设施设备清单，全面查清隐患并落实整改，优化提升自行监测工作质量，积极推进防腐防渗改造、存储转运密闭化、管道输送可视化等绿色化改造。重点关注精细化工产业区内涉及有毒有害物质的重点场所或者重点设施设备（特别是地下储罐、管网等）的防渗漏设计和建设工作，消除土壤和地下水污染隐患。 </w:t>
      </w:r>
    </w:p>
    <w:p w14:paraId="161B6D79">
      <w:pPr>
        <w:pStyle w:val="85"/>
        <w:rPr>
          <w:rFonts w:hint="eastAsia"/>
          <w:lang w:val="en-US" w:eastAsia="zh-CN"/>
        </w:rPr>
      </w:pPr>
      <w:r>
        <w:rPr>
          <w:rFonts w:hint="eastAsia"/>
          <w:lang w:val="en-US" w:eastAsia="zh-CN"/>
        </w:rPr>
        <w:t>④严防污水废液渗漏，全面推进工业园区污水管网排查整治，实施化工企业污水“一企一管、明管输送、实时监测”；做好开发区八虎力河以北企业出水和开发区污水处理厂进水中八虎力河以北企业进水水量在线监测工作，一旦发现污水渗漏，及时采取措施。”</w:t>
      </w:r>
    </w:p>
    <w:p w14:paraId="2A9470BA">
      <w:pPr>
        <w:pStyle w:val="85"/>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本项目拟采取的污染防治措施如下</w:t>
      </w:r>
      <w:r>
        <w:rPr>
          <w:rFonts w:hint="eastAsia"/>
          <w:color w:val="000000" w:themeColor="text1"/>
          <w:lang w:eastAsia="zh-CN"/>
          <w14:textFill>
            <w14:solidFill>
              <w14:schemeClr w14:val="tx1"/>
            </w14:solidFill>
          </w14:textFill>
        </w:rPr>
        <w:t>：</w:t>
      </w:r>
    </w:p>
    <w:p w14:paraId="714ADACF">
      <w:pPr>
        <w:pStyle w:val="85"/>
      </w:pPr>
      <w:r>
        <w:rPr>
          <w:rFonts w:hint="eastAsia"/>
        </w:rPr>
        <w:t>本项目</w:t>
      </w:r>
      <w:r>
        <w:t>污水处理站恶臭气体经引风机引至</w:t>
      </w:r>
      <w:r>
        <w:rPr>
          <w:rFonts w:hint="eastAsia"/>
          <w:lang w:val="en-US" w:eastAsia="zh-CN"/>
        </w:rPr>
        <w:t>活性炭吸附</w:t>
      </w:r>
      <w:r>
        <w:t>设施，经处理后由15m排气筒</w:t>
      </w:r>
      <w:r>
        <w:rPr>
          <w:rFonts w:hint="eastAsia"/>
        </w:rPr>
        <w:t>D</w:t>
      </w:r>
      <w:r>
        <w:t>A00</w:t>
      </w:r>
      <w:r>
        <w:rPr>
          <w:rFonts w:hint="eastAsia"/>
          <w:lang w:val="en-US" w:eastAsia="zh-CN"/>
        </w:rPr>
        <w:t>1</w:t>
      </w:r>
      <w:r>
        <w:t>排放</w:t>
      </w:r>
      <w:r>
        <w:rPr>
          <w:rFonts w:hint="eastAsia"/>
        </w:rPr>
        <w:t>。硫化氢、氨排放速率满足《恶臭污染物排放标准》（GB14554-93）表2中15m高排气筒标准要求、臭气浓度满足《恶臭污染物排放标准》（GB14554-93）表2中15m高排气筒标准要求；厂界H</w:t>
      </w:r>
      <w:r>
        <w:rPr>
          <w:rFonts w:hint="eastAsia"/>
          <w:vertAlign w:val="subscript"/>
        </w:rPr>
        <w:t>2</w:t>
      </w:r>
      <w:r>
        <w:rPr>
          <w:rFonts w:hint="eastAsia"/>
        </w:rPr>
        <w:t>S、NH</w:t>
      </w:r>
      <w:r>
        <w:rPr>
          <w:rFonts w:hint="eastAsia"/>
          <w:vertAlign w:val="subscript"/>
        </w:rPr>
        <w:t>3</w:t>
      </w:r>
      <w:r>
        <w:rPr>
          <w:rFonts w:hint="eastAsia"/>
        </w:rPr>
        <w:t>、臭气浓度满足《恶臭污染物排放标准》（GB14554-93）表1中二级新扩改建标准要求。</w:t>
      </w:r>
      <w:r>
        <w:t>沼气脱硫后经火炬燃烧排放，</w:t>
      </w:r>
      <w:r>
        <w:rPr>
          <w:rFonts w:hint="eastAsia"/>
        </w:rPr>
        <w:t>颗粒物</w:t>
      </w:r>
      <w:r>
        <w:t>、NOx、SO</w:t>
      </w:r>
      <w:r>
        <w:rPr>
          <w:vertAlign w:val="subscript"/>
        </w:rPr>
        <w:t>2</w:t>
      </w:r>
      <w:r>
        <w:t>排放</w:t>
      </w:r>
      <w:r>
        <w:rPr>
          <w:rFonts w:hint="eastAsia"/>
        </w:rPr>
        <w:t>量均较小</w:t>
      </w:r>
      <w:r>
        <w:t>，对环境影响很小，可以被环境接受。</w:t>
      </w:r>
      <w:r>
        <w:rPr>
          <w:rFonts w:hint="eastAsia"/>
        </w:rPr>
        <w:t>沼气燃烧排放的颗粒物</w:t>
      </w:r>
      <w:r>
        <w:t>、NOx、SO</w:t>
      </w:r>
      <w:r>
        <w:rPr>
          <w:vertAlign w:val="subscript"/>
        </w:rPr>
        <w:t>2</w:t>
      </w:r>
      <w:r>
        <w:rPr>
          <w:rFonts w:hint="eastAsia"/>
        </w:rPr>
        <w:t>无组织排放浓度满足</w:t>
      </w:r>
      <w:r>
        <w:t>《大气污染物综合排放标准》（GB16297-1996）表2中无组织排放浓度监控限值要求。</w:t>
      </w:r>
      <w:r>
        <w:rPr>
          <w:rFonts w:hint="eastAsia"/>
          <w:color w:val="000000" w:themeColor="text1"/>
          <w14:textFill>
            <w14:solidFill>
              <w14:schemeClr w14:val="tx1"/>
            </w14:solidFill>
          </w14:textFill>
        </w:rPr>
        <w:t>本项目锅炉配套</w:t>
      </w:r>
      <w:r>
        <w:rPr>
          <w:color w:val="000000" w:themeColor="text1"/>
          <w14:textFill>
            <w14:solidFill>
              <w14:schemeClr w14:val="tx1"/>
            </w14:solidFill>
          </w14:textFill>
        </w:rPr>
        <w:t>低氮燃烧</w:t>
      </w:r>
      <w:r>
        <w:rPr>
          <w:rFonts w:hint="eastAsia"/>
          <w:color w:val="000000" w:themeColor="text1"/>
          <w14:textFill>
            <w14:solidFill>
              <w14:schemeClr w14:val="tx1"/>
            </w14:solidFill>
          </w14:textFill>
        </w:rPr>
        <w:t>，锅炉烟气</w:t>
      </w:r>
      <w:r>
        <w:rPr>
          <w:rFonts w:hint="eastAsia"/>
          <w:color w:val="000000" w:themeColor="text1"/>
          <w:lang w:val="en-US" w:eastAsia="zh-CN"/>
          <w14:textFill>
            <w14:solidFill>
              <w14:schemeClr w14:val="tx1"/>
            </w14:solidFill>
          </w14:textFill>
        </w:rPr>
        <w:t>经</w:t>
      </w:r>
      <w:r>
        <w:rPr>
          <w:color w:val="000000" w:themeColor="text1"/>
          <w14:textFill>
            <w14:solidFill>
              <w14:schemeClr w14:val="tx1"/>
            </w14:solidFill>
          </w14:textFill>
        </w:rPr>
        <w:t>25m烟囱DA00</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排放</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烟气排放浓度满足</w:t>
      </w:r>
      <w:r>
        <w:rPr>
          <w:rFonts w:hint="eastAsia"/>
          <w:bCs/>
          <w:snapToGrid w:val="0"/>
          <w:color w:val="000000" w:themeColor="text1"/>
          <w:kern w:val="0"/>
          <w:lang w:val="en-US"/>
          <w14:textFill>
            <w14:solidFill>
              <w14:schemeClr w14:val="tx1"/>
            </w14:solidFill>
          </w14:textFill>
        </w:rPr>
        <w:t>《锅炉大气污染物排放标准》（GB13271-2014）表2</w:t>
      </w:r>
      <w:r>
        <w:rPr>
          <w:rFonts w:hint="eastAsia"/>
          <w:bCs/>
          <w:snapToGrid w:val="0"/>
          <w:color w:val="000000" w:themeColor="text1"/>
          <w:kern w:val="0"/>
          <w:lang w:val="en-US" w:eastAsia="zh-CN"/>
          <w14:textFill>
            <w14:solidFill>
              <w14:schemeClr w14:val="tx1"/>
            </w14:solidFill>
          </w14:textFill>
        </w:rPr>
        <w:t>燃气</w:t>
      </w:r>
      <w:r>
        <w:rPr>
          <w:rFonts w:hint="eastAsia"/>
          <w:bCs/>
          <w:snapToGrid w:val="0"/>
          <w:color w:val="000000" w:themeColor="text1"/>
          <w:kern w:val="0"/>
          <w:lang w:val="en-US"/>
          <w14:textFill>
            <w14:solidFill>
              <w14:schemeClr w14:val="tx1"/>
            </w14:solidFill>
          </w14:textFill>
        </w:rPr>
        <w:t>锅炉标准</w:t>
      </w:r>
      <w:r>
        <w:rPr>
          <w:rFonts w:hint="eastAsia"/>
          <w:color w:val="000000" w:themeColor="text1"/>
          <w:lang w:eastAsia="zh-CN"/>
          <w14:textFill>
            <w14:solidFill>
              <w14:schemeClr w14:val="tx1"/>
            </w14:solidFill>
          </w14:textFill>
        </w:rPr>
        <w:t>。</w:t>
      </w:r>
      <w:r>
        <w:rPr>
          <w:rFonts w:hint="eastAsia"/>
        </w:rPr>
        <w:t>原料处理间为封闭设备，原料投料、输送及去石筛分过程中产生的粉尘</w:t>
      </w:r>
      <w:r>
        <w:t>经引风机引至布袋除尘器，经处理后由15m排气筒</w:t>
      </w:r>
      <w:r>
        <w:rPr>
          <w:rFonts w:hint="eastAsia"/>
        </w:rPr>
        <w:t>D</w:t>
      </w:r>
      <w:r>
        <w:t>A00</w:t>
      </w:r>
      <w:r>
        <w:rPr>
          <w:rFonts w:hint="eastAsia"/>
          <w:lang w:val="en-US" w:eastAsia="zh-CN"/>
        </w:rPr>
        <w:t>3</w:t>
      </w:r>
      <w:r>
        <w:t>排放，</w:t>
      </w:r>
      <w:r>
        <w:rPr>
          <w:rFonts w:hint="eastAsia"/>
        </w:rPr>
        <w:t>原料间粉尘粉尘排放速率和排放浓度</w:t>
      </w:r>
      <w:r>
        <w:rPr>
          <w:rFonts w:hint="eastAsia"/>
          <w:lang w:val="en-US" w:eastAsia="zh-CN"/>
        </w:rPr>
        <w:t>满足</w:t>
      </w:r>
      <w:r>
        <w:rPr>
          <w:rFonts w:hint="eastAsia"/>
        </w:rPr>
        <w:t>《大气污染物综合排放标准》（GB16297-1996）表2中二级标准（排放速率严格50%执行）要求。</w:t>
      </w:r>
      <w:r>
        <w:rPr>
          <w:rFonts w:hint="eastAsia"/>
          <w:lang w:val="en-US" w:eastAsia="zh-CN"/>
        </w:rPr>
        <w:t>食堂</w:t>
      </w:r>
      <w:r>
        <w:rPr>
          <w:rFonts w:hint="eastAsia"/>
          <w:snapToGrid w:val="0"/>
          <w:color w:val="000000" w:themeColor="text1"/>
          <w:kern w:val="0"/>
          <w:lang w:val="en-US" w:eastAsia="zh-CN"/>
          <w14:textFill>
            <w14:solidFill>
              <w14:schemeClr w14:val="tx1"/>
            </w14:solidFill>
          </w14:textFill>
        </w:rPr>
        <w:t>油烟排放浓度满足《饮食业油烟排放标准》（GB18483-2001）中最高允许排放浓度2.0mg/m</w:t>
      </w:r>
      <w:r>
        <w:rPr>
          <w:rFonts w:hint="eastAsia"/>
          <w:snapToGrid w:val="0"/>
          <w:color w:val="000000" w:themeColor="text1"/>
          <w:kern w:val="0"/>
          <w:vertAlign w:val="superscript"/>
          <w:lang w:val="en-US" w:eastAsia="zh-CN"/>
          <w14:textFill>
            <w14:solidFill>
              <w14:schemeClr w14:val="tx1"/>
            </w14:solidFill>
          </w14:textFill>
        </w:rPr>
        <w:t>3</w:t>
      </w:r>
      <w:r>
        <w:rPr>
          <w:rFonts w:hint="eastAsia"/>
          <w:snapToGrid w:val="0"/>
          <w:color w:val="000000" w:themeColor="text1"/>
          <w:kern w:val="0"/>
          <w:lang w:val="en-US" w:eastAsia="zh-CN"/>
          <w14:textFill>
            <w14:solidFill>
              <w14:schemeClr w14:val="tx1"/>
            </w14:solidFill>
          </w14:textFill>
        </w:rPr>
        <w:t>的标准要求。</w:t>
      </w:r>
    </w:p>
    <w:p w14:paraId="5FB91888">
      <w:pPr>
        <w:pStyle w:val="85"/>
      </w:pPr>
      <w:r>
        <w:t>本项目废水由新建</w:t>
      </w:r>
      <w:r>
        <w:rPr>
          <w:rFonts w:hint="eastAsia"/>
        </w:rPr>
        <w:t>的处理能力为</w:t>
      </w:r>
      <w:r>
        <w:rPr>
          <w:rFonts w:hint="eastAsia"/>
          <w:lang w:val="en-US" w:eastAsia="zh-CN"/>
        </w:rPr>
        <w:t>2</w:t>
      </w:r>
      <w:r>
        <w:t>00m</w:t>
      </w:r>
      <w:r>
        <w:rPr>
          <w:vertAlign w:val="superscript"/>
        </w:rPr>
        <w:t>3</w:t>
      </w:r>
      <w:r>
        <w:t>/d</w:t>
      </w:r>
      <w:r>
        <w:rPr>
          <w:rFonts w:hint="eastAsia"/>
        </w:rPr>
        <w:t>的</w:t>
      </w:r>
      <w:r>
        <w:t>污水处理站处理满足《</w:t>
      </w:r>
      <w:r>
        <w:rPr>
          <w:rFonts w:hint="eastAsia"/>
          <w:lang w:eastAsia="zh-CN"/>
        </w:rPr>
        <w:t>酒类制造业水污染物排放标准</w:t>
      </w:r>
      <w:r>
        <w:t>》（</w:t>
      </w:r>
      <w:r>
        <w:rPr>
          <w:rFonts w:hint="eastAsia"/>
          <w:lang w:eastAsia="zh-CN"/>
        </w:rPr>
        <w:t>GB19821-2025</w:t>
      </w:r>
      <w: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t>及</w:t>
      </w:r>
      <w:r>
        <w:rPr>
          <w:rFonts w:hint="eastAsia"/>
          <w:lang w:eastAsia="zh-CN"/>
        </w:rPr>
        <w:t>桦南县城镇污水处理厂</w:t>
      </w:r>
      <w:r>
        <w:t>进水指标后进入市政污水管网，排入</w:t>
      </w:r>
      <w:r>
        <w:rPr>
          <w:rFonts w:hint="eastAsia"/>
          <w:lang w:eastAsia="zh-CN"/>
        </w:rPr>
        <w:t>桦南县城镇污水处理厂</w:t>
      </w:r>
      <w:r>
        <w:t>统一处理，废水</w:t>
      </w:r>
      <w:r>
        <w:rPr>
          <w:rFonts w:hint="eastAsia"/>
        </w:rPr>
        <w:t>达到《城镇污水处理厂污染物排放标准》（GB 18918-2002）及修改单中的一级A标准排入</w:t>
      </w:r>
      <w:r>
        <w:rPr>
          <w:rFonts w:hint="default" w:eastAsia="宋体"/>
          <w:lang w:val="en-US" w:eastAsia="zh-CN"/>
        </w:rPr>
        <w:t>八虎力河，最终汇入倭肯河</w:t>
      </w:r>
      <w:r>
        <w:rPr>
          <w:rFonts w:hint="eastAsia"/>
        </w:rPr>
        <w:t>。</w:t>
      </w:r>
    </w:p>
    <w:p w14:paraId="5AEEF172">
      <w:pPr>
        <w:pStyle w:val="85"/>
      </w:pPr>
      <w:r>
        <w:rPr>
          <w:rFonts w:hint="eastAsia"/>
        </w:rPr>
        <w:t>本项目采取隔声、降噪等措施后，</w:t>
      </w:r>
      <w:r>
        <w:rPr>
          <w:rFonts w:hint="eastAsia" w:ascii="Times New Roman" w:hAnsi="Times New Roman"/>
          <w:color w:val="000000" w:themeColor="text1"/>
          <w:szCs w:val="24"/>
          <w:highlight w:val="none"/>
          <w14:textFill>
            <w14:solidFill>
              <w14:schemeClr w14:val="tx1"/>
            </w14:solidFill>
          </w14:textFill>
        </w:rPr>
        <w:t>北侧、南侧、</w:t>
      </w:r>
      <w:r>
        <w:rPr>
          <w:rFonts w:hint="eastAsia"/>
          <w:color w:val="000000" w:themeColor="text1"/>
          <w:szCs w:val="24"/>
          <w:highlight w:val="none"/>
          <w:lang w:val="en-US" w:eastAsia="zh-CN"/>
          <w14:textFill>
            <w14:solidFill>
              <w14:schemeClr w14:val="tx1"/>
            </w14:solidFill>
          </w14:textFill>
        </w:rPr>
        <w:t>东</w:t>
      </w:r>
      <w:r>
        <w:rPr>
          <w:rFonts w:hint="eastAsia" w:ascii="Times New Roman" w:hAnsi="Times New Roman"/>
          <w:color w:val="000000" w:themeColor="text1"/>
          <w:szCs w:val="24"/>
          <w:highlight w:val="none"/>
          <w14:textFill>
            <w14:solidFill>
              <w14:schemeClr w14:val="tx1"/>
            </w14:solidFill>
          </w14:textFill>
        </w:rPr>
        <w:t>侧</w:t>
      </w:r>
      <w:r>
        <w:rPr>
          <w:rFonts w:hint="eastAsia"/>
        </w:rPr>
        <w:t>厂界噪声可满足《工业企业厂界环境噪声排放标准》（GB12348-2008）表1中3类标准，</w:t>
      </w:r>
      <w:r>
        <w:rPr>
          <w:rFonts w:hint="eastAsia"/>
          <w:lang w:val="en-US" w:eastAsia="zh-CN"/>
        </w:rPr>
        <w:t>西</w:t>
      </w:r>
      <w:r>
        <w:rPr>
          <w:rFonts w:hint="eastAsia" w:ascii="Times New Roman" w:hAnsi="Times New Roman"/>
          <w:color w:val="000000" w:themeColor="text1"/>
          <w:szCs w:val="24"/>
          <w:highlight w:val="none"/>
          <w14:textFill>
            <w14:solidFill>
              <w14:schemeClr w14:val="tx1"/>
            </w14:solidFill>
          </w14:textFill>
        </w:rPr>
        <w:t>侧</w:t>
      </w:r>
      <w:r>
        <w:rPr>
          <w:rFonts w:hint="eastAsia"/>
        </w:rPr>
        <w:t>厂界噪声可满足《工业企业厂界环境噪声排放标准》（GB12348-2008）表1中</w:t>
      </w:r>
      <w:r>
        <w:rPr>
          <w:rFonts w:hint="eastAsia"/>
          <w:lang w:val="en-US" w:eastAsia="zh-CN"/>
        </w:rPr>
        <w:t>4</w:t>
      </w:r>
      <w:r>
        <w:rPr>
          <w:rFonts w:hint="eastAsia"/>
        </w:rPr>
        <w:t>类标准</w:t>
      </w:r>
      <w:r>
        <w:rPr>
          <w:rFonts w:hint="eastAsia"/>
          <w:lang w:eastAsia="zh-CN"/>
        </w:rPr>
        <w:t>。</w:t>
      </w:r>
      <w:r>
        <w:rPr>
          <w:rFonts w:hint="eastAsia"/>
        </w:rPr>
        <w:t>因此本项目设备噪声经隔声及距离衰减后可达标排放，对周围声环境影响较小。</w:t>
      </w:r>
    </w:p>
    <w:p w14:paraId="5F711F5E">
      <w:pPr>
        <w:pStyle w:val="85"/>
      </w:pPr>
      <w:r>
        <w:t>本项目固体废物全部得到妥善处理，不直接排入外环境，满足《一般工业固体废物贮存和填埋污染控制标准》（GB18599-2020）、《危险废物贮存污染控制标准》（GB 18597-2023）中要求。</w:t>
      </w:r>
      <w:r>
        <w:rPr>
          <w:rFonts w:hint="eastAsia"/>
        </w:rPr>
        <w:t>因此本项目产生的固废均可得到有效的处置和利用，不会产生二次污染，对项目周围环境不会产生明显不良影响。</w:t>
      </w:r>
    </w:p>
    <w:p w14:paraId="52C99FCA">
      <w:pPr>
        <w:pStyle w:val="85"/>
      </w:pPr>
      <w:r>
        <w:rPr>
          <w:rFonts w:hint="eastAsia"/>
          <w:lang w:val="en-US" w:eastAsia="zh-CN"/>
        </w:rPr>
        <w:t>5</w:t>
      </w:r>
      <w:r>
        <w:rPr>
          <w:rFonts w:hint="eastAsia"/>
        </w:rPr>
        <w:t>、环境风险防控要求</w:t>
      </w:r>
    </w:p>
    <w:p w14:paraId="6C5FF2E4">
      <w:pPr>
        <w:pStyle w:val="85"/>
        <w:rPr>
          <w:rFonts w:hint="eastAsia"/>
        </w:rPr>
      </w:pPr>
      <w:r>
        <w:rPr>
          <w:rFonts w:hint="eastAsia"/>
          <w:lang w:val="en-US" w:eastAsia="zh-CN"/>
        </w:rPr>
        <w:t>“（1）完善环境应急保障体系。根据开发区自身特点，明确环境风险防范和应急处置措施，制定开发区综合突发环境应急预案，并结合开发区新、改、扩建项目的建设，不断完善各类突发环境事件应急预案。进一步加强开发区应急救援队伍、装备和设施建设，配备应急物资，建设高效的环境风险管理和应急救援体系。开展有针对性的环境安全隐患排查，有计划地组织应急培训和演练，不断提升开发区风险防控和事故应急处置能力。</w:t>
      </w:r>
    </w:p>
    <w:p w14:paraId="2A2D0D9B">
      <w:pPr>
        <w:pStyle w:val="85"/>
        <w:rPr>
          <w:rFonts w:hint="eastAsia"/>
        </w:rPr>
      </w:pPr>
      <w:r>
        <w:rPr>
          <w:rFonts w:hint="eastAsia"/>
          <w:lang w:val="en-US" w:eastAsia="zh-CN"/>
        </w:rPr>
        <w:t xml:space="preserve">（2）健全风险防控措施。建立企业、开发区和周边水系环境风险防控体系，积极推动产业园内高污染、高环境风险企业参加和开展有毒有害气体环境风险预警体系建设，督促开发区企业履行环境风险防控主体责任。建立完善有效的环境风险防控设施和有效的拦截、降污、导流等措施。涉及重金属、化学品、工业废渣贮存的企业，应进行必要的防渗处理，强化生产车间、危化品、油品、危险废物贮存设施、事故池、污水处理设施和污水管道（网）等区域防渗，定期评估开发区地下水环境安全隐患水平，检查重点工业企业周边及下游区域地下水污染状况，防范土壤和地下水污染。推进化工园区污水“一企一管、明管输送、实时监测”和存储转运密闭化等绿色化改造，按照技术指南编制《黑龙江桦南经济开发区精细化工产业区突发水污染事件环境应急三级防控体系建设暨“一园一策一图”环境应急响应方案》。 </w:t>
      </w:r>
    </w:p>
    <w:p w14:paraId="7AC797E5">
      <w:pPr>
        <w:pStyle w:val="85"/>
        <w:rPr>
          <w:rFonts w:hint="eastAsia"/>
        </w:rPr>
      </w:pPr>
      <w:r>
        <w:rPr>
          <w:rFonts w:hint="eastAsia"/>
          <w:lang w:val="en-US" w:eastAsia="zh-CN"/>
        </w:rPr>
        <w:t xml:space="preserve">（3）应根据自身规模和产业结构需要，建立完善的生态环境监测监控和风险预警体系，相关监测监控数据应接入地方监测预警系统；应根据总体规划、功能分区和主要产品特性，建立满足突发环境事件情形下应急处置需求的应急救援体系、预案、平台和专职应急救援队伍，健全突发环境事件应急指挥中心、环境事件处置专家库，配备符合相关国家标准、行业标准要求的人员和装备，按照有关规定建设园区事故废水防控系统，做好事故废水的收集、暂存和处理，具备突发环境事件处置能力。 </w:t>
      </w:r>
    </w:p>
    <w:p w14:paraId="126F3DFF">
      <w:pPr>
        <w:pStyle w:val="85"/>
        <w:rPr>
          <w:rFonts w:hint="eastAsia"/>
        </w:rPr>
      </w:pPr>
      <w:r>
        <w:rPr>
          <w:rFonts w:hint="eastAsia"/>
          <w:lang w:val="en-US" w:eastAsia="zh-CN"/>
        </w:rPr>
        <w:t xml:space="preserve">（4）落实工业企业环境风险防范主体责任。以涉危险废物、涉重金属企业为重点，合理布设企业生产设施，强化应急导流槽、事故调蓄池、雨污总排口应急闸坝等事故排水收集截留设施，以及传输泵、配套管线、应急发电等事故水输送设施等建设，合理设置应急事故水池。严格落实相关文件要求，加强对排放《重点管控新污染物清单》和《有毒有害大气污染物名录》《有毒有害水污染物名录》中所列污染物的企事业单位和其他生产经营者的监督管理。 </w:t>
      </w:r>
    </w:p>
    <w:p w14:paraId="37949863">
      <w:pPr>
        <w:pStyle w:val="85"/>
        <w:rPr>
          <w:rFonts w:hint="eastAsia"/>
        </w:rPr>
      </w:pPr>
      <w:r>
        <w:rPr>
          <w:rFonts w:hint="eastAsia"/>
          <w:lang w:val="en-US" w:eastAsia="zh-CN"/>
        </w:rPr>
        <w:t>（5）提升环境风险预警能力。加强环境风险调查评估，对开发区和涉危险化学品、危险废物、重金属等重点行业企业开展环境风险隐患排查整治，全面提升环境风险防控水平，防范遏制重特大突发环境事件的发生。强化监控预警体系建设，将对公众健康造成严重损害或具有较高环境健康风险以及排放《优先控制化学品名录》所列化学物质的相关企事业单位纳入重点排污单位名录，依法对排污单位环境风险防范措施落实进行监督检查；排放《重点管控新污染物清单》和《有毒有害大气污染物名录》《有毒有害水污染物名录》中所列污染物的企事业单位，要建立环境风险预警体系，加强信息公开。”</w:t>
      </w:r>
    </w:p>
    <w:p w14:paraId="6566E5ED">
      <w:pPr>
        <w:pStyle w:val="85"/>
      </w:pPr>
      <w:r>
        <w:rPr>
          <w:rFonts w:hint="eastAsia"/>
        </w:rPr>
        <w:t>本项目严格按照国家的有关技术标准、规范进行设计和实施风险防范措施，在落实本报告提出的各项风险防范措施及完善、修编本企业应急预案的基础上，项目所涉及的风险影响因素、风险危害程度与范围是可防控的。</w:t>
      </w:r>
    </w:p>
    <w:p w14:paraId="6D4B45CA">
      <w:pPr>
        <w:pStyle w:val="85"/>
      </w:pPr>
      <w:r>
        <w:rPr>
          <w:rFonts w:hint="eastAsia"/>
        </w:rPr>
        <w:t>综上所述，本项目的建设符合规划环评结论及审查意见要求。</w:t>
      </w:r>
    </w:p>
    <w:p w14:paraId="3B33ED45">
      <w:pPr>
        <w:pStyle w:val="7"/>
      </w:pPr>
      <w:r>
        <w:rPr>
          <w:rFonts w:hint="eastAsia"/>
        </w:rPr>
        <w:t>1</w:t>
      </w:r>
      <w:r>
        <w:t>.4.2.</w:t>
      </w:r>
      <w:r>
        <w:rPr>
          <w:rFonts w:hint="eastAsia"/>
          <w:lang w:val="en-US" w:eastAsia="zh-CN"/>
        </w:rPr>
        <w:t>7</w:t>
      </w:r>
      <w:r>
        <w:rPr>
          <w:rFonts w:hint="eastAsia"/>
        </w:rPr>
        <w:t>与《佳木斯市空气质量持续改善行动计划实施方案》符合性分析</w:t>
      </w:r>
    </w:p>
    <w:p w14:paraId="543F621A">
      <w:pPr>
        <w:pStyle w:val="85"/>
        <w:rPr>
          <w:lang w:val="zh-CN"/>
        </w:rPr>
      </w:pPr>
      <w:r>
        <w:rPr>
          <w:rFonts w:hint="eastAsia"/>
          <w:lang w:val="zh-CN" w:eastAsia="zh-CN"/>
        </w:rPr>
        <w:t>“</w:t>
      </w:r>
      <w:r>
        <w:rPr>
          <w:lang w:val="zh-CN" w:eastAsia="zh-CN"/>
        </w:rPr>
        <w:t>二、重点任务</w:t>
      </w:r>
      <w:r>
        <w:rPr>
          <w:lang w:val="zh-CN"/>
        </w:rPr>
        <w:t>（一）稳步推进化石能源减量替代。4.开展燃气、</w:t>
      </w:r>
      <w:r>
        <w:rPr>
          <w:rFonts w:hint="eastAsia"/>
          <w:lang w:val="zh-CN"/>
        </w:rPr>
        <w:t>天然气锅炉</w:t>
      </w:r>
      <w:r>
        <w:rPr>
          <w:lang w:val="zh-CN"/>
        </w:rPr>
        <w:t>深度治理。</w:t>
      </w:r>
      <w:r>
        <w:rPr>
          <w:rFonts w:hint="eastAsia"/>
          <w:lang w:val="zh-CN"/>
        </w:rPr>
        <w:t>燃气锅炉实施低氮燃烧改造，严把低氮燃烧器、烟气再循环系统、分级燃烧系统、燃料及风量调配系统等关键部件质量关，确保低氮燃烧系统稳定运行。天然气锅炉采用专用锅炉，配套布袋等高效除尘设施，禁止掺烧煤炭、生活垃圾等其他物料。推进整合小型天然气锅炉，城市建成区内新建生物质供热锅炉要达到天然气排放标准，积极引导城市建成区内天然气锅炉（含电力）超低排放改造。</w:t>
      </w:r>
      <w:r>
        <w:rPr>
          <w:lang w:val="zh-CN"/>
        </w:rPr>
        <w:t>。</w:t>
      </w:r>
    </w:p>
    <w:p w14:paraId="4E3EC785">
      <w:pPr>
        <w:pStyle w:val="85"/>
        <w:rPr>
          <w:lang w:val="zh-CN"/>
        </w:rPr>
      </w:pPr>
      <w:r>
        <w:rPr>
          <w:lang w:val="zh-CN" w:eastAsia="zh-CN"/>
        </w:rPr>
        <w:t>二、重点任务（五）推动多污染物协同控制</w:t>
      </w:r>
      <w:r>
        <w:rPr>
          <w:rFonts w:hint="eastAsia"/>
          <w:lang w:val="zh-CN" w:eastAsia="zh-CN"/>
        </w:rPr>
        <w:t>。</w:t>
      </w:r>
      <w:r>
        <w:rPr>
          <w:rFonts w:hint="eastAsia"/>
          <w:lang w:val="zh-CN"/>
        </w:rPr>
        <w:t>19.强化餐饮油烟、恶臭异味污染治理。严格执行《佳木斯市餐饮业油烟污染防治条例》，各县（市）区政府对本行政区域的餐饮业油烟污染防治工作负总责，推动餐饮业油烟污染防治工作纳入环境保护责任制考核。严格居民楼附近餐饮服务单位布局管理，加强油烟扰民源头控制。拟开设餐饮服务单位的建筑应设计建设专用烟道。餐饮业经营者要按照相关技术规范规定安装油烟净化设施并定期清洗维护。综合治理恶臭污染，加强部门联动，因地制宜排查整治群众反映强烈的恶臭异味扰民问题，推动投诉集中的工业园区、重点企业安装运行在线预警系统。”</w:t>
      </w:r>
    </w:p>
    <w:p w14:paraId="4420BB6C">
      <w:pPr>
        <w:pStyle w:val="85"/>
        <w:rPr>
          <w:rFonts w:hint="default" w:eastAsia="宋体"/>
          <w:lang w:val="en-US" w:eastAsia="zh-CN"/>
        </w:rPr>
      </w:pPr>
      <w:r>
        <w:rPr>
          <w:rFonts w:hint="eastAsia"/>
        </w:rPr>
        <w:t>本项目蒸汽锅炉采</w:t>
      </w:r>
      <w:r>
        <w:rPr>
          <w:rFonts w:hint="eastAsia"/>
          <w:color w:val="000000" w:themeColor="text1"/>
          <w14:textFill>
            <w14:solidFill>
              <w14:schemeClr w14:val="tx1"/>
            </w14:solidFill>
          </w14:textFill>
        </w:rPr>
        <w:t>用</w:t>
      </w:r>
      <w:r>
        <w:rPr>
          <w:rFonts w:hint="eastAsia"/>
          <w:color w:val="000000" w:themeColor="text1"/>
          <w:lang w:eastAsia="zh-CN"/>
          <w14:textFill>
            <w14:solidFill>
              <w14:schemeClr w14:val="tx1"/>
            </w14:solidFill>
          </w14:textFill>
        </w:rPr>
        <w:t>燃气</w:t>
      </w:r>
      <w:r>
        <w:rPr>
          <w:rFonts w:hint="eastAsia"/>
          <w:color w:val="000000" w:themeColor="text1"/>
          <w14:textFill>
            <w14:solidFill>
              <w14:schemeClr w14:val="tx1"/>
            </w14:solidFill>
          </w14:textFill>
        </w:rPr>
        <w:t>锅炉，</w:t>
      </w:r>
      <w:r>
        <w:rPr>
          <w:rFonts w:hint="eastAsia"/>
          <w:color w:val="000000" w:themeColor="text1"/>
          <w:lang w:val="zh-CN"/>
          <w14:textFill>
            <w14:solidFill>
              <w14:schemeClr w14:val="tx1"/>
            </w14:solidFill>
          </w14:textFill>
        </w:rPr>
        <w:t>燃气锅炉</w:t>
      </w:r>
      <w:r>
        <w:rPr>
          <w:rFonts w:hint="eastAsia"/>
          <w:color w:val="000000" w:themeColor="text1"/>
          <w:lang w:val="en-US" w:eastAsia="zh-CN"/>
          <w14:textFill>
            <w14:solidFill>
              <w14:schemeClr w14:val="tx1"/>
            </w14:solidFill>
          </w14:textFill>
        </w:rPr>
        <w:t>安装</w:t>
      </w:r>
      <w:r>
        <w:rPr>
          <w:rFonts w:hint="eastAsia"/>
          <w:color w:val="000000" w:themeColor="text1"/>
          <w:lang w:val="zh-CN"/>
          <w14:textFill>
            <w14:solidFill>
              <w14:schemeClr w14:val="tx1"/>
            </w14:solidFill>
          </w14:textFill>
        </w:rPr>
        <w:t>低氮燃烧</w:t>
      </w:r>
      <w:r>
        <w:rPr>
          <w:rFonts w:hint="eastAsia"/>
          <w:color w:val="000000" w:themeColor="text1"/>
          <w:lang w:val="en-US" w:eastAsia="zh-CN"/>
          <w14:textFill>
            <w14:solidFill>
              <w14:schemeClr w14:val="tx1"/>
            </w14:solidFill>
          </w14:textFill>
        </w:rPr>
        <w:t>器</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污水处理站恶臭气体经</w:t>
      </w:r>
      <w:r>
        <w:rPr>
          <w:rFonts w:hint="eastAsia"/>
          <w:color w:val="000000" w:themeColor="text1"/>
          <w:lang w:val="en-US" w:eastAsia="zh-CN"/>
          <w14:textFill>
            <w14:solidFill>
              <w14:schemeClr w14:val="tx1"/>
            </w14:solidFill>
          </w14:textFill>
        </w:rPr>
        <w:t>活性炭吸附装置处理后达标排放；</w:t>
      </w:r>
      <w:r>
        <w:rPr>
          <w:rFonts w:hint="eastAsia"/>
          <w:snapToGrid w:val="0"/>
          <w:color w:val="000000" w:themeColor="text1"/>
          <w:kern w:val="0"/>
          <w:lang w:val="en-US" w:eastAsia="zh-CN"/>
          <w14:textFill>
            <w14:solidFill>
              <w14:schemeClr w14:val="tx1"/>
            </w14:solidFill>
          </w14:textFill>
        </w:rPr>
        <w:t>食堂油烟经</w:t>
      </w:r>
      <w:r>
        <w:rPr>
          <w:rFonts w:hint="default"/>
          <w:snapToGrid w:val="0"/>
          <w:color w:val="000000" w:themeColor="text1"/>
          <w:kern w:val="0"/>
          <w:lang w:val="en-US" w:eastAsia="zh-CN"/>
          <w14:textFill>
            <w14:solidFill>
              <w14:schemeClr w14:val="tx1"/>
            </w14:solidFill>
          </w14:textFill>
        </w:rPr>
        <w:t>净化效率为85%的油烟净化设施</w:t>
      </w:r>
      <w:r>
        <w:rPr>
          <w:rFonts w:hint="eastAsia"/>
          <w:snapToGrid w:val="0"/>
          <w:color w:val="000000" w:themeColor="text1"/>
          <w:kern w:val="0"/>
          <w:lang w:val="en-US" w:eastAsia="zh-CN"/>
          <w14:textFill>
            <w14:solidFill>
              <w14:schemeClr w14:val="tx1"/>
            </w14:solidFill>
          </w14:textFill>
        </w:rPr>
        <w:t>后</w:t>
      </w:r>
      <w:r>
        <w:rPr>
          <w:rFonts w:hint="default"/>
          <w:snapToGrid w:val="0"/>
          <w:color w:val="000000" w:themeColor="text1"/>
          <w:kern w:val="0"/>
          <w:lang w:val="en-US" w:eastAsia="zh-CN"/>
          <w14:textFill>
            <w14:solidFill>
              <w14:schemeClr w14:val="tx1"/>
            </w14:solidFill>
          </w14:textFill>
        </w:rPr>
        <w:t>引至屋顶排放</w:t>
      </w:r>
      <w:r>
        <w:rPr>
          <w:rFonts w:hint="eastAsia"/>
          <w:color w:val="000000" w:themeColor="text1"/>
          <w14:textFill>
            <w14:solidFill>
              <w14:schemeClr w14:val="tx1"/>
            </w14:solidFill>
          </w14:textFill>
        </w:rPr>
        <w:t>。</w:t>
      </w:r>
      <w:r>
        <w:rPr>
          <w:rFonts w:hint="eastAsia"/>
        </w:rPr>
        <w:t>综上所述，本项目建设符合《佳木斯市空气质量持续改善行动计划实施方案》</w:t>
      </w:r>
      <w:r>
        <w:rPr>
          <w:rFonts w:hint="eastAsia"/>
          <w:lang w:val="en-US" w:eastAsia="zh-CN"/>
        </w:rPr>
        <w:t>中相关计划要求。</w:t>
      </w:r>
    </w:p>
    <w:p w14:paraId="730C878B">
      <w:pPr>
        <w:pStyle w:val="7"/>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.4.2.</w:t>
      </w:r>
      <w:r>
        <w:rPr>
          <w:rFonts w:hint="eastAsia"/>
          <w:color w:val="000000" w:themeColor="text1"/>
          <w:lang w:val="en-US" w:eastAsia="zh-CN"/>
          <w14:textFill>
            <w14:solidFill>
              <w14:schemeClr w14:val="tx1"/>
            </w14:solidFill>
          </w14:textFill>
        </w:rPr>
        <w:t>8</w:t>
      </w:r>
      <w:r>
        <w:rPr>
          <w:rFonts w:hint="eastAsia"/>
          <w:color w:val="000000" w:themeColor="text1"/>
          <w:lang w:eastAsia="zh-CN"/>
          <w14:textFill>
            <w14:solidFill>
              <w14:schemeClr w14:val="tx1"/>
            </w14:solidFill>
          </w14:textFill>
        </w:rPr>
        <w:t>与《冷库设计标准》（G</w:t>
      </w:r>
      <w:r>
        <w:rPr>
          <w:color w:val="000000" w:themeColor="text1"/>
          <w:lang w:eastAsia="zh-CN"/>
          <w14:textFill>
            <w14:solidFill>
              <w14:schemeClr w14:val="tx1"/>
            </w14:solidFill>
          </w14:textFill>
        </w:rPr>
        <w:t>B 50072-2021</w:t>
      </w:r>
      <w:r>
        <w:rPr>
          <w:rFonts w:hint="eastAsia"/>
          <w:color w:val="000000" w:themeColor="text1"/>
          <w:lang w:eastAsia="zh-CN"/>
          <w14:textFill>
            <w14:solidFill>
              <w14:schemeClr w14:val="tx1"/>
            </w14:solidFill>
          </w14:textFill>
        </w:rPr>
        <w:t>）符合性分析</w:t>
      </w:r>
    </w:p>
    <w:p w14:paraId="0C546D65">
      <w:pPr>
        <w:pStyle w:val="206"/>
        <w:spacing w:line="360" w:lineRule="auto"/>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表1</w:t>
      </w:r>
      <w:r>
        <w:rPr>
          <w:color w:val="000000" w:themeColor="text1"/>
          <w:lang w:eastAsia="zh-CN"/>
          <w14:textFill>
            <w14:solidFill>
              <w14:schemeClr w14:val="tx1"/>
            </w14:solidFill>
          </w14:textFill>
        </w:rPr>
        <w:t xml:space="preserve">-4-1 </w:t>
      </w:r>
      <w:r>
        <w:rPr>
          <w:color w:val="000000" w:themeColor="text1"/>
          <w:lang w:val="en-US" w:eastAsia="zh-CN"/>
          <w14:textFill>
            <w14:solidFill>
              <w14:schemeClr w14:val="tx1"/>
            </w14:solidFill>
          </w14:textFill>
        </w:rPr>
        <w:t>与《</w:t>
      </w:r>
      <w:r>
        <w:rPr>
          <w:rFonts w:hint="eastAsia"/>
          <w:color w:val="000000" w:themeColor="text1"/>
          <w:lang w:val="en-US" w:eastAsia="zh-CN"/>
          <w14:textFill>
            <w14:solidFill>
              <w14:schemeClr w14:val="tx1"/>
            </w14:solidFill>
          </w14:textFill>
        </w:rPr>
        <w:t>冷库设计标准</w:t>
      </w:r>
      <w:r>
        <w:rPr>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（G</w:t>
      </w:r>
      <w:r>
        <w:rPr>
          <w:color w:val="000000" w:themeColor="text1"/>
          <w:lang w:val="en-US" w:eastAsia="zh-CN"/>
          <w14:textFill>
            <w14:solidFill>
              <w14:schemeClr w14:val="tx1"/>
            </w14:solidFill>
          </w14:textFill>
        </w:rPr>
        <w:t>B 50072-2021</w:t>
      </w:r>
      <w:r>
        <w:rPr>
          <w:rFonts w:hint="eastAsia"/>
          <w:color w:val="000000" w:themeColor="text1"/>
          <w:lang w:val="en-US" w:eastAsia="zh-CN"/>
          <w14:textFill>
            <w14:solidFill>
              <w14:schemeClr w14:val="tx1"/>
            </w14:solidFill>
          </w14:textFill>
        </w:rPr>
        <w:t>）符合性分析</w:t>
      </w:r>
    </w:p>
    <w:tbl>
      <w:tblPr>
        <w:tblStyle w:val="4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2977"/>
        <w:gridCol w:w="3686"/>
        <w:gridCol w:w="934"/>
      </w:tblGrid>
      <w:tr w14:paraId="2FD5BE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7" w:type="pct"/>
            <w:vAlign w:val="center"/>
          </w:tcPr>
          <w:p w14:paraId="78109FC1">
            <w:pPr>
              <w:pStyle w:val="143"/>
              <w:rPr>
                <w:bCs/>
                <w:lang w:eastAsia="zh-CN"/>
              </w:rPr>
            </w:pPr>
            <w:r>
              <w:rPr>
                <w:rFonts w:hint="eastAsia"/>
                <w:bCs/>
                <w:lang w:eastAsia="zh-CN"/>
              </w:rPr>
              <w:t>序号</w:t>
            </w:r>
          </w:p>
        </w:tc>
        <w:tc>
          <w:tcPr>
            <w:tcW w:w="1792" w:type="pct"/>
            <w:vAlign w:val="center"/>
          </w:tcPr>
          <w:p w14:paraId="30CDAECB">
            <w:pPr>
              <w:pStyle w:val="143"/>
            </w:pPr>
            <w:r>
              <w:rPr>
                <w:rFonts w:hint="eastAsia"/>
                <w:lang w:eastAsia="zh-CN"/>
              </w:rPr>
              <w:t>规范要求</w:t>
            </w:r>
          </w:p>
        </w:tc>
        <w:tc>
          <w:tcPr>
            <w:tcW w:w="2219" w:type="pct"/>
            <w:vAlign w:val="center"/>
          </w:tcPr>
          <w:p w14:paraId="5DB76900">
            <w:pPr>
              <w:pStyle w:val="143"/>
              <w:rPr>
                <w:lang w:val="en-US"/>
              </w:rPr>
            </w:pPr>
            <w:r>
              <w:rPr>
                <w:rFonts w:hint="eastAsia"/>
                <w:lang w:val="en-US" w:eastAsia="zh-CN"/>
              </w:rPr>
              <w:t>本项目情况</w:t>
            </w:r>
          </w:p>
        </w:tc>
        <w:tc>
          <w:tcPr>
            <w:tcW w:w="562" w:type="pct"/>
            <w:vAlign w:val="center"/>
          </w:tcPr>
          <w:p w14:paraId="60441B3C">
            <w:pPr>
              <w:pStyle w:val="143"/>
            </w:pPr>
            <w:r>
              <w:rPr>
                <w:rFonts w:hint="eastAsia"/>
              </w:rPr>
              <w:t>符合</w:t>
            </w:r>
            <w:r>
              <w:rPr>
                <w:rFonts w:hint="eastAsia"/>
                <w:lang w:eastAsia="zh-CN"/>
              </w:rPr>
              <w:t>性</w:t>
            </w:r>
          </w:p>
        </w:tc>
      </w:tr>
      <w:tr w14:paraId="42F115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7" w:type="pct"/>
            <w:vAlign w:val="center"/>
          </w:tcPr>
          <w:p w14:paraId="3604233F">
            <w:pPr>
              <w:pStyle w:val="143"/>
              <w:rPr>
                <w:bCs/>
                <w:lang w:eastAsia="zh-CN"/>
              </w:rPr>
            </w:pPr>
            <w:r>
              <w:rPr>
                <w:rFonts w:hint="eastAsia"/>
                <w:bCs/>
                <w:lang w:eastAsia="zh-CN"/>
              </w:rPr>
              <w:t>1</w:t>
            </w:r>
          </w:p>
        </w:tc>
        <w:tc>
          <w:tcPr>
            <w:tcW w:w="1792" w:type="pct"/>
            <w:vAlign w:val="center"/>
          </w:tcPr>
          <w:p w14:paraId="57C8EAA6">
            <w:pPr>
              <w:pStyle w:val="143"/>
              <w:jc w:val="both"/>
            </w:pPr>
            <w:r>
              <w:rPr>
                <w:rFonts w:hint="eastAsia"/>
                <w:lang w:val="en-US"/>
              </w:rPr>
              <w:t>使用氨制冷系统的冷库库址宜选择在相邻集中居住区全年最大频率风向的下风侧</w:t>
            </w:r>
          </w:p>
        </w:tc>
        <w:tc>
          <w:tcPr>
            <w:tcW w:w="2219" w:type="pct"/>
            <w:vAlign w:val="center"/>
          </w:tcPr>
          <w:p w14:paraId="51DEB613">
            <w:pPr>
              <w:pStyle w:val="143"/>
              <w:jc w:val="both"/>
              <w:rPr>
                <w:lang w:val="en-US"/>
              </w:rPr>
            </w:pPr>
            <w:r>
              <w:rPr>
                <w:rFonts w:hint="eastAsia"/>
                <w:lang w:val="en-US"/>
              </w:rPr>
              <w:t>本项目冷库使用R404A制冷剂制冷，不属于氨制冷系统</w:t>
            </w:r>
            <w:r>
              <w:rPr>
                <w:rFonts w:hint="eastAsia"/>
                <w:lang w:val="en-US" w:eastAsia="zh-CN"/>
              </w:rPr>
              <w:t>。</w:t>
            </w:r>
          </w:p>
        </w:tc>
        <w:tc>
          <w:tcPr>
            <w:tcW w:w="562" w:type="pct"/>
            <w:vAlign w:val="center"/>
          </w:tcPr>
          <w:p w14:paraId="67FBD396">
            <w:pPr>
              <w:pStyle w:val="143"/>
            </w:pPr>
            <w:r>
              <w:rPr>
                <w:rFonts w:hint="eastAsia"/>
              </w:rPr>
              <w:t>符合</w:t>
            </w:r>
          </w:p>
        </w:tc>
      </w:tr>
      <w:tr w14:paraId="0CCF50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7" w:type="pct"/>
            <w:vAlign w:val="center"/>
          </w:tcPr>
          <w:p w14:paraId="35DD6FE6">
            <w:pPr>
              <w:pStyle w:val="143"/>
              <w:rPr>
                <w:bCs/>
                <w:lang w:eastAsia="zh-CN"/>
              </w:rPr>
            </w:pPr>
            <w:r>
              <w:rPr>
                <w:rFonts w:hint="eastAsia"/>
                <w:bCs/>
                <w:lang w:eastAsia="zh-CN"/>
              </w:rPr>
              <w:t>2</w:t>
            </w:r>
          </w:p>
        </w:tc>
        <w:tc>
          <w:tcPr>
            <w:tcW w:w="1792" w:type="pct"/>
            <w:vAlign w:val="center"/>
          </w:tcPr>
          <w:p w14:paraId="0B1AA705">
            <w:pPr>
              <w:pStyle w:val="143"/>
              <w:jc w:val="both"/>
            </w:pPr>
            <w:r>
              <w:rPr>
                <w:rFonts w:hint="eastAsia"/>
                <w:lang w:val="en-US"/>
              </w:rPr>
              <w:t>库址周围应有良好的卫生条件，且必须避开和远离有害气体、烟雾、粉尘及其它有污染源的地段</w:t>
            </w:r>
          </w:p>
        </w:tc>
        <w:tc>
          <w:tcPr>
            <w:tcW w:w="2219" w:type="pct"/>
            <w:vAlign w:val="center"/>
          </w:tcPr>
          <w:p w14:paraId="188623D7">
            <w:pPr>
              <w:pStyle w:val="143"/>
              <w:jc w:val="both"/>
              <w:rPr>
                <w:lang w:val="en-US"/>
              </w:rPr>
            </w:pPr>
            <w:r>
              <w:rPr>
                <w:lang w:val="en-US"/>
              </w:rPr>
              <w:t>本项目厂界</w:t>
            </w:r>
            <w:r>
              <w:rPr>
                <w:rFonts w:hint="eastAsia"/>
                <w:lang w:val="en-US"/>
              </w:rPr>
              <w:t>西</w:t>
            </w:r>
            <w:r>
              <w:rPr>
                <w:lang w:val="en-US"/>
              </w:rPr>
              <w:t>侧为</w:t>
            </w:r>
            <w:r>
              <w:rPr>
                <w:rFonts w:hint="eastAsia"/>
                <w:lang w:val="en-US" w:eastAsia="zh-CN"/>
              </w:rPr>
              <w:t>桦南县桦润食品有限公司，为食品加工企业</w:t>
            </w:r>
            <w:r>
              <w:rPr>
                <w:lang w:val="en-US"/>
              </w:rPr>
              <w:t>，</w:t>
            </w:r>
            <w:r>
              <w:rPr>
                <w:rFonts w:hint="eastAsia"/>
                <w:lang w:val="en-US"/>
              </w:rPr>
              <w:t>本项目</w:t>
            </w:r>
            <w:r>
              <w:rPr>
                <w:lang w:val="en-US"/>
              </w:rPr>
              <w:t>周围无重大污染物和其他扩散性污染源存在，不在周边企业设置的卫生防护距离内</w:t>
            </w:r>
            <w:r>
              <w:rPr>
                <w:rFonts w:hint="eastAsia"/>
                <w:lang w:val="en-US" w:eastAsia="zh-CN"/>
              </w:rPr>
              <w:t>。</w:t>
            </w:r>
          </w:p>
        </w:tc>
        <w:tc>
          <w:tcPr>
            <w:tcW w:w="562" w:type="pct"/>
            <w:vAlign w:val="center"/>
          </w:tcPr>
          <w:p w14:paraId="6D19AB58">
            <w:pPr>
              <w:pStyle w:val="143"/>
            </w:pPr>
            <w:r>
              <w:rPr>
                <w:rFonts w:hint="eastAsia"/>
              </w:rPr>
              <w:t>符合</w:t>
            </w:r>
          </w:p>
        </w:tc>
      </w:tr>
      <w:tr w14:paraId="21F582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7" w:type="pct"/>
            <w:vAlign w:val="center"/>
          </w:tcPr>
          <w:p w14:paraId="08569A26">
            <w:pPr>
              <w:pStyle w:val="143"/>
              <w:rPr>
                <w:bCs/>
                <w:lang w:eastAsia="zh-CN"/>
              </w:rPr>
            </w:pPr>
            <w:r>
              <w:rPr>
                <w:rFonts w:hint="eastAsia"/>
                <w:bCs/>
                <w:lang w:eastAsia="zh-CN"/>
              </w:rPr>
              <w:t>3</w:t>
            </w:r>
          </w:p>
        </w:tc>
        <w:tc>
          <w:tcPr>
            <w:tcW w:w="1792" w:type="pct"/>
            <w:vAlign w:val="center"/>
          </w:tcPr>
          <w:p w14:paraId="7D64581A">
            <w:pPr>
              <w:pStyle w:val="143"/>
              <w:jc w:val="both"/>
            </w:pPr>
            <w:r>
              <w:rPr>
                <w:rFonts w:hint="eastAsia"/>
                <w:lang w:val="en-US"/>
              </w:rPr>
              <w:t>应结合物流流向和近远期发展因素等，选择在交通运输方便的区域</w:t>
            </w:r>
          </w:p>
        </w:tc>
        <w:tc>
          <w:tcPr>
            <w:tcW w:w="2219" w:type="pct"/>
            <w:vAlign w:val="center"/>
          </w:tcPr>
          <w:p w14:paraId="0D94D569">
            <w:pPr>
              <w:pStyle w:val="143"/>
              <w:jc w:val="both"/>
              <w:rPr>
                <w:lang w:val="en-US" w:eastAsia="zh-CN"/>
              </w:rPr>
            </w:pPr>
            <w:r>
              <w:rPr>
                <w:rFonts w:hint="eastAsia"/>
                <w:lang w:val="en-US" w:eastAsia="zh-CN"/>
              </w:rPr>
              <w:t>本项目位于园区</w:t>
            </w:r>
            <w:r>
              <w:rPr>
                <w:rFonts w:hint="eastAsia"/>
              </w:rPr>
              <w:t>农产品加工产业区</w:t>
            </w:r>
            <w:r>
              <w:rPr>
                <w:rFonts w:hint="eastAsia"/>
                <w:lang w:val="en-US" w:eastAsia="zh-CN"/>
              </w:rPr>
              <w:t>内，交通运输极为方便。</w:t>
            </w:r>
          </w:p>
        </w:tc>
        <w:tc>
          <w:tcPr>
            <w:tcW w:w="562" w:type="pct"/>
            <w:vAlign w:val="center"/>
          </w:tcPr>
          <w:p w14:paraId="21CBC948">
            <w:pPr>
              <w:pStyle w:val="143"/>
            </w:pPr>
            <w:r>
              <w:rPr>
                <w:rFonts w:hint="eastAsia"/>
              </w:rPr>
              <w:t>符合</w:t>
            </w:r>
          </w:p>
        </w:tc>
      </w:tr>
      <w:tr w14:paraId="0AE508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7" w:type="pct"/>
            <w:vAlign w:val="center"/>
          </w:tcPr>
          <w:p w14:paraId="628D336D">
            <w:pPr>
              <w:pStyle w:val="143"/>
              <w:rPr>
                <w:bCs/>
                <w:lang w:eastAsia="zh-CN"/>
              </w:rPr>
            </w:pPr>
            <w:r>
              <w:rPr>
                <w:rFonts w:hint="eastAsia"/>
                <w:bCs/>
                <w:lang w:eastAsia="zh-CN"/>
              </w:rPr>
              <w:t>4</w:t>
            </w:r>
          </w:p>
        </w:tc>
        <w:tc>
          <w:tcPr>
            <w:tcW w:w="1792" w:type="pct"/>
            <w:vAlign w:val="center"/>
          </w:tcPr>
          <w:p w14:paraId="5DFAD2D5">
            <w:pPr>
              <w:pStyle w:val="143"/>
              <w:jc w:val="both"/>
            </w:pPr>
            <w:r>
              <w:rPr>
                <w:rFonts w:hint="eastAsia"/>
                <w:lang w:val="en-US"/>
              </w:rPr>
              <w:t>宜具备可靠的水源和电源以及排水条件</w:t>
            </w:r>
          </w:p>
        </w:tc>
        <w:tc>
          <w:tcPr>
            <w:tcW w:w="2219" w:type="pct"/>
            <w:vAlign w:val="center"/>
          </w:tcPr>
          <w:p w14:paraId="7A772757">
            <w:pPr>
              <w:pStyle w:val="143"/>
              <w:jc w:val="both"/>
              <w:rPr>
                <w:lang w:val="en-US"/>
              </w:rPr>
            </w:pPr>
            <w:r>
              <w:rPr>
                <w:lang w:val="en-US"/>
              </w:rPr>
              <w:t>本项目位于</w:t>
            </w:r>
            <w:r>
              <w:rPr>
                <w:rFonts w:hint="eastAsia"/>
                <w:lang w:val="en-US"/>
              </w:rPr>
              <w:t>园区</w:t>
            </w:r>
            <w:r>
              <w:rPr>
                <w:rFonts w:hint="eastAsia"/>
              </w:rPr>
              <w:t>农产品加工产业区</w:t>
            </w:r>
            <w:r>
              <w:rPr>
                <w:rFonts w:hint="eastAsia"/>
                <w:lang w:val="en-US"/>
              </w:rPr>
              <w:t>内，</w:t>
            </w:r>
            <w:r>
              <w:rPr>
                <w:rFonts w:hint="eastAsia"/>
                <w:lang w:val="en-US" w:eastAsia="zh-CN"/>
              </w:rPr>
              <w:t>依托市政给排水管网，具备可靠的水源、电源、及排水条件。</w:t>
            </w:r>
          </w:p>
        </w:tc>
        <w:tc>
          <w:tcPr>
            <w:tcW w:w="562" w:type="pct"/>
            <w:vAlign w:val="center"/>
          </w:tcPr>
          <w:p w14:paraId="482D3F5F">
            <w:pPr>
              <w:pStyle w:val="143"/>
            </w:pPr>
            <w:r>
              <w:rPr>
                <w:rFonts w:hint="eastAsia"/>
              </w:rPr>
              <w:t>符合</w:t>
            </w:r>
          </w:p>
        </w:tc>
      </w:tr>
    </w:tbl>
    <w:p w14:paraId="758626EB">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.4.2.</w:t>
      </w:r>
      <w:r>
        <w:rPr>
          <w:rFonts w:hint="eastAsia"/>
          <w:color w:val="000000" w:themeColor="text1"/>
          <w:lang w:val="en-US" w:eastAsia="zh-CN"/>
          <w14:textFill>
            <w14:solidFill>
              <w14:schemeClr w14:val="tx1"/>
            </w14:solidFill>
          </w14:textFill>
        </w:rPr>
        <w:t>9</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与</w:t>
      </w:r>
      <w:r>
        <w:rPr>
          <w:rFonts w:hint="eastAsia"/>
          <w:color w:val="000000" w:themeColor="text1"/>
          <w:lang w:eastAsia="zh-CN"/>
          <w14:textFill>
            <w14:solidFill>
              <w14:schemeClr w14:val="tx1"/>
            </w14:solidFill>
          </w14:textFill>
        </w:rPr>
        <w:t>其他</w:t>
      </w:r>
      <w:r>
        <w:rPr>
          <w:rFonts w:hint="eastAsia"/>
          <w:color w:val="000000" w:themeColor="text1"/>
          <w14:textFill>
            <w14:solidFill>
              <w14:schemeClr w14:val="tx1"/>
            </w14:solidFill>
          </w14:textFill>
        </w:rPr>
        <w:t>规划</w:t>
      </w:r>
      <w:r>
        <w:rPr>
          <w:rFonts w:hint="eastAsia"/>
          <w:color w:val="000000" w:themeColor="text1"/>
          <w:lang w:eastAsia="zh-CN"/>
          <w14:textFill>
            <w14:solidFill>
              <w14:schemeClr w14:val="tx1"/>
            </w14:solidFill>
          </w14:textFill>
        </w:rPr>
        <w:t>、技术规范</w:t>
      </w:r>
      <w:r>
        <w:rPr>
          <w:rFonts w:hint="eastAsia"/>
          <w:color w:val="000000" w:themeColor="text1"/>
          <w14:textFill>
            <w14:solidFill>
              <w14:schemeClr w14:val="tx1"/>
            </w14:solidFill>
          </w14:textFill>
        </w:rPr>
        <w:t>符合性分析</w:t>
      </w:r>
    </w:p>
    <w:p w14:paraId="304DF83B">
      <w:pPr>
        <w:pStyle w:val="206"/>
        <w:rPr>
          <w:color w:val="000000" w:themeColor="text1"/>
          <w:highlight w:val="none"/>
          <w14:textFill>
            <w14:solidFill>
              <w14:schemeClr w14:val="tx1"/>
            </w14:solidFill>
          </w14:textFill>
        </w:rPr>
      </w:pPr>
      <w:r>
        <w:rPr>
          <w:rFonts w:hint="eastAsia"/>
          <w:color w:val="000000" w:themeColor="text1"/>
          <w:highlight w:val="none"/>
          <w:lang w:eastAsia="zh-CN"/>
          <w14:textFill>
            <w14:solidFill>
              <w14:schemeClr w14:val="tx1"/>
            </w14:solidFill>
          </w14:textFill>
        </w:rPr>
        <w:t>表1</w:t>
      </w:r>
      <w:r>
        <w:rPr>
          <w:color w:val="000000" w:themeColor="text1"/>
          <w:highlight w:val="none"/>
          <w:lang w:eastAsia="zh-CN"/>
          <w14:textFill>
            <w14:solidFill>
              <w14:schemeClr w14:val="tx1"/>
            </w14:solidFill>
          </w14:textFill>
        </w:rPr>
        <w:t xml:space="preserve">-4-2 </w:t>
      </w:r>
      <w:r>
        <w:rPr>
          <w:rFonts w:hint="eastAsia"/>
          <w:color w:val="000000" w:themeColor="text1"/>
          <w:highlight w:val="none"/>
          <w:lang w:eastAsia="zh-CN"/>
          <w14:textFill>
            <w14:solidFill>
              <w14:schemeClr w14:val="tx1"/>
            </w14:solidFill>
          </w14:textFill>
        </w:rPr>
        <w:t>与相关规划、技术规范符合性分析</w:t>
      </w:r>
    </w:p>
    <w:tbl>
      <w:tblPr>
        <w:tblStyle w:val="49"/>
        <w:tblW w:w="4873"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3304"/>
        <w:gridCol w:w="2651"/>
        <w:gridCol w:w="742"/>
      </w:tblGrid>
      <w:tr w14:paraId="4BA781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Align w:val="center"/>
          </w:tcPr>
          <w:p w14:paraId="58A93104">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相关政策、条例、规范</w:t>
            </w:r>
          </w:p>
        </w:tc>
        <w:tc>
          <w:tcPr>
            <w:tcW w:w="2040" w:type="pct"/>
            <w:vAlign w:val="center"/>
          </w:tcPr>
          <w:p w14:paraId="6DCA44EF">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要求</w:t>
            </w:r>
          </w:p>
        </w:tc>
        <w:tc>
          <w:tcPr>
            <w:tcW w:w="1637" w:type="pct"/>
            <w:vAlign w:val="center"/>
          </w:tcPr>
          <w:p w14:paraId="03C386E7">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符合性分析</w:t>
            </w:r>
          </w:p>
        </w:tc>
        <w:tc>
          <w:tcPr>
            <w:tcW w:w="458" w:type="pct"/>
            <w:vAlign w:val="center"/>
          </w:tcPr>
          <w:p w14:paraId="7F1B0BFA">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是否符合</w:t>
            </w:r>
          </w:p>
        </w:tc>
      </w:tr>
      <w:tr w14:paraId="39B91A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Align w:val="center"/>
          </w:tcPr>
          <w:p w14:paraId="1CFBFDF2">
            <w:pPr>
              <w:pStyle w:val="143"/>
              <w:jc w:val="both"/>
              <w:rPr>
                <w:rFonts w:cs="Times New Roman"/>
                <w:bCs/>
                <w:color w:val="000000" w:themeColor="text1"/>
                <w:szCs w:val="28"/>
                <w14:textFill>
                  <w14:solidFill>
                    <w14:schemeClr w14:val="tx1"/>
                  </w14:solidFill>
                </w14:textFill>
              </w:rPr>
            </w:pPr>
            <w:r>
              <w:rPr>
                <w:rFonts w:cs="Times New Roman"/>
                <w:bCs/>
                <w:color w:val="000000" w:themeColor="text1"/>
                <w:szCs w:val="28"/>
                <w:lang w:val="en-US"/>
                <w14:textFill>
                  <w14:solidFill>
                    <w14:schemeClr w14:val="tx1"/>
                  </w14:solidFill>
                </w14:textFill>
              </w:rPr>
              <w:t>《黑龙江省水污染防治工作方案的通知》（黑政发〔2016〕3号）</w:t>
            </w:r>
          </w:p>
        </w:tc>
        <w:tc>
          <w:tcPr>
            <w:tcW w:w="2040" w:type="pct"/>
            <w:vAlign w:val="center"/>
          </w:tcPr>
          <w:p w14:paraId="76C94576">
            <w:pPr>
              <w:pStyle w:val="143"/>
              <w:jc w:val="both"/>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（二）全面控制污染物排放</w:t>
            </w:r>
          </w:p>
          <w:p w14:paraId="1490D806">
            <w:pPr>
              <w:pStyle w:val="143"/>
              <w:jc w:val="both"/>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狠抓工业污染防治：</w:t>
            </w:r>
          </w:p>
          <w:p w14:paraId="6780FCF3">
            <w:pPr>
              <w:pStyle w:val="143"/>
              <w:jc w:val="both"/>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集中治理工业集聚区水污染。强化经济技术开发区、高新技术产业开发区、保税区、出口加工区等工业集聚区的污染治理。工业集聚区开发建设应依法进行规划环境影响评价。工业集聚区内工业废水必须经预处理达到集中处理要求后，方可进入污水集中处理设施。新建、升级工业集聚区应同步规划和建设污水、垃圾集中处理等污染治理设施。</w:t>
            </w:r>
          </w:p>
          <w:p w14:paraId="71751A9A">
            <w:pPr>
              <w:pStyle w:val="143"/>
              <w:jc w:val="both"/>
              <w:rPr>
                <w:rFonts w:cs="Times New Roman"/>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（四）全力保障水生态环境安全</w:t>
            </w:r>
          </w:p>
          <w:p w14:paraId="73718001">
            <w:pPr>
              <w:pStyle w:val="143"/>
              <w:jc w:val="both"/>
              <w:rPr>
                <w:rFonts w:cs="Times New Roman"/>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防治地下水污染：</w:t>
            </w:r>
          </w:p>
          <w:p w14:paraId="0A49E544">
            <w:pPr>
              <w:pStyle w:val="143"/>
              <w:jc w:val="both"/>
              <w:rPr>
                <w:rFonts w:cs="Times New Roman"/>
                <w:color w:val="000000" w:themeColor="text1"/>
                <w:lang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定期调查评估集中式地下水型饮用水水源补给区等区域环境状况。石化生产存贮销售企业和工业园区、矿山开采区、垃圾填埋场等区域应进行必要的防渗处理。</w:t>
            </w:r>
          </w:p>
        </w:tc>
        <w:tc>
          <w:tcPr>
            <w:tcW w:w="1637" w:type="pct"/>
            <w:vAlign w:val="center"/>
          </w:tcPr>
          <w:p w14:paraId="72479A24">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本项目废水由新建</w:t>
            </w:r>
            <w:r>
              <w:rPr>
                <w:rFonts w:hint="eastAsia" w:cs="Times New Roman"/>
                <w:color w:val="000000" w:themeColor="text1"/>
                <w:lang w:val="en-US"/>
                <w14:textFill>
                  <w14:solidFill>
                    <w14:schemeClr w14:val="tx1"/>
                  </w14:solidFill>
                </w14:textFill>
              </w:rPr>
              <w:t>的处理能力为</w:t>
            </w:r>
            <w:r>
              <w:rPr>
                <w:rFonts w:hint="eastAsia" w:cs="Times New Roman"/>
                <w:color w:val="000000" w:themeColor="text1"/>
                <w:lang w:val="en-US" w:eastAsia="zh-CN"/>
                <w14:textFill>
                  <w14:solidFill>
                    <w14:schemeClr w14:val="tx1"/>
                  </w14:solidFill>
                </w14:textFill>
              </w:rPr>
              <w:t>2</w:t>
            </w:r>
            <w:r>
              <w:rPr>
                <w:rFonts w:cs="Times New Roman"/>
                <w:color w:val="000000" w:themeColor="text1"/>
                <w:lang w:val="en-US"/>
                <w14:textFill>
                  <w14:solidFill>
                    <w14:schemeClr w14:val="tx1"/>
                  </w14:solidFill>
                </w14:textFill>
              </w:rPr>
              <w:t>00m</w:t>
            </w:r>
            <w:r>
              <w:rPr>
                <w:rFonts w:cs="Times New Roman"/>
                <w:color w:val="000000" w:themeColor="text1"/>
                <w:vertAlign w:val="superscript"/>
                <w:lang w:val="en-US"/>
                <w14:textFill>
                  <w14:solidFill>
                    <w14:schemeClr w14:val="tx1"/>
                  </w14:solidFill>
                </w14:textFill>
              </w:rPr>
              <w:t>3</w:t>
            </w:r>
            <w:r>
              <w:rPr>
                <w:rFonts w:cs="Times New Roman"/>
                <w:color w:val="000000" w:themeColor="text1"/>
                <w:lang w:val="en-US"/>
                <w14:textFill>
                  <w14:solidFill>
                    <w14:schemeClr w14:val="tx1"/>
                  </w14:solidFill>
                </w14:textFill>
              </w:rPr>
              <w:t>/d</w:t>
            </w:r>
            <w:r>
              <w:rPr>
                <w:rFonts w:hint="eastAsia" w:cs="Times New Roman"/>
                <w:color w:val="000000" w:themeColor="text1"/>
                <w:lang w:val="en-US"/>
                <w14:textFill>
                  <w14:solidFill>
                    <w14:schemeClr w14:val="tx1"/>
                  </w14:solidFill>
                </w14:textFill>
              </w:rPr>
              <w:t>的</w:t>
            </w:r>
            <w:r>
              <w:rPr>
                <w:rFonts w:cs="Times New Roman"/>
                <w:color w:val="000000" w:themeColor="text1"/>
                <w:lang w:val="en-US"/>
                <w14:textFill>
                  <w14:solidFill>
                    <w14:schemeClr w14:val="tx1"/>
                  </w14:solidFill>
                </w14:textFill>
              </w:rPr>
              <w:t>污水处理站处理满足《</w:t>
            </w:r>
            <w:r>
              <w:rPr>
                <w:rFonts w:hint="eastAsia" w:cs="Times New Roman"/>
                <w:color w:val="000000" w:themeColor="text1"/>
                <w:lang w:val="en-US" w:eastAsia="zh-CN"/>
                <w14:textFill>
                  <w14:solidFill>
                    <w14:schemeClr w14:val="tx1"/>
                  </w14:solidFill>
                </w14:textFill>
              </w:rPr>
              <w:t>酒类制造业水污染物排放标准</w:t>
            </w:r>
            <w:r>
              <w:rPr>
                <w:rFonts w:cs="Times New Roman"/>
                <w:color w:val="000000" w:themeColor="text1"/>
                <w:lang w:val="en-US"/>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GB19821-2025</w:t>
            </w:r>
            <w:r>
              <w:rPr>
                <w:rFonts w:cs="Times New Roman"/>
                <w:color w:val="000000" w:themeColor="text1"/>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rFonts w:cs="Times New Roman"/>
                <w:color w:val="000000" w:themeColor="text1"/>
                <w:lang w:val="en-US"/>
                <w14:textFill>
                  <w14:solidFill>
                    <w14:schemeClr w14:val="tx1"/>
                  </w14:solidFill>
                </w14:textFill>
              </w:rPr>
              <w:t>及</w:t>
            </w:r>
            <w:r>
              <w:rPr>
                <w:rFonts w:hint="eastAsia" w:cs="Times New Roman"/>
                <w:color w:val="000000" w:themeColor="text1"/>
                <w:lang w:val="en-US" w:eastAsia="zh-CN"/>
                <w14:textFill>
                  <w14:solidFill>
                    <w14:schemeClr w14:val="tx1"/>
                  </w14:solidFill>
                </w14:textFill>
              </w:rPr>
              <w:t>桦南县城镇污水处理厂</w:t>
            </w:r>
            <w:r>
              <w:rPr>
                <w:rFonts w:cs="Times New Roman"/>
                <w:color w:val="000000" w:themeColor="text1"/>
                <w:lang w:val="en-US"/>
                <w14:textFill>
                  <w14:solidFill>
                    <w14:schemeClr w14:val="tx1"/>
                  </w14:solidFill>
                </w14:textFill>
              </w:rPr>
              <w:t>进水指标后进入市政污水管网，排入</w:t>
            </w:r>
            <w:r>
              <w:rPr>
                <w:rFonts w:hint="eastAsia" w:cs="Times New Roman"/>
                <w:color w:val="000000" w:themeColor="text1"/>
                <w:lang w:val="en-US" w:eastAsia="zh-CN"/>
                <w14:textFill>
                  <w14:solidFill>
                    <w14:schemeClr w14:val="tx1"/>
                  </w14:solidFill>
                </w14:textFill>
              </w:rPr>
              <w:t>桦南县城镇污水处理厂</w:t>
            </w:r>
            <w:r>
              <w:rPr>
                <w:rFonts w:cs="Times New Roman"/>
                <w:color w:val="000000" w:themeColor="text1"/>
                <w:lang w:val="en-US"/>
                <w14:textFill>
                  <w14:solidFill>
                    <w14:schemeClr w14:val="tx1"/>
                  </w14:solidFill>
                </w14:textFill>
              </w:rPr>
              <w:t>统一处理，废水</w:t>
            </w:r>
            <w:r>
              <w:rPr>
                <w:rFonts w:hint="eastAsia" w:cs="Times New Roman"/>
                <w:color w:val="000000" w:themeColor="text1"/>
                <w:lang w:val="en-US"/>
                <w14:textFill>
                  <w14:solidFill>
                    <w14:schemeClr w14:val="tx1"/>
                  </w14:solidFill>
                </w14:textFill>
              </w:rPr>
              <w:t>达到《城镇污水处理厂污染物排放标准》（GB 18918-2002）及修改单中的一级A标准排入</w:t>
            </w:r>
            <w:r>
              <w:rPr>
                <w:rFonts w:hint="default" w:eastAsia="宋体"/>
                <w:lang w:val="en-US" w:eastAsia="zh-CN"/>
              </w:rPr>
              <w:t>八虎力河，最终汇入倭肯河</w:t>
            </w:r>
            <w:r>
              <w:rPr>
                <w:rFonts w:hint="eastAsia" w:cs="Times New Roman"/>
                <w:color w:val="000000" w:themeColor="text1"/>
                <w:lang w:val="en-US"/>
                <w14:textFill>
                  <w14:solidFill>
                    <w14:schemeClr w14:val="tx1"/>
                  </w14:solidFill>
                </w14:textFill>
              </w:rPr>
              <w:t>。</w:t>
            </w:r>
          </w:p>
          <w:p w14:paraId="4FED0598">
            <w:pPr>
              <w:pStyle w:val="143"/>
              <w:jc w:val="both"/>
              <w:rPr>
                <w:rFonts w:cs="Times New Roman"/>
                <w:color w:val="000000" w:themeColor="text1"/>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本项目采取分区防渗措施，</w:t>
            </w:r>
            <w:r>
              <w:rPr>
                <w:rFonts w:cs="Times New Roman"/>
                <w:color w:val="000000" w:themeColor="text1"/>
                <w:lang w:val="en-US" w:eastAsia="zh-CN"/>
                <w14:textFill>
                  <w14:solidFill>
                    <w14:schemeClr w14:val="tx1"/>
                  </w14:solidFill>
                </w14:textFill>
              </w:rPr>
              <w:t>在认真</w:t>
            </w:r>
            <w:r>
              <w:rPr>
                <w:rFonts w:hint="eastAsia" w:cs="Times New Roman"/>
                <w:color w:val="000000" w:themeColor="text1"/>
                <w:lang w:val="en-US" w:eastAsia="zh-CN"/>
                <w14:textFill>
                  <w14:solidFill>
                    <w14:schemeClr w14:val="tx1"/>
                  </w14:solidFill>
                </w14:textFill>
              </w:rPr>
              <w:t>落实防渗</w:t>
            </w:r>
            <w:r>
              <w:rPr>
                <w:rFonts w:cs="Times New Roman"/>
                <w:color w:val="000000" w:themeColor="text1"/>
                <w:lang w:val="en-US" w:eastAsia="zh-CN"/>
                <w14:textFill>
                  <w14:solidFill>
                    <w14:schemeClr w14:val="tx1"/>
                  </w14:solidFill>
                </w14:textFill>
              </w:rPr>
              <w:t>措施的基础上</w:t>
            </w:r>
            <w:r>
              <w:rPr>
                <w:rFonts w:hint="eastAsia" w:cs="Times New Roman"/>
                <w:color w:val="000000" w:themeColor="text1"/>
                <w:lang w:val="en-US" w:eastAsia="zh-CN"/>
                <w14:textFill>
                  <w14:solidFill>
                    <w14:schemeClr w14:val="tx1"/>
                  </w14:solidFill>
                </w14:textFill>
              </w:rPr>
              <w:t>，加强地下水跟踪监测</w:t>
            </w:r>
            <w:r>
              <w:rPr>
                <w:rFonts w:cs="Times New Roman"/>
                <w:color w:val="000000" w:themeColor="text1"/>
                <w:lang w:val="en-US" w:eastAsia="zh-CN"/>
                <w14:textFill>
                  <w14:solidFill>
                    <w14:schemeClr w14:val="tx1"/>
                  </w14:solidFill>
                </w14:textFill>
              </w:rPr>
              <w:t>，由于防渗层的保护作用，废水不会对地下水源造成影响</w:t>
            </w:r>
            <w:r>
              <w:rPr>
                <w:rFonts w:hint="eastAsia" w:cs="Times New Roman"/>
                <w:color w:val="000000" w:themeColor="text1"/>
                <w:lang w:val="en-US" w:eastAsia="zh-CN"/>
                <w14:textFill>
                  <w14:solidFill>
                    <w14:schemeClr w14:val="tx1"/>
                  </w14:solidFill>
                </w14:textFill>
              </w:rPr>
              <w:t>。</w:t>
            </w:r>
          </w:p>
        </w:tc>
        <w:tc>
          <w:tcPr>
            <w:tcW w:w="458" w:type="pct"/>
            <w:vAlign w:val="center"/>
          </w:tcPr>
          <w:p w14:paraId="52FC7248">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5A312E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Align w:val="center"/>
          </w:tcPr>
          <w:p w14:paraId="2B88A8D3">
            <w:pPr>
              <w:pStyle w:val="143"/>
              <w:jc w:val="both"/>
              <w:rPr>
                <w:rFonts w:cs="Times New Roman"/>
                <w:bCs/>
                <w:color w:val="000000" w:themeColor="text1"/>
                <w:szCs w:val="28"/>
                <w14:textFill>
                  <w14:solidFill>
                    <w14:schemeClr w14:val="tx1"/>
                  </w14:solidFill>
                </w14:textFill>
              </w:rPr>
            </w:pPr>
            <w:r>
              <w:rPr>
                <w:rFonts w:hint="eastAsia" w:cs="Times New Roman"/>
                <w:bCs/>
                <w:color w:val="000000" w:themeColor="text1"/>
                <w:szCs w:val="28"/>
                <w:lang w:val="en-US"/>
                <w14:textFill>
                  <w14:solidFill>
                    <w14:schemeClr w14:val="tx1"/>
                  </w14:solidFill>
                </w14:textFill>
              </w:rPr>
              <w:t>《黑龙江省水污染防治条例》（2023年12月1日施行）</w:t>
            </w:r>
          </w:p>
        </w:tc>
        <w:tc>
          <w:tcPr>
            <w:tcW w:w="2040" w:type="pct"/>
            <w:vAlign w:val="center"/>
          </w:tcPr>
          <w:p w14:paraId="1FBD97D3">
            <w:pPr>
              <w:pStyle w:val="143"/>
              <w:jc w:val="both"/>
              <w:rPr>
                <w:rFonts w:cs="Times New Roman"/>
                <w:color w:val="000000" w:themeColor="text1"/>
                <w:lang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第三十一条 医疗机构、学校、科研院所、企业等单位的实验室、检验室、化验室等产生的危险废物，应当按照有关规定单独收集处置，不得排入排水管网或者违法向水体倾倒、排放</w:t>
            </w:r>
          </w:p>
          <w:p w14:paraId="34C1807E">
            <w:pPr>
              <w:pStyle w:val="143"/>
              <w:jc w:val="both"/>
              <w:rPr>
                <w:rFonts w:cs="Times New Roman"/>
                <w:color w:val="000000" w:themeColor="text1"/>
                <w:lang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第三十三条 排放工业废水的企业应当采取有效措施，收集和处理产生的全部废水，防止污染环境。含有毒有害水污染物的工业废水应当分类收集和处理，不得稀释排放</w:t>
            </w:r>
          </w:p>
        </w:tc>
        <w:tc>
          <w:tcPr>
            <w:tcW w:w="1637" w:type="pct"/>
            <w:vAlign w:val="center"/>
          </w:tcPr>
          <w:p w14:paraId="79308E1A">
            <w:pPr>
              <w:pStyle w:val="143"/>
              <w:jc w:val="both"/>
              <w:rPr>
                <w:rFonts w:cs="Times New Roman"/>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w:t>
            </w:r>
            <w:r>
              <w:rPr>
                <w:rFonts w:hint="eastAsia" w:cs="Times New Roman"/>
                <w:color w:val="000000" w:themeColor="text1"/>
                <w:lang w:val="en-US"/>
                <w14:textFill>
                  <w14:solidFill>
                    <w14:schemeClr w14:val="tx1"/>
                  </w14:solidFill>
                </w14:textFill>
              </w:rPr>
              <w:t>化验室废液</w:t>
            </w:r>
            <w:r>
              <w:rPr>
                <w:rFonts w:cs="Times New Roman"/>
                <w:color w:val="000000" w:themeColor="text1"/>
                <w:lang w:val="en-US"/>
                <w14:textFill>
                  <w14:solidFill>
                    <w14:schemeClr w14:val="tx1"/>
                  </w14:solidFill>
                </w14:textFill>
              </w:rPr>
              <w:t>暂存于危险废物贮存点后委托有资质单位处置</w:t>
            </w:r>
            <w:r>
              <w:rPr>
                <w:rFonts w:hint="eastAsia" w:cs="Times New Roman"/>
                <w:color w:val="000000" w:themeColor="text1"/>
                <w:lang w:val="en-US" w:eastAsia="zh-CN"/>
                <w14:textFill>
                  <w14:solidFill>
                    <w14:schemeClr w14:val="tx1"/>
                  </w14:solidFill>
                </w14:textFill>
              </w:rPr>
              <w:t>。</w:t>
            </w:r>
          </w:p>
          <w:p w14:paraId="7E6B3371">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本项目废水由新建</w:t>
            </w:r>
            <w:r>
              <w:rPr>
                <w:rFonts w:hint="eastAsia" w:cs="Times New Roman"/>
                <w:color w:val="000000" w:themeColor="text1"/>
                <w:lang w:val="en-US"/>
                <w14:textFill>
                  <w14:solidFill>
                    <w14:schemeClr w14:val="tx1"/>
                  </w14:solidFill>
                </w14:textFill>
              </w:rPr>
              <w:t>的处理能力为</w:t>
            </w:r>
            <w:r>
              <w:rPr>
                <w:rFonts w:hint="eastAsia" w:cs="Times New Roman"/>
                <w:color w:val="000000" w:themeColor="text1"/>
                <w:lang w:val="en-US" w:eastAsia="zh-CN"/>
                <w14:textFill>
                  <w14:solidFill>
                    <w14:schemeClr w14:val="tx1"/>
                  </w14:solidFill>
                </w14:textFill>
              </w:rPr>
              <w:t>2</w:t>
            </w:r>
            <w:r>
              <w:rPr>
                <w:rFonts w:cs="Times New Roman"/>
                <w:color w:val="000000" w:themeColor="text1"/>
                <w:lang w:val="en-US"/>
                <w14:textFill>
                  <w14:solidFill>
                    <w14:schemeClr w14:val="tx1"/>
                  </w14:solidFill>
                </w14:textFill>
              </w:rPr>
              <w:t>00m</w:t>
            </w:r>
            <w:r>
              <w:rPr>
                <w:rFonts w:cs="Times New Roman"/>
                <w:color w:val="000000" w:themeColor="text1"/>
                <w:vertAlign w:val="superscript"/>
                <w:lang w:val="en-US"/>
                <w14:textFill>
                  <w14:solidFill>
                    <w14:schemeClr w14:val="tx1"/>
                  </w14:solidFill>
                </w14:textFill>
              </w:rPr>
              <w:t>3</w:t>
            </w:r>
            <w:r>
              <w:rPr>
                <w:rFonts w:cs="Times New Roman"/>
                <w:color w:val="000000" w:themeColor="text1"/>
                <w:lang w:val="en-US"/>
                <w14:textFill>
                  <w14:solidFill>
                    <w14:schemeClr w14:val="tx1"/>
                  </w14:solidFill>
                </w14:textFill>
              </w:rPr>
              <w:t>/d</w:t>
            </w:r>
            <w:r>
              <w:rPr>
                <w:rFonts w:hint="eastAsia" w:cs="Times New Roman"/>
                <w:color w:val="000000" w:themeColor="text1"/>
                <w:lang w:val="en-US"/>
                <w14:textFill>
                  <w14:solidFill>
                    <w14:schemeClr w14:val="tx1"/>
                  </w14:solidFill>
                </w14:textFill>
              </w:rPr>
              <w:t>的</w:t>
            </w:r>
            <w:r>
              <w:rPr>
                <w:rFonts w:cs="Times New Roman"/>
                <w:color w:val="000000" w:themeColor="text1"/>
                <w:lang w:val="en-US"/>
                <w14:textFill>
                  <w14:solidFill>
                    <w14:schemeClr w14:val="tx1"/>
                  </w14:solidFill>
                </w14:textFill>
              </w:rPr>
              <w:t>污水处理站处理满足《</w:t>
            </w:r>
            <w:r>
              <w:rPr>
                <w:rFonts w:hint="eastAsia" w:cs="Times New Roman"/>
                <w:color w:val="000000" w:themeColor="text1"/>
                <w:lang w:val="en-US" w:eastAsia="zh-CN"/>
                <w14:textFill>
                  <w14:solidFill>
                    <w14:schemeClr w14:val="tx1"/>
                  </w14:solidFill>
                </w14:textFill>
              </w:rPr>
              <w:t>酒类制造业水污染物排放标准</w:t>
            </w:r>
            <w:r>
              <w:rPr>
                <w:rFonts w:cs="Times New Roman"/>
                <w:color w:val="000000" w:themeColor="text1"/>
                <w:lang w:val="en-US"/>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GB19821-2025</w:t>
            </w:r>
            <w:r>
              <w:rPr>
                <w:rFonts w:cs="Times New Roman"/>
                <w:color w:val="000000" w:themeColor="text1"/>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rFonts w:cs="Times New Roman"/>
                <w:color w:val="000000" w:themeColor="text1"/>
                <w:lang w:val="en-US"/>
                <w14:textFill>
                  <w14:solidFill>
                    <w14:schemeClr w14:val="tx1"/>
                  </w14:solidFill>
                </w14:textFill>
              </w:rPr>
              <w:t>及</w:t>
            </w:r>
            <w:r>
              <w:rPr>
                <w:rFonts w:hint="eastAsia" w:cs="Times New Roman"/>
                <w:color w:val="000000" w:themeColor="text1"/>
                <w:lang w:val="en-US" w:eastAsia="zh-CN"/>
                <w14:textFill>
                  <w14:solidFill>
                    <w14:schemeClr w14:val="tx1"/>
                  </w14:solidFill>
                </w14:textFill>
              </w:rPr>
              <w:t>桦南县城镇污水处理厂</w:t>
            </w:r>
            <w:r>
              <w:rPr>
                <w:rFonts w:cs="Times New Roman"/>
                <w:color w:val="000000" w:themeColor="text1"/>
                <w:lang w:val="en-US"/>
                <w14:textFill>
                  <w14:solidFill>
                    <w14:schemeClr w14:val="tx1"/>
                  </w14:solidFill>
                </w14:textFill>
              </w:rPr>
              <w:t>进水指标后进入市政污水管网，排入</w:t>
            </w:r>
            <w:r>
              <w:rPr>
                <w:rFonts w:hint="eastAsia" w:cs="Times New Roman"/>
                <w:color w:val="000000" w:themeColor="text1"/>
                <w:lang w:val="en-US" w:eastAsia="zh-CN"/>
                <w14:textFill>
                  <w14:solidFill>
                    <w14:schemeClr w14:val="tx1"/>
                  </w14:solidFill>
                </w14:textFill>
              </w:rPr>
              <w:t>桦南县城镇污水处理厂</w:t>
            </w:r>
            <w:r>
              <w:rPr>
                <w:rFonts w:cs="Times New Roman"/>
                <w:color w:val="000000" w:themeColor="text1"/>
                <w:lang w:val="en-US"/>
                <w14:textFill>
                  <w14:solidFill>
                    <w14:schemeClr w14:val="tx1"/>
                  </w14:solidFill>
                </w14:textFill>
              </w:rPr>
              <w:t>统一处理，废水</w:t>
            </w:r>
            <w:r>
              <w:rPr>
                <w:rFonts w:hint="eastAsia" w:cs="Times New Roman"/>
                <w:color w:val="000000" w:themeColor="text1"/>
                <w:lang w:val="en-US"/>
                <w14:textFill>
                  <w14:solidFill>
                    <w14:schemeClr w14:val="tx1"/>
                  </w14:solidFill>
                </w14:textFill>
              </w:rPr>
              <w:t>达到《城镇污水处理厂污染物排放标准》（GB 18918-2002）及修改单中的一级A标准排入</w:t>
            </w:r>
            <w:r>
              <w:rPr>
                <w:rFonts w:hint="default" w:eastAsia="宋体"/>
                <w:lang w:val="en-US" w:eastAsia="zh-CN"/>
              </w:rPr>
              <w:t>八虎力河，最终汇入倭肯河</w:t>
            </w:r>
            <w:r>
              <w:rPr>
                <w:rFonts w:hint="eastAsia" w:cs="Times New Roman"/>
                <w:color w:val="000000" w:themeColor="text1"/>
                <w:lang w:val="en-US"/>
                <w14:textFill>
                  <w14:solidFill>
                    <w14:schemeClr w14:val="tx1"/>
                  </w14:solidFill>
                </w14:textFill>
              </w:rPr>
              <w:t>。</w:t>
            </w:r>
          </w:p>
        </w:tc>
        <w:tc>
          <w:tcPr>
            <w:tcW w:w="458" w:type="pct"/>
            <w:vAlign w:val="center"/>
          </w:tcPr>
          <w:p w14:paraId="71A175CD">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58F8C9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Align w:val="center"/>
          </w:tcPr>
          <w:p w14:paraId="510BA918">
            <w:pPr>
              <w:pStyle w:val="143"/>
              <w:jc w:val="both"/>
              <w:rPr>
                <w:rFonts w:cs="Times New Roman"/>
                <w:bCs/>
                <w:color w:val="000000" w:themeColor="text1"/>
                <w:szCs w:val="28"/>
                <w14:textFill>
                  <w14:solidFill>
                    <w14:schemeClr w14:val="tx1"/>
                  </w14:solidFill>
                </w14:textFill>
              </w:rPr>
            </w:pPr>
            <w:r>
              <w:rPr>
                <w:rFonts w:cs="Times New Roman"/>
                <w:bCs/>
                <w:color w:val="000000" w:themeColor="text1"/>
                <w:szCs w:val="28"/>
                <w:lang w:val="en-US"/>
                <w14:textFill>
                  <w14:solidFill>
                    <w14:schemeClr w14:val="tx1"/>
                  </w14:solidFill>
                </w14:textFill>
              </w:rPr>
              <w:t>《</w:t>
            </w:r>
            <w:r>
              <w:rPr>
                <w:rFonts w:hint="eastAsia" w:cs="Times New Roman"/>
                <w:bCs/>
                <w:color w:val="000000" w:themeColor="text1"/>
                <w:szCs w:val="28"/>
                <w:lang w:val="en-US"/>
                <w14:textFill>
                  <w14:solidFill>
                    <w14:schemeClr w14:val="tx1"/>
                  </w14:solidFill>
                </w14:textFill>
              </w:rPr>
              <w:t>黑龙江省大气污染防治条例</w:t>
            </w:r>
            <w:r>
              <w:rPr>
                <w:rFonts w:cs="Times New Roman"/>
                <w:bCs/>
                <w:color w:val="000000" w:themeColor="text1"/>
                <w:szCs w:val="28"/>
                <w:lang w:val="en-US"/>
                <w14:textFill>
                  <w14:solidFill>
                    <w14:schemeClr w14:val="tx1"/>
                  </w14:solidFill>
                </w14:textFill>
              </w:rPr>
              <w:t>》</w:t>
            </w:r>
            <w:r>
              <w:rPr>
                <w:rFonts w:hint="eastAsia" w:cs="Times New Roman"/>
                <w:bCs/>
                <w:color w:val="000000" w:themeColor="text1"/>
                <w:szCs w:val="28"/>
                <w:lang w:val="en-US"/>
                <w14:textFill>
                  <w14:solidFill>
                    <w14:schemeClr w14:val="tx1"/>
                  </w14:solidFill>
                </w14:textFill>
              </w:rPr>
              <w:t>（2018年修正）</w:t>
            </w:r>
          </w:p>
        </w:tc>
        <w:tc>
          <w:tcPr>
            <w:tcW w:w="2040" w:type="pct"/>
            <w:vAlign w:val="center"/>
          </w:tcPr>
          <w:p w14:paraId="27702E04">
            <w:pPr>
              <w:pStyle w:val="143"/>
              <w:jc w:val="both"/>
              <w:rPr>
                <w:rFonts w:cs="Times New Roman"/>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在集中供热管网未覆盖的区域，推广使用高效节能环保型锅炉或者进行锅炉高效除尘改造，或者使用新能源、清洁能源供热。</w:t>
            </w:r>
          </w:p>
          <w:p w14:paraId="4762D7B5">
            <w:pPr>
              <w:pStyle w:val="143"/>
              <w:jc w:val="both"/>
              <w:rPr>
                <w:rFonts w:cs="Times New Roman"/>
                <w:color w:val="000000" w:themeColor="text1"/>
                <w:lang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县级以上人民政府应当发展工业循环经济，调整、优化产业结构，推进清洁生产，鼓励产业集聚发展，按照主体功能区划合理规划工业园区的布局，引导工业企业入驻工业园区</w:t>
            </w:r>
          </w:p>
        </w:tc>
        <w:tc>
          <w:tcPr>
            <w:tcW w:w="1637" w:type="pct"/>
            <w:vAlign w:val="center"/>
          </w:tcPr>
          <w:p w14:paraId="520DE8A8">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本项目蒸汽锅炉采用</w:t>
            </w:r>
            <w:r>
              <w:rPr>
                <w:rFonts w:hint="eastAsia" w:cs="Times New Roman"/>
                <w:color w:val="000000" w:themeColor="text1"/>
                <w:lang w:val="en-US" w:eastAsia="zh-CN"/>
                <w14:textFill>
                  <w14:solidFill>
                    <w14:schemeClr w14:val="tx1"/>
                  </w14:solidFill>
                </w14:textFill>
              </w:rPr>
              <w:t>燃气</w:t>
            </w:r>
            <w:r>
              <w:rPr>
                <w:rFonts w:cs="Times New Roman"/>
                <w:color w:val="000000" w:themeColor="text1"/>
                <w:lang w:val="en-US"/>
                <w14:textFill>
                  <w14:solidFill>
                    <w14:schemeClr w14:val="tx1"/>
                  </w14:solidFill>
                </w14:textFill>
              </w:rPr>
              <w:t>锅炉，不使用燃煤。</w:t>
            </w:r>
          </w:p>
          <w:p w14:paraId="35FA1A5D">
            <w:pPr>
              <w:pStyle w:val="143"/>
              <w:jc w:val="both"/>
              <w:rPr>
                <w:rFonts w:cs="Times New Roman"/>
                <w:color w:val="000000" w:themeColor="text1"/>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本项目位于工业园区内，采取各项环境保护措施，确保污染物达标排放。</w:t>
            </w:r>
          </w:p>
        </w:tc>
        <w:tc>
          <w:tcPr>
            <w:tcW w:w="458" w:type="pct"/>
            <w:vAlign w:val="center"/>
          </w:tcPr>
          <w:p w14:paraId="56D232EE">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02C52D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restart"/>
            <w:vAlign w:val="center"/>
          </w:tcPr>
          <w:p w14:paraId="25DB52FD">
            <w:pPr>
              <w:pStyle w:val="143"/>
              <w:jc w:val="both"/>
              <w:rPr>
                <w:rFonts w:cs="Times New Roman"/>
                <w:bCs/>
                <w:color w:val="000000" w:themeColor="text1"/>
                <w:szCs w:val="28"/>
                <w14:textFill>
                  <w14:solidFill>
                    <w14:schemeClr w14:val="tx1"/>
                  </w14:solidFill>
                </w14:textFill>
              </w:rPr>
            </w:pPr>
            <w:bookmarkStart w:id="20" w:name="_Hlk206487139"/>
            <w:r>
              <w:rPr>
                <w:rFonts w:hint="eastAsia" w:cs="Times New Roman"/>
                <w:bCs/>
                <w:color w:val="000000" w:themeColor="text1"/>
                <w:szCs w:val="28"/>
                <w14:textFill>
                  <w14:solidFill>
                    <w14:schemeClr w14:val="tx1"/>
                  </w14:solidFill>
                </w14:textFill>
              </w:rPr>
              <w:t>《饮料酒制造业污染防治技术政策》（环境保护部公告2018年第7号）</w:t>
            </w:r>
          </w:p>
        </w:tc>
        <w:tc>
          <w:tcPr>
            <w:tcW w:w="2040" w:type="pct"/>
            <w:vAlign w:val="center"/>
          </w:tcPr>
          <w:p w14:paraId="6A0B6F2D">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加强原料储存与输送过程的污染控制，原料宜采用标准化仓储、密闭输送</w:t>
            </w:r>
          </w:p>
        </w:tc>
        <w:tc>
          <w:tcPr>
            <w:tcW w:w="1637" w:type="pct"/>
            <w:vAlign w:val="center"/>
          </w:tcPr>
          <w:p w14:paraId="53B50530">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原料储存在原料库内，密闭储存。密闭输送</w:t>
            </w:r>
          </w:p>
        </w:tc>
        <w:tc>
          <w:tcPr>
            <w:tcW w:w="458" w:type="pct"/>
            <w:vAlign w:val="center"/>
          </w:tcPr>
          <w:p w14:paraId="6294D53B">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7C81C9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66F95F9C">
            <w:pPr>
              <w:pStyle w:val="143"/>
              <w:jc w:val="both"/>
              <w:rPr>
                <w:rFonts w:cs="Times New Roman"/>
                <w:bCs/>
                <w:color w:val="000000" w:themeColor="text1"/>
                <w:szCs w:val="28"/>
                <w14:textFill>
                  <w14:solidFill>
                    <w14:schemeClr w14:val="tx1"/>
                  </w14:solidFill>
                </w14:textFill>
              </w:rPr>
            </w:pPr>
          </w:p>
        </w:tc>
        <w:tc>
          <w:tcPr>
            <w:tcW w:w="2040" w:type="pct"/>
            <w:vAlign w:val="center"/>
          </w:tcPr>
          <w:p w14:paraId="07D5C455">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鼓励蒸粮车间安装集气排气系统，实现蒸粮、馏酒及摊晾过程中废气的集中收集、处理和排放</w:t>
            </w:r>
          </w:p>
        </w:tc>
        <w:tc>
          <w:tcPr>
            <w:tcW w:w="1637" w:type="pct"/>
            <w:vAlign w:val="center"/>
          </w:tcPr>
          <w:p w14:paraId="2ED9B07F">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项目发酵废气采用CO</w:t>
            </w:r>
            <w:r>
              <w:rPr>
                <w:rFonts w:cs="Times New Roman"/>
                <w:color w:val="000000" w:themeColor="text1"/>
                <w:vertAlign w:val="subscript"/>
                <w:lang w:val="en-US"/>
                <w14:textFill>
                  <w14:solidFill>
                    <w14:schemeClr w14:val="tx1"/>
                  </w14:solidFill>
                </w14:textFill>
              </w:rPr>
              <w:t>2</w:t>
            </w:r>
            <w:r>
              <w:rPr>
                <w:rFonts w:cs="Times New Roman"/>
                <w:color w:val="000000" w:themeColor="text1"/>
                <w:lang w:val="en-US"/>
                <w14:textFill>
                  <w14:solidFill>
                    <w14:schemeClr w14:val="tx1"/>
                  </w14:solidFill>
                </w14:textFill>
              </w:rPr>
              <w:t>回收系统进行回收处理</w:t>
            </w:r>
          </w:p>
        </w:tc>
        <w:tc>
          <w:tcPr>
            <w:tcW w:w="458" w:type="pct"/>
            <w:vAlign w:val="center"/>
          </w:tcPr>
          <w:p w14:paraId="7054B3C7">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51A8DD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5AE882CF">
            <w:pPr>
              <w:pStyle w:val="143"/>
              <w:jc w:val="both"/>
              <w:rPr>
                <w:rFonts w:cs="Times New Roman"/>
                <w:bCs/>
                <w:color w:val="000000" w:themeColor="text1"/>
                <w:szCs w:val="28"/>
                <w14:textFill>
                  <w14:solidFill>
                    <w14:schemeClr w14:val="tx1"/>
                  </w14:solidFill>
                </w14:textFill>
              </w:rPr>
            </w:pPr>
          </w:p>
        </w:tc>
        <w:tc>
          <w:tcPr>
            <w:tcW w:w="2040" w:type="pct"/>
            <w:vAlign w:val="center"/>
          </w:tcPr>
          <w:p w14:paraId="24EF3836">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应推进粉碎车间采用大功率、低能耗的新型制粉成套设备，并安装高效的除尘设备及降噪系统</w:t>
            </w:r>
          </w:p>
        </w:tc>
        <w:tc>
          <w:tcPr>
            <w:tcW w:w="1637" w:type="pct"/>
            <w:vAlign w:val="center"/>
          </w:tcPr>
          <w:p w14:paraId="084C3082">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湿法粉碎、粉碎机加盖封闭</w:t>
            </w:r>
          </w:p>
        </w:tc>
        <w:tc>
          <w:tcPr>
            <w:tcW w:w="458" w:type="pct"/>
            <w:vAlign w:val="center"/>
          </w:tcPr>
          <w:p w14:paraId="6DEDAA3D">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28D5F9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21A46BB6">
            <w:pPr>
              <w:pStyle w:val="143"/>
              <w:jc w:val="both"/>
              <w:rPr>
                <w:rFonts w:cs="Times New Roman"/>
                <w:bCs/>
                <w:color w:val="000000" w:themeColor="text1"/>
                <w:szCs w:val="28"/>
                <w14:textFill>
                  <w14:solidFill>
                    <w14:schemeClr w14:val="tx1"/>
                  </w14:solidFill>
                </w14:textFill>
              </w:rPr>
            </w:pPr>
          </w:p>
        </w:tc>
        <w:tc>
          <w:tcPr>
            <w:tcW w:w="2040" w:type="pct"/>
            <w:vAlign w:val="center"/>
          </w:tcPr>
          <w:p w14:paraId="3BC4DFB6">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原料输送、粉碎工序产生的粉尘应采用封闭粉碎、袋式除尘或喷水降尘等方法与技术进行收集与处理</w:t>
            </w:r>
          </w:p>
        </w:tc>
        <w:tc>
          <w:tcPr>
            <w:tcW w:w="1637" w:type="pct"/>
            <w:vAlign w:val="center"/>
          </w:tcPr>
          <w:p w14:paraId="0AC7249C">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湿法粉碎、粉碎机加盖封闭</w:t>
            </w:r>
          </w:p>
        </w:tc>
        <w:tc>
          <w:tcPr>
            <w:tcW w:w="458" w:type="pct"/>
            <w:vAlign w:val="center"/>
          </w:tcPr>
          <w:p w14:paraId="14D41FD5">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6B92DB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7C0D4E6F">
            <w:pPr>
              <w:pStyle w:val="143"/>
              <w:jc w:val="both"/>
              <w:rPr>
                <w:rFonts w:cs="Times New Roman"/>
                <w:bCs/>
                <w:color w:val="000000" w:themeColor="text1"/>
                <w:szCs w:val="28"/>
                <w14:textFill>
                  <w14:solidFill>
                    <w14:schemeClr w14:val="tx1"/>
                  </w14:solidFill>
                </w14:textFill>
              </w:rPr>
            </w:pPr>
          </w:p>
        </w:tc>
        <w:tc>
          <w:tcPr>
            <w:tcW w:w="2040" w:type="pct"/>
            <w:vAlign w:val="center"/>
          </w:tcPr>
          <w:p w14:paraId="2586DFBA">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酒糟、滤渣堆场应采取封闭措施对产生废气进行收集，采用化学吸收法或活性炭吸附法等技术对收集废气进行处理</w:t>
            </w:r>
          </w:p>
        </w:tc>
        <w:tc>
          <w:tcPr>
            <w:tcW w:w="1637" w:type="pct"/>
            <w:vAlign w:val="center"/>
          </w:tcPr>
          <w:p w14:paraId="4241AF86">
            <w:pPr>
              <w:pStyle w:val="143"/>
              <w:jc w:val="both"/>
              <w:rPr>
                <w:rFonts w:hint="eastAsia" w:eastAsia="宋体" w:cs="Times New Roman"/>
                <w:color w:val="000000" w:themeColor="text1"/>
                <w:lang w:val="en-US" w:eastAsia="zh-CN"/>
                <w14:textFill>
                  <w14:solidFill>
                    <w14:schemeClr w14:val="tx1"/>
                  </w14:solidFill>
                </w14:textFill>
              </w:rPr>
            </w:pPr>
            <w:r>
              <w:rPr>
                <w:rFonts w:cs="Times New Roman"/>
                <w:color w:val="000000" w:themeColor="text1"/>
                <w:lang w:val="en-US"/>
                <w14:textFill>
                  <w14:solidFill>
                    <w14:schemeClr w14:val="tx1"/>
                  </w14:solidFill>
                </w14:textFill>
              </w:rPr>
              <w:t>本项目不设酒糟、滤渣等堆场</w:t>
            </w:r>
            <w:r>
              <w:rPr>
                <w:rFonts w:hint="eastAsia" w:cs="Times New Roman"/>
                <w:color w:val="000000" w:themeColor="text1"/>
                <w:lang w:val="en-US"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废</w:t>
            </w:r>
            <w:r>
              <w:rPr>
                <w:snapToGrid w:val="0"/>
                <w:color w:val="000000" w:themeColor="text1"/>
                <w:kern w:val="0"/>
                <w:lang w:val="en-US"/>
                <w14:textFill>
                  <w14:solidFill>
                    <w14:schemeClr w14:val="tx1"/>
                  </w14:solidFill>
                </w14:textFill>
              </w:rPr>
              <w:t>酒糟及废酵母采用专用容器收集并加盖密封</w:t>
            </w:r>
          </w:p>
        </w:tc>
        <w:tc>
          <w:tcPr>
            <w:tcW w:w="458" w:type="pct"/>
            <w:vAlign w:val="center"/>
          </w:tcPr>
          <w:p w14:paraId="6CF7700F">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4EF2AC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07DE57E7">
            <w:pPr>
              <w:pStyle w:val="143"/>
              <w:jc w:val="both"/>
              <w:rPr>
                <w:rFonts w:cs="Times New Roman"/>
                <w:bCs/>
                <w:color w:val="000000" w:themeColor="text1"/>
                <w:szCs w:val="28"/>
                <w14:textFill>
                  <w14:solidFill>
                    <w14:schemeClr w14:val="tx1"/>
                  </w14:solidFill>
                </w14:textFill>
              </w:rPr>
            </w:pPr>
          </w:p>
        </w:tc>
        <w:tc>
          <w:tcPr>
            <w:tcW w:w="2040" w:type="pct"/>
            <w:vAlign w:val="center"/>
          </w:tcPr>
          <w:p w14:paraId="77DEDBCB">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高浓度废水（锅底水、黄水、废糟液、麦糟滤液、酵母滤洗水、洗糟水、米浆水、酒糟堆存场地渗滤液等）宜单独收集进行预处理，再与中低浓度工艺废水（冲洗水、洗涤水、冷却水等）混合处理</w:t>
            </w:r>
          </w:p>
        </w:tc>
        <w:tc>
          <w:tcPr>
            <w:tcW w:w="1637" w:type="pct"/>
            <w:vAlign w:val="center"/>
          </w:tcPr>
          <w:p w14:paraId="66ECDC3F">
            <w:pPr>
              <w:keepNext w:val="0"/>
              <w:keepLines w:val="0"/>
              <w:widowControl/>
              <w:suppressLineNumbers w:val="0"/>
              <w:ind w:left="0" w:leftChars="0" w:firstLine="0" w:firstLineChars="0"/>
              <w:jc w:val="both"/>
              <w:rPr>
                <w:rFonts w:ascii="Times New Roman" w:hAnsi="Times New Roman" w:eastAsia="宋体"/>
              </w:rPr>
            </w:pPr>
            <w:r>
              <w:rPr>
                <w:rFonts w:hint="eastAsia" w:ascii="Times New Roman" w:hAnsi="Times New Roman" w:eastAsia="宋体" w:cs="宋体"/>
                <w:color w:val="000000"/>
                <w:kern w:val="0"/>
                <w:sz w:val="20"/>
                <w:szCs w:val="20"/>
                <w:lang w:val="en-US" w:eastAsia="zh-CN" w:bidi="ar"/>
              </w:rPr>
              <w:t xml:space="preserve">根据《酿造工业废水治理工程技术规范》（HJ575-2010）酿造废水应遵循“清污分流、浓淡分家”的原则，污染物浓度进行分类收集，啤酒行业中麦糟滤液、废酵母滤液，容器管路一次洗涤废水属于高浓度废水。同时第 </w:t>
            </w:r>
            <w:r>
              <w:rPr>
                <w:rFonts w:hint="default" w:ascii="Times New Roman" w:hAnsi="Times New Roman" w:eastAsia="宋体" w:cs="Times New Roman"/>
                <w:color w:val="000000"/>
                <w:kern w:val="0"/>
                <w:sz w:val="20"/>
                <w:szCs w:val="20"/>
                <w:lang w:val="en-US" w:eastAsia="zh-CN" w:bidi="ar"/>
              </w:rPr>
              <w:t xml:space="preserve">6.1.3 </w:t>
            </w:r>
            <w:r>
              <w:rPr>
                <w:rFonts w:hint="eastAsia" w:ascii="Times New Roman" w:hAnsi="Times New Roman" w:eastAsia="宋体" w:cs="宋体"/>
                <w:color w:val="000000"/>
                <w:kern w:val="0"/>
                <w:sz w:val="20"/>
                <w:szCs w:val="20"/>
                <w:lang w:val="en-US" w:eastAsia="zh-CN" w:bidi="ar"/>
              </w:rPr>
              <w:t>中第（</w:t>
            </w:r>
            <w:r>
              <w:rPr>
                <w:rFonts w:hint="default" w:ascii="Times New Roman" w:hAnsi="Times New Roman" w:eastAsia="宋体" w:cs="Times New Roman"/>
                <w:color w:val="000000"/>
                <w:kern w:val="0"/>
                <w:sz w:val="20"/>
                <w:szCs w:val="20"/>
                <w:lang w:val="en-US" w:eastAsia="zh-CN" w:bidi="ar"/>
              </w:rPr>
              <w:t>7</w:t>
            </w:r>
            <w:r>
              <w:rPr>
                <w:rFonts w:hint="eastAsia" w:ascii="Times New Roman" w:hAnsi="Times New Roman" w:eastAsia="宋体" w:cs="宋体"/>
                <w:color w:val="000000"/>
                <w:kern w:val="0"/>
                <w:sz w:val="20"/>
                <w:szCs w:val="20"/>
                <w:lang w:val="en-US" w:eastAsia="zh-CN" w:bidi="ar"/>
              </w:rPr>
              <w:t>）条提到：数量少、非间歇排放，或不易分别收集的高浓度工艺废水（如啤酒行业中的麦糟滤液、废酵母滤液、一次洗涤水等），在不影响综合废水处理系统进水水质要求的前提下，宜直接混入综合废水集中处理。</w:t>
            </w:r>
          </w:p>
          <w:p w14:paraId="3BA2FD02">
            <w:pPr>
              <w:keepNext w:val="0"/>
              <w:keepLines w:val="0"/>
              <w:widowControl/>
              <w:suppressLineNumbers w:val="0"/>
              <w:ind w:left="0" w:leftChars="0" w:firstLine="0" w:firstLineChars="0"/>
              <w:jc w:val="left"/>
              <w:rPr>
                <w:rFonts w:cs="Times New Roman"/>
                <w:color w:val="000000" w:themeColor="text1"/>
                <w:lang w:val="en-US"/>
                <w14:textFill>
                  <w14:solidFill>
                    <w14:schemeClr w14:val="tx1"/>
                  </w14:solidFill>
                </w14:textFill>
              </w:rPr>
            </w:pPr>
            <w:r>
              <w:rPr>
                <w:rFonts w:hint="eastAsia" w:ascii="宋体" w:hAnsi="宋体" w:eastAsia="宋体" w:cs="宋体"/>
                <w:color w:val="000000"/>
                <w:kern w:val="0"/>
                <w:sz w:val="20"/>
                <w:szCs w:val="20"/>
                <w:lang w:val="en-US" w:eastAsia="zh-CN" w:bidi="ar"/>
              </w:rPr>
              <w:t xml:space="preserve">本项目麦糟滤液，废酵母滤液和麦糟、废酵母一并进入收集管委托处置。因此，根据 </w:t>
            </w:r>
            <w:r>
              <w:rPr>
                <w:rFonts w:hint="default" w:ascii="Times New Roman" w:hAnsi="Times New Roman" w:eastAsia="宋体" w:cs="Times New Roman"/>
                <w:color w:val="000000"/>
                <w:kern w:val="0"/>
                <w:sz w:val="20"/>
                <w:szCs w:val="20"/>
                <w:lang w:val="en-US" w:eastAsia="zh-CN" w:bidi="ar"/>
              </w:rPr>
              <w:t>HJ575-2010</w:t>
            </w:r>
            <w:r>
              <w:rPr>
                <w:rFonts w:hint="eastAsia" w:ascii="宋体" w:hAnsi="宋体" w:eastAsia="宋体" w:cs="宋体"/>
                <w:color w:val="000000"/>
                <w:kern w:val="0"/>
                <w:sz w:val="20"/>
                <w:szCs w:val="20"/>
                <w:lang w:val="en-US" w:eastAsia="zh-CN" w:bidi="ar"/>
              </w:rPr>
              <w:t>，本项目涉及到的高浓度工艺废水仅为容器管路一次洗涤废水，属于</w:t>
            </w:r>
            <w:r>
              <w:rPr>
                <w:rFonts w:hint="eastAsia" w:ascii="Times New Roman" w:hAnsi="Times New Roman" w:eastAsia="宋体" w:cs="宋体"/>
                <w:color w:val="000000"/>
                <w:kern w:val="0"/>
                <w:sz w:val="20"/>
                <w:szCs w:val="20"/>
                <w:lang w:val="en-US" w:eastAsia="zh-CN" w:bidi="ar"/>
              </w:rPr>
              <w:t>不易分别收集的高浓度工艺废水</w:t>
            </w:r>
            <w:r>
              <w:rPr>
                <w:rFonts w:hint="eastAsia" w:cs="宋体"/>
                <w:color w:val="000000"/>
                <w:kern w:val="0"/>
                <w:sz w:val="20"/>
                <w:szCs w:val="20"/>
                <w:lang w:val="en-US" w:eastAsia="zh-CN" w:bidi="ar"/>
              </w:rPr>
              <w:t>。本项目</w:t>
            </w:r>
            <w:r>
              <w:rPr>
                <w:rFonts w:hint="eastAsia" w:ascii="宋体" w:hAnsi="宋体" w:eastAsia="宋体" w:cs="宋体"/>
                <w:color w:val="000000"/>
                <w:kern w:val="0"/>
                <w:sz w:val="20"/>
                <w:szCs w:val="20"/>
                <w:lang w:val="en-US" w:eastAsia="zh-CN" w:bidi="ar"/>
              </w:rPr>
              <w:t>容器管路一次洗涤废水</w:t>
            </w:r>
            <w:r>
              <w:rPr>
                <w:rFonts w:hint="eastAsia" w:ascii="宋体" w:hAnsi="宋体" w:cs="宋体"/>
                <w:color w:val="000000"/>
                <w:kern w:val="0"/>
                <w:sz w:val="20"/>
                <w:szCs w:val="20"/>
                <w:lang w:val="en-US" w:eastAsia="zh-CN" w:bidi="ar"/>
              </w:rPr>
              <w:t>排放量占总排水量占比很小，混合后</w:t>
            </w:r>
            <w:r>
              <w:rPr>
                <w:rFonts w:hint="eastAsia" w:cs="宋体"/>
                <w:color w:val="000000"/>
                <w:kern w:val="0"/>
                <w:sz w:val="20"/>
                <w:szCs w:val="20"/>
                <w:lang w:val="en-US" w:eastAsia="zh-CN" w:bidi="ar"/>
              </w:rPr>
              <w:t>不影响</w:t>
            </w:r>
            <w:r>
              <w:rPr>
                <w:rFonts w:hint="eastAsia" w:ascii="Times New Roman" w:hAnsi="Times New Roman" w:eastAsia="宋体" w:cs="宋体"/>
                <w:color w:val="000000"/>
                <w:kern w:val="0"/>
                <w:sz w:val="20"/>
                <w:szCs w:val="20"/>
                <w:lang w:val="en-US" w:eastAsia="zh-CN" w:bidi="ar"/>
              </w:rPr>
              <w:t>综合废水处理系统进水水质要求</w:t>
            </w:r>
            <w:r>
              <w:rPr>
                <w:rFonts w:hint="eastAsia" w:cs="宋体"/>
                <w:color w:val="000000"/>
                <w:kern w:val="0"/>
                <w:sz w:val="20"/>
                <w:szCs w:val="20"/>
                <w:lang w:val="en-US" w:eastAsia="zh-CN" w:bidi="ar"/>
              </w:rPr>
              <w:t>，故本项目</w:t>
            </w:r>
            <w:r>
              <w:rPr>
                <w:rFonts w:hint="eastAsia" w:ascii="宋体" w:hAnsi="宋体" w:eastAsia="宋体" w:cs="宋体"/>
                <w:color w:val="000000"/>
                <w:kern w:val="0"/>
                <w:sz w:val="20"/>
                <w:szCs w:val="20"/>
                <w:lang w:val="en-US" w:eastAsia="zh-CN" w:bidi="ar"/>
              </w:rPr>
              <w:t>容器管路一次洗涤废水</w:t>
            </w:r>
            <w:r>
              <w:rPr>
                <w:rFonts w:hint="eastAsia" w:ascii="Times New Roman" w:hAnsi="Times New Roman" w:eastAsia="宋体" w:cs="宋体"/>
                <w:color w:val="000000"/>
                <w:kern w:val="0"/>
                <w:sz w:val="20"/>
                <w:szCs w:val="20"/>
                <w:lang w:val="en-US" w:eastAsia="zh-CN" w:bidi="ar"/>
              </w:rPr>
              <w:t>直接混入综合废水集中处理。</w:t>
            </w:r>
          </w:p>
        </w:tc>
        <w:tc>
          <w:tcPr>
            <w:tcW w:w="458" w:type="pct"/>
            <w:vAlign w:val="center"/>
          </w:tcPr>
          <w:p w14:paraId="76D11A81">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66CF7B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77C81C53">
            <w:pPr>
              <w:pStyle w:val="143"/>
              <w:jc w:val="both"/>
              <w:rPr>
                <w:rFonts w:cs="Times New Roman"/>
                <w:bCs/>
                <w:color w:val="000000" w:themeColor="text1"/>
                <w:szCs w:val="28"/>
                <w14:textFill>
                  <w14:solidFill>
                    <w14:schemeClr w14:val="tx1"/>
                  </w14:solidFill>
                </w14:textFill>
              </w:rPr>
            </w:pPr>
          </w:p>
        </w:tc>
        <w:tc>
          <w:tcPr>
            <w:tcW w:w="2040" w:type="pct"/>
            <w:vAlign w:val="center"/>
          </w:tcPr>
          <w:p w14:paraId="52F3A27F">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综合废水宜采取“预处理+（厌氧）好氧”的废水处理工艺技术路线。对于排放标准要求高的区域或需废水回用的企业，废水应进行处理，宜在生物处理后再增加混凝沉淀、过滤或膜分离等处理单元</w:t>
            </w:r>
          </w:p>
        </w:tc>
        <w:tc>
          <w:tcPr>
            <w:tcW w:w="1637" w:type="pct"/>
            <w:vAlign w:val="center"/>
          </w:tcPr>
          <w:p w14:paraId="67ADD633">
            <w:pPr>
              <w:pStyle w:val="143"/>
              <w:jc w:val="both"/>
              <w:rPr>
                <w:rFonts w:cs="Times New Roman"/>
                <w:color w:val="000000" w:themeColor="text1"/>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本项目污水处理工艺为“初沉池+调节池+UASB+A/O+二沉池+污泥池”</w:t>
            </w:r>
          </w:p>
        </w:tc>
        <w:tc>
          <w:tcPr>
            <w:tcW w:w="458" w:type="pct"/>
            <w:vAlign w:val="center"/>
          </w:tcPr>
          <w:p w14:paraId="12FF4A3B">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06D42F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44E0F714">
            <w:pPr>
              <w:pStyle w:val="143"/>
              <w:jc w:val="both"/>
              <w:rPr>
                <w:rFonts w:cs="Times New Roman"/>
                <w:bCs/>
                <w:color w:val="000000" w:themeColor="text1"/>
                <w:szCs w:val="28"/>
                <w14:textFill>
                  <w14:solidFill>
                    <w14:schemeClr w14:val="tx1"/>
                  </w14:solidFill>
                </w14:textFill>
              </w:rPr>
            </w:pPr>
          </w:p>
        </w:tc>
        <w:tc>
          <w:tcPr>
            <w:tcW w:w="2040" w:type="pct"/>
            <w:vAlign w:val="center"/>
          </w:tcPr>
          <w:p w14:paraId="057396BB">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酒糟、麦糟宜作为优质饲料或锅炉燃料</w:t>
            </w:r>
          </w:p>
        </w:tc>
        <w:tc>
          <w:tcPr>
            <w:tcW w:w="1637" w:type="pct"/>
            <w:vAlign w:val="center"/>
          </w:tcPr>
          <w:p w14:paraId="3E6A3CF4">
            <w:pPr>
              <w:pStyle w:val="143"/>
              <w:jc w:val="both"/>
              <w:rPr>
                <w:rFonts w:cs="Times New Roman"/>
                <w:color w:val="000000" w:themeColor="text1"/>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本项目产生的</w:t>
            </w:r>
            <w:r>
              <w:rPr>
                <w:rFonts w:cs="Times New Roman"/>
                <w:color w:val="000000" w:themeColor="text1"/>
                <w:lang w:val="en-US" w:eastAsia="zh-CN"/>
                <w14:textFill>
                  <w14:solidFill>
                    <w14:schemeClr w14:val="tx1"/>
                  </w14:solidFill>
                </w14:textFill>
              </w:rPr>
              <w:t>酒糟及废酵母采用专用容器收集并加盖密封，暂存一般固废间，外售作饲料</w:t>
            </w:r>
          </w:p>
        </w:tc>
        <w:tc>
          <w:tcPr>
            <w:tcW w:w="458" w:type="pct"/>
            <w:vAlign w:val="center"/>
          </w:tcPr>
          <w:p w14:paraId="0CB13F40">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060E81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4E1235CA">
            <w:pPr>
              <w:pStyle w:val="143"/>
              <w:jc w:val="both"/>
              <w:rPr>
                <w:rFonts w:cs="Times New Roman"/>
                <w:bCs/>
                <w:color w:val="000000" w:themeColor="text1"/>
                <w:szCs w:val="28"/>
                <w14:textFill>
                  <w14:solidFill>
                    <w14:schemeClr w14:val="tx1"/>
                  </w14:solidFill>
                </w14:textFill>
              </w:rPr>
            </w:pPr>
          </w:p>
        </w:tc>
        <w:tc>
          <w:tcPr>
            <w:tcW w:w="2040" w:type="pct"/>
            <w:vAlign w:val="center"/>
          </w:tcPr>
          <w:p w14:paraId="2BA670EF">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应对废硅藻土全部收集并妥善处置（填埋等），禁止排入下水道和环境中</w:t>
            </w:r>
          </w:p>
        </w:tc>
        <w:tc>
          <w:tcPr>
            <w:tcW w:w="1637" w:type="pct"/>
            <w:vAlign w:val="center"/>
          </w:tcPr>
          <w:p w14:paraId="2B473F8A">
            <w:pPr>
              <w:pStyle w:val="143"/>
              <w:jc w:val="both"/>
              <w:rPr>
                <w:rFonts w:cs="Times New Roman"/>
                <w:color w:val="000000" w:themeColor="text1"/>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w:t>
            </w:r>
            <w:r>
              <w:rPr>
                <w:rFonts w:hint="eastAsia"/>
                <w:snapToGrid w:val="0"/>
                <w:color w:val="000000" w:themeColor="text1"/>
                <w:lang w:val="en-US" w:eastAsia="zh-CN"/>
                <w14:textFill>
                  <w14:solidFill>
                    <w14:schemeClr w14:val="tx1"/>
                  </w14:solidFill>
                </w14:textFill>
              </w:rPr>
              <w:t>废硅藻土暂存在密闭废土罐中，外售综合利用，定期转运不在厂区长时间贮存</w:t>
            </w:r>
          </w:p>
        </w:tc>
        <w:tc>
          <w:tcPr>
            <w:tcW w:w="458" w:type="pct"/>
            <w:vAlign w:val="center"/>
          </w:tcPr>
          <w:p w14:paraId="675D6C3E">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151F71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055DC0A5">
            <w:pPr>
              <w:pStyle w:val="143"/>
              <w:jc w:val="both"/>
              <w:rPr>
                <w:rFonts w:cs="Times New Roman"/>
                <w:bCs/>
                <w:color w:val="000000" w:themeColor="text1"/>
                <w:szCs w:val="28"/>
                <w14:textFill>
                  <w14:solidFill>
                    <w14:schemeClr w14:val="tx1"/>
                  </w14:solidFill>
                </w14:textFill>
              </w:rPr>
            </w:pPr>
          </w:p>
        </w:tc>
        <w:tc>
          <w:tcPr>
            <w:tcW w:w="2040" w:type="pct"/>
            <w:vAlign w:val="center"/>
          </w:tcPr>
          <w:p w14:paraId="78B43728">
            <w:pPr>
              <w:pStyle w:val="143"/>
              <w:jc w:val="both"/>
              <w:rPr>
                <w:rFonts w:cs="Times New Roman"/>
                <w:color w:val="000000" w:themeColor="text1"/>
                <w:lang w:eastAsia="zh-CN"/>
                <w14:textFill>
                  <w14:solidFill>
                    <w14:schemeClr w14:val="tx1"/>
                  </w14:solidFill>
                </w14:textFill>
              </w:rPr>
            </w:pPr>
            <w:r>
              <w:rPr>
                <w:rFonts w:cs="Times New Roman"/>
                <w:color w:val="000000" w:themeColor="text1"/>
                <w:lang w:val="en-US" w:eastAsia="zh-CN"/>
                <w14:textFill>
                  <w14:solidFill>
                    <w14:schemeClr w14:val="tx1"/>
                  </w14:solidFill>
                </w14:textFill>
              </w:rPr>
              <w:t>废水处理过程中产生的恶臭气体应收集和处理，采用生物、化学或物理等技术进行处理</w:t>
            </w:r>
          </w:p>
        </w:tc>
        <w:tc>
          <w:tcPr>
            <w:tcW w:w="1637" w:type="pct"/>
            <w:vAlign w:val="center"/>
          </w:tcPr>
          <w:p w14:paraId="34B4E2BB">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本项目污水处理站规模</w:t>
            </w:r>
            <w:r>
              <w:rPr>
                <w:rFonts w:hint="eastAsia" w:cs="Times New Roman"/>
                <w:color w:val="000000" w:themeColor="text1"/>
                <w:lang w:val="en-US" w:eastAsia="zh-CN"/>
                <w14:textFill>
                  <w14:solidFill>
                    <w14:schemeClr w14:val="tx1"/>
                  </w14:solidFill>
                </w14:textFill>
              </w:rPr>
              <w:t>恶臭采取活性炭吸附法处理</w:t>
            </w:r>
            <w:r>
              <w:rPr>
                <w:rFonts w:cs="Times New Roman"/>
                <w:color w:val="000000" w:themeColor="text1"/>
                <w:lang w:val="en-US"/>
                <w14:textFill>
                  <w14:solidFill>
                    <w14:schemeClr w14:val="tx1"/>
                  </w14:solidFill>
                </w14:textFill>
              </w:rPr>
              <w:t>，恶臭其他可达标排放</w:t>
            </w:r>
          </w:p>
        </w:tc>
        <w:tc>
          <w:tcPr>
            <w:tcW w:w="458" w:type="pct"/>
            <w:vAlign w:val="center"/>
          </w:tcPr>
          <w:p w14:paraId="1A6AFAAD">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tr w14:paraId="3A58D6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63" w:type="pct"/>
            <w:vMerge w:val="continue"/>
            <w:vAlign w:val="center"/>
          </w:tcPr>
          <w:p w14:paraId="676DE9C6">
            <w:pPr>
              <w:pStyle w:val="143"/>
              <w:jc w:val="both"/>
              <w:rPr>
                <w:rFonts w:cs="Times New Roman"/>
                <w:bCs/>
                <w:color w:val="000000" w:themeColor="text1"/>
                <w:szCs w:val="28"/>
                <w14:textFill>
                  <w14:solidFill>
                    <w14:schemeClr w14:val="tx1"/>
                  </w14:solidFill>
                </w14:textFill>
              </w:rPr>
            </w:pPr>
          </w:p>
        </w:tc>
        <w:tc>
          <w:tcPr>
            <w:tcW w:w="2040" w:type="pct"/>
            <w:vAlign w:val="center"/>
          </w:tcPr>
          <w:p w14:paraId="7EAE2FC9">
            <w:pPr>
              <w:pStyle w:val="143"/>
              <w:jc w:val="both"/>
              <w:rPr>
                <w:rFonts w:cs="Times New Roman"/>
                <w:color w:val="000000" w:themeColor="text1"/>
                <w:lang w:val="en-US" w:eastAsia="zh-CN"/>
                <w14:textFill>
                  <w14:solidFill>
                    <w14:schemeClr w14:val="tx1"/>
                  </w14:solidFill>
                </w14:textFill>
              </w:rPr>
            </w:pPr>
            <w:r>
              <w:rPr>
                <w:rFonts w:cs="Times New Roman"/>
                <w:color w:val="000000" w:themeColor="text1"/>
                <w:lang w:val="en-US" w:eastAsia="zh-CN"/>
                <w14:textFill>
                  <w14:solidFill>
                    <w14:schemeClr w14:val="tx1"/>
                  </w14:solidFill>
                </w14:textFill>
              </w:rPr>
              <w:t>酒糟、滤渣等堆场应防雨、防渗</w:t>
            </w:r>
          </w:p>
        </w:tc>
        <w:tc>
          <w:tcPr>
            <w:tcW w:w="1637" w:type="pct"/>
            <w:vAlign w:val="center"/>
          </w:tcPr>
          <w:p w14:paraId="7B6C3092">
            <w:pPr>
              <w:pStyle w:val="143"/>
              <w:jc w:val="both"/>
              <w:rPr>
                <w:rFonts w:cs="Times New Roman"/>
                <w:color w:val="000000" w:themeColor="text1"/>
                <w:lang w:val="en-US"/>
                <w14:textFill>
                  <w14:solidFill>
                    <w14:schemeClr w14:val="tx1"/>
                  </w14:solidFill>
                </w14:textFill>
              </w:rPr>
            </w:pPr>
            <w:r>
              <w:rPr>
                <w:rFonts w:cs="Times New Roman"/>
                <w:color w:val="000000" w:themeColor="text1"/>
                <w:lang w:val="en-US"/>
                <w14:textFill>
                  <w14:solidFill>
                    <w14:schemeClr w14:val="tx1"/>
                  </w14:solidFill>
                </w14:textFill>
              </w:rPr>
              <w:t>本项目不设酒糟、滤渣等堆场</w:t>
            </w:r>
            <w:r>
              <w:rPr>
                <w:rFonts w:hint="eastAsia" w:cs="Times New Roman"/>
                <w:color w:val="000000" w:themeColor="text1"/>
                <w:lang w:val="en-US"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废</w:t>
            </w:r>
            <w:r>
              <w:rPr>
                <w:snapToGrid w:val="0"/>
                <w:color w:val="000000" w:themeColor="text1"/>
                <w:kern w:val="0"/>
                <w:lang w:val="en-US"/>
                <w14:textFill>
                  <w14:solidFill>
                    <w14:schemeClr w14:val="tx1"/>
                  </w14:solidFill>
                </w14:textFill>
              </w:rPr>
              <w:t>酒糟及废酵母采用专用容器收集并加盖密封</w:t>
            </w:r>
          </w:p>
        </w:tc>
        <w:tc>
          <w:tcPr>
            <w:tcW w:w="458" w:type="pct"/>
            <w:vAlign w:val="center"/>
          </w:tcPr>
          <w:p w14:paraId="0090494E">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符合</w:t>
            </w:r>
          </w:p>
        </w:tc>
      </w:tr>
      <w:bookmarkEnd w:id="20"/>
    </w:tbl>
    <w:p w14:paraId="29B53995">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.4.2.1</w:t>
      </w:r>
      <w:r>
        <w:rPr>
          <w:rFonts w:hint="eastAsia"/>
          <w:color w:val="000000" w:themeColor="text1"/>
          <w:lang w:val="en-US" w:eastAsia="zh-CN"/>
          <w14:textFill>
            <w14:solidFill>
              <w14:schemeClr w14:val="tx1"/>
            </w14:solidFill>
          </w14:textFill>
        </w:rPr>
        <w:t>0</w:t>
      </w:r>
      <w:r>
        <w:rPr>
          <w:rFonts w:hint="eastAsia"/>
          <w:color w:val="000000" w:themeColor="text1"/>
          <w:lang w:val="en-US"/>
          <w14:textFill>
            <w14:solidFill>
              <w14:schemeClr w14:val="tx1"/>
            </w14:solidFill>
          </w14:textFill>
        </w:rPr>
        <w:t>生态环境分区管控</w:t>
      </w:r>
      <w:r>
        <w:rPr>
          <w:rFonts w:hint="eastAsia"/>
          <w:color w:val="000000" w:themeColor="text1"/>
          <w14:textFill>
            <w14:solidFill>
              <w14:schemeClr w14:val="tx1"/>
            </w14:solidFill>
          </w14:textFill>
        </w:rPr>
        <w:t>符合性分析</w:t>
      </w:r>
    </w:p>
    <w:p w14:paraId="3A2F3152">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结合黑龙江省生态环境厅《关于发布2023年生态环境分区管控动态更新的通知》（黑环发〔2024〕1号）</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佳木斯市人民政府关于“三线一单”生态环境分区管控的实施意见</w:t>
      </w:r>
      <w:r>
        <w:rPr>
          <w:rFonts w:hint="eastAsia"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佳政规〔2021〕4号</w:t>
      </w:r>
      <w:r>
        <w:rPr>
          <w:rFonts w:hint="eastAsia"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佳木斯市</w:t>
      </w:r>
      <w:r>
        <w:rPr>
          <w:rFonts w:hint="eastAsia" w:cs="Times New Roman"/>
          <w:color w:val="000000" w:themeColor="text1"/>
          <w14:textFill>
            <w14:solidFill>
              <w14:schemeClr w14:val="tx1"/>
            </w14:solidFill>
          </w14:textFill>
        </w:rPr>
        <w:t>生态环境准入清单(2023年版)》、《黑龙江省&lt;生态环境分区管控管理暂行规定&gt;实施细则》（2024年8月19日），结合生态环境分区管控分析报告（附件</w:t>
      </w:r>
      <w:r>
        <w:rPr>
          <w:rFonts w:cs="Times New Roman"/>
          <w:color w:val="000000" w:themeColor="text1"/>
          <w14:textFill>
            <w14:solidFill>
              <w14:schemeClr w14:val="tx1"/>
            </w14:solidFill>
          </w14:textFill>
        </w:rPr>
        <w:t>4</w:t>
      </w:r>
      <w:r>
        <w:rPr>
          <w:rFonts w:hint="eastAsia" w:cs="Times New Roman"/>
          <w:color w:val="000000" w:themeColor="text1"/>
          <w14:textFill>
            <w14:solidFill>
              <w14:schemeClr w14:val="tx1"/>
            </w14:solidFill>
          </w14:textFill>
        </w:rPr>
        <w:t>），本项目与环境管控单元位置关系见附图2，本项目与生态环境分区管控要求符合性分析如下。</w:t>
      </w:r>
    </w:p>
    <w:p w14:paraId="45149A3D">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1、</w:t>
      </w:r>
      <w:r>
        <w:rPr>
          <w:rFonts w:cs="Times New Roman"/>
          <w:color w:val="000000" w:themeColor="text1"/>
          <w14:textFill>
            <w14:solidFill>
              <w14:schemeClr w14:val="tx1"/>
            </w14:solidFill>
          </w14:textFill>
        </w:rPr>
        <w:t>“</w:t>
      </w:r>
      <w:r>
        <w:rPr>
          <w:rFonts w:hint="eastAsia" w:cs="Times New Roman"/>
          <w:color w:val="000000" w:themeColor="text1"/>
          <w14:textFill>
            <w14:solidFill>
              <w14:schemeClr w14:val="tx1"/>
            </w14:solidFill>
          </w14:textFill>
        </w:rPr>
        <w:t>一图”</w:t>
      </w:r>
    </w:p>
    <w:p w14:paraId="0C723AA3">
      <w:pPr>
        <w:pStyle w:val="143"/>
      </w:pPr>
      <w:r>
        <w:drawing>
          <wp:inline distT="0" distB="0" distL="114300" distR="114300">
            <wp:extent cx="5271135" cy="2694305"/>
            <wp:effectExtent l="0" t="0" r="5715" b="10795"/>
            <wp:docPr id="1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6"/>
                    <pic:cNvPicPr>
                      <a:picLocks noChangeAspect="1"/>
                    </pic:cNvPicPr>
                  </pic:nvPicPr>
                  <pic:blipFill>
                    <a:blip r:embed="rId29"/>
                    <a:stretch>
                      <a:fillRect/>
                    </a:stretch>
                  </pic:blipFill>
                  <pic:spPr>
                    <a:xfrm>
                      <a:off x="0" y="0"/>
                      <a:ext cx="5271135" cy="2694305"/>
                    </a:xfrm>
                    <a:prstGeom prst="rect">
                      <a:avLst/>
                    </a:prstGeom>
                    <a:noFill/>
                    <a:ln>
                      <a:noFill/>
                    </a:ln>
                  </pic:spPr>
                </pic:pic>
              </a:graphicData>
            </a:graphic>
          </wp:inline>
        </w:drawing>
      </w:r>
    </w:p>
    <w:p w14:paraId="594A7477">
      <w:pPr>
        <w:pStyle w:val="206"/>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图</w:t>
      </w:r>
      <w:r>
        <w:rPr>
          <w:rFonts w:hint="eastAsia"/>
          <w:color w:val="000000" w:themeColor="text1"/>
          <w:lang w:val="en-US" w:eastAsia="zh-CN"/>
          <w14:textFill>
            <w14:solidFill>
              <w14:schemeClr w14:val="tx1"/>
            </w14:solidFill>
          </w14:textFill>
        </w:rPr>
        <w:t>1</w:t>
      </w:r>
      <w:r>
        <w:rPr>
          <w:color w:val="000000" w:themeColor="text1"/>
          <w:lang w:val="en-US" w:eastAsia="zh-CN"/>
          <w14:textFill>
            <w14:solidFill>
              <w14:schemeClr w14:val="tx1"/>
            </w14:solidFill>
          </w14:textFill>
        </w:rPr>
        <w:t xml:space="preserve">-4-1 </w:t>
      </w:r>
      <w:r>
        <w:rPr>
          <w:rFonts w:hint="eastAsia"/>
          <w:color w:val="000000" w:themeColor="text1"/>
          <w:lang w:val="en-US" w:eastAsia="zh-CN"/>
          <w14:textFill>
            <w14:solidFill>
              <w14:schemeClr w14:val="tx1"/>
            </w14:solidFill>
          </w14:textFill>
        </w:rPr>
        <w:t>本项目与生态分区管控单元叠加图</w:t>
      </w:r>
    </w:p>
    <w:p w14:paraId="244AB410">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2、“一表”</w:t>
      </w:r>
    </w:p>
    <w:p w14:paraId="23337F40">
      <w:pPr>
        <w:pStyle w:val="206"/>
      </w:pPr>
      <w:r>
        <w:rPr>
          <w:rFonts w:hint="eastAsia"/>
          <w:lang w:val="en-US"/>
        </w:rPr>
        <w:t>表1</w:t>
      </w:r>
      <w:r>
        <w:rPr>
          <w:lang w:val="en-US"/>
        </w:rPr>
        <w:t xml:space="preserve">-4-3 </w:t>
      </w:r>
      <w:r>
        <w:rPr>
          <w:rFonts w:hint="eastAsia"/>
          <w:lang w:val="en-US"/>
        </w:rPr>
        <w:t>本项目与生态环境分区管控要求符合性分析</w:t>
      </w:r>
      <w:r>
        <w:rPr>
          <w:rFonts w:hint="eastAsia"/>
          <w:lang w:val="en-US" w:eastAsia="zh-CN"/>
        </w:rPr>
        <w:t>表</w:t>
      </w:r>
    </w:p>
    <w:tbl>
      <w:tblPr>
        <w:tblStyle w:val="418"/>
        <w:tblW w:w="4871"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0"/>
        <w:gridCol w:w="4007"/>
        <w:gridCol w:w="3185"/>
      </w:tblGrid>
      <w:tr w14:paraId="4D3457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3"/>
            <w:vAlign w:val="center"/>
          </w:tcPr>
          <w:p w14:paraId="44535D70">
            <w:pPr>
              <w:pStyle w:val="143"/>
              <w:spacing w:before="156" w:after="156"/>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一、生态保护红线</w:t>
            </w:r>
          </w:p>
        </w:tc>
      </w:tr>
      <w:tr w14:paraId="567AC7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6C142DFC">
            <w:pPr>
              <w:pStyle w:val="143"/>
              <w:spacing w:before="156" w:after="156"/>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管控单元类别</w:t>
            </w:r>
          </w:p>
        </w:tc>
        <w:tc>
          <w:tcPr>
            <w:tcW w:w="4443" w:type="pct"/>
            <w:gridSpan w:val="2"/>
            <w:vAlign w:val="center"/>
          </w:tcPr>
          <w:p w14:paraId="5D3507D8">
            <w:pPr>
              <w:pStyle w:val="143"/>
              <w:spacing w:before="156" w:after="156"/>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重点</w:t>
            </w:r>
            <w:r>
              <w:rPr>
                <w:snapToGrid w:val="0"/>
                <w:color w:val="000000" w:themeColor="text1"/>
                <w:kern w:val="0"/>
                <w14:textFill>
                  <w14:solidFill>
                    <w14:schemeClr w14:val="tx1"/>
                  </w14:solidFill>
                </w14:textFill>
              </w:rPr>
              <w:t>管控</w:t>
            </w:r>
            <w:r>
              <w:rPr>
                <w:rFonts w:hint="eastAsia"/>
                <w:snapToGrid w:val="0"/>
                <w:color w:val="000000" w:themeColor="text1"/>
                <w:kern w:val="0"/>
                <w:lang w:eastAsia="zh-CN"/>
                <w14:textFill>
                  <w14:solidFill>
                    <w14:schemeClr w14:val="tx1"/>
                  </w14:solidFill>
                </w14:textFill>
              </w:rPr>
              <w:t>单元</w:t>
            </w:r>
          </w:p>
        </w:tc>
      </w:tr>
      <w:tr w14:paraId="55F74F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3F447821">
            <w:pPr>
              <w:pStyle w:val="143"/>
              <w:spacing w:before="156" w:after="156"/>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管控</w:t>
            </w:r>
            <w:r>
              <w:rPr>
                <w:rFonts w:hint="eastAsia"/>
                <w:snapToGrid w:val="0"/>
                <w:color w:val="000000" w:themeColor="text1"/>
                <w:kern w:val="0"/>
                <w:lang w:eastAsia="zh-CN"/>
                <w14:textFill>
                  <w14:solidFill>
                    <w14:schemeClr w14:val="tx1"/>
                  </w14:solidFill>
                </w14:textFill>
              </w:rPr>
              <w:t>单元分类</w:t>
            </w:r>
          </w:p>
        </w:tc>
        <w:tc>
          <w:tcPr>
            <w:tcW w:w="4443" w:type="pct"/>
            <w:gridSpan w:val="2"/>
            <w:vAlign w:val="center"/>
          </w:tcPr>
          <w:p w14:paraId="40C162C7">
            <w:pPr>
              <w:pStyle w:val="143"/>
              <w:spacing w:before="156" w:after="156"/>
              <w:jc w:val="both"/>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生态空间包括生态保护红线和一般生态空间，生态保护红线及一般生态空间均属于优先保护</w:t>
            </w:r>
            <w:r>
              <w:rPr>
                <w:rFonts w:hint="eastAsia"/>
                <w:snapToGrid w:val="0"/>
                <w:color w:val="000000" w:themeColor="text1"/>
                <w:kern w:val="0"/>
                <w:lang w:eastAsia="zh-CN"/>
                <w14:textFill>
                  <w14:solidFill>
                    <w14:schemeClr w14:val="tx1"/>
                  </w14:solidFill>
                </w14:textFill>
              </w:rPr>
              <w:t>单元</w:t>
            </w:r>
            <w:r>
              <w:rPr>
                <w:rFonts w:hint="eastAsia"/>
                <w:snapToGrid w:val="0"/>
                <w:color w:val="000000" w:themeColor="text1"/>
                <w:kern w:val="0"/>
                <w14:textFill>
                  <w14:solidFill>
                    <w14:schemeClr w14:val="tx1"/>
                  </w14:solidFill>
                </w14:textFill>
              </w:rPr>
              <w:t>，其余区域属于</w:t>
            </w:r>
            <w:r>
              <w:rPr>
                <w:rFonts w:hint="eastAsia"/>
                <w:snapToGrid w:val="0"/>
                <w:color w:val="000000" w:themeColor="text1"/>
                <w:kern w:val="0"/>
                <w:lang w:eastAsia="zh-CN"/>
                <w14:textFill>
                  <w14:solidFill>
                    <w14:schemeClr w14:val="tx1"/>
                  </w14:solidFill>
                </w14:textFill>
              </w:rPr>
              <w:t>重点管控单元、</w:t>
            </w:r>
            <w:r>
              <w:rPr>
                <w:rFonts w:hint="eastAsia"/>
                <w:snapToGrid w:val="0"/>
                <w:color w:val="000000" w:themeColor="text1"/>
                <w:kern w:val="0"/>
                <w14:textFill>
                  <w14:solidFill>
                    <w14:schemeClr w14:val="tx1"/>
                  </w14:solidFill>
                </w14:textFill>
              </w:rPr>
              <w:t>一般管控</w:t>
            </w:r>
            <w:r>
              <w:rPr>
                <w:rFonts w:hint="eastAsia"/>
                <w:snapToGrid w:val="0"/>
                <w:color w:val="000000" w:themeColor="text1"/>
                <w:kern w:val="0"/>
                <w:lang w:eastAsia="zh-CN"/>
                <w14:textFill>
                  <w14:solidFill>
                    <w14:schemeClr w14:val="tx1"/>
                  </w14:solidFill>
                </w14:textFill>
              </w:rPr>
              <w:t>单元</w:t>
            </w:r>
            <w:r>
              <w:rPr>
                <w:rFonts w:hint="eastAsia"/>
                <w:snapToGrid w:val="0"/>
                <w:color w:val="000000" w:themeColor="text1"/>
                <w:kern w:val="0"/>
                <w14:textFill>
                  <w14:solidFill>
                    <w14:schemeClr w14:val="tx1"/>
                  </w14:solidFill>
                </w14:textFill>
              </w:rPr>
              <w:t>。</w:t>
            </w:r>
          </w:p>
        </w:tc>
      </w:tr>
      <w:tr w14:paraId="351553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0BB1A7DC">
            <w:pPr>
              <w:pStyle w:val="143"/>
              <w:spacing w:before="156" w:after="156"/>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符合性分析</w:t>
            </w:r>
          </w:p>
        </w:tc>
        <w:tc>
          <w:tcPr>
            <w:tcW w:w="4443" w:type="pct"/>
            <w:gridSpan w:val="2"/>
            <w:vAlign w:val="center"/>
          </w:tcPr>
          <w:p w14:paraId="39816BE7">
            <w:pPr>
              <w:pStyle w:val="143"/>
              <w:spacing w:before="156" w:after="156"/>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w:t>
            </w:r>
            <w:r>
              <w:rPr>
                <w:rFonts w:hint="eastAsia"/>
                <w:snapToGrid w:val="0"/>
                <w:color w:val="000000" w:themeColor="text1"/>
                <w:kern w:val="0"/>
                <w14:textFill>
                  <w14:solidFill>
                    <w14:schemeClr w14:val="tx1"/>
                  </w14:solidFill>
                </w14:textFill>
              </w:rPr>
              <w:t>项目</w:t>
            </w:r>
            <w:r>
              <w:rPr>
                <w:snapToGrid w:val="0"/>
                <w:color w:val="000000" w:themeColor="text1"/>
                <w:kern w:val="0"/>
                <w14:textFill>
                  <w14:solidFill>
                    <w14:schemeClr w14:val="tx1"/>
                  </w14:solidFill>
                </w14:textFill>
              </w:rPr>
              <w:t>位于</w:t>
            </w:r>
            <w:r>
              <w:rPr>
                <w:rFonts w:hint="eastAsia"/>
                <w:snapToGrid w:val="0"/>
                <w:color w:val="000000" w:themeColor="text1"/>
                <w:kern w:val="0"/>
                <w:lang w:eastAsia="zh-CN"/>
                <w14:textFill>
                  <w14:solidFill>
                    <w14:schemeClr w14:val="tx1"/>
                  </w14:solidFill>
                </w14:textFill>
              </w:rPr>
              <w:t>黑龙江省佳木斯市桦南县经济开发区兴企路东园兴街北</w:t>
            </w:r>
            <w:r>
              <w:rPr>
                <w:snapToGrid w:val="0"/>
                <w:color w:val="000000" w:themeColor="text1"/>
                <w:kern w:val="0"/>
                <w14:textFill>
                  <w14:solidFill>
                    <w14:schemeClr w14:val="tx1"/>
                  </w14:solidFill>
                </w14:textFill>
              </w:rPr>
              <w:t>，根据</w:t>
            </w:r>
            <w:r>
              <w:rPr>
                <w:rFonts w:hint="eastAsia"/>
                <w:snapToGrid w:val="0"/>
                <w:color w:val="000000" w:themeColor="text1"/>
                <w:kern w:val="0"/>
                <w:lang w:eastAsia="zh-CN"/>
                <w14:textFill>
                  <w14:solidFill>
                    <w14:schemeClr w14:val="tx1"/>
                  </w14:solidFill>
                </w14:textFill>
              </w:rPr>
              <w:t>佳木斯市生态空间分布图</w:t>
            </w:r>
            <w:r>
              <w:rPr>
                <w:snapToGrid w:val="0"/>
                <w:color w:val="000000" w:themeColor="text1"/>
                <w:kern w:val="0"/>
                <w14:textFill>
                  <w14:solidFill>
                    <w14:schemeClr w14:val="tx1"/>
                  </w14:solidFill>
                </w14:textFill>
              </w:rPr>
              <w:t>，</w:t>
            </w:r>
            <w:r>
              <w:rPr>
                <w:rFonts w:hint="eastAsia"/>
                <w:snapToGrid w:val="0"/>
                <w:color w:val="000000" w:themeColor="text1"/>
                <w:kern w:val="0"/>
                <w:lang w:val="en-US"/>
                <w14:textFill>
                  <w14:solidFill>
                    <w14:schemeClr w14:val="tx1"/>
                  </w14:solidFill>
                </w14:textFill>
              </w:rPr>
              <w:t>项目占用</w:t>
            </w:r>
            <w:r>
              <w:rPr>
                <w:rFonts w:hint="eastAsia"/>
                <w:snapToGrid w:val="0"/>
                <w:color w:val="000000" w:themeColor="text1"/>
                <w:kern w:val="0"/>
                <w:lang w:val="en-US" w:eastAsia="zh-CN"/>
                <w14:textFill>
                  <w14:solidFill>
                    <w14:schemeClr w14:val="tx1"/>
                  </w14:solidFill>
                </w14:textFill>
              </w:rPr>
              <w:t>位置</w:t>
            </w:r>
            <w:r>
              <w:rPr>
                <w:snapToGrid w:val="0"/>
                <w:color w:val="000000" w:themeColor="text1"/>
                <w:kern w:val="0"/>
                <w14:textFill>
                  <w14:solidFill>
                    <w14:schemeClr w14:val="tx1"/>
                  </w14:solidFill>
                </w14:textFill>
              </w:rPr>
              <w:t>不属于生态保护红线</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自然保护区</w:t>
            </w:r>
            <w:r>
              <w:rPr>
                <w:rFonts w:hint="eastAsia"/>
                <w:snapToGrid w:val="0"/>
                <w:color w:val="000000" w:themeColor="text1"/>
                <w:kern w:val="0"/>
                <w:lang w:eastAsia="zh-CN"/>
                <w14:textFill>
                  <w14:solidFill>
                    <w14:schemeClr w14:val="tx1"/>
                  </w14:solidFill>
                </w14:textFill>
              </w:rPr>
              <w:t>、国家公园</w:t>
            </w:r>
            <w:r>
              <w:rPr>
                <w:snapToGrid w:val="0"/>
                <w:color w:val="000000" w:themeColor="text1"/>
                <w:kern w:val="0"/>
                <w14:textFill>
                  <w14:solidFill>
                    <w14:schemeClr w14:val="tx1"/>
                  </w14:solidFill>
                </w14:textFill>
              </w:rPr>
              <w:t>、饮用水源保护区等生态保护目标，</w:t>
            </w:r>
            <w:r>
              <w:rPr>
                <w:rFonts w:hint="eastAsia"/>
                <w:snapToGrid w:val="0"/>
                <w:color w:val="000000" w:themeColor="text1"/>
                <w:kern w:val="0"/>
                <w:lang w:eastAsia="zh-CN"/>
                <w14:textFill>
                  <w14:solidFill>
                    <w14:schemeClr w14:val="tx1"/>
                  </w14:solidFill>
                </w14:textFill>
              </w:rPr>
              <w:t>项目位于重点</w:t>
            </w:r>
            <w:r>
              <w:rPr>
                <w:snapToGrid w:val="0"/>
                <w:color w:val="000000" w:themeColor="text1"/>
                <w:kern w:val="0"/>
                <w14:textFill>
                  <w14:solidFill>
                    <w14:schemeClr w14:val="tx1"/>
                  </w14:solidFill>
                </w14:textFill>
              </w:rPr>
              <w:t>管控</w:t>
            </w:r>
            <w:r>
              <w:rPr>
                <w:rFonts w:hint="eastAsia"/>
                <w:snapToGrid w:val="0"/>
                <w:color w:val="000000" w:themeColor="text1"/>
                <w:kern w:val="0"/>
                <w:lang w:eastAsia="zh-CN"/>
                <w14:textFill>
                  <w14:solidFill>
                    <w14:schemeClr w14:val="tx1"/>
                  </w14:solidFill>
                </w14:textFill>
              </w:rPr>
              <w:t>单元</w:t>
            </w:r>
            <w:r>
              <w:rPr>
                <w:snapToGrid w:val="0"/>
                <w:color w:val="000000" w:themeColor="text1"/>
                <w:kern w:val="0"/>
                <w14:textFill>
                  <w14:solidFill>
                    <w14:schemeClr w14:val="tx1"/>
                  </w14:solidFill>
                </w14:textFill>
              </w:rPr>
              <w:t>。因此本项目符合生态保护红线要求。</w:t>
            </w:r>
          </w:p>
        </w:tc>
      </w:tr>
      <w:tr w14:paraId="2DFBE2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3"/>
            <w:vAlign w:val="center"/>
          </w:tcPr>
          <w:p w14:paraId="5EFD142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二、环境质量底线</w:t>
            </w:r>
          </w:p>
        </w:tc>
      </w:tr>
      <w:tr w14:paraId="375507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3"/>
            <w:vAlign w:val="center"/>
          </w:tcPr>
          <w:p w14:paraId="332F441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大气环境</w:t>
            </w:r>
          </w:p>
        </w:tc>
      </w:tr>
      <w:tr w14:paraId="003A55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473089E8">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管控要求</w:t>
            </w:r>
          </w:p>
        </w:tc>
        <w:tc>
          <w:tcPr>
            <w:tcW w:w="4443" w:type="pct"/>
            <w:gridSpan w:val="2"/>
            <w:vAlign w:val="center"/>
          </w:tcPr>
          <w:p w14:paraId="2C277182">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环境质量底线是国家和地方设置的大气、水和土壤环境质量目标，也是改善环境质量的基准线。有关规划环评应落实区域环境质量目标管理要求，提出区域或者行业污染物排放总量管控建议以及优化区域或行业发展布局、结构和规模的对策措施。项目环评应对照区域环境质量目标，深入分析预测项目建设对环境质量的影响，强化污染防治措施和污染物排放控制要求。</w:t>
            </w:r>
          </w:p>
        </w:tc>
      </w:tr>
      <w:tr w14:paraId="464552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23F00E45">
            <w:pPr>
              <w:pStyle w:val="143"/>
              <w:rPr>
                <w:snapToGrid w:val="0"/>
                <w:color w:val="FF0000"/>
                <w:kern w:val="0"/>
                <w:lang w:eastAsia="zh-CN"/>
              </w:rPr>
            </w:pPr>
            <w:r>
              <w:rPr>
                <w:rFonts w:hint="eastAsia"/>
                <w:snapToGrid w:val="0"/>
                <w:color w:val="000000" w:themeColor="text1"/>
                <w:kern w:val="0"/>
                <w:lang w:eastAsia="zh-CN"/>
                <w14:textFill>
                  <w14:solidFill>
                    <w14:schemeClr w14:val="tx1"/>
                  </w14:solidFill>
                </w14:textFill>
              </w:rPr>
              <w:t>符合性分析</w:t>
            </w:r>
          </w:p>
        </w:tc>
        <w:tc>
          <w:tcPr>
            <w:tcW w:w="4443" w:type="pct"/>
            <w:gridSpan w:val="2"/>
            <w:vAlign w:val="center"/>
          </w:tcPr>
          <w:p w14:paraId="61F3A3E8">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根据</w:t>
            </w:r>
            <w:r>
              <w:rPr>
                <w:rFonts w:hint="eastAsia"/>
                <w:snapToGrid w:val="0"/>
                <w:color w:val="000000" w:themeColor="text1"/>
                <w:kern w:val="0"/>
                <w:lang w:val="en-US"/>
                <w14:textFill>
                  <w14:solidFill>
                    <w14:schemeClr w14:val="tx1"/>
                  </w14:solidFill>
                </w14:textFill>
              </w:rPr>
              <w:t>《</w:t>
            </w:r>
            <w:r>
              <w:rPr>
                <w:rFonts w:hint="eastAsia" w:ascii="Times New Roman" w:hAnsi="Times New Roman" w:eastAsia="宋体"/>
                <w:snapToGrid w:val="0"/>
                <w:color w:val="000000" w:themeColor="text1"/>
                <w:highlight w:val="none"/>
                <w14:textFill>
                  <w14:solidFill>
                    <w14:schemeClr w14:val="tx1"/>
                  </w14:solidFill>
                </w14:textFill>
              </w:rPr>
              <w:t>佳木斯市生态环境质量简报（2024年）</w:t>
            </w:r>
            <w:r>
              <w:rPr>
                <w:rFonts w:hint="eastAsia"/>
                <w:snapToGrid w:val="0"/>
                <w:color w:val="000000" w:themeColor="text1"/>
                <w:kern w:val="0"/>
                <w:lang w:val="en-US"/>
                <w14:textFill>
                  <w14:solidFill>
                    <w14:schemeClr w14:val="tx1"/>
                  </w14:solidFill>
                </w14:textFill>
              </w:rPr>
              <w:t>》中的监测数据，</w:t>
            </w:r>
            <w:r>
              <w:rPr>
                <w:rFonts w:hint="eastAsia"/>
                <w:snapToGrid w:val="0"/>
                <w:color w:val="000000" w:themeColor="text1"/>
                <w:kern w:val="0"/>
                <w:lang w:val="en-US" w:eastAsia="zh-CN"/>
                <w14:textFill>
                  <w14:solidFill>
                    <w14:schemeClr w14:val="tx1"/>
                  </w14:solidFill>
                </w14:textFill>
              </w:rPr>
              <w:t>佳木斯市</w:t>
            </w:r>
            <w:r>
              <w:rPr>
                <w:rFonts w:hint="eastAsia"/>
                <w:snapToGrid w:val="0"/>
                <w:color w:val="000000" w:themeColor="text1"/>
                <w:kern w:val="0"/>
                <w:lang w:val="en-US"/>
                <w14:textFill>
                  <w14:solidFill>
                    <w14:schemeClr w14:val="tx1"/>
                  </w14:solidFill>
                </w14:textFill>
              </w:rPr>
              <w:t>202</w:t>
            </w:r>
            <w:r>
              <w:rPr>
                <w:snapToGrid w:val="0"/>
                <w:color w:val="000000" w:themeColor="text1"/>
                <w:kern w:val="0"/>
                <w:lang w:val="en-US"/>
                <w14:textFill>
                  <w14:solidFill>
                    <w14:schemeClr w14:val="tx1"/>
                  </w14:solidFill>
                </w14:textFill>
              </w:rPr>
              <w:t>4</w:t>
            </w:r>
            <w:r>
              <w:rPr>
                <w:rFonts w:hint="eastAsia"/>
                <w:snapToGrid w:val="0"/>
                <w:color w:val="000000" w:themeColor="text1"/>
                <w:kern w:val="0"/>
                <w:lang w:val="en-US"/>
                <w14:textFill>
                  <w14:solidFill>
                    <w14:schemeClr w14:val="tx1"/>
                  </w14:solidFill>
                </w14:textFill>
              </w:rPr>
              <w:t>年基本污染物（SO</w:t>
            </w:r>
            <w:r>
              <w:rPr>
                <w:rFonts w:hint="eastAsia"/>
                <w:snapToGrid w:val="0"/>
                <w:color w:val="000000" w:themeColor="text1"/>
                <w:kern w:val="0"/>
                <w:vertAlign w:val="subscript"/>
                <w:lang w:val="en-US"/>
                <w14:textFill>
                  <w14:solidFill>
                    <w14:schemeClr w14:val="tx1"/>
                  </w14:solidFill>
                </w14:textFill>
              </w:rPr>
              <w:t>2</w:t>
            </w:r>
            <w:r>
              <w:rPr>
                <w:rFonts w:hint="eastAsia"/>
                <w:snapToGrid w:val="0"/>
                <w:color w:val="000000" w:themeColor="text1"/>
                <w:kern w:val="0"/>
                <w:lang w:val="en-US"/>
                <w14:textFill>
                  <w14:solidFill>
                    <w14:schemeClr w14:val="tx1"/>
                  </w14:solidFill>
                </w14:textFill>
              </w:rPr>
              <w:t>、NO</w:t>
            </w:r>
            <w:r>
              <w:rPr>
                <w:rFonts w:hint="eastAsia"/>
                <w:snapToGrid w:val="0"/>
                <w:color w:val="000000" w:themeColor="text1"/>
                <w:kern w:val="0"/>
                <w:vertAlign w:val="subscript"/>
                <w:lang w:val="en-US"/>
                <w14:textFill>
                  <w14:solidFill>
                    <w14:schemeClr w14:val="tx1"/>
                  </w14:solidFill>
                </w14:textFill>
              </w:rPr>
              <w:t>2</w:t>
            </w:r>
            <w:r>
              <w:rPr>
                <w:rFonts w:hint="eastAsia"/>
                <w:snapToGrid w:val="0"/>
                <w:color w:val="000000" w:themeColor="text1"/>
                <w:kern w:val="0"/>
                <w:lang w:val="en-US"/>
                <w14:textFill>
                  <w14:solidFill>
                    <w14:schemeClr w14:val="tx1"/>
                  </w14:solidFill>
                </w14:textFill>
              </w:rPr>
              <w:t>、PM</w:t>
            </w:r>
            <w:r>
              <w:rPr>
                <w:rFonts w:hint="eastAsia"/>
                <w:snapToGrid w:val="0"/>
                <w:color w:val="000000" w:themeColor="text1"/>
                <w:kern w:val="0"/>
                <w:vertAlign w:val="subscript"/>
                <w:lang w:val="en-US"/>
                <w14:textFill>
                  <w14:solidFill>
                    <w14:schemeClr w14:val="tx1"/>
                  </w14:solidFill>
                </w14:textFill>
              </w:rPr>
              <w:t>10</w:t>
            </w:r>
            <w:r>
              <w:rPr>
                <w:rFonts w:hint="eastAsia"/>
                <w:snapToGrid w:val="0"/>
                <w:color w:val="000000" w:themeColor="text1"/>
                <w:kern w:val="0"/>
                <w:lang w:val="en-US"/>
                <w14:textFill>
                  <w14:solidFill>
                    <w14:schemeClr w14:val="tx1"/>
                  </w14:solidFill>
                </w14:textFill>
              </w:rPr>
              <w:t>、PM</w:t>
            </w:r>
            <w:r>
              <w:rPr>
                <w:rFonts w:hint="eastAsia"/>
                <w:snapToGrid w:val="0"/>
                <w:color w:val="000000" w:themeColor="text1"/>
                <w:kern w:val="0"/>
                <w:vertAlign w:val="subscript"/>
                <w:lang w:val="en-US"/>
                <w14:textFill>
                  <w14:solidFill>
                    <w14:schemeClr w14:val="tx1"/>
                  </w14:solidFill>
                </w14:textFill>
              </w:rPr>
              <w:t>2.5</w:t>
            </w:r>
            <w:r>
              <w:rPr>
                <w:rFonts w:hint="eastAsia"/>
                <w:snapToGrid w:val="0"/>
                <w:color w:val="000000" w:themeColor="text1"/>
                <w:kern w:val="0"/>
                <w:lang w:val="en-US"/>
                <w14:textFill>
                  <w14:solidFill>
                    <w14:schemeClr w14:val="tx1"/>
                  </w14:solidFill>
                </w14:textFill>
              </w:rPr>
              <w:t>、O</w:t>
            </w:r>
            <w:r>
              <w:rPr>
                <w:rFonts w:hint="eastAsia"/>
                <w:snapToGrid w:val="0"/>
                <w:color w:val="000000" w:themeColor="text1"/>
                <w:kern w:val="0"/>
                <w:vertAlign w:val="subscript"/>
                <w:lang w:val="en-US"/>
                <w14:textFill>
                  <w14:solidFill>
                    <w14:schemeClr w14:val="tx1"/>
                  </w14:solidFill>
                </w14:textFill>
              </w:rPr>
              <w:t>3</w:t>
            </w:r>
            <w:r>
              <w:rPr>
                <w:rFonts w:hint="eastAsia"/>
                <w:snapToGrid w:val="0"/>
                <w:color w:val="000000" w:themeColor="text1"/>
                <w:kern w:val="0"/>
                <w:lang w:val="en-US"/>
                <w14:textFill>
                  <w14:solidFill>
                    <w14:schemeClr w14:val="tx1"/>
                  </w14:solidFill>
                </w14:textFill>
              </w:rPr>
              <w:t>、CO）浓度</w:t>
            </w:r>
            <w:r>
              <w:rPr>
                <w:rFonts w:hint="eastAsia"/>
                <w:snapToGrid w:val="0"/>
                <w:color w:val="000000" w:themeColor="text1"/>
                <w:kern w:val="0"/>
                <w:lang w:val="en-US" w:eastAsia="zh-CN"/>
                <w14:textFill>
                  <w14:solidFill>
                    <w14:schemeClr w14:val="tx1"/>
                  </w14:solidFill>
                </w14:textFill>
              </w:rPr>
              <w:t>均</w:t>
            </w:r>
            <w:r>
              <w:rPr>
                <w:rFonts w:hint="eastAsia"/>
                <w:snapToGrid w:val="0"/>
                <w:color w:val="000000" w:themeColor="text1"/>
                <w:kern w:val="0"/>
                <w:lang w:val="en-US"/>
                <w14:textFill>
                  <w14:solidFill>
                    <w14:schemeClr w14:val="tx1"/>
                  </w14:solidFill>
                </w14:textFill>
              </w:rPr>
              <w:t>满足《环境空气质量标准》（</w:t>
            </w:r>
            <w:r>
              <w:rPr>
                <w:rFonts w:hint="eastAsia"/>
                <w:snapToGrid w:val="0"/>
                <w:color w:val="000000" w:themeColor="text1"/>
                <w:kern w:val="0"/>
                <w:lang w:val="en-US" w:eastAsia="zh-CN"/>
                <w14:textFill>
                  <w14:solidFill>
                    <w14:schemeClr w14:val="tx1"/>
                  </w14:solidFill>
                </w14:textFill>
              </w:rPr>
              <w:t>GB3095-2026</w:t>
            </w: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r>
              <w:rPr>
                <w:rFonts w:hint="eastAsia"/>
                <w:snapToGrid w:val="0"/>
                <w:color w:val="000000" w:themeColor="text1"/>
                <w:kern w:val="0"/>
                <w:lang w:val="en-US"/>
                <w14:textFill>
                  <w14:solidFill>
                    <w14:schemeClr w14:val="tx1"/>
                  </w14:solidFill>
                </w14:textFill>
              </w:rPr>
              <w:t>要求。本项目所在区域为达标区。</w:t>
            </w:r>
            <w:r>
              <w:rPr>
                <w:snapToGrid w:val="0"/>
                <w:color w:val="000000" w:themeColor="text1"/>
                <w:kern w:val="0"/>
                <w:lang w:val="en-US"/>
                <w14:textFill>
                  <w14:solidFill>
                    <w14:schemeClr w14:val="tx1"/>
                  </w14:solidFill>
                </w14:textFill>
              </w:rPr>
              <w:t>根据</w:t>
            </w:r>
            <w:r>
              <w:rPr>
                <w:rFonts w:hint="eastAsia"/>
                <w:snapToGrid w:val="0"/>
                <w:color w:val="000000" w:themeColor="text1"/>
                <w:kern w:val="0"/>
                <w:lang w:val="en-US"/>
                <w14:textFill>
                  <w14:solidFill>
                    <w14:schemeClr w14:val="tx1"/>
                  </w14:solidFill>
                </w14:textFill>
              </w:rPr>
              <w:t>其他</w:t>
            </w:r>
            <w:r>
              <w:rPr>
                <w:snapToGrid w:val="0"/>
                <w:color w:val="000000" w:themeColor="text1"/>
                <w:kern w:val="0"/>
                <w:lang w:val="en-US"/>
                <w14:textFill>
                  <w14:solidFill>
                    <w14:schemeClr w14:val="tx1"/>
                  </w14:solidFill>
                </w14:textFill>
              </w:rPr>
              <w:t>污染物现状评价结果可知，各</w:t>
            </w:r>
            <w:r>
              <w:rPr>
                <w:rFonts w:hint="eastAsia"/>
                <w:snapToGrid w:val="0"/>
                <w:color w:val="000000" w:themeColor="text1"/>
                <w:kern w:val="0"/>
                <w:lang w:val="en-US"/>
                <w14:textFill>
                  <w14:solidFill>
                    <w14:schemeClr w14:val="tx1"/>
                  </w14:solidFill>
                </w14:textFill>
              </w:rPr>
              <w:t>现状监测点</w:t>
            </w:r>
            <w:r>
              <w:rPr>
                <w:snapToGrid w:val="0"/>
                <w:color w:val="000000" w:themeColor="text1"/>
                <w:kern w:val="0"/>
                <w:lang w:val="en-US"/>
                <w14:textFill>
                  <w14:solidFill>
                    <w14:schemeClr w14:val="tx1"/>
                  </w14:solidFill>
                </w14:textFill>
              </w:rPr>
              <w:t>NH</w:t>
            </w:r>
            <w:r>
              <w:rPr>
                <w:snapToGrid w:val="0"/>
                <w:color w:val="000000" w:themeColor="text1"/>
                <w:kern w:val="0"/>
                <w:vertAlign w:val="subscript"/>
                <w:lang w:val="en-US"/>
                <w14:textFill>
                  <w14:solidFill>
                    <w14:schemeClr w14:val="tx1"/>
                  </w14:solidFill>
                </w14:textFill>
              </w:rPr>
              <w:t>3</w:t>
            </w:r>
            <w:r>
              <w:rPr>
                <w:snapToGrid w:val="0"/>
                <w:color w:val="000000" w:themeColor="text1"/>
                <w:kern w:val="0"/>
                <w:lang w:val="en-US"/>
                <w14:textFill>
                  <w14:solidFill>
                    <w14:schemeClr w14:val="tx1"/>
                  </w14:solidFill>
                </w14:textFill>
              </w:rPr>
              <w:t>、H</w:t>
            </w:r>
            <w:r>
              <w:rPr>
                <w:snapToGrid w:val="0"/>
                <w:color w:val="000000" w:themeColor="text1"/>
                <w:kern w:val="0"/>
                <w:vertAlign w:val="subscript"/>
                <w:lang w:val="en-US"/>
                <w14:textFill>
                  <w14:solidFill>
                    <w14:schemeClr w14:val="tx1"/>
                  </w14:solidFill>
                </w14:textFill>
              </w:rPr>
              <w:t>2</w:t>
            </w:r>
            <w:r>
              <w:rPr>
                <w:snapToGrid w:val="0"/>
                <w:color w:val="000000" w:themeColor="text1"/>
                <w:kern w:val="0"/>
                <w:lang w:val="en-US"/>
                <w14:textFill>
                  <w14:solidFill>
                    <w14:schemeClr w14:val="tx1"/>
                  </w14:solidFill>
                </w14:textFill>
              </w:rPr>
              <w:t>S</w:t>
            </w:r>
            <w:r>
              <w:rPr>
                <w:rFonts w:hint="eastAsia"/>
                <w:snapToGrid w:val="0"/>
                <w:color w:val="000000" w:themeColor="text1"/>
                <w:kern w:val="0"/>
                <w:lang w:val="en-US" w:eastAsia="zh-CN"/>
                <w14:textFill>
                  <w14:solidFill>
                    <w14:schemeClr w14:val="tx1"/>
                  </w14:solidFill>
                </w14:textFill>
              </w:rPr>
              <w:t xml:space="preserve"> </w:t>
            </w:r>
            <w:r>
              <w:rPr>
                <w:rFonts w:hint="eastAsia"/>
                <w:snapToGrid w:val="0"/>
                <w:color w:val="000000" w:themeColor="text1"/>
                <w:kern w:val="0"/>
                <w:lang w:val="en-US"/>
                <w14:textFill>
                  <w14:solidFill>
                    <w14:schemeClr w14:val="tx1"/>
                  </w14:solidFill>
                </w14:textFill>
              </w:rPr>
              <w:t>1h平均最大浓度</w:t>
            </w:r>
            <w:r>
              <w:rPr>
                <w:snapToGrid w:val="0"/>
                <w:color w:val="000000" w:themeColor="text1"/>
                <w:kern w:val="0"/>
                <w:lang w:val="en-US"/>
                <w14:textFill>
                  <w14:solidFill>
                    <w14:schemeClr w14:val="tx1"/>
                  </w14:solidFill>
                </w14:textFill>
              </w:rPr>
              <w:t>满足《环境影响评价技术导则 大气环境》（HJ2.2-2018）中</w:t>
            </w:r>
            <w:r>
              <w:rPr>
                <w:rFonts w:hint="eastAsia"/>
                <w:snapToGrid w:val="0"/>
                <w:color w:val="000000" w:themeColor="text1"/>
                <w:kern w:val="0"/>
                <w:lang w:val="en-US"/>
                <w14:textFill>
                  <w14:solidFill>
                    <w14:schemeClr w14:val="tx1"/>
                  </w14:solidFill>
                </w14:textFill>
              </w:rPr>
              <w:t>附录D</w:t>
            </w:r>
            <w:r>
              <w:rPr>
                <w:snapToGrid w:val="0"/>
                <w:color w:val="000000" w:themeColor="text1"/>
                <w:kern w:val="0"/>
                <w:lang w:val="en-US"/>
                <w14:textFill>
                  <w14:solidFill>
                    <w14:schemeClr w14:val="tx1"/>
                  </w14:solidFill>
                </w14:textFill>
              </w:rPr>
              <w:t>表</w:t>
            </w:r>
            <w:r>
              <w:rPr>
                <w:rFonts w:hint="eastAsia"/>
                <w:snapToGrid w:val="0"/>
                <w:color w:val="000000" w:themeColor="text1"/>
                <w:kern w:val="0"/>
                <w:lang w:val="en-US"/>
                <w14:textFill>
                  <w14:solidFill>
                    <w14:schemeClr w14:val="tx1"/>
                  </w14:solidFill>
                </w14:textFill>
              </w:rPr>
              <w:t>D</w:t>
            </w:r>
            <w:r>
              <w:rPr>
                <w:snapToGrid w:val="0"/>
                <w:color w:val="000000" w:themeColor="text1"/>
                <w:kern w:val="0"/>
                <w:lang w:val="en-US"/>
                <w14:textFill>
                  <w14:solidFill>
                    <w14:schemeClr w14:val="tx1"/>
                  </w14:solidFill>
                </w14:textFill>
              </w:rPr>
              <w:t>.1</w:t>
            </w:r>
            <w:r>
              <w:rPr>
                <w:rFonts w:hint="eastAsia"/>
                <w:snapToGrid w:val="0"/>
                <w:color w:val="000000" w:themeColor="text1"/>
                <w:kern w:val="0"/>
                <w:lang w:val="en-US"/>
                <w14:textFill>
                  <w14:solidFill>
                    <w14:schemeClr w14:val="tx1"/>
                  </w14:solidFill>
                </w14:textFill>
              </w:rPr>
              <w:t>其他污染物空气质量浓度参考限值要求</w:t>
            </w:r>
            <w:r>
              <w:rPr>
                <w:rFonts w:hint="eastAsia"/>
                <w:snapToGrid w:val="0"/>
                <w:color w:val="000000" w:themeColor="text1"/>
                <w:kern w:val="0"/>
                <w:lang w:val="en-US" w:eastAsia="zh-CN"/>
                <w14:textFill>
                  <w14:solidFill>
                    <w14:schemeClr w14:val="tx1"/>
                  </w14:solidFill>
                </w14:textFill>
              </w:rPr>
              <w:t>，</w:t>
            </w:r>
            <w:r>
              <w:rPr>
                <w:rFonts w:hint="eastAsia" w:ascii="Times New Roman" w:hAnsi="Times New Roman"/>
                <w:snapToGrid w:val="0"/>
                <w:color w:val="000000"/>
                <w:szCs w:val="24"/>
              </w:rPr>
              <w:t>臭气浓度＜10（无量纲）</w:t>
            </w:r>
            <w:r>
              <w:rPr>
                <w:rFonts w:hint="eastAsia"/>
                <w:snapToGrid w:val="0"/>
                <w:color w:val="000000" w:themeColor="text1"/>
                <w:kern w:val="0"/>
                <w:lang w:val="en-US"/>
                <w14:textFill>
                  <w14:solidFill>
                    <w14:schemeClr w14:val="tx1"/>
                  </w14:solidFill>
                </w14:textFill>
              </w:rPr>
              <w:t>。T</w:t>
            </w:r>
            <w:r>
              <w:rPr>
                <w:snapToGrid w:val="0"/>
                <w:color w:val="000000" w:themeColor="text1"/>
                <w:kern w:val="0"/>
                <w:lang w:val="en-US"/>
                <w14:textFill>
                  <w14:solidFill>
                    <w14:schemeClr w14:val="tx1"/>
                  </w14:solidFill>
                </w14:textFill>
              </w:rPr>
              <w:t>SP</w:t>
            </w:r>
            <w:r>
              <w:rPr>
                <w:rFonts w:hint="eastAsia"/>
                <w:snapToGrid w:val="0"/>
                <w:color w:val="000000" w:themeColor="text1"/>
                <w:kern w:val="0"/>
                <w:lang w:val="en-US"/>
                <w14:textFill>
                  <w14:solidFill>
                    <w14:schemeClr w14:val="tx1"/>
                  </w14:solidFill>
                </w14:textFill>
              </w:rPr>
              <w:t>2</w:t>
            </w:r>
            <w:r>
              <w:rPr>
                <w:snapToGrid w:val="0"/>
                <w:color w:val="000000" w:themeColor="text1"/>
                <w:kern w:val="0"/>
                <w:lang w:val="en-US"/>
                <w14:textFill>
                  <w14:solidFill>
                    <w14:schemeClr w14:val="tx1"/>
                  </w14:solidFill>
                </w14:textFill>
              </w:rPr>
              <w:t>4</w:t>
            </w:r>
            <w:r>
              <w:rPr>
                <w:rFonts w:hint="eastAsia"/>
                <w:snapToGrid w:val="0"/>
                <w:color w:val="000000" w:themeColor="text1"/>
                <w:kern w:val="0"/>
                <w:lang w:val="en-US"/>
                <w14:textFill>
                  <w14:solidFill>
                    <w14:schemeClr w14:val="tx1"/>
                  </w14:solidFill>
                </w14:textFill>
              </w:rPr>
              <w:t>小时平均浓度</w:t>
            </w:r>
            <w:r>
              <w:rPr>
                <w:snapToGrid w:val="0"/>
                <w:color w:val="000000" w:themeColor="text1"/>
                <w:kern w:val="0"/>
                <w:lang w:val="en-US"/>
                <w14:textFill>
                  <w14:solidFill>
                    <w14:schemeClr w14:val="tx1"/>
                  </w14:solidFill>
                </w14:textFill>
              </w:rPr>
              <w:t>满足</w:t>
            </w:r>
            <w:r>
              <w:rPr>
                <w:rFonts w:hint="eastAsia"/>
                <w:snapToGrid w:val="0"/>
                <w:color w:val="000000" w:themeColor="text1"/>
                <w:kern w:val="0"/>
                <w:lang w:val="en-US"/>
                <w14:textFill>
                  <w14:solidFill>
                    <w14:schemeClr w14:val="tx1"/>
                  </w14:solidFill>
                </w14:textFill>
              </w:rPr>
              <w:t>《环境空气质量标准》（</w:t>
            </w:r>
            <w:r>
              <w:rPr>
                <w:rFonts w:hint="eastAsia"/>
                <w:snapToGrid w:val="0"/>
                <w:color w:val="000000" w:themeColor="text1"/>
                <w:kern w:val="0"/>
                <w:lang w:val="en-US" w:eastAsia="zh-CN"/>
                <w14:textFill>
                  <w14:solidFill>
                    <w14:schemeClr w14:val="tx1"/>
                  </w14:solidFill>
                </w14:textFill>
              </w:rPr>
              <w:t>GB3095-2026</w:t>
            </w: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14:textFill>
                  <w14:solidFill>
                    <w14:schemeClr w14:val="tx1"/>
                  </w14:solidFill>
                </w14:textFill>
              </w:rPr>
              <w:t>项目所在区域地表水体为</w:t>
            </w:r>
            <w:r>
              <w:rPr>
                <w:rFonts w:hint="default" w:eastAsia="宋体"/>
                <w:snapToGrid w:val="0"/>
                <w:lang w:val="en-US" w:eastAsia="zh-CN"/>
              </w:rPr>
              <w:t>八虎力河，最终汇入倭肯河</w:t>
            </w:r>
            <w:r>
              <w:rPr>
                <w:rFonts w:hint="eastAsia"/>
                <w:snapToGrid w:val="0"/>
                <w:color w:val="000000" w:themeColor="text1"/>
                <w:kern w:val="0"/>
                <w:lang w:val="en-US"/>
                <w14:textFill>
                  <w14:solidFill>
                    <w14:schemeClr w14:val="tx1"/>
                  </w14:solidFill>
                </w14:textFill>
              </w:rPr>
              <w:t>，</w:t>
            </w:r>
            <w:r>
              <w:rPr>
                <w:rFonts w:hint="default" w:eastAsia="宋体"/>
                <w:snapToGrid w:val="0"/>
                <w:lang w:val="en-US" w:eastAsia="zh-CN"/>
              </w:rPr>
              <w:t>八虎力河</w:t>
            </w:r>
            <w:r>
              <w:rPr>
                <w:rFonts w:hint="eastAsia"/>
                <w:snapToGrid w:val="0"/>
                <w:color w:val="000000" w:themeColor="text1"/>
                <w:kern w:val="0"/>
                <w:lang w:val="en-US"/>
                <w14:textFill>
                  <w14:solidFill>
                    <w14:schemeClr w14:val="tx1"/>
                  </w14:solidFill>
                </w14:textFill>
              </w:rPr>
              <w:t>汇入</w:t>
            </w:r>
            <w:r>
              <w:rPr>
                <w:rFonts w:hint="default" w:eastAsia="宋体"/>
                <w:snapToGrid w:val="0"/>
                <w:lang w:val="en-US" w:eastAsia="zh-CN"/>
              </w:rPr>
              <w:t>倭肯河</w:t>
            </w:r>
            <w:r>
              <w:rPr>
                <w:rFonts w:hint="eastAsia"/>
                <w:snapToGrid w:val="0"/>
                <w:color w:val="000000" w:themeColor="text1"/>
                <w:kern w:val="0"/>
                <w:lang w:val="en-US"/>
                <w14:textFill>
                  <w14:solidFill>
                    <w14:schemeClr w14:val="tx1"/>
                  </w14:solidFill>
                </w14:textFill>
              </w:rPr>
              <w:t>，根据《全国重要江河湖泊水功能区划（2011~2030）》，</w:t>
            </w:r>
            <w:r>
              <w:rPr>
                <w:rFonts w:hint="eastAsia"/>
                <w:snapToGrid w:val="0"/>
                <w:color w:val="000000" w:themeColor="text1"/>
                <w:kern w:val="0"/>
                <w:lang w:val="en-US" w:eastAsia="zh-CN"/>
                <w14:textFill>
                  <w14:solidFill>
                    <w14:schemeClr w14:val="tx1"/>
                  </w14:solidFill>
                </w14:textFill>
              </w:rPr>
              <w:t>八虎力河未划分水功能区，入倭肯河河口所在的水功能二级区为倭肯河依兰县农业用水区（三道岗镇～入松花江河口），水质目标为Ⅳ类。根据</w:t>
            </w:r>
            <w:r>
              <w:rPr>
                <w:rFonts w:hint="eastAsia"/>
                <w:snapToGrid w:val="0"/>
                <w:color w:val="000000" w:themeColor="text1"/>
                <w:kern w:val="0"/>
                <w:lang w:val="en-US"/>
                <w14:textFill>
                  <w14:solidFill>
                    <w14:schemeClr w14:val="tx1"/>
                  </w14:solidFill>
                </w14:textFill>
              </w:rPr>
              <w:t>《佳木斯市生态环境质量简报（2024年）》可知</w:t>
            </w:r>
            <w:r>
              <w:rPr>
                <w:rFonts w:hint="eastAsia"/>
                <w:snapToGrid w:val="0"/>
                <w:color w:val="000000" w:themeColor="text1"/>
                <w:kern w:val="0"/>
                <w:lang w:val="en-US" w:eastAsia="zh-CN"/>
                <w14:textFill>
                  <w14:solidFill>
                    <w14:schemeClr w14:val="tx1"/>
                  </w14:solidFill>
                </w14:textFill>
              </w:rPr>
              <w:t>：</w:t>
            </w:r>
            <w:r>
              <w:rPr>
                <w:rFonts w:hint="eastAsia"/>
                <w:snapToGrid w:val="0"/>
                <w:color w:val="000000" w:themeColor="text1"/>
                <w:kern w:val="0"/>
                <w:lang w:val="en-US"/>
                <w14:textFill>
                  <w14:solidFill>
                    <w14:schemeClr w14:val="tx1"/>
                  </w14:solidFill>
                </w14:textFill>
              </w:rPr>
              <w:t>2024年，黑龙江佳木斯江段干流及支流共4个断面，Ⅰ-Ⅲ类水质 比例为50.0%，无劣Ⅴ类水质断。</w:t>
            </w:r>
          </w:p>
          <w:p w14:paraId="37F08D93">
            <w:pPr>
              <w:pStyle w:val="143"/>
              <w:jc w:val="both"/>
              <w:rPr>
                <w:snapToGrid w:val="0"/>
                <w:color w:val="000000" w:themeColor="text1"/>
                <w:kern w:val="0"/>
                <w:lang w:val="en-US"/>
                <w14:textFill>
                  <w14:solidFill>
                    <w14:schemeClr w14:val="tx1"/>
                  </w14:solidFill>
                </w14:textFill>
              </w:rPr>
            </w:pPr>
            <w:r>
              <w:rPr>
                <w:snapToGrid w:val="0"/>
                <w:color w:val="000000" w:themeColor="text1"/>
                <w:kern w:val="0"/>
                <w:lang w:val="zh-CN"/>
                <w14:textFill>
                  <w14:solidFill>
                    <w14:schemeClr w14:val="tx1"/>
                  </w14:solidFill>
                </w14:textFill>
              </w:rPr>
              <w:t>将环境噪声现状监测结果与标准比较，</w:t>
            </w:r>
            <w:r>
              <w:rPr>
                <w:rFonts w:hint="eastAsia"/>
                <w:snapToGrid w:val="0"/>
                <w:color w:val="000000" w:themeColor="text1"/>
                <w:kern w:val="0"/>
                <w:lang w:val="zh-CN" w:eastAsia="zh-CN"/>
                <w14:textFill>
                  <w14:solidFill>
                    <w14:schemeClr w14:val="tx1"/>
                  </w14:solidFill>
                </w14:textFill>
              </w:rPr>
              <w:t>厂界</w:t>
            </w:r>
            <w:r>
              <w:rPr>
                <w:rFonts w:hint="eastAsia" w:ascii="Times New Roman" w:hAnsi="Times New Roman"/>
                <w:snapToGrid w:val="0"/>
                <w:color w:val="000000" w:themeColor="text1"/>
                <w:szCs w:val="24"/>
                <w:highlight w:val="none"/>
                <w14:textFill>
                  <w14:solidFill>
                    <w14:schemeClr w14:val="tx1"/>
                  </w14:solidFill>
                </w14:textFill>
              </w:rPr>
              <w:t>北侧、南侧、</w:t>
            </w:r>
            <w:r>
              <w:rPr>
                <w:rFonts w:hint="eastAsia"/>
                <w:snapToGrid w:val="0"/>
                <w:color w:val="000000" w:themeColor="text1"/>
                <w:szCs w:val="24"/>
                <w:highlight w:val="none"/>
                <w:lang w:val="en-US" w:eastAsia="zh-CN"/>
                <w14:textFill>
                  <w14:solidFill>
                    <w14:schemeClr w14:val="tx1"/>
                  </w14:solidFill>
                </w14:textFill>
              </w:rPr>
              <w:t>东</w:t>
            </w:r>
            <w:r>
              <w:rPr>
                <w:rFonts w:hint="eastAsia" w:ascii="Times New Roman" w:hAnsi="Times New Roman"/>
                <w:snapToGrid w:val="0"/>
                <w:color w:val="000000" w:themeColor="text1"/>
                <w:szCs w:val="24"/>
                <w:highlight w:val="none"/>
                <w14:textFill>
                  <w14:solidFill>
                    <w14:schemeClr w14:val="tx1"/>
                  </w14:solidFill>
                </w14:textFill>
              </w:rPr>
              <w:t>侧</w:t>
            </w:r>
            <w:r>
              <w:rPr>
                <w:rFonts w:hint="eastAsia"/>
                <w:snapToGrid w:val="0"/>
                <w:color w:val="000000" w:themeColor="text1"/>
                <w:kern w:val="0"/>
                <w:lang w:val="zh-CN" w:eastAsia="zh-CN"/>
                <w14:textFill>
                  <w14:solidFill>
                    <w14:schemeClr w14:val="tx1"/>
                  </w14:solidFill>
                </w14:textFill>
              </w:rPr>
              <w:t>噪声满足</w:t>
            </w:r>
            <w:r>
              <w:rPr>
                <w:snapToGrid w:val="0"/>
                <w:color w:val="000000" w:themeColor="text1"/>
                <w:kern w:val="0"/>
                <w:lang w:val="zh-CN"/>
                <w14:textFill>
                  <w14:solidFill>
                    <w14:schemeClr w14:val="tx1"/>
                  </w14:solidFill>
                </w14:textFill>
              </w:rPr>
              <w:t>《声环境质量标准》（GB3096-2008）中的3类</w:t>
            </w:r>
            <w:r>
              <w:rPr>
                <w:rFonts w:hint="eastAsia"/>
                <w:snapToGrid w:val="0"/>
                <w:color w:val="000000" w:themeColor="text1"/>
                <w:kern w:val="0"/>
                <w:lang w:val="zh-CN" w:eastAsia="zh-CN"/>
                <w14:textFill>
                  <w14:solidFill>
                    <w14:schemeClr w14:val="tx1"/>
                  </w14:solidFill>
                </w14:textFill>
              </w:rPr>
              <w:t>标准限值要求，</w:t>
            </w:r>
            <w:r>
              <w:rPr>
                <w:rFonts w:hint="eastAsia"/>
                <w:snapToGrid w:val="0"/>
                <w:color w:val="000000" w:themeColor="text1"/>
                <w:kern w:val="0"/>
                <w:lang w:val="en-US" w:eastAsia="zh-CN"/>
                <w14:textFill>
                  <w14:solidFill>
                    <w14:schemeClr w14:val="tx1"/>
                  </w14:solidFill>
                </w14:textFill>
              </w:rPr>
              <w:t>西</w:t>
            </w:r>
            <w:r>
              <w:rPr>
                <w:rFonts w:hint="eastAsia" w:ascii="Times New Roman" w:hAnsi="Times New Roman"/>
                <w:snapToGrid w:val="0"/>
                <w:color w:val="000000" w:themeColor="text1"/>
                <w:szCs w:val="24"/>
                <w:highlight w:val="none"/>
                <w14:textFill>
                  <w14:solidFill>
                    <w14:schemeClr w14:val="tx1"/>
                  </w14:solidFill>
                </w14:textFill>
              </w:rPr>
              <w:t>侧</w:t>
            </w:r>
            <w:r>
              <w:rPr>
                <w:rFonts w:hint="eastAsia"/>
                <w:snapToGrid w:val="0"/>
                <w:color w:val="000000" w:themeColor="text1"/>
                <w:kern w:val="0"/>
                <w:lang w:val="zh-CN" w:eastAsia="zh-CN"/>
                <w14:textFill>
                  <w14:solidFill>
                    <w14:schemeClr w14:val="tx1"/>
                  </w14:solidFill>
                </w14:textFill>
              </w:rPr>
              <w:t>噪声满足</w:t>
            </w:r>
            <w:r>
              <w:rPr>
                <w:snapToGrid w:val="0"/>
                <w:color w:val="000000" w:themeColor="text1"/>
                <w:kern w:val="0"/>
                <w:lang w:val="zh-CN"/>
                <w14:textFill>
                  <w14:solidFill>
                    <w14:schemeClr w14:val="tx1"/>
                  </w14:solidFill>
                </w14:textFill>
              </w:rPr>
              <w:t>《声环境质量标准》（GB3096-2008）中的</w:t>
            </w:r>
            <w:r>
              <w:rPr>
                <w:rFonts w:hint="eastAsia"/>
                <w:snapToGrid w:val="0"/>
                <w:color w:val="000000" w:themeColor="text1"/>
                <w:kern w:val="0"/>
                <w:lang w:val="en-US" w:eastAsia="zh-CN"/>
                <w14:textFill>
                  <w14:solidFill>
                    <w14:schemeClr w14:val="tx1"/>
                  </w14:solidFill>
                </w14:textFill>
              </w:rPr>
              <w:t>4</w:t>
            </w:r>
            <w:r>
              <w:rPr>
                <w:snapToGrid w:val="0"/>
                <w:color w:val="000000" w:themeColor="text1"/>
                <w:kern w:val="0"/>
                <w:lang w:val="zh-CN"/>
                <w14:textFill>
                  <w14:solidFill>
                    <w14:schemeClr w14:val="tx1"/>
                  </w14:solidFill>
                </w14:textFill>
              </w:rPr>
              <w:t>类</w:t>
            </w:r>
            <w:r>
              <w:rPr>
                <w:rFonts w:hint="eastAsia"/>
                <w:snapToGrid w:val="0"/>
                <w:color w:val="000000" w:themeColor="text1"/>
                <w:kern w:val="0"/>
                <w:lang w:val="zh-CN" w:eastAsia="zh-CN"/>
                <w14:textFill>
                  <w14:solidFill>
                    <w14:schemeClr w14:val="tx1"/>
                  </w14:solidFill>
                </w14:textFill>
              </w:rPr>
              <w:t>标准限值要求，东北侧敏感点噪声满足</w:t>
            </w:r>
            <w:r>
              <w:rPr>
                <w:snapToGrid w:val="0"/>
                <w:color w:val="000000" w:themeColor="text1"/>
                <w:kern w:val="0"/>
                <w:lang w:val="zh-CN"/>
                <w14:textFill>
                  <w14:solidFill>
                    <w14:schemeClr w14:val="tx1"/>
                  </w14:solidFill>
                </w14:textFill>
              </w:rPr>
              <w:t>《声环境质量标准》（GB3096-2008）中的</w:t>
            </w:r>
            <w:r>
              <w:rPr>
                <w:rFonts w:hint="eastAsia"/>
                <w:snapToGrid w:val="0"/>
                <w:color w:val="000000" w:themeColor="text1"/>
                <w:kern w:val="0"/>
                <w:lang w:val="zh-CN" w:eastAsia="zh-CN"/>
                <w14:textFill>
                  <w14:solidFill>
                    <w14:schemeClr w14:val="tx1"/>
                  </w14:solidFill>
                </w14:textFill>
              </w:rPr>
              <w:t>2</w:t>
            </w:r>
            <w:r>
              <w:rPr>
                <w:snapToGrid w:val="0"/>
                <w:color w:val="000000" w:themeColor="text1"/>
                <w:kern w:val="0"/>
                <w:lang w:val="zh-CN"/>
                <w14:textFill>
                  <w14:solidFill>
                    <w14:schemeClr w14:val="tx1"/>
                  </w14:solidFill>
                </w14:textFill>
              </w:rPr>
              <w:t>类</w:t>
            </w:r>
            <w:r>
              <w:rPr>
                <w:rFonts w:hint="eastAsia"/>
                <w:snapToGrid w:val="0"/>
                <w:color w:val="000000" w:themeColor="text1"/>
                <w:kern w:val="0"/>
                <w:lang w:val="zh-CN" w:eastAsia="zh-CN"/>
                <w14:textFill>
                  <w14:solidFill>
                    <w14:schemeClr w14:val="tx1"/>
                  </w14:solidFill>
                </w14:textFill>
              </w:rPr>
              <w:t>标准限值要求</w:t>
            </w:r>
            <w:r>
              <w:rPr>
                <w:snapToGrid w:val="0"/>
                <w:color w:val="000000" w:themeColor="text1"/>
                <w:kern w:val="0"/>
                <w:lang w:val="zh-CN"/>
                <w14:textFill>
                  <w14:solidFill>
                    <w14:schemeClr w14:val="tx1"/>
                  </w14:solidFill>
                </w14:textFill>
              </w:rPr>
              <w:t>。</w:t>
            </w:r>
          </w:p>
          <w:p w14:paraId="604900D2">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根据监测统计结果可知，</w:t>
            </w:r>
            <w:r>
              <w:rPr>
                <w:snapToGrid w:val="0"/>
                <w:color w:val="000000" w:themeColor="text1"/>
                <w:kern w:val="0"/>
                <w:lang w:val="en-US"/>
                <w14:textFill>
                  <w14:solidFill>
                    <w14:schemeClr w14:val="tx1"/>
                  </w14:solidFill>
                </w14:textFill>
              </w:rPr>
              <w:t>评价区域内地下水个别点位锰超标，锰超标的原因是由于特殊的地下水水文地球化学原生还原环境造成的锰高背景环境状态。其余指标均满足《地下水质量标准》（GB/T14848-2017）Ⅲ类标准。</w:t>
            </w:r>
          </w:p>
          <w:p w14:paraId="73734298">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根据黑龙江省生态环境分区管控数据应用平台内的黑龙江省土壤污染风险重点管控区图，本项目选址不属于污染地块。本项目采取防渗措施后可有效防止物质渗漏、流失，可避免</w:t>
            </w:r>
            <w:r>
              <w:rPr>
                <w:rFonts w:hint="eastAsia"/>
                <w:snapToGrid w:val="0"/>
                <w:color w:val="000000" w:themeColor="text1"/>
                <w:kern w:val="0"/>
                <w:lang w:eastAsia="zh-CN"/>
                <w14:textFill>
                  <w14:solidFill>
                    <w14:schemeClr w14:val="tx1"/>
                  </w14:solidFill>
                </w14:textFill>
              </w:rPr>
              <w:t>地下水、</w:t>
            </w:r>
            <w:r>
              <w:rPr>
                <w:rFonts w:hint="eastAsia"/>
                <w:snapToGrid w:val="0"/>
                <w:color w:val="000000" w:themeColor="text1"/>
                <w:kern w:val="0"/>
                <w14:textFill>
                  <w14:solidFill>
                    <w14:schemeClr w14:val="tx1"/>
                  </w14:solidFill>
                </w14:textFill>
              </w:rPr>
              <w:t>土壤受到污染，因此符合黑龙江省土壤环境风险一般管控区的管控要求。</w:t>
            </w:r>
          </w:p>
          <w:p w14:paraId="4B603E5D">
            <w:pPr>
              <w:pStyle w:val="143"/>
              <w:jc w:val="both"/>
              <w:rPr>
                <w:snapToGrid w:val="0"/>
                <w:color w:val="FF0000"/>
                <w:kern w:val="0"/>
              </w:rPr>
            </w:pPr>
            <w:r>
              <w:rPr>
                <w:rFonts w:hint="eastAsia"/>
                <w:snapToGrid w:val="0"/>
                <w:color w:val="000000" w:themeColor="text1"/>
                <w:kern w:val="0"/>
                <w14:textFill>
                  <w14:solidFill>
                    <w14:schemeClr w14:val="tx1"/>
                  </w14:solidFill>
                </w14:textFill>
              </w:rPr>
              <w:t>综上所述，本项目建设满足</w:t>
            </w:r>
            <w:r>
              <w:rPr>
                <w:snapToGrid w:val="0"/>
                <w:color w:val="000000" w:themeColor="text1"/>
                <w:kern w:val="0"/>
                <w14:textFill>
                  <w14:solidFill>
                    <w14:schemeClr w14:val="tx1"/>
                  </w14:solidFill>
                </w14:textFill>
              </w:rPr>
              <w:t>环境质量底线</w:t>
            </w:r>
            <w:r>
              <w:rPr>
                <w:rFonts w:hint="eastAsia"/>
                <w:snapToGrid w:val="0"/>
                <w:color w:val="000000" w:themeColor="text1"/>
                <w:kern w:val="0"/>
                <w14:textFill>
                  <w14:solidFill>
                    <w14:schemeClr w14:val="tx1"/>
                  </w14:solidFill>
                </w14:textFill>
              </w:rPr>
              <w:t>要求</w:t>
            </w:r>
            <w:r>
              <w:rPr>
                <w:rFonts w:hint="eastAsia"/>
                <w:snapToGrid w:val="0"/>
                <w:color w:val="000000" w:themeColor="text1"/>
                <w:kern w:val="0"/>
                <w:lang w:val="zh-CN"/>
                <w14:textFill>
                  <w14:solidFill>
                    <w14:schemeClr w14:val="tx1"/>
                  </w14:solidFill>
                </w14:textFill>
              </w:rPr>
              <w:t>。</w:t>
            </w:r>
          </w:p>
        </w:tc>
      </w:tr>
      <w:tr w14:paraId="1E9BB5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3"/>
            <w:vAlign w:val="center"/>
          </w:tcPr>
          <w:p w14:paraId="2E9B807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三、资源利用上线</w:t>
            </w:r>
          </w:p>
        </w:tc>
      </w:tr>
      <w:tr w14:paraId="766E93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2F05BDD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管控要求</w:t>
            </w:r>
          </w:p>
        </w:tc>
        <w:tc>
          <w:tcPr>
            <w:tcW w:w="4443" w:type="pct"/>
            <w:gridSpan w:val="2"/>
            <w:vAlign w:val="center"/>
          </w:tcPr>
          <w:p w14:paraId="0A519284">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根据黑龙江省生态环境分区管控数据应用平台内的黑龙江省地下水开采重点管控区图和黑龙江省高污染燃料禁燃区图，本项目不</w:t>
            </w:r>
            <w:r>
              <w:rPr>
                <w:rFonts w:hint="eastAsia"/>
                <w:snapToGrid w:val="0"/>
                <w:color w:val="000000" w:themeColor="text1"/>
                <w:kern w:val="0"/>
                <w:lang w:eastAsia="zh-CN"/>
                <w14:textFill>
                  <w14:solidFill>
                    <w14:schemeClr w14:val="tx1"/>
                  </w14:solidFill>
                </w14:textFill>
              </w:rPr>
              <w:t>位于</w:t>
            </w:r>
            <w:r>
              <w:rPr>
                <w:rFonts w:hint="eastAsia"/>
                <w:snapToGrid w:val="0"/>
                <w:color w:val="000000" w:themeColor="text1"/>
                <w:kern w:val="0"/>
                <w14:textFill>
                  <w14:solidFill>
                    <w14:schemeClr w14:val="tx1"/>
                  </w14:solidFill>
                </w14:textFill>
              </w:rPr>
              <w:t>地下水开采重点管控区和高污染燃料禁燃区。</w:t>
            </w:r>
          </w:p>
        </w:tc>
      </w:tr>
      <w:tr w14:paraId="0C4E6C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0B1E065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符合性分析</w:t>
            </w:r>
          </w:p>
        </w:tc>
        <w:tc>
          <w:tcPr>
            <w:tcW w:w="4443" w:type="pct"/>
            <w:gridSpan w:val="2"/>
            <w:vAlign w:val="center"/>
          </w:tcPr>
          <w:p w14:paraId="19E549D7">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本项目能源主要来源为由当地电网提供，水资源主要用于职工生活</w:t>
            </w:r>
            <w:r>
              <w:rPr>
                <w:rFonts w:hint="eastAsia"/>
                <w:snapToGrid w:val="0"/>
                <w:color w:val="000000" w:themeColor="text1"/>
                <w:kern w:val="0"/>
                <w14:textFill>
                  <w14:solidFill>
                    <w14:schemeClr w14:val="tx1"/>
                  </w14:solidFill>
                </w14:textFill>
              </w:rPr>
              <w:t>用水</w:t>
            </w:r>
            <w:r>
              <w:rPr>
                <w:rFonts w:hint="eastAsia"/>
                <w:snapToGrid w:val="0"/>
                <w:color w:val="000000" w:themeColor="text1"/>
                <w:kern w:val="0"/>
                <w:lang w:eastAsia="zh-CN"/>
                <w14:textFill>
                  <w14:solidFill>
                    <w14:schemeClr w14:val="tx1"/>
                  </w14:solidFill>
                </w14:textFill>
              </w:rPr>
              <w:t>、生产用水，用水均依托</w:t>
            </w:r>
            <w:r>
              <w:rPr>
                <w:rFonts w:hint="eastAsia"/>
                <w:snapToGrid w:val="0"/>
                <w:color w:val="000000" w:themeColor="text1"/>
                <w:kern w:val="0"/>
                <w:lang w:val="en-US" w:eastAsia="zh-CN"/>
                <w14:textFill>
                  <w14:solidFill>
                    <w14:schemeClr w14:val="tx1"/>
                  </w14:solidFill>
                </w14:textFill>
              </w:rPr>
              <w:t>园区供水</w:t>
            </w:r>
            <w:r>
              <w:rPr>
                <w:rFonts w:hint="eastAsia"/>
                <w:snapToGrid w:val="0"/>
                <w:color w:val="000000" w:themeColor="text1"/>
                <w:kern w:val="0"/>
                <w:lang w:eastAsia="zh-CN"/>
                <w14:textFill>
                  <w14:solidFill>
                    <w14:schemeClr w14:val="tx1"/>
                  </w14:solidFill>
                </w14:textFill>
              </w:rPr>
              <w:t>管网</w:t>
            </w:r>
            <w:r>
              <w:rPr>
                <w:snapToGrid w:val="0"/>
                <w:color w:val="000000" w:themeColor="text1"/>
                <w:kern w:val="0"/>
                <w14:textFill>
                  <w14:solidFill>
                    <w14:schemeClr w14:val="tx1"/>
                  </w14:solidFill>
                </w14:textFill>
              </w:rPr>
              <w:t>，资源消耗均符合相关设计和标准要求。本项目在选址和布局上采用环境影响最小的布局方案</w:t>
            </w:r>
            <w:r>
              <w:rPr>
                <w:rFonts w:hint="eastAsia"/>
                <w:snapToGrid w:val="0"/>
                <w:color w:val="000000" w:themeColor="text1"/>
                <w:kern w:val="0"/>
                <w14:textFill>
                  <w14:solidFill>
                    <w14:schemeClr w14:val="tx1"/>
                  </w14:solidFill>
                </w14:textFill>
              </w:rPr>
              <w:t>，不新增用地</w:t>
            </w:r>
            <w:r>
              <w:rPr>
                <w:snapToGrid w:val="0"/>
                <w:color w:val="000000" w:themeColor="text1"/>
                <w:kern w:val="0"/>
                <w14:textFill>
                  <w14:solidFill>
                    <w14:schemeClr w14:val="tx1"/>
                  </w14:solidFill>
                </w14:textFill>
              </w:rPr>
              <w:t>，减少对土地的占用，土地资源消耗符合要求。因此</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14:textFill>
                  <w14:solidFill>
                    <w14:schemeClr w14:val="tx1"/>
                  </w14:solidFill>
                </w14:textFill>
              </w:rPr>
              <w:t>本项目建设符合资源利用上线要求。</w:t>
            </w:r>
          </w:p>
        </w:tc>
      </w:tr>
      <w:tr w14:paraId="56FF75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3"/>
            <w:vAlign w:val="center"/>
          </w:tcPr>
          <w:p w14:paraId="0D3C226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四、环境准入清单</w:t>
            </w:r>
          </w:p>
        </w:tc>
      </w:tr>
      <w:tr w14:paraId="5548FB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2152153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环境管控单元名称</w:t>
            </w:r>
          </w:p>
        </w:tc>
        <w:tc>
          <w:tcPr>
            <w:tcW w:w="4443" w:type="pct"/>
            <w:gridSpan w:val="2"/>
            <w:vAlign w:val="center"/>
          </w:tcPr>
          <w:p w14:paraId="650393C6">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黑龙江桦南经济开发区</w:t>
            </w:r>
          </w:p>
        </w:tc>
      </w:tr>
      <w:tr w14:paraId="6F916C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6BEEF95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环境管控单元编码</w:t>
            </w:r>
          </w:p>
        </w:tc>
        <w:tc>
          <w:tcPr>
            <w:tcW w:w="4443" w:type="pct"/>
            <w:gridSpan w:val="2"/>
            <w:vAlign w:val="center"/>
          </w:tcPr>
          <w:p w14:paraId="49E19EAF">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ZH23082220001</w:t>
            </w:r>
          </w:p>
        </w:tc>
      </w:tr>
      <w:tr w14:paraId="6A2DA6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38EC003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管控单元类别</w:t>
            </w:r>
          </w:p>
        </w:tc>
        <w:tc>
          <w:tcPr>
            <w:tcW w:w="4443" w:type="pct"/>
            <w:gridSpan w:val="2"/>
            <w:vAlign w:val="center"/>
          </w:tcPr>
          <w:p w14:paraId="50D08290">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重点管控</w:t>
            </w:r>
            <w:r>
              <w:rPr>
                <w:snapToGrid w:val="0"/>
                <w:color w:val="000000" w:themeColor="text1"/>
                <w:kern w:val="0"/>
                <w14:textFill>
                  <w14:solidFill>
                    <w14:schemeClr w14:val="tx1"/>
                  </w14:solidFill>
                </w14:textFill>
              </w:rPr>
              <w:t>单元</w:t>
            </w:r>
          </w:p>
        </w:tc>
      </w:tr>
      <w:tr w14:paraId="3B5268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32" w:type="pct"/>
            <w:gridSpan w:val="2"/>
            <w:vAlign w:val="center"/>
          </w:tcPr>
          <w:p w14:paraId="745C548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管控要求</w:t>
            </w:r>
          </w:p>
        </w:tc>
        <w:tc>
          <w:tcPr>
            <w:tcW w:w="1967" w:type="pct"/>
            <w:vAlign w:val="center"/>
          </w:tcPr>
          <w:p w14:paraId="1524AEC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项目符合性分析</w:t>
            </w:r>
          </w:p>
        </w:tc>
      </w:tr>
      <w:tr w14:paraId="699293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63709CC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空间布局约束</w:t>
            </w:r>
          </w:p>
        </w:tc>
        <w:tc>
          <w:tcPr>
            <w:tcW w:w="2475" w:type="pct"/>
            <w:vAlign w:val="center"/>
          </w:tcPr>
          <w:p w14:paraId="17F2B289">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 xml:space="preserve">1.严禁高能耗、低产出、高污染、土地集约利用程度低的企业进入。 2.禁止工艺落后、设备陈旧、污染严重的项目入区。 3.禁止不符合对桦南经济开区产业定位的项目、不符合国家、省、市相关行业、不符合产业政策的项目、行业清洁生产标准中二级标准要求的项目、不满足开发区排污总量管理要求的项目、能源装备机械制造产业园区涉及重金属排放和电镀的项目、被发改委《产业结构调整指导目录》列入淘汰类和限制类的项目入区。 4.对于存在未依法开展规划环境影响评价，或环境风险隐患突出且未完成限期整改，或未按期完成污染物排放总量控制计划的工业园区，暂停受理除污染治理、生态恢复建设和循环经济类以外 </w:t>
            </w:r>
          </w:p>
          <w:p w14:paraId="7A7760CF">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的入园建设项目环境影响评价文件。 5.新、改、扩建钢铁、石化、化工、焦化、建材、有色等项目的环境影响评价，应满足区域、规划环评要求。 6.禁止引进国家现行产业政策明令禁止或淘汰的产业及工艺。 7.重大项目原则上布局在重点开发区，并符合国土空间规划。 8.新建化工项目须进入合规设立的化工园区。 9.园区规划及规划环评变更后执行新的园区规划和规划环评管控要求。 10.同时执行：①入园建设项目开展环评工作时，应以产业园区规划环评为依据，重点分析项目环评与规划环评结论及审查意见的符合性；产业园区招商引资、入园建设项目环评审批等应将规划环评结论及审查意见作为重要依据。②新建、扩建石化、化工、焦化、有色金属冶炼、平板玻璃项目应布设在依法合规设立并经规划环评的产业园区。煤化工产业项目选址及污染控制措施等须满足安全、环境准入要求，新建项目需布局在一般或较低安全风险等级的化工园区。③重大制造业项目、依托能源和矿产资源的资源加工业项目原则上布局在重点开发区。④未纳入国家有关领域产业规划的，一律不得新建改扩建炼油和新建乙烯、对二甲苯、煤制烯烃项目。⑤禁止引进国家产业政策明令淘汰和限制的产品、技术、工艺、设备及行为。⑥.编制产业园区开发建设规划时应依法开展规划环评。⑦规划审批机关在审批规划时，应将规划环评结论及审查意见作为决策的重要依据，在审批中未采纳环境影响报告书结论及审查意见的，应当作出说明并存档备查。⑧产业园区招商引资、入园建设项目环评审批等应将规划环评结论及审查意见作为重要依据。⑨产业园区开发建设规划应符合国家政策和相关法律法规要求，规划发生重大调整或修订的，应当依法重新或补充开展规划环评工作。 11.水环境农业污染重点管控区同时执行：①科学划定畜禽养殖禁养区。②加快农业结构调整。松嫩平原和三江平原等地下水易受污染地区优先种植需肥需药量低、环境效益突出的农作物；在西部干旱区发展谷子、高粱等耐旱杂粮种植；在北部四、五积温区开展米豆麦轮作，促进化肥需求低的农作物面积恢复性增长。 12.水环境工业污染重点管控区同时执行：①区域内严格控制高耗水、高污染行业发展。②加快淘汰落后产能，大力推进产业结构调整和优化升级。③根据水资源和水环境承载能力，以水定城、以水定地、以水定人、以水定产。</w:t>
            </w:r>
          </w:p>
        </w:tc>
        <w:tc>
          <w:tcPr>
            <w:tcW w:w="1967" w:type="pct"/>
            <w:vAlign w:val="center"/>
          </w:tcPr>
          <w:p w14:paraId="50C9D238">
            <w:pPr>
              <w:pStyle w:val="143"/>
              <w:numPr>
                <w:ilvl w:val="0"/>
                <w:numId w:val="4"/>
              </w:numPr>
              <w:jc w:val="center"/>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本项目为啤酒生产项目，不属于高能耗、低产出、高污染、土地集约利用程度低的企业；2.本项目采用先进工艺设备，污染物均采用环保措施处理后排放，不属于工艺落后、设备陈旧、污染严重的项目；3.本项目位于</w:t>
            </w:r>
            <w:r>
              <w:rPr>
                <w:rFonts w:hint="eastAsia"/>
                <w:snapToGrid w:val="0"/>
                <w:lang w:val="en-US" w:eastAsia="zh-CN"/>
              </w:rPr>
              <w:t>农产品加工产业</w:t>
            </w:r>
            <w:r>
              <w:rPr>
                <w:snapToGrid w:val="0"/>
              </w:rPr>
              <w:t>区</w:t>
            </w:r>
            <w:r>
              <w:rPr>
                <w:rFonts w:hint="eastAsia"/>
                <w:snapToGrid w:val="0"/>
                <w:lang w:val="en-US" w:eastAsia="zh-CN"/>
              </w:rPr>
              <w:t>符合</w:t>
            </w:r>
            <w:r>
              <w:rPr>
                <w:rFonts w:hint="eastAsia"/>
                <w:snapToGrid w:val="0"/>
                <w:color w:val="000000" w:themeColor="text1"/>
                <w:kern w:val="0"/>
                <w:lang w:val="en-US" w:eastAsia="zh-CN"/>
                <w14:textFill>
                  <w14:solidFill>
                    <w14:schemeClr w14:val="tx1"/>
                  </w14:solidFill>
                </w14:textFill>
              </w:rPr>
              <w:t>桦南经济开区产业定位，符合国家产业政策，不属于淘汰类及限制类项目；4.本项目所在园区已开展规划环评影响评价并批复；5.本项目不属于新、改、扩建钢铁、石化、化工、焦化、建材、有色等项目；6.本项目工艺不属于产业政策明令禁止或淘汰的产业及工艺；7.本项目不属于重大项目；8.本项目不属于化工项目；9.园区现行规划环评为</w:t>
            </w:r>
            <w:r>
              <w:rPr>
                <w:rFonts w:hint="eastAsia"/>
                <w:snapToGrid w:val="0"/>
              </w:rPr>
              <w:t>《</w:t>
            </w:r>
            <w:r>
              <w:rPr>
                <w:rFonts w:hint="eastAsia"/>
                <w:snapToGrid w:val="0"/>
                <w:lang w:eastAsia="zh-CN"/>
              </w:rPr>
              <w:t>黑龙江桦南经济开发区总体规划（2021-2035 年）环境影响报告书</w:t>
            </w:r>
            <w:r>
              <w:rPr>
                <w:rFonts w:hint="eastAsia"/>
                <w:snapToGrid w:val="0"/>
              </w:rPr>
              <w:t>》</w:t>
            </w:r>
            <w:r>
              <w:rPr>
                <w:rFonts w:hint="eastAsia"/>
                <w:snapToGrid w:val="0"/>
                <w:lang w:eastAsia="zh-CN"/>
              </w:rPr>
              <w:t>，</w:t>
            </w:r>
            <w:r>
              <w:rPr>
                <w:rFonts w:hint="eastAsia"/>
                <w:snapToGrid w:val="0"/>
                <w:lang w:val="en-US" w:eastAsia="zh-CN"/>
              </w:rPr>
              <w:t>无变更环评；10.本评价以</w:t>
            </w:r>
            <w:r>
              <w:rPr>
                <w:rFonts w:hint="eastAsia"/>
                <w:snapToGrid w:val="0"/>
                <w:color w:val="000000" w:themeColor="text1"/>
                <w:kern w:val="0"/>
                <w:lang w:val="en-US" w:eastAsia="zh-CN"/>
                <w14:textFill>
                  <w14:solidFill>
                    <w14:schemeClr w14:val="tx1"/>
                  </w14:solidFill>
                </w14:textFill>
              </w:rPr>
              <w:t>产业园区规划环评为依据，重点分析项目环评与规划环评结论及审查意见的符合性，并将规划环评结论及审查意见作为重要依据。</w:t>
            </w:r>
          </w:p>
          <w:p w14:paraId="4E2676D9">
            <w:pPr>
              <w:pStyle w:val="143"/>
              <w:numPr>
                <w:ilvl w:val="0"/>
                <w:numId w:val="0"/>
              </w:numPr>
              <w:jc w:val="both"/>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综上，本项目建设符合黑龙江桦南经济开发区</w:t>
            </w:r>
            <w:r>
              <w:rPr>
                <w:snapToGrid w:val="0"/>
                <w:color w:val="000000" w:themeColor="text1"/>
                <w:kern w:val="0"/>
                <w14:textFill>
                  <w14:solidFill>
                    <w14:schemeClr w14:val="tx1"/>
                  </w14:solidFill>
                </w14:textFill>
              </w:rPr>
              <w:t>空间布局约束</w:t>
            </w:r>
            <w:r>
              <w:rPr>
                <w:rFonts w:hint="eastAsia"/>
                <w:snapToGrid w:val="0"/>
                <w:color w:val="000000" w:themeColor="text1"/>
                <w:kern w:val="0"/>
                <w:lang w:val="en-US" w:eastAsia="zh-CN"/>
                <w14:textFill>
                  <w14:solidFill>
                    <w14:schemeClr w14:val="tx1"/>
                  </w14:solidFill>
                </w14:textFill>
              </w:rPr>
              <w:t>管控要求。</w:t>
            </w:r>
          </w:p>
        </w:tc>
      </w:tr>
      <w:tr w14:paraId="55A174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74A85F17">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污染物排放管控</w:t>
            </w:r>
          </w:p>
        </w:tc>
        <w:tc>
          <w:tcPr>
            <w:tcW w:w="2475" w:type="pct"/>
            <w:vAlign w:val="center"/>
          </w:tcPr>
          <w:p w14:paraId="7A54F5DB">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1.加工粉尘采取除尘器进行处理后，排气筒高空排放。 2.加大涉水企业治污设施升级改造力度，提高污染治理水平。 3.应按规定建设污水集中处理设施，并安装自动在线监控装置。 4.严格控制新增燃煤项目建设（涉及民生保障的项目除外）。 5.水环境农业污染重点管控区同时执行：①支持规模化畜禽养殖场（小区）开展标准化改造和建设，提高畜禽粪污收集和处理机械化水平，实施雨污分流、粪污资源化利用，控制畜禽养殖污染排放。②畜禽养殖户应当及时对畜禽粪便、污水进行收集、贮存、清运，或者进行无害化处理。县级人民政府应当组织对本行政区域的畜禽散养密集区畜禽粪便、污水进行集中处理利用，督促乡镇人民政府建设或者配备污染防治配套设施。③全面加强农业面源污染防控，科学合理使用农业投入品，提高使用效率，减少农业内源性污染。 6.同时执行：①应按规定建设污水集中处理设施，并安装自动在线监控装置。③新建、扩建“两高”项目应采用先进适用的工艺技术和装备，单位产品物耗、能耗、水耗等达到清洁生产先进水平，依法制定并严格落实防治土壤与地下水污染的措施。严把新上项目碳排放关，新建、改建、扩建煤电、石化、化工、钢铁、有色冶炼、建材等高耗能、高排放项目，要充分论证，确保能耗、物耗、水耗达到清洁生产先进水平。⑤新、改、扩建涉重金属重点行业建设项目必须遵循重点重金属污染物排放“减量置换”或“等量替换”原则。⑥对于含有毒有害水污染物的工业废水和生活污水混合处理的污水处理厂产生的污泥，不能采用土地利用方式。⑦加强消耗臭氧层物质和氢氟碳化物环境管理，加强泡沫、制冷、氟化工等行业治理，逐步淘汰氢氯氟烃使用。⑧新建煤制烯烃、新建煤制对二甲苯 (PX) 项目纳入《现代煤化工产业创新发展布局方案》后，由省级政府核准。新建年产超过 100 万吨的煤制甲醇项目，由省级政府核准。⑨各地不得新建、扩建二氟甲烷、1,1,1,2-四氟乙烷、五氟乙烷、1,1,1-三氟乙烷、1.1.1.3.3-五氟丙烷用作制冷剂、发泡剂等受控用途的 HFCs 化工生产设施 （不含副立设施），环境影响报告书（表） 已通过审批的除外。 7.水环境工业污染重点管控区同时执行：（1）新建、改建和扩建项目应当优先采用资源利用率高以及污染物产生量少的清洁生产技术、工艺和设备。（2）集中治理工业集聚区内工业废水，区内工业废水必须经预处理达到集中处理要求后，方可进入污水集中处理设施。新建、升级工业集聚区应同步规划和建设污水、垃圾集中处理等污染治理设施。</w:t>
            </w:r>
          </w:p>
        </w:tc>
        <w:tc>
          <w:tcPr>
            <w:tcW w:w="1967" w:type="pct"/>
            <w:vAlign w:val="center"/>
          </w:tcPr>
          <w:p w14:paraId="2868C02E">
            <w:pPr>
              <w:pStyle w:val="143"/>
              <w:jc w:val="both"/>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1.项目原料处理间粉尘经布袋除尘器处理后，通过15m高排气筒高空排放。2.本项目产生废水经新建污水处理站</w:t>
            </w:r>
            <w:r>
              <w:rPr>
                <w:snapToGrid w:val="0"/>
                <w:color w:val="000000" w:themeColor="text1"/>
                <w:kern w:val="0"/>
                <w:lang w:val="en-US"/>
                <w14:textFill>
                  <w14:solidFill>
                    <w14:schemeClr w14:val="tx1"/>
                  </w14:solidFill>
                </w14:textFill>
              </w:rPr>
              <w:t>处理满足《</w:t>
            </w:r>
            <w:r>
              <w:rPr>
                <w:rFonts w:hint="eastAsia"/>
                <w:snapToGrid w:val="0"/>
                <w:color w:val="000000" w:themeColor="text1"/>
                <w:kern w:val="0"/>
                <w:lang w:val="en-US" w:eastAsia="zh-CN"/>
                <w14:textFill>
                  <w14:solidFill>
                    <w14:schemeClr w14:val="tx1"/>
                  </w14:solidFill>
                </w14:textFill>
              </w:rPr>
              <w:t>酒类制造业水污染物排放标准</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GB19821-2025</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标准及</w:t>
            </w:r>
            <w:r>
              <w:rPr>
                <w:rFonts w:hint="eastAsia"/>
                <w:snapToGrid w:val="0"/>
                <w:color w:val="000000" w:themeColor="text1"/>
                <w:kern w:val="0"/>
                <w:lang w:val="en-US" w:eastAsia="zh-CN"/>
                <w14:textFill>
                  <w14:solidFill>
                    <w14:schemeClr w14:val="tx1"/>
                  </w14:solidFill>
                </w14:textFill>
              </w:rPr>
              <w:t>桦南县城镇污水处理厂</w:t>
            </w:r>
            <w:r>
              <w:rPr>
                <w:snapToGrid w:val="0"/>
                <w:color w:val="000000" w:themeColor="text1"/>
                <w:kern w:val="0"/>
                <w:lang w:val="en-US"/>
                <w14:textFill>
                  <w14:solidFill>
                    <w14:schemeClr w14:val="tx1"/>
                  </w14:solidFill>
                </w14:textFill>
              </w:rPr>
              <w:t>进水指标后进入</w:t>
            </w:r>
            <w:r>
              <w:rPr>
                <w:rFonts w:hint="eastAsia"/>
                <w:snapToGrid w:val="0"/>
                <w:color w:val="000000" w:themeColor="text1"/>
                <w:kern w:val="0"/>
                <w:lang w:val="en-US" w:eastAsia="zh-CN"/>
                <w14:textFill>
                  <w14:solidFill>
                    <w14:schemeClr w14:val="tx1"/>
                  </w14:solidFill>
                </w14:textFill>
              </w:rPr>
              <w:t>园区</w:t>
            </w:r>
            <w:r>
              <w:rPr>
                <w:snapToGrid w:val="0"/>
                <w:color w:val="000000" w:themeColor="text1"/>
                <w:kern w:val="0"/>
                <w:lang w:val="en-US"/>
                <w14:textFill>
                  <w14:solidFill>
                    <w14:schemeClr w14:val="tx1"/>
                  </w14:solidFill>
                </w14:textFill>
              </w:rPr>
              <w:t>污水管网</w:t>
            </w:r>
            <w:r>
              <w:rPr>
                <w:rFonts w:hint="eastAsia"/>
                <w:snapToGrid w:val="0"/>
                <w:color w:val="000000" w:themeColor="text1"/>
                <w:kern w:val="0"/>
                <w:lang w:val="en-US" w:eastAsia="zh-CN"/>
                <w14:textFill>
                  <w14:solidFill>
                    <w14:schemeClr w14:val="tx1"/>
                  </w14:solidFill>
                </w14:textFill>
              </w:rPr>
              <w:t>。3.污水处理站处理后废水达标处理后，排入污水集中处理设施（桦南县城镇污水处理厂），桦南县城镇污水处理厂设置在线监控装置。4.本项目锅炉为天然气锅炉，不涉及燃煤。5.本项目不涉及水环境农业污染重点管控区。6.本项目不属于“两高”项目，不属于新建、改建、扩建煤电、石化、化工、钢铁、有色冶炼、建材等高耗能、高排放项目，不属于新、改、扩建涉重金属重点行业建设项目。项目废水中不含有毒有害水污染物。项目使用环保型</w:t>
            </w:r>
            <w:r>
              <w:rPr>
                <w:rFonts w:hint="eastAsia" w:ascii="Times New Roman" w:hAnsi="Times New Roman" w:eastAsia="宋体"/>
                <w:b w:val="0"/>
                <w:bCs w:val="0"/>
                <w:snapToGrid w:val="0"/>
                <w:color w:val="000000" w:themeColor="text1"/>
                <w:kern w:val="0"/>
                <w:lang w:val="en-US"/>
                <w14:textFill>
                  <w14:solidFill>
                    <w14:schemeClr w14:val="tx1"/>
                  </w14:solidFill>
                </w14:textFill>
              </w:rPr>
              <w:t>R410-A制冷剂</w:t>
            </w:r>
            <w:r>
              <w:rPr>
                <w:rFonts w:hint="eastAsia"/>
                <w:snapToGrid w:val="0"/>
                <w:color w:val="000000" w:themeColor="text1"/>
                <w:kern w:val="0"/>
                <w:lang w:val="en-US" w:eastAsia="zh-CN"/>
                <w14:textFill>
                  <w14:solidFill>
                    <w14:schemeClr w14:val="tx1"/>
                  </w14:solidFill>
                </w14:textFill>
              </w:rPr>
              <w:t>，不属消耗臭氧层物质和氢氟碳化物。不属于新建煤制烯烃、新建煤制对二甲苯 (PX) 项目。7.本项目位于水环境工业污染重点管控区，项目拟选用资源利用率高、污染物产生量少的生产技术、工艺和设备。本项目产生废水经新建污水处理站</w:t>
            </w:r>
            <w:r>
              <w:rPr>
                <w:snapToGrid w:val="0"/>
                <w:color w:val="000000" w:themeColor="text1"/>
                <w:kern w:val="0"/>
                <w:lang w:val="en-US"/>
                <w14:textFill>
                  <w14:solidFill>
                    <w14:schemeClr w14:val="tx1"/>
                  </w14:solidFill>
                </w14:textFill>
              </w:rPr>
              <w:t>处理满足《</w:t>
            </w:r>
            <w:r>
              <w:rPr>
                <w:rFonts w:hint="eastAsia"/>
                <w:snapToGrid w:val="0"/>
                <w:color w:val="000000" w:themeColor="text1"/>
                <w:kern w:val="0"/>
                <w:lang w:val="en-US" w:eastAsia="zh-CN"/>
                <w14:textFill>
                  <w14:solidFill>
                    <w14:schemeClr w14:val="tx1"/>
                  </w14:solidFill>
                </w14:textFill>
              </w:rPr>
              <w:t>酒类制造业水污染物排放标准</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GB19821-2025</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标准及</w:t>
            </w:r>
            <w:r>
              <w:rPr>
                <w:rFonts w:hint="eastAsia"/>
                <w:snapToGrid w:val="0"/>
                <w:color w:val="000000" w:themeColor="text1"/>
                <w:kern w:val="0"/>
                <w:lang w:val="en-US" w:eastAsia="zh-CN"/>
                <w14:textFill>
                  <w14:solidFill>
                    <w14:schemeClr w14:val="tx1"/>
                  </w14:solidFill>
                </w14:textFill>
              </w:rPr>
              <w:t>桦南县城镇污水处理厂</w:t>
            </w:r>
            <w:r>
              <w:rPr>
                <w:snapToGrid w:val="0"/>
                <w:color w:val="000000" w:themeColor="text1"/>
                <w:kern w:val="0"/>
                <w:lang w:val="en-US"/>
                <w14:textFill>
                  <w14:solidFill>
                    <w14:schemeClr w14:val="tx1"/>
                  </w14:solidFill>
                </w14:textFill>
              </w:rPr>
              <w:t>进水指标后进入</w:t>
            </w:r>
            <w:r>
              <w:rPr>
                <w:rFonts w:hint="eastAsia"/>
                <w:snapToGrid w:val="0"/>
                <w:color w:val="000000" w:themeColor="text1"/>
                <w:kern w:val="0"/>
                <w:lang w:val="en-US" w:eastAsia="zh-CN"/>
                <w14:textFill>
                  <w14:solidFill>
                    <w14:schemeClr w14:val="tx1"/>
                  </w14:solidFill>
                </w14:textFill>
              </w:rPr>
              <w:t>园区</w:t>
            </w:r>
            <w:r>
              <w:rPr>
                <w:snapToGrid w:val="0"/>
                <w:color w:val="000000" w:themeColor="text1"/>
                <w:kern w:val="0"/>
                <w:lang w:val="en-US"/>
                <w14:textFill>
                  <w14:solidFill>
                    <w14:schemeClr w14:val="tx1"/>
                  </w14:solidFill>
                </w14:textFill>
              </w:rPr>
              <w:t>污水管网</w:t>
            </w:r>
            <w:r>
              <w:rPr>
                <w:rFonts w:hint="eastAsia"/>
                <w:snapToGrid w:val="0"/>
                <w:color w:val="000000" w:themeColor="text1"/>
                <w:kern w:val="0"/>
                <w:lang w:val="en-US" w:eastAsia="zh-CN"/>
                <w14:textFill>
                  <w14:solidFill>
                    <w14:schemeClr w14:val="tx1"/>
                  </w14:solidFill>
                </w14:textFill>
              </w:rPr>
              <w:t>。3.污水处理站处理后废水达标处理后，排入污水集中处理设施（桦南县城镇污水处理厂）。</w:t>
            </w:r>
          </w:p>
          <w:p w14:paraId="633C78C1">
            <w:pPr>
              <w:pStyle w:val="143"/>
              <w:jc w:val="both"/>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综上，本项目建设符合黑龙江桦南经济开发区</w:t>
            </w:r>
            <w:r>
              <w:rPr>
                <w:rFonts w:hint="eastAsia"/>
                <w:snapToGrid w:val="0"/>
                <w:color w:val="000000" w:themeColor="text1"/>
                <w:kern w:val="0"/>
                <w14:textFill>
                  <w14:solidFill>
                    <w14:schemeClr w14:val="tx1"/>
                  </w14:solidFill>
                </w14:textFill>
              </w:rPr>
              <w:t>污染物排放管控</w:t>
            </w:r>
            <w:r>
              <w:rPr>
                <w:rFonts w:hint="eastAsia"/>
                <w:snapToGrid w:val="0"/>
                <w:color w:val="000000" w:themeColor="text1"/>
                <w:kern w:val="0"/>
                <w:lang w:val="en-US" w:eastAsia="zh-CN"/>
                <w14:textFill>
                  <w14:solidFill>
                    <w14:schemeClr w14:val="tx1"/>
                  </w14:solidFill>
                </w14:textFill>
              </w:rPr>
              <w:t>要求。</w:t>
            </w:r>
          </w:p>
        </w:tc>
      </w:tr>
      <w:tr w14:paraId="1554CE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77ADEF6F">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环境风险防控</w:t>
            </w:r>
          </w:p>
        </w:tc>
        <w:tc>
          <w:tcPr>
            <w:tcW w:w="2475" w:type="pct"/>
            <w:vAlign w:val="center"/>
          </w:tcPr>
          <w:p w14:paraId="66C76ABC">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同时执行加强环境应急预案管理和风险预警。园区及园区内企业应当结合经营性质、规模、组织体系，建立健全环境应急预案体系，并强化企业、园区以及上级政府环境应急预案之间的衔接。加强环境应急预案演练、评估与修订。园区管理机构应当组织建设有毒有害气体环境风险预警体系，建设园区环境风险防范设施。 2.水环境工业污染重点管控区同时执行：排放《有毒有害水污染物名录》所列有毒有害水污染物的企业事业单位和其他生产经营者，应当对排污口和周边环境进行监测，评估环境风险，排查环境安全隐患，并公开有毒有害水污染物信息，采取有效措施防范环境风险。</w:t>
            </w:r>
          </w:p>
        </w:tc>
        <w:tc>
          <w:tcPr>
            <w:tcW w:w="1967" w:type="pct"/>
            <w:vAlign w:val="center"/>
          </w:tcPr>
          <w:p w14:paraId="0B56A06B">
            <w:pPr>
              <w:pStyle w:val="143"/>
              <w:jc w:val="both"/>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本项目制定应急预案并与园区及上级政府环境应急预案之间的衔接。项目不涉及《有毒有害水污染物名录》所列有毒有害水污染物。</w:t>
            </w:r>
          </w:p>
        </w:tc>
      </w:tr>
      <w:tr w14:paraId="507DAD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56" w:type="pct"/>
            <w:vAlign w:val="center"/>
          </w:tcPr>
          <w:p w14:paraId="703D0235">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资源利用效率要求</w:t>
            </w:r>
          </w:p>
        </w:tc>
        <w:tc>
          <w:tcPr>
            <w:tcW w:w="2475" w:type="pct"/>
            <w:vAlign w:val="center"/>
          </w:tcPr>
          <w:p w14:paraId="6F8AA529">
            <w:pPr>
              <w:keepNext w:val="0"/>
              <w:keepLines w:val="0"/>
              <w:widowControl/>
              <w:suppressLineNumbers w:val="0"/>
              <w:spacing w:line="240" w:lineRule="auto"/>
              <w:ind w:left="0" w:leftChars="0" w:firstLine="0" w:firstLineChars="0"/>
              <w:jc w:val="left"/>
              <w:rPr>
                <w:snapToGrid w:val="0"/>
                <w:color w:val="000000" w:themeColor="text1"/>
                <w:kern w:val="0"/>
                <w:lang w:val="en-US"/>
                <w14:textFill>
                  <w14:solidFill>
                    <w14:schemeClr w14:val="tx1"/>
                  </w14:solidFill>
                </w14:textFill>
              </w:rPr>
            </w:pPr>
            <w:r>
              <w:rPr>
                <w:rFonts w:hint="eastAsia" w:ascii="Times New Roman" w:hAnsi="Times New Roman" w:eastAsia="宋体" w:cstheme="minorBidi"/>
                <w:snapToGrid w:val="0"/>
                <w:color w:val="000000" w:themeColor="text1"/>
                <w:kern w:val="0"/>
                <w:sz w:val="21"/>
                <w:szCs w:val="22"/>
                <w:lang w:val="en-US" w:eastAsia="zh-CN" w:bidi="ar-SA"/>
                <w14:textFill>
                  <w14:solidFill>
                    <w14:schemeClr w14:val="tx1"/>
                  </w14:solidFill>
                </w14:textFill>
              </w:rPr>
              <w:t>1.逐步取缔燃煤锅炉，持续加强燃气、生物质和油、电锅炉的废气治理监管，推广清洁能源替代。调整燃料结构，积极利用风能、太阳能等清洁能源。 2.高污染燃料禁燃区同时执行：①在禁燃区内，禁止销售、燃用高污染燃料；禁止新建、扩建燃用高污染燃料的设施，已建成的，应当在城市人民政府规定的期限内改用天然气、页岩气、液化石油气、电或者其他清洁能源。②城市建设应当统筹规划，在燃煤供热地区，推进热电联产和集中供热。在集中供热管网覆盖地区，禁止新建、扩建分散燃煤供热锅炉；已建成的不能达标排放的燃煤供热锅炉，应当在城市人民政府规定的期限内拆除。 3.同时执行：①落实最严格的水资源管理制度，实行水资源消耗总量和强度双控。②全面推行清洁生产，依法在“双超双有高耗能”行业实施强制性清洁生产审核。</w:t>
            </w:r>
          </w:p>
        </w:tc>
        <w:tc>
          <w:tcPr>
            <w:tcW w:w="1967" w:type="pct"/>
            <w:vAlign w:val="center"/>
          </w:tcPr>
          <w:p w14:paraId="34EF041D">
            <w:pPr>
              <w:pStyle w:val="143"/>
              <w:jc w:val="both"/>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本项目所在位置不属于高污染燃料禁燃区，采用天然气锅炉，不涉及燃煤等高污染燃料。项目</w:t>
            </w:r>
            <w:r>
              <w:rPr>
                <w:rFonts w:hint="eastAsia"/>
                <w:snapToGrid w:val="0"/>
                <w:color w:val="000000" w:themeColor="text1"/>
                <w14:textFill>
                  <w14:solidFill>
                    <w14:schemeClr w14:val="tx1"/>
                  </w14:solidFill>
                </w14:textFill>
              </w:rPr>
              <w:t>生产相关用水满足</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黑龙江省地方标准</w:t>
            </w:r>
            <w:r>
              <w:rPr>
                <w:rFonts w:hint="eastAsia"/>
                <w:snapToGrid w:val="0"/>
                <w:color w:val="000000" w:themeColor="text1"/>
                <w:lang w:val="en-US" w:eastAsia="zh-CN"/>
                <w14:textFill>
                  <w14:solidFill>
                    <w14:schemeClr w14:val="tx1"/>
                  </w14:solidFill>
                </w14:textFill>
              </w:rPr>
              <w:t xml:space="preserve"> </w:t>
            </w:r>
            <w:r>
              <w:rPr>
                <w:rFonts w:hint="eastAsia"/>
                <w:snapToGrid w:val="0"/>
                <w:color w:val="000000" w:themeColor="text1"/>
                <w14:textFill>
                  <w14:solidFill>
                    <w14:schemeClr w14:val="tx1"/>
                  </w14:solidFill>
                </w14:textFill>
              </w:rPr>
              <w:t>用水定额</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DB23/T 727-2025</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（啤酒制造先进值</w:t>
            </w:r>
            <w:r>
              <w:rPr>
                <w:rFonts w:hint="eastAsia"/>
                <w:snapToGrid w:val="0"/>
                <w:color w:val="000000" w:themeColor="text1"/>
                <w:lang w:val="en-US" w:eastAsia="zh-CN"/>
                <w14:textFill>
                  <w14:solidFill>
                    <w14:schemeClr w14:val="tx1"/>
                  </w14:solidFill>
                </w14:textFill>
              </w:rPr>
              <w:t>3.5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/kL</w:t>
            </w:r>
            <w:r>
              <w:rPr>
                <w:rFonts w:hint="eastAsia"/>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属于水资源节约型企业。</w:t>
            </w:r>
          </w:p>
        </w:tc>
      </w:tr>
    </w:tbl>
    <w:p w14:paraId="57943762">
      <w:pPr>
        <w:pStyle w:val="85"/>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综上所述，本项目建设符合</w:t>
      </w:r>
      <w:r>
        <w:rPr>
          <w:rFonts w:hint="eastAsia" w:cs="Times New Roman"/>
          <w:color w:val="000000" w:themeColor="text1"/>
          <w14:textFill>
            <w14:solidFill>
              <w14:schemeClr w14:val="tx1"/>
            </w14:solidFill>
          </w14:textFill>
        </w:rPr>
        <w:t>黑龙江省生态环境厅《关于发布2023年生态环境分区管控动态更新的通知》（黑环发〔2024〕1号）</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佳木斯市人民政府关于“三线一单”生态环境分区管控的实施意见</w:t>
      </w:r>
      <w:r>
        <w:rPr>
          <w:rFonts w:hint="eastAsia"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佳政规〔2021〕4号</w:t>
      </w:r>
      <w:r>
        <w:rPr>
          <w:rFonts w:hint="eastAsia"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佳木斯市</w:t>
      </w:r>
      <w:r>
        <w:rPr>
          <w:rFonts w:hint="eastAsia" w:cs="Times New Roman"/>
          <w:color w:val="000000" w:themeColor="text1"/>
          <w14:textFill>
            <w14:solidFill>
              <w14:schemeClr w14:val="tx1"/>
            </w14:solidFill>
          </w14:textFill>
        </w:rPr>
        <w:t>生态环境准入清单(2023年版)》、《黑龙江省&lt;生态环境分区管控管理暂行规定&gt;实施细则》（2024年8月19日）</w:t>
      </w:r>
      <w:r>
        <w:rPr>
          <w:rFonts w:hint="eastAsia"/>
          <w:color w:val="000000" w:themeColor="text1"/>
          <w14:textFill>
            <w14:solidFill>
              <w14:schemeClr w14:val="tx1"/>
            </w14:solidFill>
          </w14:textFill>
        </w:rPr>
        <w:t>相关要求。</w:t>
      </w:r>
    </w:p>
    <w:p w14:paraId="055902BC">
      <w:pPr>
        <w:pStyle w:val="6"/>
        <w:rPr>
          <w:color w:val="000000" w:themeColor="text1"/>
          <w:highlight w:val="none"/>
          <w14:textFill>
            <w14:solidFill>
              <w14:schemeClr w14:val="tx1"/>
            </w14:solidFill>
          </w14:textFill>
        </w:rPr>
      </w:pPr>
      <w:bookmarkStart w:id="21" w:name="_Toc28721"/>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.3选址合理性分析</w:t>
      </w:r>
      <w:bookmarkEnd w:id="21"/>
    </w:p>
    <w:p w14:paraId="14BC3D99">
      <w:pPr>
        <w:pStyle w:val="85"/>
        <w:rPr>
          <w:color w:val="000000" w:themeColor="text1"/>
          <w14:textFill>
            <w14:solidFill>
              <w14:schemeClr w14:val="tx1"/>
            </w14:solidFill>
          </w14:textFill>
        </w:rPr>
      </w:pPr>
      <w:r>
        <w:rPr>
          <w:color w:val="000000" w:themeColor="text1"/>
          <w14:textFill>
            <w14:solidFill>
              <w14:schemeClr w14:val="tx1"/>
            </w14:solidFill>
          </w14:textFill>
        </w:rPr>
        <w:t>1、产业规划布局相符性</w:t>
      </w:r>
    </w:p>
    <w:p w14:paraId="633BB3CB">
      <w:pPr>
        <w:pStyle w:val="85"/>
        <w:rPr>
          <w:color w:val="000000" w:themeColor="text1"/>
          <w14:textFill>
            <w14:solidFill>
              <w14:schemeClr w14:val="tx1"/>
            </w14:solidFill>
          </w14:textFill>
        </w:rPr>
      </w:pPr>
      <w:r>
        <w:rPr>
          <w:color w:val="000000" w:themeColor="text1"/>
          <w14:textFill>
            <w14:solidFill>
              <w14:schemeClr w14:val="tx1"/>
            </w14:solidFill>
          </w14:textFill>
        </w:rPr>
        <w:t>本项目位于</w:t>
      </w:r>
      <w:r>
        <w:rPr>
          <w:rFonts w:hint="eastAsia"/>
          <w:color w:val="000000" w:themeColor="text1"/>
          <w:lang w:eastAsia="zh-CN"/>
          <w14:textFill>
            <w14:solidFill>
              <w14:schemeClr w14:val="tx1"/>
            </w14:solidFill>
          </w14:textFill>
        </w:rPr>
        <w:t>黑龙江省佳木斯市桦南县经济开发区兴企路东园兴街北，</w:t>
      </w:r>
      <w:r>
        <w:rPr>
          <w:color w:val="000000" w:themeColor="text1"/>
          <w14:textFill>
            <w14:solidFill>
              <w14:schemeClr w14:val="tx1"/>
            </w14:solidFill>
          </w14:textFill>
        </w:rPr>
        <w:t>用地为工业用地，符合区域用地规划。</w:t>
      </w:r>
    </w:p>
    <w:p w14:paraId="1493CAF6">
      <w:pPr>
        <w:pStyle w:val="85"/>
        <w:rPr>
          <w:color w:val="000000" w:themeColor="text1"/>
          <w14:textFill>
            <w14:solidFill>
              <w14:schemeClr w14:val="tx1"/>
            </w14:solidFill>
          </w14:textFill>
        </w:rPr>
      </w:pPr>
      <w:r>
        <w:rPr>
          <w:color w:val="000000" w:themeColor="text1"/>
          <w14:textFill>
            <w14:solidFill>
              <w14:schemeClr w14:val="tx1"/>
            </w14:solidFill>
          </w14:textFill>
        </w:rPr>
        <w:t>本项目</w:t>
      </w:r>
      <w:r>
        <w:rPr>
          <w:rFonts w:hint="eastAsia"/>
          <w:color w:val="000000" w:themeColor="text1"/>
          <w14:textFill>
            <w14:solidFill>
              <w14:schemeClr w14:val="tx1"/>
            </w14:solidFill>
          </w14:textFill>
        </w:rPr>
        <w:t>东侧为</w:t>
      </w:r>
      <w:r>
        <w:rPr>
          <w:rFonts w:hint="eastAsia"/>
          <w:color w:val="000000" w:themeColor="text1"/>
          <w:lang w:val="en-US" w:eastAsia="zh-CN"/>
          <w14:textFill>
            <w14:solidFill>
              <w14:schemeClr w14:val="tx1"/>
            </w14:solidFill>
          </w14:textFill>
        </w:rPr>
        <w:t>农田</w:t>
      </w:r>
      <w:r>
        <w:rPr>
          <w:rFonts w:hint="eastAsia"/>
          <w:color w:val="000000" w:themeColor="text1"/>
          <w14:textFill>
            <w14:solidFill>
              <w14:schemeClr w14:val="tx1"/>
            </w14:solidFill>
          </w14:textFill>
        </w:rPr>
        <w:t>，南侧为</w:t>
      </w:r>
      <w:r>
        <w:rPr>
          <w:rFonts w:hint="eastAsia"/>
          <w:color w:val="000000" w:themeColor="text1"/>
          <w:lang w:val="en-US" w:eastAsia="zh-CN"/>
          <w14:textFill>
            <w14:solidFill>
              <w14:schemeClr w14:val="tx1"/>
            </w14:solidFill>
          </w14:textFill>
        </w:rPr>
        <w:t>空地</w:t>
      </w:r>
      <w:r>
        <w:rPr>
          <w:rFonts w:hint="eastAsia"/>
          <w:color w:val="000000" w:themeColor="text1"/>
          <w14:textFill>
            <w14:solidFill>
              <w14:schemeClr w14:val="tx1"/>
            </w14:solidFill>
          </w14:textFill>
        </w:rPr>
        <w:t>，西侧为</w:t>
      </w:r>
      <w:r>
        <w:rPr>
          <w:rFonts w:hint="eastAsia"/>
          <w:color w:val="000000" w:themeColor="text1"/>
          <w:lang w:eastAsia="zh-CN"/>
          <w14:textFill>
            <w14:solidFill>
              <w14:schemeClr w14:val="tx1"/>
            </w14:solidFill>
          </w14:textFill>
        </w:rPr>
        <w:t>桦南县桦润食品有限公司</w:t>
      </w:r>
      <w:r>
        <w:rPr>
          <w:rFonts w:hint="eastAsia"/>
          <w:color w:val="000000" w:themeColor="text1"/>
          <w14:textFill>
            <w14:solidFill>
              <w14:schemeClr w14:val="tx1"/>
            </w14:solidFill>
          </w14:textFill>
        </w:rPr>
        <w:t>，北侧为</w:t>
      </w:r>
      <w:r>
        <w:rPr>
          <w:rFonts w:hint="eastAsia"/>
          <w:color w:val="000000" w:themeColor="text1"/>
          <w:lang w:val="en-US" w:eastAsia="zh-CN"/>
          <w14:textFill>
            <w14:solidFill>
              <w14:schemeClr w14:val="tx1"/>
            </w14:solidFill>
          </w14:textFill>
        </w:rPr>
        <w:t>空地</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根据项目所在</w:t>
      </w:r>
      <w:r>
        <w:rPr>
          <w:rFonts w:hint="eastAsia"/>
          <w:color w:val="000000" w:themeColor="text1"/>
          <w14:textFill>
            <w14:solidFill>
              <w14:schemeClr w14:val="tx1"/>
            </w14:solidFill>
          </w14:textFill>
        </w:rPr>
        <w:t>开发区规划环评及开发区</w:t>
      </w:r>
      <w:r>
        <w:rPr>
          <w:color w:val="000000" w:themeColor="text1"/>
          <w14:textFill>
            <w14:solidFill>
              <w14:schemeClr w14:val="tx1"/>
            </w14:solidFill>
          </w14:textFill>
        </w:rPr>
        <w:t>规划图，项目所在区域</w:t>
      </w:r>
      <w:r>
        <w:rPr>
          <w:rFonts w:hint="eastAsia"/>
          <w:color w:val="000000" w:themeColor="text1"/>
          <w14:textFill>
            <w14:solidFill>
              <w14:schemeClr w14:val="tx1"/>
            </w14:solidFill>
          </w14:textFill>
        </w:rPr>
        <w:t>规划</w:t>
      </w:r>
      <w:r>
        <w:rPr>
          <w:color w:val="000000" w:themeColor="text1"/>
          <w14:textFill>
            <w14:solidFill>
              <w14:schemeClr w14:val="tx1"/>
            </w14:solidFill>
          </w14:textFill>
        </w:rPr>
        <w:t>为</w:t>
      </w:r>
      <w:r>
        <w:rPr>
          <w:rFonts w:hint="eastAsia"/>
        </w:rPr>
        <w:t>农产品加工产业区</w:t>
      </w:r>
      <w:r>
        <w:rPr>
          <w:rFonts w:hint="eastAsia"/>
          <w:color w:val="000000" w:themeColor="text1"/>
          <w14:textFill>
            <w14:solidFill>
              <w14:schemeClr w14:val="tx1"/>
            </w14:solidFill>
          </w14:textFill>
        </w:rPr>
        <w:t>，符合园区产业规划。</w:t>
      </w:r>
    </w:p>
    <w:p w14:paraId="04DDF193">
      <w:pPr>
        <w:pStyle w:val="85"/>
        <w:rPr>
          <w:color w:val="000000" w:themeColor="text1"/>
          <w14:textFill>
            <w14:solidFill>
              <w14:schemeClr w14:val="tx1"/>
            </w14:solidFill>
          </w14:textFill>
        </w:rPr>
      </w:pPr>
      <w:r>
        <w:rPr>
          <w:color w:val="000000" w:themeColor="text1"/>
          <w14:textFill>
            <w14:solidFill>
              <w14:schemeClr w14:val="tx1"/>
            </w14:solidFill>
          </w14:textFill>
        </w:rPr>
        <w:t>2、选址所在地环境敏感程度</w:t>
      </w:r>
    </w:p>
    <w:p w14:paraId="51893C57">
      <w:pPr>
        <w:pStyle w:val="85"/>
        <w:rPr>
          <w:color w:val="000000" w:themeColor="text1"/>
          <w14:textFill>
            <w14:solidFill>
              <w14:schemeClr w14:val="tx1"/>
            </w14:solidFill>
          </w14:textFill>
        </w:rPr>
      </w:pPr>
      <w:r>
        <w:rPr>
          <w:color w:val="000000" w:themeColor="text1"/>
          <w14:textFill>
            <w14:solidFill>
              <w14:schemeClr w14:val="tx1"/>
            </w14:solidFill>
          </w14:textFill>
        </w:rPr>
        <w:t>项目所在区域不属于生活饮用水源和地下水补给区、风景名胜区、温泉疗养区、水产养殖区、基本农田保护区、自然保护区等需要特殊保护区域。</w:t>
      </w:r>
      <w:r>
        <w:rPr>
          <w:rFonts w:hint="eastAsia"/>
          <w:color w:val="000000" w:themeColor="text1"/>
          <w14:textFill>
            <w14:solidFill>
              <w14:schemeClr w14:val="tx1"/>
            </w14:solidFill>
          </w14:textFill>
        </w:rPr>
        <w:t>本</w:t>
      </w:r>
      <w:r>
        <w:rPr>
          <w:color w:val="000000" w:themeColor="text1"/>
          <w14:textFill>
            <w14:solidFill>
              <w14:schemeClr w14:val="tx1"/>
            </w14:solidFill>
          </w14:textFill>
        </w:rPr>
        <w:t>项目保证各设施正常运行，实现各项污染物达标排放，加强环境管理，则项目的建设在环保方面是可行的，故项目选址合理。</w:t>
      </w:r>
    </w:p>
    <w:p w14:paraId="18DCA854">
      <w:pPr>
        <w:pStyle w:val="85"/>
        <w:rPr>
          <w:color w:val="000000" w:themeColor="text1"/>
          <w14:textFill>
            <w14:solidFill>
              <w14:schemeClr w14:val="tx1"/>
            </w14:solidFill>
          </w14:textFill>
        </w:rPr>
      </w:pPr>
      <w:r>
        <w:rPr>
          <w:color w:val="000000" w:themeColor="text1"/>
          <w14:textFill>
            <w14:solidFill>
              <w14:schemeClr w14:val="tx1"/>
            </w14:solidFill>
          </w14:textFill>
        </w:rPr>
        <w:t>3、环境相容性分析</w:t>
      </w:r>
    </w:p>
    <w:p w14:paraId="7C8E2BC4">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w:t>
      </w:r>
      <w:r>
        <w:rPr>
          <w:color w:val="000000" w:themeColor="text1"/>
          <w14:textFill>
            <w14:solidFill>
              <w14:schemeClr w14:val="tx1"/>
            </w14:solidFill>
          </w14:textFill>
        </w:rPr>
        <w:t>项目采取有效的废气废水治理措施，从现状和远期规划而言，本项目与周边环境基本相容。</w:t>
      </w:r>
    </w:p>
    <w:p w14:paraId="2F46E6B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4、根据《食品安全国家标准 啤酒生产卫生规范》（G</w:t>
      </w:r>
      <w:r>
        <w:rPr>
          <w:color w:val="000000" w:themeColor="text1"/>
          <w14:textFill>
            <w14:solidFill>
              <w14:schemeClr w14:val="tx1"/>
            </w14:solidFill>
          </w14:textFill>
        </w:rPr>
        <w:t>B 8952-2016</w:t>
      </w:r>
      <w:r>
        <w:rPr>
          <w:rFonts w:hint="eastAsia"/>
          <w:color w:val="000000" w:themeColor="text1"/>
          <w14:textFill>
            <w14:solidFill>
              <w14:schemeClr w14:val="tx1"/>
            </w14:solidFill>
          </w14:textFill>
        </w:rPr>
        <w:t>），选址及厂区环境应符合GB14881-2013第3章的相关规定，因此本项目与《食品安全国家标准食品生产通用卫生规范》（GB14881-2013）选址要求符合性分析详见下表。</w:t>
      </w:r>
    </w:p>
    <w:p w14:paraId="5F4EFBB6">
      <w:pPr>
        <w:pStyle w:val="206"/>
        <w:rPr>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表</w:t>
      </w:r>
      <w:r>
        <w:rPr>
          <w:color w:val="000000" w:themeColor="text1"/>
          <w:lang w:val="en-US" w:eastAsia="zh-CN"/>
          <w14:textFill>
            <w14:solidFill>
              <w14:schemeClr w14:val="tx1"/>
            </w14:solidFill>
          </w14:textFill>
        </w:rPr>
        <w:t>1-4-</w:t>
      </w:r>
      <w:r>
        <w:rPr>
          <w:rFonts w:hint="eastAsia"/>
          <w:color w:val="000000" w:themeColor="text1"/>
          <w:lang w:val="en-US" w:eastAsia="zh-CN"/>
          <w14:textFill>
            <w14:solidFill>
              <w14:schemeClr w14:val="tx1"/>
            </w14:solidFill>
          </w14:textFill>
        </w:rPr>
        <w:t>4</w:t>
      </w:r>
      <w:r>
        <w:rPr>
          <w:color w:val="000000" w:themeColor="text1"/>
          <w:lang w:val="en-US" w:eastAsia="zh-CN"/>
          <w14:textFill>
            <w14:solidFill>
              <w14:schemeClr w14:val="tx1"/>
            </w14:solidFill>
          </w14:textFill>
        </w:rPr>
        <w:t xml:space="preserve"> </w:t>
      </w:r>
      <w:r>
        <w:rPr>
          <w:color w:val="000000" w:themeColor="text1"/>
          <w:lang w:val="en-US"/>
          <w14:textFill>
            <w14:solidFill>
              <w14:schemeClr w14:val="tx1"/>
            </w14:solidFill>
          </w14:textFill>
        </w:rPr>
        <w:t>与GB14881-2013选址要求符合性分析</w:t>
      </w:r>
    </w:p>
    <w:tbl>
      <w:tblPr>
        <w:tblStyle w:val="41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65"/>
        <w:gridCol w:w="3452"/>
        <w:gridCol w:w="3485"/>
        <w:gridCol w:w="804"/>
      </w:tblGrid>
      <w:tr w14:paraId="73F944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2418" w:type="pct"/>
            <w:gridSpan w:val="2"/>
            <w:vAlign w:val="center"/>
          </w:tcPr>
          <w:p w14:paraId="7ECEDBE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《食品安全国家标准食品生产通用卫生规范》（GB14881-2013）相关要求</w:t>
            </w:r>
          </w:p>
        </w:tc>
        <w:tc>
          <w:tcPr>
            <w:tcW w:w="2098" w:type="pct"/>
            <w:vAlign w:val="center"/>
          </w:tcPr>
          <w:p w14:paraId="60D6520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本项目情况</w:t>
            </w:r>
          </w:p>
        </w:tc>
        <w:tc>
          <w:tcPr>
            <w:tcW w:w="484" w:type="pct"/>
            <w:vAlign w:val="center"/>
          </w:tcPr>
          <w:p w14:paraId="1915CA2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符合性</w:t>
            </w:r>
          </w:p>
        </w:tc>
      </w:tr>
      <w:tr w14:paraId="605967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0" w:type="pct"/>
            <w:vMerge w:val="restart"/>
            <w:vAlign w:val="center"/>
          </w:tcPr>
          <w:p w14:paraId="3CD0AE3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3.1选址</w:t>
            </w:r>
          </w:p>
        </w:tc>
        <w:tc>
          <w:tcPr>
            <w:tcW w:w="2078" w:type="pct"/>
            <w:vAlign w:val="center"/>
          </w:tcPr>
          <w:p w14:paraId="2CB8035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3.1.1厂区不应选择对食品有显著污染的区域。</w:t>
            </w:r>
          </w:p>
        </w:tc>
        <w:tc>
          <w:tcPr>
            <w:tcW w:w="2098" w:type="pct"/>
            <w:vMerge w:val="restart"/>
            <w:vAlign w:val="center"/>
          </w:tcPr>
          <w:p w14:paraId="2A65038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本项目厂界</w:t>
            </w:r>
            <w:r>
              <w:rPr>
                <w:rFonts w:hint="eastAsia"/>
                <w:snapToGrid w:val="0"/>
                <w:color w:val="000000" w:themeColor="text1"/>
                <w:kern w:val="0"/>
                <w:lang w:eastAsia="zh-CN"/>
                <w14:textFill>
                  <w14:solidFill>
                    <w14:schemeClr w14:val="tx1"/>
                  </w14:solidFill>
                </w14:textFill>
              </w:rPr>
              <w:t>西</w:t>
            </w:r>
            <w:r>
              <w:rPr>
                <w:snapToGrid w:val="0"/>
                <w:color w:val="000000" w:themeColor="text1"/>
                <w:kern w:val="0"/>
                <w14:textFill>
                  <w14:solidFill>
                    <w14:schemeClr w14:val="tx1"/>
                  </w14:solidFill>
                </w14:textFill>
              </w:rPr>
              <w:t>侧为</w:t>
            </w:r>
            <w:r>
              <w:rPr>
                <w:rFonts w:hint="eastAsia"/>
                <w:snapToGrid w:val="0"/>
                <w:color w:val="000000" w:themeColor="text1"/>
                <w:kern w:val="0"/>
                <w:lang w:val="en-US" w:eastAsia="zh-CN"/>
                <w14:textFill>
                  <w14:solidFill>
                    <w14:schemeClr w14:val="tx1"/>
                  </w14:solidFill>
                </w14:textFill>
              </w:rPr>
              <w:t>桦南县桦润食品有限公司</w:t>
            </w:r>
            <w:r>
              <w:rPr>
                <w:snapToGrid w:val="0"/>
                <w:color w:val="000000" w:themeColor="text1"/>
                <w:kern w:val="0"/>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从事食品加工行业</w:t>
            </w:r>
            <w:r>
              <w:rPr>
                <w:snapToGrid w:val="0"/>
                <w:color w:val="000000" w:themeColor="text1"/>
                <w:kern w:val="0"/>
                <w14:textFill>
                  <w14:solidFill>
                    <w14:schemeClr w14:val="tx1"/>
                  </w14:solidFill>
                </w14:textFill>
              </w:rPr>
              <w:t>，</w:t>
            </w:r>
            <w:r>
              <w:rPr>
                <w:rFonts w:hint="eastAsia"/>
                <w:snapToGrid w:val="0"/>
                <w:color w:val="000000" w:themeColor="text1"/>
                <w:kern w:val="0"/>
                <w:lang w:eastAsia="zh-CN"/>
                <w14:textFill>
                  <w14:solidFill>
                    <w14:schemeClr w14:val="tx1"/>
                  </w14:solidFill>
                </w14:textFill>
              </w:rPr>
              <w:t>本项目</w:t>
            </w:r>
            <w:r>
              <w:rPr>
                <w:snapToGrid w:val="0"/>
                <w:color w:val="000000" w:themeColor="text1"/>
                <w:kern w:val="0"/>
                <w14:textFill>
                  <w14:solidFill>
                    <w14:schemeClr w14:val="tx1"/>
                  </w14:solidFill>
                </w14:textFill>
              </w:rPr>
              <w:t>周围无重大污染物和其他扩散性污染源存在，不在周边企业设置的卫生防护距离内</w:t>
            </w:r>
          </w:p>
        </w:tc>
        <w:tc>
          <w:tcPr>
            <w:tcW w:w="484" w:type="pct"/>
            <w:vMerge w:val="restart"/>
            <w:vAlign w:val="center"/>
          </w:tcPr>
          <w:p w14:paraId="0044897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r w14:paraId="6C26C9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40" w:type="pct"/>
            <w:vMerge w:val="continue"/>
            <w:vAlign w:val="center"/>
          </w:tcPr>
          <w:p w14:paraId="60D7185C">
            <w:pPr>
              <w:pStyle w:val="143"/>
              <w:rPr>
                <w:snapToGrid w:val="0"/>
                <w:color w:val="000000" w:themeColor="text1"/>
                <w:kern w:val="0"/>
                <w14:textFill>
                  <w14:solidFill>
                    <w14:schemeClr w14:val="tx1"/>
                  </w14:solidFill>
                </w14:textFill>
              </w:rPr>
            </w:pPr>
          </w:p>
        </w:tc>
        <w:tc>
          <w:tcPr>
            <w:tcW w:w="2078" w:type="pct"/>
            <w:vAlign w:val="center"/>
          </w:tcPr>
          <w:p w14:paraId="36CE7DC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3.1.2厂区不应选择有害废弃物以及粉尘、有害气体、放射符合性物质和其他扩散性污染源不能有效清除的地址。</w:t>
            </w:r>
          </w:p>
        </w:tc>
        <w:tc>
          <w:tcPr>
            <w:tcW w:w="2098" w:type="pct"/>
            <w:vMerge w:val="continue"/>
            <w:vAlign w:val="center"/>
          </w:tcPr>
          <w:p w14:paraId="2ABD0F65">
            <w:pPr>
              <w:pStyle w:val="143"/>
              <w:rPr>
                <w:snapToGrid w:val="0"/>
                <w:color w:val="000000" w:themeColor="text1"/>
                <w:kern w:val="0"/>
                <w14:textFill>
                  <w14:solidFill>
                    <w14:schemeClr w14:val="tx1"/>
                  </w14:solidFill>
                </w14:textFill>
              </w:rPr>
            </w:pPr>
          </w:p>
        </w:tc>
        <w:tc>
          <w:tcPr>
            <w:tcW w:w="484" w:type="pct"/>
            <w:vMerge w:val="continue"/>
            <w:vAlign w:val="center"/>
          </w:tcPr>
          <w:p w14:paraId="32045B14">
            <w:pPr>
              <w:pStyle w:val="143"/>
              <w:rPr>
                <w:snapToGrid w:val="0"/>
                <w:color w:val="000000" w:themeColor="text1"/>
                <w:kern w:val="0"/>
                <w14:textFill>
                  <w14:solidFill>
                    <w14:schemeClr w14:val="tx1"/>
                  </w14:solidFill>
                </w14:textFill>
              </w:rPr>
            </w:pPr>
          </w:p>
        </w:tc>
      </w:tr>
      <w:tr w14:paraId="396782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340" w:type="pct"/>
            <w:vMerge w:val="continue"/>
            <w:vAlign w:val="center"/>
          </w:tcPr>
          <w:p w14:paraId="27089A82">
            <w:pPr>
              <w:pStyle w:val="143"/>
              <w:rPr>
                <w:snapToGrid w:val="0"/>
                <w:color w:val="000000" w:themeColor="text1"/>
                <w:kern w:val="0"/>
                <w14:textFill>
                  <w14:solidFill>
                    <w14:schemeClr w14:val="tx1"/>
                  </w14:solidFill>
                </w14:textFill>
              </w:rPr>
            </w:pPr>
          </w:p>
        </w:tc>
        <w:tc>
          <w:tcPr>
            <w:tcW w:w="2078" w:type="pct"/>
            <w:vAlign w:val="center"/>
          </w:tcPr>
          <w:p w14:paraId="101C21E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3.1.3厂区不宜择易发生洪涝灾害的地区，难以避开时应设计必要的防范措施。</w:t>
            </w:r>
          </w:p>
        </w:tc>
        <w:tc>
          <w:tcPr>
            <w:tcW w:w="2098" w:type="pct"/>
            <w:vAlign w:val="center"/>
          </w:tcPr>
          <w:p w14:paraId="17F96185">
            <w:pPr>
              <w:pStyle w:val="143"/>
              <w:jc w:val="both"/>
              <w:rPr>
                <w:rFonts w:hint="eastAsia"/>
                <w:snapToGrid w:val="0"/>
                <w:color w:val="000000" w:themeColor="text1"/>
                <w:kern w:val="0"/>
                <w:lang w:val="en-US"/>
                <w14:textFill>
                  <w14:solidFill>
                    <w14:schemeClr w14:val="tx1"/>
                  </w14:solidFill>
                </w14:textFill>
              </w:rPr>
            </w:pPr>
            <w:r>
              <w:rPr>
                <w:snapToGrid w:val="0"/>
                <w:color w:val="000000" w:themeColor="text1"/>
                <w:kern w:val="0"/>
                <w14:textFill>
                  <w14:solidFill>
                    <w14:schemeClr w14:val="tx1"/>
                  </w14:solidFill>
                </w14:textFill>
              </w:rPr>
              <w:t>项目位于园区内，</w:t>
            </w:r>
            <w:r>
              <w:rPr>
                <w:rFonts w:hint="eastAsia"/>
                <w:snapToGrid w:val="0"/>
                <w:color w:val="000000" w:themeColor="text1"/>
                <w:kern w:val="0"/>
                <w:lang w:eastAsia="zh-CN"/>
                <w14:textFill>
                  <w14:solidFill>
                    <w14:schemeClr w14:val="tx1"/>
                  </w14:solidFill>
                </w14:textFill>
              </w:rPr>
              <w:t>园区设置了完善的防洪规划，</w:t>
            </w:r>
            <w:r>
              <w:rPr>
                <w:snapToGrid w:val="0"/>
                <w:color w:val="000000" w:themeColor="text1"/>
                <w:kern w:val="0"/>
                <w:lang w:val="en-US"/>
                <w14:textFill>
                  <w14:solidFill>
                    <w14:schemeClr w14:val="tx1"/>
                  </w14:solidFill>
                </w14:textFill>
              </w:rPr>
              <w:t>规划</w:t>
            </w:r>
            <w:r>
              <w:rPr>
                <w:rFonts w:hint="eastAsia"/>
                <w:snapToGrid w:val="0"/>
                <w:color w:val="000000" w:themeColor="text1"/>
                <w:kern w:val="0"/>
                <w:lang w:val="en-US"/>
                <w14:textFill>
                  <w14:solidFill>
                    <w14:schemeClr w14:val="tx1"/>
                  </w14:solidFill>
                </w14:textFill>
              </w:rPr>
              <w:t>规划加固修建八虎力河堤防，综合整治八虎力河。优先考虑地表的排水河渠作为涝水行泄通道，将新兴干渠、三合干渠与河道</w:t>
            </w:r>
          </w:p>
          <w:p w14:paraId="224D68FF">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连通，合理布置排涝泵站，并发挥绿色生态空间的调蓄作用，提升流域防洪能力</w:t>
            </w:r>
          </w:p>
        </w:tc>
        <w:tc>
          <w:tcPr>
            <w:tcW w:w="484" w:type="pct"/>
            <w:vAlign w:val="center"/>
          </w:tcPr>
          <w:p w14:paraId="0EC1BC7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r w14:paraId="7BB592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340" w:type="pct"/>
            <w:vMerge w:val="continue"/>
            <w:vAlign w:val="center"/>
          </w:tcPr>
          <w:p w14:paraId="5300E38E">
            <w:pPr>
              <w:pStyle w:val="143"/>
              <w:rPr>
                <w:snapToGrid w:val="0"/>
                <w:color w:val="000000" w:themeColor="text1"/>
                <w:kern w:val="0"/>
                <w14:textFill>
                  <w14:solidFill>
                    <w14:schemeClr w14:val="tx1"/>
                  </w14:solidFill>
                </w14:textFill>
              </w:rPr>
            </w:pPr>
          </w:p>
        </w:tc>
        <w:tc>
          <w:tcPr>
            <w:tcW w:w="2078" w:type="pct"/>
            <w:vAlign w:val="center"/>
          </w:tcPr>
          <w:p w14:paraId="64269A2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3.1.4厂区周围不宜有虫害大量孳生的潜在场所，难以避开时应设计必要的防范措施。</w:t>
            </w:r>
          </w:p>
        </w:tc>
        <w:tc>
          <w:tcPr>
            <w:tcW w:w="2098" w:type="pct"/>
            <w:vAlign w:val="center"/>
          </w:tcPr>
          <w:p w14:paraId="37F47C4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周围环境较好，厂房离园区绿化带都有一定距离，无蚊虫滋生</w:t>
            </w:r>
          </w:p>
        </w:tc>
        <w:tc>
          <w:tcPr>
            <w:tcW w:w="484" w:type="pct"/>
            <w:vAlign w:val="center"/>
          </w:tcPr>
          <w:p w14:paraId="395136F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r w14:paraId="510948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0" w:hRule="atLeast"/>
        </w:trPr>
        <w:tc>
          <w:tcPr>
            <w:tcW w:w="340" w:type="pct"/>
            <w:vMerge w:val="restart"/>
            <w:vAlign w:val="center"/>
          </w:tcPr>
          <w:p w14:paraId="7FBDF42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3.2厂区环境</w:t>
            </w:r>
          </w:p>
        </w:tc>
        <w:tc>
          <w:tcPr>
            <w:tcW w:w="2078" w:type="pct"/>
            <w:vAlign w:val="center"/>
          </w:tcPr>
          <w:p w14:paraId="354D20E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3.2.1应考虑环境给食品生产带来的潜在污染风险，并采取适当的措施将其降至最低水平。</w:t>
            </w:r>
          </w:p>
        </w:tc>
        <w:tc>
          <w:tcPr>
            <w:tcW w:w="2098" w:type="pct"/>
            <w:vAlign w:val="center"/>
          </w:tcPr>
          <w:p w14:paraId="6AF47E42">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本项目周围环境较好，不存在给食品生产带来的潜在污染风险</w:t>
            </w:r>
          </w:p>
        </w:tc>
        <w:tc>
          <w:tcPr>
            <w:tcW w:w="484" w:type="pct"/>
            <w:vAlign w:val="center"/>
          </w:tcPr>
          <w:p w14:paraId="409C8E3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r w14:paraId="0124DC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0" w:type="pct"/>
            <w:vMerge w:val="continue"/>
            <w:vAlign w:val="center"/>
          </w:tcPr>
          <w:p w14:paraId="6C399783">
            <w:pPr>
              <w:pStyle w:val="143"/>
              <w:rPr>
                <w:snapToGrid w:val="0"/>
                <w:color w:val="000000" w:themeColor="text1"/>
                <w:kern w:val="0"/>
                <w14:textFill>
                  <w14:solidFill>
                    <w14:schemeClr w14:val="tx1"/>
                  </w14:solidFill>
                </w14:textFill>
              </w:rPr>
            </w:pPr>
          </w:p>
        </w:tc>
        <w:tc>
          <w:tcPr>
            <w:tcW w:w="2078" w:type="pct"/>
            <w:vAlign w:val="center"/>
          </w:tcPr>
          <w:p w14:paraId="787676A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3.2.2厂区应合理布局，各功能区域划分明显并有适当的分离或分隔措施，防止交叉污染。</w:t>
            </w:r>
          </w:p>
        </w:tc>
        <w:tc>
          <w:tcPr>
            <w:tcW w:w="2098" w:type="pct"/>
            <w:vAlign w:val="center"/>
          </w:tcPr>
          <w:p w14:paraId="73B2941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本项目分区生产，功能区域划分明显，有隔离措施</w:t>
            </w:r>
          </w:p>
        </w:tc>
        <w:tc>
          <w:tcPr>
            <w:tcW w:w="484" w:type="pct"/>
            <w:vAlign w:val="center"/>
          </w:tcPr>
          <w:p w14:paraId="24E85C2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r w14:paraId="26D8B9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0" w:hRule="atLeast"/>
        </w:trPr>
        <w:tc>
          <w:tcPr>
            <w:tcW w:w="340" w:type="pct"/>
            <w:vMerge w:val="continue"/>
            <w:vAlign w:val="center"/>
          </w:tcPr>
          <w:p w14:paraId="7E367B22">
            <w:pPr>
              <w:pStyle w:val="143"/>
              <w:rPr>
                <w:snapToGrid w:val="0"/>
                <w:color w:val="000000" w:themeColor="text1"/>
                <w:kern w:val="0"/>
                <w14:textFill>
                  <w14:solidFill>
                    <w14:schemeClr w14:val="tx1"/>
                  </w14:solidFill>
                </w14:textFill>
              </w:rPr>
            </w:pPr>
          </w:p>
        </w:tc>
        <w:tc>
          <w:tcPr>
            <w:tcW w:w="2078" w:type="pct"/>
            <w:vAlign w:val="center"/>
          </w:tcPr>
          <w:p w14:paraId="0B1EB414">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3.2.3厂区内的道路应铺设混凝土、沥青、或者其他硬质材料；空地应采取必要措施，如铺设水泥、地砖或铺设草坪等方式，保持环境清洁，防止正常天气下扬尘和积水等现象的发生。</w:t>
            </w:r>
          </w:p>
        </w:tc>
        <w:tc>
          <w:tcPr>
            <w:tcW w:w="2098" w:type="pct"/>
            <w:vAlign w:val="center"/>
          </w:tcPr>
          <w:p w14:paraId="33EF117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w:t>
            </w:r>
            <w:r>
              <w:rPr>
                <w:snapToGrid w:val="0"/>
                <w:color w:val="000000" w:themeColor="text1"/>
                <w:kern w:val="0"/>
                <w:lang w:val="en-US"/>
                <w14:textFill>
                  <w14:solidFill>
                    <w14:schemeClr w14:val="tx1"/>
                  </w14:solidFill>
                </w14:textFill>
              </w:rPr>
              <w:t>厂区内的道路</w:t>
            </w:r>
            <w:r>
              <w:rPr>
                <w:rFonts w:hint="eastAsia"/>
                <w:snapToGrid w:val="0"/>
                <w:color w:val="000000" w:themeColor="text1"/>
                <w:kern w:val="0"/>
                <w:lang w:val="en-US" w:eastAsia="zh-CN"/>
                <w14:textFill>
                  <w14:solidFill>
                    <w14:schemeClr w14:val="tx1"/>
                  </w14:solidFill>
                </w14:textFill>
              </w:rPr>
              <w:t>采取</w:t>
            </w:r>
            <w:r>
              <w:rPr>
                <w:snapToGrid w:val="0"/>
                <w:color w:val="000000" w:themeColor="text1"/>
                <w:kern w:val="0"/>
                <w:lang w:val="en-US"/>
                <w14:textFill>
                  <w14:solidFill>
                    <w14:schemeClr w14:val="tx1"/>
                  </w14:solidFill>
                </w14:textFill>
              </w:rPr>
              <w:t>混凝土</w:t>
            </w:r>
            <w:r>
              <w:rPr>
                <w:rFonts w:hint="eastAsia"/>
                <w:snapToGrid w:val="0"/>
                <w:color w:val="000000" w:themeColor="text1"/>
                <w:kern w:val="0"/>
                <w:lang w:val="en-US" w:eastAsia="zh-CN"/>
                <w14:textFill>
                  <w14:solidFill>
                    <w14:schemeClr w14:val="tx1"/>
                  </w14:solidFill>
                </w14:textFill>
              </w:rPr>
              <w:t>硬化地面，空地采取水泥及草坪绿化方式</w:t>
            </w:r>
            <w:r>
              <w:rPr>
                <w:snapToGrid w:val="0"/>
                <w:color w:val="000000" w:themeColor="text1"/>
                <w:kern w:val="0"/>
                <w14:textFill>
                  <w14:solidFill>
                    <w14:schemeClr w14:val="tx1"/>
                  </w14:solidFill>
                </w14:textFill>
              </w:rPr>
              <w:t>，区域环境较好</w:t>
            </w:r>
          </w:p>
        </w:tc>
        <w:tc>
          <w:tcPr>
            <w:tcW w:w="484" w:type="pct"/>
            <w:vAlign w:val="center"/>
          </w:tcPr>
          <w:p w14:paraId="757F11B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r w14:paraId="31EC1B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340" w:type="pct"/>
            <w:vMerge w:val="continue"/>
            <w:vAlign w:val="center"/>
          </w:tcPr>
          <w:p w14:paraId="63592F31">
            <w:pPr>
              <w:pStyle w:val="143"/>
              <w:rPr>
                <w:snapToGrid w:val="0"/>
                <w:color w:val="000000" w:themeColor="text1"/>
                <w:kern w:val="0"/>
                <w14:textFill>
                  <w14:solidFill>
                    <w14:schemeClr w14:val="tx1"/>
                  </w14:solidFill>
                </w14:textFill>
              </w:rPr>
            </w:pPr>
          </w:p>
        </w:tc>
        <w:tc>
          <w:tcPr>
            <w:tcW w:w="2078" w:type="pct"/>
            <w:vAlign w:val="center"/>
          </w:tcPr>
          <w:p w14:paraId="6F744DD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3.2.4厂区绿化应与生产车间保持适当距离，植被应定期维护，以防止虫害的孳生。</w:t>
            </w:r>
          </w:p>
        </w:tc>
        <w:tc>
          <w:tcPr>
            <w:tcW w:w="2098" w:type="pct"/>
            <w:vAlign w:val="center"/>
          </w:tcPr>
          <w:p w14:paraId="5BDBA95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本项目位于</w:t>
            </w:r>
            <w:r>
              <w:rPr>
                <w:rFonts w:hint="eastAsia"/>
                <w:snapToGrid w:val="0"/>
                <w:color w:val="000000" w:themeColor="text1"/>
                <w:kern w:val="0"/>
                <w:lang w:eastAsia="zh-CN"/>
                <w14:textFill>
                  <w14:solidFill>
                    <w14:schemeClr w14:val="tx1"/>
                  </w14:solidFill>
                </w14:textFill>
              </w:rPr>
              <w:t>厂区内各</w:t>
            </w:r>
            <w:r>
              <w:rPr>
                <w:snapToGrid w:val="0"/>
                <w:color w:val="000000" w:themeColor="text1"/>
                <w:kern w:val="0"/>
                <w14:textFill>
                  <w14:solidFill>
                    <w14:schemeClr w14:val="tx1"/>
                  </w14:solidFill>
                </w14:textFill>
              </w:rPr>
              <w:t>厂房周边绿化保持适当距离，并定期维护。</w:t>
            </w:r>
          </w:p>
        </w:tc>
        <w:tc>
          <w:tcPr>
            <w:tcW w:w="484" w:type="pct"/>
            <w:vAlign w:val="center"/>
          </w:tcPr>
          <w:p w14:paraId="14FC664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r w14:paraId="08CF78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340" w:type="pct"/>
            <w:vMerge w:val="continue"/>
            <w:vAlign w:val="center"/>
          </w:tcPr>
          <w:p w14:paraId="49EC38DE">
            <w:pPr>
              <w:pStyle w:val="143"/>
              <w:rPr>
                <w:snapToGrid w:val="0"/>
                <w:color w:val="000000" w:themeColor="text1"/>
                <w:kern w:val="0"/>
                <w14:textFill>
                  <w14:solidFill>
                    <w14:schemeClr w14:val="tx1"/>
                  </w14:solidFill>
                </w14:textFill>
              </w:rPr>
            </w:pPr>
          </w:p>
        </w:tc>
        <w:tc>
          <w:tcPr>
            <w:tcW w:w="2078" w:type="pct"/>
            <w:vAlign w:val="center"/>
          </w:tcPr>
          <w:p w14:paraId="064E668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3.2.5厂区应有适当的排水系统。</w:t>
            </w:r>
          </w:p>
        </w:tc>
        <w:tc>
          <w:tcPr>
            <w:tcW w:w="2098" w:type="pct"/>
            <w:vAlign w:val="center"/>
          </w:tcPr>
          <w:p w14:paraId="08C026A2">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w:t>
            </w:r>
            <w:r>
              <w:rPr>
                <w:rFonts w:hint="eastAsia"/>
                <w:snapToGrid w:val="0"/>
                <w:color w:val="000000" w:themeColor="text1"/>
                <w:kern w:val="0"/>
                <w:lang w:eastAsia="zh-CN"/>
                <w14:textFill>
                  <w14:solidFill>
                    <w14:schemeClr w14:val="tx1"/>
                  </w14:solidFill>
                </w14:textFill>
              </w:rPr>
              <w:t>排水系统设置</w:t>
            </w:r>
            <w:r>
              <w:rPr>
                <w:snapToGrid w:val="0"/>
                <w:color w:val="000000" w:themeColor="text1"/>
                <w:kern w:val="0"/>
                <w14:textFill>
                  <w14:solidFill>
                    <w14:schemeClr w14:val="tx1"/>
                  </w14:solidFill>
                </w14:textFill>
              </w:rPr>
              <w:t>雨污分流，处理达标后</w:t>
            </w:r>
            <w:r>
              <w:rPr>
                <w:rFonts w:hint="eastAsia"/>
                <w:snapToGrid w:val="0"/>
                <w:color w:val="000000" w:themeColor="text1"/>
                <w:kern w:val="0"/>
                <w:lang w:eastAsia="zh-CN"/>
                <w14:textFill>
                  <w14:solidFill>
                    <w14:schemeClr w14:val="tx1"/>
                  </w14:solidFill>
                </w14:textFill>
              </w:rPr>
              <w:t>排入市政管网</w:t>
            </w:r>
            <w:r>
              <w:rPr>
                <w:snapToGrid w:val="0"/>
                <w:color w:val="000000" w:themeColor="text1"/>
                <w:kern w:val="0"/>
                <w14:textFill>
                  <w14:solidFill>
                    <w14:schemeClr w14:val="tx1"/>
                  </w14:solidFill>
                </w14:textFill>
              </w:rPr>
              <w:t>。</w:t>
            </w:r>
          </w:p>
        </w:tc>
        <w:tc>
          <w:tcPr>
            <w:tcW w:w="484" w:type="pct"/>
            <w:vAlign w:val="center"/>
          </w:tcPr>
          <w:p w14:paraId="4E96C34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r w14:paraId="28868E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340" w:type="pct"/>
            <w:vMerge w:val="continue"/>
            <w:vAlign w:val="center"/>
          </w:tcPr>
          <w:p w14:paraId="1A5C2428">
            <w:pPr>
              <w:pStyle w:val="143"/>
              <w:rPr>
                <w:snapToGrid w:val="0"/>
                <w:color w:val="000000" w:themeColor="text1"/>
                <w:kern w:val="0"/>
                <w14:textFill>
                  <w14:solidFill>
                    <w14:schemeClr w14:val="tx1"/>
                  </w14:solidFill>
                </w14:textFill>
              </w:rPr>
            </w:pPr>
          </w:p>
        </w:tc>
        <w:tc>
          <w:tcPr>
            <w:tcW w:w="2078" w:type="pct"/>
            <w:vAlign w:val="center"/>
          </w:tcPr>
          <w:p w14:paraId="5BE3C7A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3.2.6宿舍、食堂、职工娱乐设施等生活区应与生产区保持适当距离或分隔。</w:t>
            </w:r>
          </w:p>
        </w:tc>
        <w:tc>
          <w:tcPr>
            <w:tcW w:w="2098" w:type="pct"/>
            <w:vAlign w:val="center"/>
          </w:tcPr>
          <w:p w14:paraId="4C6F498E">
            <w:pPr>
              <w:pStyle w:val="143"/>
              <w:jc w:val="both"/>
              <w:rPr>
                <w:rFonts w:hint="eastAsia" w:eastAsia="宋体"/>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本项目宿舍、食堂、职工娱乐设施等生活区与生产区</w:t>
            </w:r>
            <w:r>
              <w:rPr>
                <w:rFonts w:hint="eastAsia"/>
                <w:snapToGrid w:val="0"/>
                <w:color w:val="000000" w:themeColor="text1"/>
                <w:kern w:val="0"/>
                <w:lang w:eastAsia="zh-CN"/>
                <w14:textFill>
                  <w14:solidFill>
                    <w14:schemeClr w14:val="tx1"/>
                  </w14:solidFill>
                </w14:textFill>
              </w:rPr>
              <w:t>均</w:t>
            </w:r>
            <w:r>
              <w:rPr>
                <w:snapToGrid w:val="0"/>
                <w:color w:val="000000" w:themeColor="text1"/>
                <w:kern w:val="0"/>
                <w14:textFill>
                  <w14:solidFill>
                    <w14:schemeClr w14:val="tx1"/>
                  </w14:solidFill>
                </w14:textFill>
              </w:rPr>
              <w:t>保持适当距离或分隔</w:t>
            </w:r>
            <w:r>
              <w:rPr>
                <w:rFonts w:hint="eastAsia"/>
                <w:snapToGrid w:val="0"/>
                <w:color w:val="000000" w:themeColor="text1"/>
                <w:kern w:val="0"/>
                <w:lang w:eastAsia="zh-CN"/>
                <w14:textFill>
                  <w14:solidFill>
                    <w14:schemeClr w14:val="tx1"/>
                  </w14:solidFill>
                </w14:textFill>
              </w:rPr>
              <w:t>。</w:t>
            </w:r>
          </w:p>
        </w:tc>
        <w:tc>
          <w:tcPr>
            <w:tcW w:w="484" w:type="pct"/>
            <w:vAlign w:val="center"/>
          </w:tcPr>
          <w:p w14:paraId="6465980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符合</w:t>
            </w:r>
          </w:p>
        </w:tc>
      </w:tr>
    </w:tbl>
    <w:p w14:paraId="3A553C40">
      <w:pPr>
        <w:pStyle w:val="85"/>
        <w:rPr>
          <w:color w:val="000000" w:themeColor="text1"/>
          <w14:textFill>
            <w14:solidFill>
              <w14:schemeClr w14:val="tx1"/>
            </w14:solidFill>
          </w14:textFill>
        </w:rPr>
      </w:pPr>
      <w:r>
        <w:rPr>
          <w:color w:val="000000" w:themeColor="text1"/>
          <w14:textFill>
            <w14:solidFill>
              <w14:schemeClr w14:val="tx1"/>
            </w14:solidFill>
          </w14:textFill>
        </w:rPr>
        <w:t>根据上表，本项目选址符合《食品安全国家标准 食品生产通用卫生规范》（GB14881-2013）中选址要求。</w:t>
      </w:r>
    </w:p>
    <w:p w14:paraId="7531F590">
      <w:pPr>
        <w:pStyle w:val="85"/>
        <w:rPr>
          <w:color w:val="000000" w:themeColor="text1"/>
          <w14:textFill>
            <w14:solidFill>
              <w14:schemeClr w14:val="tx1"/>
            </w14:solidFill>
          </w14:textFill>
        </w:rPr>
      </w:pPr>
      <w:r>
        <w:rPr>
          <w:color w:val="000000" w:themeColor="text1"/>
          <w14:textFill>
            <w14:solidFill>
              <w14:schemeClr w14:val="tx1"/>
            </w14:solidFill>
          </w14:textFill>
        </w:rPr>
        <w:t>综上</w:t>
      </w:r>
      <w:r>
        <w:rPr>
          <w:rFonts w:hint="eastAsia"/>
          <w:color w:val="000000" w:themeColor="text1"/>
          <w14:textFill>
            <w14:solidFill>
              <w14:schemeClr w14:val="tx1"/>
            </w14:solidFill>
          </w14:textFill>
        </w:rPr>
        <w:t>所述</w:t>
      </w:r>
      <w:r>
        <w:rPr>
          <w:color w:val="000000" w:themeColor="text1"/>
          <w14:textFill>
            <w14:solidFill>
              <w14:schemeClr w14:val="tx1"/>
            </w14:solidFill>
          </w14:textFill>
        </w:rPr>
        <w:t>，项目所在区域不属于生活饮用水源和地下水补给区、风景名胜区、温泉疗养区、水产养殖区、基本农田保护区、自然保护区等需要特殊保护区域，项目所在区域环境敏感程度一般。项目与周边环境相容性良好，保证各设施正常运行，实现各项污染物达标排放，加强环境管理，则项目的建设在环保方面是可行的，故项目选址合理。</w:t>
      </w:r>
    </w:p>
    <w:p w14:paraId="3F8BDAB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综上分析，本项目选址从环保角度来讲可行。</w:t>
      </w:r>
    </w:p>
    <w:p w14:paraId="36A6790C">
      <w:pPr>
        <w:pStyle w:val="5"/>
        <w:rPr>
          <w:snapToGrid w:val="0"/>
          <w:color w:val="auto"/>
        </w:rPr>
      </w:pPr>
      <w:bookmarkStart w:id="22" w:name="_Toc29723"/>
      <w:r>
        <w:rPr>
          <w:rFonts w:hint="eastAsia"/>
          <w:snapToGrid w:val="0"/>
          <w:color w:val="auto"/>
        </w:rPr>
        <w:t>1.5关注</w:t>
      </w:r>
      <w:r>
        <w:rPr>
          <w:snapToGrid w:val="0"/>
          <w:color w:val="auto"/>
        </w:rPr>
        <w:t>的主要环境问题及环境影响</w:t>
      </w:r>
      <w:bookmarkEnd w:id="22"/>
    </w:p>
    <w:p w14:paraId="3ECBB144">
      <w:pPr>
        <w:pStyle w:val="85"/>
        <w:rPr>
          <w:color w:val="auto"/>
        </w:rPr>
      </w:pPr>
      <w:r>
        <w:rPr>
          <w:rFonts w:hint="eastAsia"/>
          <w:color w:val="auto"/>
        </w:rPr>
        <w:t>根据本项目工程特点和项目周边环境现状，关注的主要问题为：</w:t>
      </w:r>
    </w:p>
    <w:p w14:paraId="77388BB0">
      <w:pPr>
        <w:pStyle w:val="85"/>
        <w:rPr>
          <w:color w:val="auto"/>
        </w:rPr>
      </w:pPr>
      <w:r>
        <w:rPr>
          <w:color w:val="auto"/>
        </w:rPr>
        <w:t>（一）施工期</w:t>
      </w:r>
    </w:p>
    <w:p w14:paraId="4F53CE5B">
      <w:pPr>
        <w:pStyle w:val="85"/>
        <w:rPr>
          <w:bCs/>
          <w:color w:val="auto"/>
        </w:rPr>
      </w:pPr>
      <w:r>
        <w:rPr>
          <w:bCs/>
          <w:color w:val="auto"/>
        </w:rPr>
        <w:t>（1）各类建材及土石方进出施工现场带来的扬尘影响；</w:t>
      </w:r>
    </w:p>
    <w:p w14:paraId="5D2056CB">
      <w:pPr>
        <w:pStyle w:val="85"/>
        <w:rPr>
          <w:bCs/>
          <w:color w:val="auto"/>
        </w:rPr>
      </w:pPr>
      <w:r>
        <w:rPr>
          <w:bCs/>
          <w:color w:val="auto"/>
        </w:rPr>
        <w:t>（2）施工人员生活污水排放对环境造成的影响；</w:t>
      </w:r>
    </w:p>
    <w:p w14:paraId="3CAE8C81">
      <w:pPr>
        <w:pStyle w:val="85"/>
        <w:rPr>
          <w:bCs/>
          <w:color w:val="auto"/>
        </w:rPr>
      </w:pPr>
      <w:r>
        <w:rPr>
          <w:bCs/>
          <w:color w:val="auto"/>
        </w:rPr>
        <w:t>（3）各类建筑机械噪声对周围声环境造成一定影响；</w:t>
      </w:r>
    </w:p>
    <w:p w14:paraId="0F50F3C7">
      <w:pPr>
        <w:pStyle w:val="85"/>
        <w:rPr>
          <w:bCs/>
          <w:color w:val="auto"/>
        </w:rPr>
      </w:pPr>
      <w:r>
        <w:rPr>
          <w:bCs/>
          <w:color w:val="auto"/>
        </w:rPr>
        <w:t>（4）因土方开挖而造成土方增加</w:t>
      </w:r>
      <w:r>
        <w:rPr>
          <w:rFonts w:hint="eastAsia"/>
          <w:bCs/>
          <w:color w:val="auto"/>
        </w:rPr>
        <w:t>造成</w:t>
      </w:r>
      <w:r>
        <w:rPr>
          <w:bCs/>
          <w:color w:val="auto"/>
        </w:rPr>
        <w:t>的水土流失影响；</w:t>
      </w:r>
    </w:p>
    <w:p w14:paraId="2FA4D4A3">
      <w:pPr>
        <w:pStyle w:val="85"/>
        <w:rPr>
          <w:color w:val="auto"/>
        </w:rPr>
      </w:pPr>
      <w:r>
        <w:rPr>
          <w:rFonts w:hint="eastAsia"/>
          <w:bCs/>
          <w:color w:val="auto"/>
        </w:rPr>
        <w:t>（5）</w:t>
      </w:r>
      <w:r>
        <w:rPr>
          <w:bCs/>
          <w:color w:val="auto"/>
        </w:rPr>
        <w:t>建筑过程中产生的建筑垃圾对环境造成的影</w:t>
      </w:r>
      <w:r>
        <w:rPr>
          <w:color w:val="auto"/>
        </w:rPr>
        <w:t>响。</w:t>
      </w:r>
    </w:p>
    <w:p w14:paraId="617E45A8">
      <w:pPr>
        <w:pStyle w:val="85"/>
        <w:rPr>
          <w:color w:val="auto"/>
        </w:rPr>
      </w:pPr>
      <w:r>
        <w:rPr>
          <w:color w:val="auto"/>
        </w:rPr>
        <w:t>（二）营运期</w:t>
      </w:r>
    </w:p>
    <w:p w14:paraId="44433312">
      <w:pPr>
        <w:pStyle w:val="85"/>
        <w:rPr>
          <w:color w:val="auto"/>
        </w:rPr>
      </w:pPr>
      <w:r>
        <w:rPr>
          <w:color w:val="auto"/>
        </w:rPr>
        <w:t>（1）</w:t>
      </w:r>
      <w:r>
        <w:rPr>
          <w:rFonts w:hint="eastAsia"/>
          <w:color w:val="auto"/>
        </w:rPr>
        <w:t>废水：生活污水</w:t>
      </w:r>
      <w:r>
        <w:rPr>
          <w:rFonts w:hint="eastAsia"/>
          <w:color w:val="auto"/>
          <w:lang w:eastAsia="zh-CN"/>
        </w:rPr>
        <w:t>、</w:t>
      </w:r>
      <w:r>
        <w:rPr>
          <w:rFonts w:hint="eastAsia"/>
          <w:color w:val="auto"/>
          <w:lang w:val="en-US" w:eastAsia="zh-CN"/>
        </w:rPr>
        <w:t>食堂废水</w:t>
      </w:r>
      <w:r>
        <w:rPr>
          <w:rFonts w:hint="eastAsia"/>
          <w:color w:val="auto"/>
        </w:rPr>
        <w:t>和生产废水等对地表水体的影响和自建污水处理站的处理工艺可行性，生产废水主要为</w:t>
      </w:r>
      <w:r>
        <w:rPr>
          <w:color w:val="auto"/>
        </w:rPr>
        <w:t>车间地面冲洗废水、CO</w:t>
      </w:r>
      <w:r>
        <w:rPr>
          <w:color w:val="auto"/>
          <w:vertAlign w:val="subscript"/>
        </w:rPr>
        <w:t>2</w:t>
      </w:r>
      <w:r>
        <w:rPr>
          <w:color w:val="auto"/>
        </w:rPr>
        <w:t>回收系统洗气废水、啤酒生产工艺废水、CIP清洗废水、玻璃瓶清洗废水、化验室废水、锅炉废水及软水制备废水、纯水制备废水</w:t>
      </w:r>
      <w:r>
        <w:rPr>
          <w:rFonts w:hint="eastAsia"/>
          <w:color w:val="auto"/>
        </w:rPr>
        <w:t>。</w:t>
      </w:r>
    </w:p>
    <w:p w14:paraId="610B08BD">
      <w:pPr>
        <w:pStyle w:val="85"/>
        <w:rPr>
          <w:color w:val="auto"/>
        </w:rPr>
      </w:pPr>
      <w:r>
        <w:rPr>
          <w:color w:val="auto"/>
        </w:rPr>
        <w:t>（2）</w:t>
      </w:r>
      <w:r>
        <w:rPr>
          <w:rFonts w:hint="eastAsia"/>
          <w:color w:val="auto"/>
        </w:rPr>
        <w:t>废气：污水处理站恶臭气体、发酵车间</w:t>
      </w:r>
      <w:r>
        <w:rPr>
          <w:color w:val="auto"/>
        </w:rPr>
        <w:t>废气</w:t>
      </w:r>
      <w:r>
        <w:rPr>
          <w:rFonts w:hint="eastAsia"/>
          <w:color w:val="auto"/>
        </w:rPr>
        <w:t>、锅炉烟气、原料处理间粉尘、沼气燃烧废气</w:t>
      </w:r>
      <w:r>
        <w:rPr>
          <w:rFonts w:hint="eastAsia"/>
          <w:color w:val="auto"/>
          <w:lang w:eastAsia="zh-CN"/>
        </w:rPr>
        <w:t>、</w:t>
      </w:r>
      <w:r>
        <w:rPr>
          <w:rFonts w:hint="eastAsia"/>
          <w:color w:val="auto"/>
          <w:lang w:val="en-US" w:eastAsia="zh-CN"/>
        </w:rPr>
        <w:t>食堂油烟、柴油发电机废气</w:t>
      </w:r>
      <w:r>
        <w:rPr>
          <w:rFonts w:hint="eastAsia"/>
          <w:color w:val="auto"/>
        </w:rPr>
        <w:t>控制和处理措施。</w:t>
      </w:r>
    </w:p>
    <w:p w14:paraId="7F5B1445">
      <w:pPr>
        <w:pStyle w:val="85"/>
        <w:rPr>
          <w:color w:val="auto"/>
        </w:rPr>
      </w:pPr>
      <w:r>
        <w:rPr>
          <w:color w:val="auto"/>
        </w:rPr>
        <w:t>（3）</w:t>
      </w:r>
      <w:r>
        <w:rPr>
          <w:rFonts w:hint="eastAsia"/>
          <w:color w:val="auto"/>
        </w:rPr>
        <w:t>噪声：</w:t>
      </w:r>
      <w:r>
        <w:rPr>
          <w:rFonts w:hint="eastAsia"/>
          <w:color w:val="auto"/>
          <w:lang w:val="en-US" w:eastAsia="zh-CN"/>
        </w:rPr>
        <w:t>斗提机、</w:t>
      </w:r>
      <w:r>
        <w:rPr>
          <w:color w:val="auto"/>
        </w:rPr>
        <w:t>粉碎机、</w:t>
      </w:r>
      <w:r>
        <w:rPr>
          <w:rFonts w:ascii="Segoe UI Emoji" w:hAnsi="Segoe UI Emoji" w:eastAsia="Segoe UI Emoji" w:cs="Segoe UI Emoji"/>
          <w:i w:val="0"/>
          <w:iCs w:val="0"/>
          <w:caps w:val="0"/>
          <w:color w:val="auto"/>
          <w:spacing w:val="0"/>
          <w:sz w:val="24"/>
          <w:szCs w:val="24"/>
        </w:rPr>
        <w:t>糊化锅</w:t>
      </w:r>
      <w:r>
        <w:rPr>
          <w:rFonts w:hint="eastAsia" w:ascii="Segoe UI Emoji" w:hAnsi="Segoe UI Emoji" w:eastAsia="宋体" w:cs="Segoe UI Emoji"/>
          <w:i w:val="0"/>
          <w:iCs w:val="0"/>
          <w:caps w:val="0"/>
          <w:color w:val="auto"/>
          <w:spacing w:val="0"/>
          <w:sz w:val="24"/>
          <w:szCs w:val="24"/>
          <w:lang w:eastAsia="zh-CN"/>
        </w:rPr>
        <w:t>、</w:t>
      </w:r>
      <w:r>
        <w:rPr>
          <w:rFonts w:ascii="Segoe UI Emoji" w:hAnsi="Segoe UI Emoji" w:eastAsia="Segoe UI Emoji" w:cs="Segoe UI Emoji"/>
          <w:i w:val="0"/>
          <w:iCs w:val="0"/>
          <w:caps w:val="0"/>
          <w:color w:val="auto"/>
          <w:spacing w:val="0"/>
          <w:sz w:val="24"/>
          <w:szCs w:val="24"/>
        </w:rPr>
        <w:t>糖化锅</w:t>
      </w:r>
      <w:r>
        <w:rPr>
          <w:rFonts w:hint="eastAsia" w:ascii="Segoe UI Emoji" w:hAnsi="Segoe UI Emoji" w:eastAsia="宋体" w:cs="Segoe UI Emoji"/>
          <w:i w:val="0"/>
          <w:iCs w:val="0"/>
          <w:caps w:val="0"/>
          <w:color w:val="auto"/>
          <w:spacing w:val="0"/>
          <w:sz w:val="24"/>
          <w:szCs w:val="24"/>
          <w:lang w:eastAsia="zh-CN"/>
        </w:rPr>
        <w:t>、</w:t>
      </w:r>
      <w:r>
        <w:rPr>
          <w:rFonts w:hint="eastAsia"/>
          <w:color w:val="auto"/>
          <w:lang w:val="en-US" w:eastAsia="zh-CN"/>
        </w:rPr>
        <w:t>离心机、螺杆空压机、</w:t>
      </w:r>
      <w:r>
        <w:rPr>
          <w:snapToGrid w:val="0"/>
          <w:color w:val="auto"/>
          <w:kern w:val="0"/>
          <w:szCs w:val="21"/>
          <w:lang w:val="en-US" w:eastAsia="zh-CN"/>
        </w:rPr>
        <w:t>吸附式干燥机</w:t>
      </w:r>
      <w:r>
        <w:rPr>
          <w:rFonts w:hint="eastAsia"/>
          <w:snapToGrid w:val="0"/>
          <w:color w:val="auto"/>
          <w:kern w:val="0"/>
          <w:szCs w:val="21"/>
          <w:lang w:val="en-US" w:eastAsia="zh-CN"/>
        </w:rPr>
        <w:t>、</w:t>
      </w:r>
      <w:r>
        <w:rPr>
          <w:snapToGrid w:val="0"/>
          <w:color w:val="auto"/>
          <w:kern w:val="0"/>
          <w:szCs w:val="21"/>
          <w:lang w:val="en-US" w:eastAsia="zh-CN"/>
        </w:rPr>
        <w:t>制冷压缩机</w:t>
      </w:r>
      <w:r>
        <w:rPr>
          <w:rFonts w:hint="eastAsia"/>
          <w:snapToGrid w:val="0"/>
          <w:color w:val="auto"/>
          <w:kern w:val="0"/>
          <w:szCs w:val="21"/>
          <w:lang w:val="en-US" w:eastAsia="zh-CN"/>
        </w:rPr>
        <w:t>、</w:t>
      </w:r>
      <w:r>
        <w:rPr>
          <w:color w:val="auto"/>
        </w:rPr>
        <w:t>灌装机、风机、各种泵类等运行噪声对周围声环境</w:t>
      </w:r>
      <w:r>
        <w:rPr>
          <w:rFonts w:hint="eastAsia"/>
          <w:color w:val="auto"/>
        </w:rPr>
        <w:t>和</w:t>
      </w:r>
      <w:r>
        <w:rPr>
          <w:color w:val="auto"/>
        </w:rPr>
        <w:t>敏感目标的影响</w:t>
      </w:r>
      <w:r>
        <w:rPr>
          <w:rFonts w:hint="eastAsia"/>
          <w:color w:val="auto"/>
        </w:rPr>
        <w:t>。</w:t>
      </w:r>
    </w:p>
    <w:p w14:paraId="749C401E">
      <w:pPr>
        <w:pStyle w:val="85"/>
        <w:rPr>
          <w:color w:val="auto"/>
        </w:rPr>
      </w:pPr>
      <w:r>
        <w:rPr>
          <w:color w:val="auto"/>
        </w:rPr>
        <w:t>（4）</w:t>
      </w:r>
      <w:r>
        <w:rPr>
          <w:rFonts w:hint="eastAsia"/>
          <w:color w:val="auto"/>
          <w:lang w:val="en-US" w:eastAsia="zh-CN"/>
        </w:rPr>
        <w:t>生活垃圾、餐厨废弃物以及废油脂、</w:t>
      </w:r>
      <w:r>
        <w:rPr>
          <w:color w:val="auto"/>
        </w:rPr>
        <w:t>杂质、酒糟及废酵母、除尘器收尘、废布袋、污水处理站污泥、废脱硫剂、废包装物、废活性炭、化验室废液、废过滤材料、废离子交换树脂</w:t>
      </w:r>
      <w:r>
        <w:rPr>
          <w:rFonts w:hint="eastAsia"/>
          <w:color w:val="auto"/>
          <w:lang w:val="en-US" w:eastAsia="zh-CN"/>
        </w:rPr>
        <w:t>等</w:t>
      </w:r>
      <w:r>
        <w:rPr>
          <w:rFonts w:hint="eastAsia"/>
          <w:color w:val="auto"/>
        </w:rPr>
        <w:t>危险废物和</w:t>
      </w:r>
      <w:r>
        <w:rPr>
          <w:color w:val="auto"/>
        </w:rPr>
        <w:t>一般固体废物对周围环境的影响</w:t>
      </w:r>
      <w:r>
        <w:rPr>
          <w:rFonts w:hint="eastAsia"/>
          <w:color w:val="auto"/>
        </w:rPr>
        <w:t>及处置</w:t>
      </w:r>
      <w:r>
        <w:rPr>
          <w:color w:val="auto"/>
        </w:rPr>
        <w:t>措施。</w:t>
      </w:r>
    </w:p>
    <w:p w14:paraId="21F1AB46">
      <w:pPr>
        <w:pStyle w:val="5"/>
        <w:rPr>
          <w:snapToGrid w:val="0"/>
          <w:color w:val="auto"/>
        </w:rPr>
      </w:pPr>
      <w:bookmarkStart w:id="23" w:name="_Toc20041"/>
      <w:r>
        <w:rPr>
          <w:rFonts w:hint="eastAsia"/>
          <w:snapToGrid w:val="0"/>
          <w:color w:val="auto"/>
        </w:rPr>
        <w:t>1.6环境</w:t>
      </w:r>
      <w:r>
        <w:rPr>
          <w:snapToGrid w:val="0"/>
          <w:color w:val="auto"/>
        </w:rPr>
        <w:t>影响评价主要结论</w:t>
      </w:r>
      <w:bookmarkEnd w:id="23"/>
    </w:p>
    <w:p w14:paraId="4F44724C">
      <w:pPr>
        <w:pStyle w:val="6"/>
        <w:rPr>
          <w:color w:val="auto"/>
        </w:rPr>
      </w:pPr>
      <w:bookmarkStart w:id="24" w:name="_Toc4520"/>
      <w:r>
        <w:rPr>
          <w:rFonts w:hint="eastAsia"/>
          <w:color w:val="auto"/>
        </w:rPr>
        <w:t>1</w:t>
      </w:r>
      <w:r>
        <w:rPr>
          <w:color w:val="auto"/>
        </w:rPr>
        <w:t>.6.1</w:t>
      </w:r>
      <w:r>
        <w:rPr>
          <w:rFonts w:hint="eastAsia"/>
          <w:color w:val="auto"/>
        </w:rPr>
        <w:t>建设概况</w:t>
      </w:r>
      <w:bookmarkEnd w:id="24"/>
    </w:p>
    <w:p w14:paraId="0F3C1269">
      <w:pPr>
        <w:pStyle w:val="85"/>
        <w:rPr>
          <w:snapToGrid w:val="0"/>
          <w:color w:val="auto"/>
        </w:rPr>
      </w:pPr>
      <w:r>
        <w:rPr>
          <w:rFonts w:hint="eastAsia"/>
          <w:snapToGrid w:val="0"/>
          <w:color w:val="auto"/>
        </w:rPr>
        <w:t>本项目</w:t>
      </w:r>
      <w:r>
        <w:rPr>
          <w:rFonts w:hint="eastAsia"/>
          <w:snapToGrid w:val="0"/>
          <w:color w:val="auto"/>
          <w:lang w:val="en-US" w:eastAsia="zh-CN"/>
        </w:rPr>
        <w:t>为新建项目，位于</w:t>
      </w:r>
      <w:r>
        <w:rPr>
          <w:rFonts w:hint="eastAsia"/>
          <w:snapToGrid w:val="0"/>
          <w:color w:val="auto"/>
          <w:lang w:eastAsia="zh-CN"/>
        </w:rPr>
        <w:t>黑龙江省佳木斯市桦南县经济开发区兴企路东园兴街北，</w:t>
      </w:r>
      <w:r>
        <w:rPr>
          <w:rFonts w:hint="eastAsia"/>
          <w:snapToGrid w:val="0"/>
          <w:color w:val="auto"/>
          <w:lang w:val="en-US" w:eastAsia="zh-CN"/>
        </w:rPr>
        <w:t>新建酿造车间1座、包装车间1座、门卫2座、倒班楼1座、办公楼1座、污水处理站1座。</w:t>
      </w:r>
      <w:r>
        <w:rPr>
          <w:rFonts w:hint="eastAsia"/>
          <w:snapToGrid w:val="0"/>
          <w:color w:val="auto"/>
        </w:rPr>
        <w:t>本项目建成投产后，啤酒产能为3</w:t>
      </w:r>
      <w:r>
        <w:rPr>
          <w:rFonts w:hint="eastAsia"/>
          <w:snapToGrid w:val="0"/>
          <w:color w:val="auto"/>
          <w:lang w:val="en-US" w:eastAsia="zh-CN"/>
        </w:rPr>
        <w:t>0</w:t>
      </w:r>
      <w:r>
        <w:rPr>
          <w:rFonts w:hint="eastAsia"/>
          <w:snapToGrid w:val="0"/>
          <w:color w:val="auto"/>
        </w:rPr>
        <w:t>000kL/a。</w:t>
      </w:r>
    </w:p>
    <w:p w14:paraId="5FCD6DD8">
      <w:pPr>
        <w:pStyle w:val="6"/>
        <w:rPr>
          <w:color w:val="auto"/>
        </w:rPr>
      </w:pPr>
      <w:bookmarkStart w:id="25" w:name="_Toc1731"/>
      <w:r>
        <w:rPr>
          <w:rFonts w:hint="eastAsia"/>
          <w:color w:val="auto"/>
        </w:rPr>
        <w:t>1</w:t>
      </w:r>
      <w:r>
        <w:rPr>
          <w:color w:val="auto"/>
        </w:rPr>
        <w:t>.6.2</w:t>
      </w:r>
      <w:r>
        <w:rPr>
          <w:rFonts w:hint="eastAsia"/>
          <w:color w:val="auto"/>
        </w:rPr>
        <w:t>环境</w:t>
      </w:r>
      <w:r>
        <w:rPr>
          <w:color w:val="auto"/>
        </w:rPr>
        <w:t>质量现状</w:t>
      </w:r>
      <w:bookmarkEnd w:id="25"/>
    </w:p>
    <w:p w14:paraId="4FF63AF8">
      <w:pPr>
        <w:pStyle w:val="7"/>
        <w:rPr>
          <w:color w:val="auto"/>
        </w:rPr>
      </w:pPr>
      <w:r>
        <w:rPr>
          <w:color w:val="auto"/>
        </w:rPr>
        <w:t>1.6.2.1</w:t>
      </w:r>
      <w:r>
        <w:rPr>
          <w:rFonts w:hint="eastAsia"/>
          <w:color w:val="auto"/>
        </w:rPr>
        <w:t>地表水</w:t>
      </w:r>
    </w:p>
    <w:p w14:paraId="004F1032">
      <w:pPr>
        <w:adjustRightInd/>
        <w:snapToGrid/>
        <w:spacing w:line="500" w:lineRule="exact"/>
        <w:rPr>
          <w:rFonts w:cs="宋体"/>
          <w:color w:val="auto"/>
          <w:kern w:val="0"/>
          <w:szCs w:val="24"/>
        </w:rPr>
      </w:pPr>
      <w:r>
        <w:rPr>
          <w:rFonts w:hint="eastAsia" w:cs="Times New Roman"/>
          <w:color w:val="auto"/>
        </w:rPr>
        <w:t>项目所在区域地表水体为</w:t>
      </w:r>
      <w:r>
        <w:rPr>
          <w:rFonts w:hint="eastAsia"/>
          <w:color w:val="auto"/>
          <w:lang w:val="en-US" w:eastAsia="zh-CN"/>
        </w:rPr>
        <w:t>八虎力河</w:t>
      </w:r>
      <w:r>
        <w:rPr>
          <w:rFonts w:hint="eastAsia" w:cs="Times New Roman"/>
          <w:color w:val="auto"/>
        </w:rPr>
        <w:t>，</w:t>
      </w:r>
      <w:r>
        <w:rPr>
          <w:rFonts w:hint="eastAsia"/>
          <w:color w:val="auto"/>
          <w:lang w:val="en-US" w:eastAsia="zh-CN"/>
        </w:rPr>
        <w:t>八虎力河</w:t>
      </w:r>
      <w:r>
        <w:rPr>
          <w:rFonts w:hint="eastAsia" w:cs="Times New Roman"/>
          <w:color w:val="auto"/>
        </w:rPr>
        <w:t>汇入</w:t>
      </w:r>
      <w:r>
        <w:rPr>
          <w:rFonts w:hint="default" w:eastAsia="宋体"/>
          <w:color w:val="auto"/>
          <w:lang w:val="en-US" w:eastAsia="zh-CN"/>
        </w:rPr>
        <w:t>倭肯河</w:t>
      </w:r>
      <w:r>
        <w:rPr>
          <w:rFonts w:hint="eastAsia" w:cs="Times New Roman"/>
          <w:color w:val="auto"/>
        </w:rPr>
        <w:t>，</w:t>
      </w:r>
      <w:r>
        <w:rPr>
          <w:rFonts w:hint="eastAsia" w:cs="Times New Roman"/>
          <w:snapToGrid w:val="0"/>
          <w:color w:val="auto"/>
          <w:kern w:val="0"/>
          <w:lang w:val="en-US" w:eastAsia="zh-CN"/>
        </w:rPr>
        <w:t>根据</w:t>
      </w:r>
      <w:r>
        <w:rPr>
          <w:rFonts w:hint="eastAsia" w:ascii="Times New Roman" w:hAnsi="Times New Roman" w:eastAsia="宋体"/>
          <w:color w:val="auto"/>
          <w:highlight w:val="none"/>
        </w:rPr>
        <w:t>《佳木斯市生态环境质量简报（2024年）》可知</w:t>
      </w:r>
      <w:r>
        <w:rPr>
          <w:rFonts w:hint="eastAsia"/>
          <w:color w:val="auto"/>
          <w:highlight w:val="none"/>
          <w:lang w:eastAsia="zh-CN"/>
        </w:rPr>
        <w:t>：</w:t>
      </w:r>
      <w:r>
        <w:rPr>
          <w:rFonts w:hint="eastAsia" w:cs="Times New Roman"/>
          <w:snapToGrid w:val="0"/>
          <w:color w:val="auto"/>
          <w:kern w:val="0"/>
        </w:rPr>
        <w:t>2024年，黑龙江佳木斯江段干流及支流共4个断面，Ⅰ-Ⅲ类水质 比例为50.0%，无劣Ⅴ类水质断</w:t>
      </w:r>
      <w:r>
        <w:rPr>
          <w:rFonts w:hint="eastAsia" w:cs="Times New Roman"/>
          <w:color w:val="auto"/>
        </w:rPr>
        <w:t>。</w:t>
      </w:r>
    </w:p>
    <w:p w14:paraId="4082FD08">
      <w:pPr>
        <w:pStyle w:val="7"/>
        <w:rPr>
          <w:color w:val="auto"/>
        </w:rPr>
      </w:pPr>
      <w:r>
        <w:rPr>
          <w:color w:val="auto"/>
        </w:rPr>
        <w:t>1.6.2.2</w:t>
      </w:r>
      <w:r>
        <w:rPr>
          <w:rFonts w:hint="eastAsia"/>
          <w:color w:val="auto"/>
        </w:rPr>
        <w:t>地下水</w:t>
      </w:r>
    </w:p>
    <w:p w14:paraId="2E6539C6">
      <w:pPr>
        <w:adjustRightInd/>
        <w:snapToGrid/>
        <w:spacing w:line="500" w:lineRule="exact"/>
        <w:rPr>
          <w:color w:val="000000" w:themeColor="text1"/>
          <w:szCs w:val="24"/>
          <w:lang w:val="zh-CN"/>
          <w14:textFill>
            <w14:solidFill>
              <w14:schemeClr w14:val="tx1"/>
            </w14:solidFill>
          </w14:textFill>
        </w:rPr>
      </w:pPr>
      <w:r>
        <w:rPr>
          <w:rFonts w:hint="eastAsia"/>
          <w:color w:val="000000" w:themeColor="text1"/>
          <w14:textFill>
            <w14:solidFill>
              <w14:schemeClr w14:val="tx1"/>
            </w14:solidFill>
          </w14:textFill>
        </w:rPr>
        <w:t>根据监测统计结果可知，</w:t>
      </w:r>
      <w:r>
        <w:rPr>
          <w:color w:val="000000" w:themeColor="text1"/>
          <w14:textFill>
            <w14:solidFill>
              <w14:schemeClr w14:val="tx1"/>
            </w14:solidFill>
          </w14:textFill>
        </w:rPr>
        <w:t>评价区域内地下水个别点位锰超标，锰超标的原因是由于特殊的地下水水文地球化学原生还原环境造成的锰高背景环境状态。其余指标均满足《地下水质量标准》（GB/T14848-2017）Ⅲ类标准。</w:t>
      </w:r>
    </w:p>
    <w:p w14:paraId="27342193">
      <w:pPr>
        <w:pStyle w:val="7"/>
        <w:rPr>
          <w:color w:val="auto"/>
        </w:rPr>
      </w:pPr>
      <w:r>
        <w:rPr>
          <w:color w:val="auto"/>
        </w:rPr>
        <w:t>1.6.2.3</w:t>
      </w:r>
      <w:r>
        <w:rPr>
          <w:rFonts w:hint="eastAsia"/>
          <w:color w:val="auto"/>
        </w:rPr>
        <w:t>环境空气</w:t>
      </w:r>
    </w:p>
    <w:p w14:paraId="3E16564E">
      <w:pPr>
        <w:adjustRightInd/>
        <w:snapToGrid/>
        <w:spacing w:line="500" w:lineRule="exact"/>
        <w:rPr>
          <w:snapToGrid w:val="0"/>
          <w:color w:val="auto"/>
          <w:kern w:val="0"/>
        </w:rPr>
      </w:pPr>
      <w:r>
        <w:rPr>
          <w:snapToGrid w:val="0"/>
          <w:color w:val="auto"/>
          <w:kern w:val="0"/>
        </w:rPr>
        <w:t>1</w:t>
      </w:r>
      <w:r>
        <w:rPr>
          <w:rFonts w:hint="eastAsia"/>
          <w:snapToGrid w:val="0"/>
          <w:color w:val="auto"/>
          <w:kern w:val="0"/>
        </w:rPr>
        <w:t>、基本污染物</w:t>
      </w:r>
    </w:p>
    <w:p w14:paraId="47292CB3">
      <w:pPr>
        <w:pStyle w:val="85"/>
        <w:rPr>
          <w:snapToGrid w:val="0"/>
          <w:color w:val="auto"/>
          <w:kern w:val="0"/>
        </w:rPr>
      </w:pPr>
      <w:r>
        <w:rPr>
          <w:rFonts w:hint="eastAsia"/>
          <w:snapToGrid w:val="0"/>
          <w:color w:val="auto"/>
          <w:kern w:val="0"/>
        </w:rPr>
        <w:t>本项目位于大气环境二类功能区，</w:t>
      </w:r>
      <w:r>
        <w:rPr>
          <w:rFonts w:hint="eastAsia" w:ascii="Times New Roman" w:hAnsi="Times New Roman" w:eastAsia="宋体"/>
          <w:color w:val="auto"/>
          <w:highlight w:val="none"/>
        </w:rPr>
        <w:t>根据《佳木斯市生态环境质量简报（2024年）》</w:t>
      </w:r>
      <w:r>
        <w:rPr>
          <w:rFonts w:hint="eastAsia"/>
          <w:snapToGrid w:val="0"/>
          <w:color w:val="auto"/>
          <w:kern w:val="0"/>
        </w:rPr>
        <w:t>中的监测数据，</w:t>
      </w:r>
      <w:r>
        <w:rPr>
          <w:rFonts w:hint="eastAsia"/>
          <w:snapToGrid w:val="0"/>
          <w:color w:val="auto"/>
          <w:kern w:val="0"/>
          <w:lang w:eastAsia="zh-CN"/>
        </w:rPr>
        <w:t>佳木斯市</w:t>
      </w:r>
      <w:r>
        <w:rPr>
          <w:rFonts w:hint="eastAsia"/>
          <w:snapToGrid w:val="0"/>
          <w:color w:val="auto"/>
          <w:kern w:val="0"/>
        </w:rPr>
        <w:t>2024年区域空气质量现状基本污染物（SO</w:t>
      </w:r>
      <w:r>
        <w:rPr>
          <w:rFonts w:hint="eastAsia"/>
          <w:snapToGrid w:val="0"/>
          <w:color w:val="auto"/>
          <w:kern w:val="0"/>
          <w:vertAlign w:val="subscript"/>
        </w:rPr>
        <w:t>2</w:t>
      </w:r>
      <w:r>
        <w:rPr>
          <w:rFonts w:hint="eastAsia"/>
          <w:snapToGrid w:val="0"/>
          <w:color w:val="auto"/>
          <w:kern w:val="0"/>
        </w:rPr>
        <w:t>、NO</w:t>
      </w:r>
      <w:r>
        <w:rPr>
          <w:rFonts w:hint="eastAsia"/>
          <w:snapToGrid w:val="0"/>
          <w:color w:val="auto"/>
          <w:kern w:val="0"/>
          <w:vertAlign w:val="subscript"/>
        </w:rPr>
        <w:t>2</w:t>
      </w:r>
      <w:r>
        <w:rPr>
          <w:rFonts w:hint="eastAsia"/>
          <w:snapToGrid w:val="0"/>
          <w:color w:val="auto"/>
          <w:kern w:val="0"/>
        </w:rPr>
        <w:t>、PM</w:t>
      </w:r>
      <w:r>
        <w:rPr>
          <w:rFonts w:hint="eastAsia"/>
          <w:snapToGrid w:val="0"/>
          <w:color w:val="auto"/>
          <w:kern w:val="0"/>
          <w:vertAlign w:val="subscript"/>
        </w:rPr>
        <w:t>10</w:t>
      </w:r>
      <w:r>
        <w:rPr>
          <w:rFonts w:hint="eastAsia"/>
          <w:snapToGrid w:val="0"/>
          <w:color w:val="auto"/>
          <w:kern w:val="0"/>
        </w:rPr>
        <w:t>、PM</w:t>
      </w:r>
      <w:r>
        <w:rPr>
          <w:rFonts w:hint="eastAsia"/>
          <w:snapToGrid w:val="0"/>
          <w:color w:val="auto"/>
          <w:kern w:val="0"/>
          <w:vertAlign w:val="subscript"/>
        </w:rPr>
        <w:t>2.5</w:t>
      </w:r>
      <w:r>
        <w:rPr>
          <w:rFonts w:hint="eastAsia"/>
          <w:snapToGrid w:val="0"/>
          <w:color w:val="auto"/>
          <w:kern w:val="0"/>
        </w:rPr>
        <w:t>、O</w:t>
      </w:r>
      <w:r>
        <w:rPr>
          <w:rFonts w:hint="eastAsia"/>
          <w:snapToGrid w:val="0"/>
          <w:color w:val="auto"/>
          <w:kern w:val="0"/>
          <w:vertAlign w:val="subscript"/>
        </w:rPr>
        <w:t>3</w:t>
      </w:r>
      <w:r>
        <w:rPr>
          <w:rFonts w:hint="eastAsia"/>
          <w:snapToGrid w:val="0"/>
          <w:color w:val="auto"/>
          <w:kern w:val="0"/>
        </w:rPr>
        <w:t>、CO）浓度满足《环境空气质量标准》（</w:t>
      </w:r>
      <w:r>
        <w:rPr>
          <w:rFonts w:hint="eastAsia"/>
          <w:snapToGrid w:val="0"/>
          <w:color w:val="auto"/>
          <w:kern w:val="0"/>
          <w:lang w:eastAsia="zh-CN"/>
        </w:rPr>
        <w:t>GB3095-2026</w:t>
      </w:r>
      <w:r>
        <w:rPr>
          <w:rFonts w:hint="eastAsia"/>
          <w:snapToGrid w:val="0"/>
          <w:color w:val="auto"/>
          <w:kern w:val="0"/>
        </w:rPr>
        <w:t>）</w:t>
      </w:r>
      <w:r>
        <w:rPr>
          <w:rFonts w:hint="eastAsia"/>
          <w:snapToGrid w:val="0"/>
          <w:color w:val="auto"/>
        </w:rPr>
        <w:t>中</w:t>
      </w:r>
      <w:r>
        <w:rPr>
          <w:rFonts w:hint="eastAsia"/>
          <w:snapToGrid w:val="0"/>
          <w:color w:val="auto"/>
          <w:lang w:val="en-US" w:eastAsia="zh-CN"/>
        </w:rPr>
        <w:t>过渡阶段</w:t>
      </w:r>
      <w:r>
        <w:rPr>
          <w:rFonts w:hint="eastAsia"/>
          <w:snapToGrid w:val="0"/>
          <w:color w:val="auto"/>
        </w:rPr>
        <w:t>二级标准浓度限值</w:t>
      </w:r>
      <w:r>
        <w:rPr>
          <w:rFonts w:hint="eastAsia"/>
          <w:snapToGrid w:val="0"/>
          <w:color w:val="auto"/>
          <w:lang w:val="en-US" w:eastAsia="zh-CN"/>
        </w:rPr>
        <w:t>要求</w:t>
      </w:r>
      <w:r>
        <w:rPr>
          <w:rFonts w:hint="eastAsia"/>
          <w:snapToGrid w:val="0"/>
          <w:color w:val="auto"/>
          <w:kern w:val="0"/>
        </w:rPr>
        <w:t>。本项目所在区域为达标区。</w:t>
      </w:r>
    </w:p>
    <w:p w14:paraId="466C4505">
      <w:pPr>
        <w:spacing w:line="500" w:lineRule="exact"/>
        <w:rPr>
          <w:snapToGrid w:val="0"/>
          <w:color w:val="auto"/>
          <w:szCs w:val="24"/>
        </w:rPr>
      </w:pPr>
      <w:r>
        <w:rPr>
          <w:rFonts w:hint="eastAsia"/>
          <w:snapToGrid w:val="0"/>
          <w:color w:val="auto"/>
          <w:szCs w:val="24"/>
        </w:rPr>
        <w:t>2、其他污染物</w:t>
      </w:r>
    </w:p>
    <w:p w14:paraId="561A8AFA">
      <w:pPr>
        <w:spacing w:line="500" w:lineRule="exact"/>
        <w:rPr>
          <w:rFonts w:eastAsia="黑体"/>
          <w:snapToGrid w:val="0"/>
          <w:color w:val="FF0000"/>
          <w:kern w:val="0"/>
          <w:szCs w:val="24"/>
          <w:lang w:val="zh-CN" w:eastAsia="zh-CN"/>
        </w:rPr>
      </w:pPr>
      <w:r>
        <w:rPr>
          <w:snapToGrid w:val="0"/>
          <w:color w:val="000000" w:themeColor="text1"/>
          <w:szCs w:val="24"/>
          <w14:textFill>
            <w14:solidFill>
              <w14:schemeClr w14:val="tx1"/>
            </w14:solidFill>
          </w14:textFill>
        </w:rPr>
        <w:t>根据</w:t>
      </w:r>
      <w:r>
        <w:rPr>
          <w:rFonts w:hint="eastAsia"/>
          <w:snapToGrid w:val="0"/>
          <w:color w:val="000000" w:themeColor="text1"/>
          <w:szCs w:val="24"/>
          <w14:textFill>
            <w14:solidFill>
              <w14:schemeClr w14:val="tx1"/>
            </w14:solidFill>
          </w14:textFill>
        </w:rPr>
        <w:t>其他</w:t>
      </w:r>
      <w:r>
        <w:rPr>
          <w:snapToGrid w:val="0"/>
          <w:color w:val="000000" w:themeColor="text1"/>
          <w:szCs w:val="24"/>
          <w14:textFill>
            <w14:solidFill>
              <w14:schemeClr w14:val="tx1"/>
            </w14:solidFill>
          </w14:textFill>
        </w:rPr>
        <w:t>污染物现状评价结果可知，</w:t>
      </w:r>
      <w:r>
        <w:rPr>
          <w:rFonts w:hint="eastAsia"/>
          <w:snapToGrid w:val="0"/>
          <w:color w:val="000000" w:themeColor="text1"/>
          <w:szCs w:val="24"/>
          <w:lang w:val="en-US" w:eastAsia="zh-CN"/>
          <w14:textFill>
            <w14:solidFill>
              <w14:schemeClr w14:val="tx1"/>
            </w14:solidFill>
          </w14:textFill>
        </w:rPr>
        <w:t>各监测点位</w:t>
      </w:r>
      <w:r>
        <w:rPr>
          <w:rFonts w:hint="eastAsia" w:ascii="Times New Roman" w:hAnsi="Times New Roman"/>
          <w:color w:val="000000"/>
          <w:szCs w:val="24"/>
        </w:rPr>
        <w:t>氨、硫化氢满足《环境影响评价技术导则 大气环境》（HJ2.2-2018）附录D其他污染物空气质量浓度参考限值，臭气浓度＜10（无量纲），TSP满</w:t>
      </w:r>
      <w:r>
        <w:rPr>
          <w:rFonts w:hint="eastAsia" w:ascii="Times New Roman" w:hAnsi="Times New Roman"/>
          <w:color w:val="000000" w:themeColor="text1"/>
          <w:szCs w:val="24"/>
          <w14:textFill>
            <w14:solidFill>
              <w14:schemeClr w14:val="tx1"/>
            </w14:solidFill>
          </w14:textFill>
        </w:rPr>
        <w:t>足《环境空气质量标准》</w:t>
      </w: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GB3095-2026</w:t>
      </w: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w:t>
      </w:r>
      <w:r>
        <w:rPr>
          <w:rFonts w:hint="eastAsia"/>
          <w:snapToGrid w:val="0"/>
          <w:color w:val="auto"/>
        </w:rPr>
        <w:t>值</w:t>
      </w:r>
      <w:r>
        <w:rPr>
          <w:snapToGrid w:val="0"/>
          <w:color w:val="auto"/>
          <w:szCs w:val="24"/>
        </w:rPr>
        <w:t>。</w:t>
      </w:r>
    </w:p>
    <w:p w14:paraId="042B67F6">
      <w:pPr>
        <w:pStyle w:val="7"/>
        <w:rPr>
          <w:color w:val="auto"/>
        </w:rPr>
      </w:pPr>
      <w:r>
        <w:rPr>
          <w:color w:val="auto"/>
        </w:rPr>
        <w:t>1.6.2.4</w:t>
      </w:r>
      <w:r>
        <w:rPr>
          <w:rFonts w:hint="eastAsia"/>
          <w:color w:val="auto"/>
        </w:rPr>
        <w:t>声环境</w:t>
      </w:r>
    </w:p>
    <w:p w14:paraId="5C0D0A5D">
      <w:pPr>
        <w:pStyle w:val="85"/>
        <w:rPr>
          <w:rFonts w:hint="eastAsia" w:eastAsia="宋体"/>
          <w:snapToGrid w:val="0"/>
          <w:color w:val="auto"/>
          <w:lang w:eastAsia="zh-CN"/>
        </w:rPr>
      </w:pPr>
      <w:r>
        <w:rPr>
          <w:rFonts w:hint="eastAsia"/>
          <w:color w:val="auto"/>
        </w:rPr>
        <w:t>项目区评价范围内各监测点昼间及夜间等效连续A声级均无超标现象，达标率100%，</w:t>
      </w:r>
      <w:r>
        <w:rPr>
          <w:snapToGrid w:val="0"/>
          <w:color w:val="auto"/>
        </w:rPr>
        <w:t>项目</w:t>
      </w:r>
      <w:r>
        <w:rPr>
          <w:rFonts w:hint="eastAsia"/>
          <w:snapToGrid w:val="0"/>
          <w:color w:val="auto"/>
          <w:lang w:val="en-US" w:eastAsia="zh-CN"/>
        </w:rPr>
        <w:t>东侧、南侧、北侧厂界</w:t>
      </w:r>
      <w:r>
        <w:rPr>
          <w:snapToGrid w:val="0"/>
          <w:color w:val="auto"/>
        </w:rPr>
        <w:t>声环境</w:t>
      </w:r>
      <w:r>
        <w:rPr>
          <w:rFonts w:hint="eastAsia"/>
          <w:snapToGrid w:val="0"/>
          <w:color w:val="auto"/>
          <w:lang w:val="en-US" w:eastAsia="zh-CN"/>
        </w:rPr>
        <w:t>满足</w:t>
      </w:r>
      <w:r>
        <w:rPr>
          <w:snapToGrid w:val="0"/>
          <w:color w:val="auto"/>
        </w:rPr>
        <w:t>《声环境质量标准》（GB3096-2008）中的3类标准</w:t>
      </w:r>
      <w:r>
        <w:rPr>
          <w:rFonts w:hint="eastAsia"/>
          <w:snapToGrid w:val="0"/>
          <w:color w:val="auto"/>
          <w:lang w:val="en-US" w:eastAsia="zh-CN"/>
        </w:rPr>
        <w:t>限值</w:t>
      </w:r>
      <w:r>
        <w:rPr>
          <w:rFonts w:hint="eastAsia"/>
          <w:snapToGrid w:val="0"/>
          <w:color w:val="auto"/>
          <w:lang w:eastAsia="zh-CN"/>
        </w:rPr>
        <w:t>，</w:t>
      </w:r>
      <w:r>
        <w:rPr>
          <w:rFonts w:hint="eastAsia"/>
          <w:snapToGrid w:val="0"/>
          <w:color w:val="auto"/>
          <w:lang w:val="en-US" w:eastAsia="zh-CN"/>
        </w:rPr>
        <w:t>西侧厂界</w:t>
      </w:r>
      <w:r>
        <w:rPr>
          <w:snapToGrid w:val="0"/>
          <w:color w:val="auto"/>
        </w:rPr>
        <w:t>声环境</w:t>
      </w:r>
      <w:r>
        <w:rPr>
          <w:rFonts w:hint="eastAsia"/>
          <w:snapToGrid w:val="0"/>
          <w:color w:val="auto"/>
          <w:lang w:val="en-US" w:eastAsia="zh-CN"/>
        </w:rPr>
        <w:t>满足</w:t>
      </w:r>
      <w:r>
        <w:rPr>
          <w:snapToGrid w:val="0"/>
          <w:color w:val="auto"/>
        </w:rPr>
        <w:t>《声环境质量标准》（GB3096-2008）中的</w:t>
      </w:r>
      <w:r>
        <w:rPr>
          <w:rFonts w:hint="eastAsia"/>
          <w:snapToGrid w:val="0"/>
          <w:color w:val="auto"/>
          <w:lang w:val="en-US" w:eastAsia="zh-CN"/>
        </w:rPr>
        <w:t>4a</w:t>
      </w:r>
      <w:r>
        <w:rPr>
          <w:snapToGrid w:val="0"/>
          <w:color w:val="auto"/>
        </w:rPr>
        <w:t>类标准</w:t>
      </w:r>
      <w:r>
        <w:rPr>
          <w:rFonts w:hint="eastAsia"/>
          <w:snapToGrid w:val="0"/>
          <w:color w:val="auto"/>
          <w:lang w:val="en-US" w:eastAsia="zh-CN"/>
        </w:rPr>
        <w:t>限值</w:t>
      </w:r>
      <w:r>
        <w:rPr>
          <w:rFonts w:hint="eastAsia"/>
          <w:snapToGrid w:val="0"/>
          <w:color w:val="auto"/>
          <w:lang w:eastAsia="zh-CN"/>
        </w:rPr>
        <w:t>。</w:t>
      </w:r>
    </w:p>
    <w:p w14:paraId="4A207773">
      <w:pPr>
        <w:pStyle w:val="7"/>
        <w:rPr>
          <w:color w:val="000000" w:themeColor="text1"/>
          <w14:textFill>
            <w14:solidFill>
              <w14:schemeClr w14:val="tx1"/>
            </w14:solidFill>
          </w14:textFill>
        </w:rPr>
      </w:pPr>
      <w:r>
        <w:rPr>
          <w:color w:val="000000" w:themeColor="text1"/>
          <w14:textFill>
            <w14:solidFill>
              <w14:schemeClr w14:val="tx1"/>
            </w14:solidFill>
          </w14:textFill>
        </w:rPr>
        <w:t>1.6</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生态环境</w:t>
      </w:r>
    </w:p>
    <w:p w14:paraId="644BDFD9">
      <w:pPr>
        <w:pStyle w:val="85"/>
        <w:rPr>
          <w:snapToGrid w:val="0"/>
          <w:color w:val="000000" w:themeColor="text1"/>
          <w:kern w:val="0"/>
          <w14:textFill>
            <w14:solidFill>
              <w14:schemeClr w14:val="tx1"/>
            </w14:solidFill>
          </w14:textFill>
        </w:rPr>
      </w:pPr>
      <w:r>
        <w:rPr>
          <w:rFonts w:hint="eastAsia"/>
          <w:color w:val="000000" w:themeColor="text1"/>
          <w14:textFill>
            <w14:solidFill>
              <w14:schemeClr w14:val="tx1"/>
            </w14:solidFill>
          </w14:textFill>
        </w:rPr>
        <w:t>经调查，本项目所在地区没有野生动物保护品种，也未发现濒危、珍惜动物栖息场所，占地区域内无国家、省、市级自然保护区、风景名胜区等保护目标，区域整体生态环境质量较好。</w:t>
      </w:r>
    </w:p>
    <w:p w14:paraId="66A20979">
      <w:pPr>
        <w:pStyle w:val="6"/>
        <w:rPr>
          <w:color w:val="auto"/>
        </w:rPr>
      </w:pPr>
      <w:bookmarkStart w:id="26" w:name="_Toc2813"/>
      <w:r>
        <w:rPr>
          <w:rFonts w:hint="eastAsia"/>
          <w:color w:val="auto"/>
        </w:rPr>
        <w:t>1</w:t>
      </w:r>
      <w:r>
        <w:rPr>
          <w:color w:val="auto"/>
        </w:rPr>
        <w:t>.6.3污染物排放状况、主要影响及环保措施</w:t>
      </w:r>
      <w:bookmarkEnd w:id="26"/>
    </w:p>
    <w:p w14:paraId="42D2A42A">
      <w:pPr>
        <w:pStyle w:val="85"/>
        <w:rPr>
          <w:rFonts w:cs="Times New Roman"/>
          <w:color w:val="auto"/>
        </w:rPr>
      </w:pPr>
      <w:r>
        <w:rPr>
          <w:rFonts w:hint="eastAsia" w:cs="Times New Roman"/>
          <w:color w:val="auto"/>
        </w:rPr>
        <w:t>1、废气</w:t>
      </w:r>
    </w:p>
    <w:p w14:paraId="1237E92E">
      <w:pPr>
        <w:pStyle w:val="85"/>
        <w:rPr>
          <w:rFonts w:cs="Times New Roman"/>
          <w:color w:val="auto"/>
        </w:rPr>
      </w:pPr>
      <w:r>
        <w:rPr>
          <w:rFonts w:hint="eastAsia" w:cs="Times New Roman"/>
          <w:color w:val="auto"/>
        </w:rPr>
        <w:t>（1）污水处理站恶臭及发酵车间异味</w:t>
      </w:r>
    </w:p>
    <w:p w14:paraId="05F946A2">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污水处理站恶臭气体经引风机引至</w:t>
      </w:r>
      <w:r>
        <w:rPr>
          <w:rFonts w:hint="eastAsia"/>
          <w:snapToGrid w:val="0"/>
          <w:color w:val="000000" w:themeColor="text1"/>
          <w:kern w:val="0"/>
          <w:lang w:val="en-US" w:eastAsia="zh-CN"/>
          <w14:textFill>
            <w14:solidFill>
              <w14:schemeClr w14:val="tx1"/>
            </w14:solidFill>
          </w14:textFill>
        </w:rPr>
        <w:t>活性炭吸附</w:t>
      </w:r>
      <w:r>
        <w:rPr>
          <w:snapToGrid w:val="0"/>
          <w:color w:val="000000" w:themeColor="text1"/>
          <w:kern w:val="0"/>
          <w:lang w:val="en-US"/>
          <w14:textFill>
            <w14:solidFill>
              <w14:schemeClr w14:val="tx1"/>
            </w14:solidFill>
          </w14:textFill>
        </w:rPr>
        <w:t>设施</w:t>
      </w:r>
      <w:r>
        <w:rPr>
          <w:rFonts w:cs="Times New Roman"/>
          <w:color w:val="000000" w:themeColor="text1"/>
          <w14:textFill>
            <w14:solidFill>
              <w14:schemeClr w14:val="tx1"/>
            </w14:solidFill>
          </w14:textFill>
        </w:rPr>
        <w:t>，经处理后由15m排气筒</w:t>
      </w:r>
      <w:r>
        <w:rPr>
          <w:rFonts w:hint="eastAsia" w:cs="Times New Roman"/>
          <w:color w:val="000000" w:themeColor="text1"/>
          <w14:textFill>
            <w14:solidFill>
              <w14:schemeClr w14:val="tx1"/>
            </w14:solidFill>
          </w14:textFill>
        </w:rPr>
        <w:t>D</w:t>
      </w:r>
      <w:r>
        <w:rPr>
          <w:rFonts w:cs="Times New Roman"/>
          <w:color w:val="000000" w:themeColor="text1"/>
          <w14:textFill>
            <w14:solidFill>
              <w14:schemeClr w14:val="tx1"/>
            </w14:solidFill>
          </w14:textFill>
        </w:rPr>
        <w:t>A00</w:t>
      </w:r>
      <w:r>
        <w:rPr>
          <w:rFonts w:hint="eastAsia" w:cs="Times New Roman"/>
          <w:color w:val="000000" w:themeColor="text1"/>
          <w:lang w:val="en-US" w:eastAsia="zh-CN"/>
          <w14:textFill>
            <w14:solidFill>
              <w14:schemeClr w14:val="tx1"/>
            </w14:solidFill>
          </w14:textFill>
        </w:rPr>
        <w:t>1</w:t>
      </w:r>
      <w:r>
        <w:rPr>
          <w:rFonts w:cs="Times New Roman"/>
          <w:color w:val="000000" w:themeColor="text1"/>
          <w14:textFill>
            <w14:solidFill>
              <w14:schemeClr w14:val="tx1"/>
            </w14:solidFill>
          </w14:textFill>
        </w:rPr>
        <w:t>排放</w:t>
      </w:r>
      <w:r>
        <w:rPr>
          <w:rFonts w:hint="eastAsia" w:cs="Times New Roman"/>
          <w:color w:val="000000" w:themeColor="text1"/>
          <w14:textFill>
            <w14:solidFill>
              <w14:schemeClr w14:val="tx1"/>
            </w14:solidFill>
          </w14:textFill>
        </w:rPr>
        <w:t>。硫化氢、氨排放速率满足《恶臭污染物排放标准》（GB14554-93）表2中15m高排气筒标准要求、臭气浓度满足《恶臭污染物排放标准》（GB14554-93）表2中15m高排气筒标准要求；</w:t>
      </w:r>
      <w:r>
        <w:rPr>
          <w:rFonts w:hint="eastAsia" w:cs="Times New Roman"/>
          <w:color w:val="000000" w:themeColor="text1"/>
          <w:lang w:val="zh-CN"/>
          <w14:textFill>
            <w14:solidFill>
              <w14:schemeClr w14:val="tx1"/>
            </w14:solidFill>
          </w14:textFill>
        </w:rPr>
        <w:t>厂界H</w:t>
      </w:r>
      <w:r>
        <w:rPr>
          <w:rFonts w:hint="eastAsia" w:cs="Times New Roman"/>
          <w:color w:val="000000" w:themeColor="text1"/>
          <w:vertAlign w:val="subscript"/>
          <w:lang w:val="zh-CN"/>
          <w14:textFill>
            <w14:solidFill>
              <w14:schemeClr w14:val="tx1"/>
            </w14:solidFill>
          </w14:textFill>
        </w:rPr>
        <w:t>2</w:t>
      </w:r>
      <w:r>
        <w:rPr>
          <w:rFonts w:hint="eastAsia" w:cs="Times New Roman"/>
          <w:color w:val="000000" w:themeColor="text1"/>
          <w:lang w:val="zh-CN"/>
          <w14:textFill>
            <w14:solidFill>
              <w14:schemeClr w14:val="tx1"/>
            </w14:solidFill>
          </w14:textFill>
        </w:rPr>
        <w:t>S、NH</w:t>
      </w:r>
      <w:r>
        <w:rPr>
          <w:rFonts w:hint="eastAsia" w:cs="Times New Roman"/>
          <w:color w:val="000000" w:themeColor="text1"/>
          <w:vertAlign w:val="subscript"/>
          <w:lang w:val="zh-CN"/>
          <w14:textFill>
            <w14:solidFill>
              <w14:schemeClr w14:val="tx1"/>
            </w14:solidFill>
          </w14:textFill>
        </w:rPr>
        <w:t>3</w:t>
      </w:r>
      <w:r>
        <w:rPr>
          <w:rFonts w:hint="eastAsia" w:cs="Times New Roman"/>
          <w:color w:val="000000" w:themeColor="text1"/>
          <w:lang w:val="zh-CN"/>
          <w14:textFill>
            <w14:solidFill>
              <w14:schemeClr w14:val="tx1"/>
            </w14:solidFill>
          </w14:textFill>
        </w:rPr>
        <w:t>、臭气浓度</w:t>
      </w:r>
      <w:r>
        <w:rPr>
          <w:rFonts w:hint="eastAsia" w:cs="Times New Roman"/>
          <w:color w:val="000000" w:themeColor="text1"/>
          <w14:textFill>
            <w14:solidFill>
              <w14:schemeClr w14:val="tx1"/>
            </w14:solidFill>
          </w14:textFill>
        </w:rPr>
        <w:t>满足</w:t>
      </w:r>
      <w:r>
        <w:rPr>
          <w:rFonts w:hint="eastAsia" w:cs="Times New Roman"/>
          <w:color w:val="000000" w:themeColor="text1"/>
          <w:lang w:val="zh-CN"/>
          <w14:textFill>
            <w14:solidFill>
              <w14:schemeClr w14:val="tx1"/>
            </w14:solidFill>
          </w14:textFill>
        </w:rPr>
        <w:t>《恶臭污染物排放标准》（GB14554-93）表1中二级新扩改建标准</w:t>
      </w:r>
      <w:r>
        <w:rPr>
          <w:rFonts w:hint="eastAsia" w:cs="Times New Roman"/>
          <w:color w:val="000000" w:themeColor="text1"/>
          <w14:textFill>
            <w14:solidFill>
              <w14:schemeClr w14:val="tx1"/>
            </w14:solidFill>
          </w14:textFill>
        </w:rPr>
        <w:t>要求。</w:t>
      </w:r>
    </w:p>
    <w:p w14:paraId="055E1EF7">
      <w:pPr>
        <w:pStyle w:val="85"/>
        <w:rPr>
          <w:color w:val="000000" w:themeColor="text1"/>
          <w:szCs w:val="24"/>
          <w14:textFill>
            <w14:solidFill>
              <w14:schemeClr w14:val="tx1"/>
            </w14:solidFill>
          </w14:textFill>
        </w:rPr>
      </w:pPr>
      <w:r>
        <w:rPr>
          <w:rFonts w:hint="eastAsia"/>
          <w:color w:val="000000" w:themeColor="text1"/>
          <w14:textFill>
            <w14:solidFill>
              <w14:schemeClr w14:val="tx1"/>
            </w14:solidFill>
          </w14:textFill>
        </w:rPr>
        <w:t>项目在发酵过程中会产生发酵废气，其主要成分为CO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和异味（主要为臭气浓度）。二氧化碳逸出夹带少量异味废气排出，其异味废气产生量极少，在二氧化碳回收系统采用活性炭吸附异味气体后排放量甚微，主要为无组织排放。</w:t>
      </w:r>
    </w:p>
    <w:p w14:paraId="47175BD0">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（2）沼气</w:t>
      </w:r>
      <w:r>
        <w:rPr>
          <w:rFonts w:cs="Times New Roman"/>
          <w:color w:val="000000" w:themeColor="text1"/>
          <w14:textFill>
            <w14:solidFill>
              <w14:schemeClr w14:val="tx1"/>
            </w14:solidFill>
          </w14:textFill>
        </w:rPr>
        <w:t>燃烧废气</w:t>
      </w:r>
    </w:p>
    <w:p w14:paraId="662A25C8">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沼气</w:t>
      </w:r>
      <w:r>
        <w:rPr>
          <w:rFonts w:hint="eastAsia" w:cs="Times New Roman"/>
          <w:color w:val="000000" w:themeColor="text1"/>
          <w:lang w:val="en-US" w:eastAsia="zh-CN"/>
          <w14:textFill>
            <w14:solidFill>
              <w14:schemeClr w14:val="tx1"/>
            </w14:solidFill>
          </w14:textFill>
        </w:rPr>
        <w:t>经干法</w:t>
      </w:r>
      <w:r>
        <w:rPr>
          <w:rFonts w:cs="Times New Roman"/>
          <w:color w:val="000000" w:themeColor="text1"/>
          <w14:textFill>
            <w14:solidFill>
              <w14:schemeClr w14:val="tx1"/>
            </w14:solidFill>
          </w14:textFill>
        </w:rPr>
        <w:t>脱硫后经火炬燃烧排放，</w:t>
      </w:r>
      <w:r>
        <w:rPr>
          <w:rFonts w:hint="eastAsia" w:cs="Times New Roman"/>
          <w:color w:val="000000" w:themeColor="text1"/>
          <w14:textFill>
            <w14:solidFill>
              <w14:schemeClr w14:val="tx1"/>
            </w14:solidFill>
          </w14:textFill>
        </w:rPr>
        <w:t>颗粒物</w:t>
      </w:r>
      <w:r>
        <w:rPr>
          <w:rFonts w:cs="Times New Roman"/>
          <w:color w:val="000000" w:themeColor="text1"/>
          <w14:textFill>
            <w14:solidFill>
              <w14:schemeClr w14:val="tx1"/>
            </w14:solidFill>
          </w14:textFill>
        </w:rPr>
        <w:t>、NOx、SO</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排放</w:t>
      </w:r>
      <w:r>
        <w:rPr>
          <w:rFonts w:hint="eastAsia" w:cs="Times New Roman"/>
          <w:color w:val="000000" w:themeColor="text1"/>
          <w14:textFill>
            <w14:solidFill>
              <w14:schemeClr w14:val="tx1"/>
            </w14:solidFill>
          </w14:textFill>
        </w:rPr>
        <w:t>量均较小</w:t>
      </w:r>
      <w:r>
        <w:rPr>
          <w:rFonts w:cs="Times New Roman"/>
          <w:color w:val="000000" w:themeColor="text1"/>
          <w14:textFill>
            <w14:solidFill>
              <w14:schemeClr w14:val="tx1"/>
            </w14:solidFill>
          </w14:textFill>
        </w:rPr>
        <w:t>，对环境影响很小，可以被环境接受。</w:t>
      </w:r>
      <w:r>
        <w:rPr>
          <w:rFonts w:hint="eastAsia" w:cs="Times New Roman"/>
          <w:color w:val="000000" w:themeColor="text1"/>
          <w14:textFill>
            <w14:solidFill>
              <w14:schemeClr w14:val="tx1"/>
            </w14:solidFill>
          </w14:textFill>
        </w:rPr>
        <w:t>沼气燃烧排放的颗粒物</w:t>
      </w:r>
      <w:r>
        <w:rPr>
          <w:rFonts w:cs="Times New Roman"/>
          <w:color w:val="000000" w:themeColor="text1"/>
          <w14:textFill>
            <w14:solidFill>
              <w14:schemeClr w14:val="tx1"/>
            </w14:solidFill>
          </w14:textFill>
        </w:rPr>
        <w:t>、NOx、SO</w:t>
      </w:r>
      <w:r>
        <w:rPr>
          <w:rFonts w:cs="Times New Roman"/>
          <w:color w:val="000000" w:themeColor="text1"/>
          <w:vertAlign w:val="subscript"/>
          <w14:textFill>
            <w14:solidFill>
              <w14:schemeClr w14:val="tx1"/>
            </w14:solidFill>
          </w14:textFill>
        </w:rPr>
        <w:t>2</w:t>
      </w:r>
      <w:r>
        <w:rPr>
          <w:rFonts w:hint="eastAsia" w:cs="Times New Roman"/>
          <w:color w:val="000000" w:themeColor="text1"/>
          <w14:textFill>
            <w14:solidFill>
              <w14:schemeClr w14:val="tx1"/>
            </w14:solidFill>
          </w14:textFill>
        </w:rPr>
        <w:t>无组织排放浓度满足</w:t>
      </w:r>
      <w:r>
        <w:rPr>
          <w:rFonts w:cs="Times New Roman"/>
          <w:color w:val="000000" w:themeColor="text1"/>
          <w14:textFill>
            <w14:solidFill>
              <w14:schemeClr w14:val="tx1"/>
            </w14:solidFill>
          </w14:textFill>
        </w:rPr>
        <w:t>《大气污染物综合排放标准》（GB16297-1996）表2中无组织排放浓度监控限值要求。</w:t>
      </w:r>
    </w:p>
    <w:p w14:paraId="54F837EA">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（3）锅炉烟气</w:t>
      </w:r>
    </w:p>
    <w:p w14:paraId="0DD313A8">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本项目锅炉配套</w:t>
      </w:r>
      <w:r>
        <w:rPr>
          <w:rFonts w:cs="Times New Roman"/>
          <w:color w:val="000000" w:themeColor="text1"/>
          <w14:textFill>
            <w14:solidFill>
              <w14:schemeClr w14:val="tx1"/>
            </w14:solidFill>
          </w14:textFill>
        </w:rPr>
        <w:t>低氮燃烧</w:t>
      </w:r>
      <w:r>
        <w:rPr>
          <w:rFonts w:hint="eastAsia" w:cs="Times New Roman"/>
          <w:color w:val="000000" w:themeColor="text1"/>
          <w14:textFill>
            <w14:solidFill>
              <w14:schemeClr w14:val="tx1"/>
            </w14:solidFill>
          </w14:textFill>
        </w:rPr>
        <w:t>，锅炉烟气</w:t>
      </w:r>
      <w:r>
        <w:rPr>
          <w:rFonts w:hint="eastAsia" w:cs="Times New Roman"/>
          <w:color w:val="000000" w:themeColor="text1"/>
          <w:lang w:val="en-US" w:eastAsia="zh-CN"/>
          <w14:textFill>
            <w14:solidFill>
              <w14:schemeClr w14:val="tx1"/>
            </w14:solidFill>
          </w14:textFill>
        </w:rPr>
        <w:t>经新建</w:t>
      </w:r>
      <w:r>
        <w:rPr>
          <w:rFonts w:cs="Times New Roman"/>
          <w:color w:val="000000" w:themeColor="text1"/>
          <w14:textFill>
            <w14:solidFill>
              <w14:schemeClr w14:val="tx1"/>
            </w14:solidFill>
          </w14:textFill>
        </w:rPr>
        <w:t>25m烟囱DA00</w:t>
      </w:r>
      <w:r>
        <w:rPr>
          <w:rFonts w:hint="eastAsia" w:cs="Times New Roman"/>
          <w:color w:val="000000" w:themeColor="text1"/>
          <w:lang w:val="en-US" w:eastAsia="zh-CN"/>
          <w14:textFill>
            <w14:solidFill>
              <w14:schemeClr w14:val="tx1"/>
            </w14:solidFill>
          </w14:textFill>
        </w:rPr>
        <w:t>2</w:t>
      </w:r>
      <w:r>
        <w:rPr>
          <w:rFonts w:cs="Times New Roman"/>
          <w:color w:val="000000" w:themeColor="text1"/>
          <w14:textFill>
            <w14:solidFill>
              <w14:schemeClr w14:val="tx1"/>
            </w14:solidFill>
          </w14:textFill>
        </w:rPr>
        <w:t>排放</w:t>
      </w:r>
      <w:r>
        <w:rPr>
          <w:rFonts w:hint="eastAsia" w:cs="Times New Roman"/>
          <w:color w:val="000000" w:themeColor="text1"/>
          <w14:textFill>
            <w14:solidFill>
              <w14:schemeClr w14:val="tx1"/>
            </w14:solidFill>
          </w14:textFill>
        </w:rPr>
        <w:t>。</w:t>
      </w:r>
      <w:r>
        <w:rPr>
          <w:rFonts w:hint="eastAsia" w:cs="Times New Roman"/>
          <w:bCs/>
          <w:color w:val="000000" w:themeColor="text1"/>
          <w14:textFill>
            <w14:solidFill>
              <w14:schemeClr w14:val="tx1"/>
            </w14:solidFill>
          </w14:textFill>
        </w:rPr>
        <w:t>颗粒物、</w:t>
      </w:r>
      <w:r>
        <w:rPr>
          <w:rFonts w:cs="Times New Roman"/>
          <w:bCs/>
          <w:color w:val="000000" w:themeColor="text1"/>
          <w14:textFill>
            <w14:solidFill>
              <w14:schemeClr w14:val="tx1"/>
            </w14:solidFill>
          </w14:textFill>
        </w:rPr>
        <w:t>SO</w:t>
      </w:r>
      <w:r>
        <w:rPr>
          <w:rFonts w:cs="Times New Roman"/>
          <w:bCs/>
          <w:color w:val="000000" w:themeColor="text1"/>
          <w:vertAlign w:val="subscript"/>
          <w14:textFill>
            <w14:solidFill>
              <w14:schemeClr w14:val="tx1"/>
            </w14:solidFill>
          </w14:textFill>
        </w:rPr>
        <w:t>2</w:t>
      </w:r>
      <w:r>
        <w:rPr>
          <w:rFonts w:hint="eastAsia" w:cs="Times New Roman"/>
          <w:bCs/>
          <w:color w:val="000000" w:themeColor="text1"/>
          <w14:textFill>
            <w14:solidFill>
              <w14:schemeClr w14:val="tx1"/>
            </w14:solidFill>
          </w14:textFill>
        </w:rPr>
        <w:t>、</w:t>
      </w:r>
      <w:r>
        <w:rPr>
          <w:rFonts w:cs="Times New Roman"/>
          <w:bCs/>
          <w:color w:val="000000" w:themeColor="text1"/>
          <w14:textFill>
            <w14:solidFill>
              <w14:schemeClr w14:val="tx1"/>
            </w14:solidFill>
          </w14:textFill>
        </w:rPr>
        <w:t>NOx</w:t>
      </w:r>
      <w:r>
        <w:rPr>
          <w:rFonts w:hint="eastAsia" w:cs="Times New Roman"/>
          <w:bCs/>
          <w:color w:val="000000" w:themeColor="text1"/>
          <w14:textFill>
            <w14:solidFill>
              <w14:schemeClr w14:val="tx1"/>
            </w14:solidFill>
          </w14:textFill>
        </w:rPr>
        <w:t>排放浓度及烟气黑度满足《锅炉大气污染物排放标准》（GB13271-2014）表2</w:t>
      </w:r>
      <w:r>
        <w:rPr>
          <w:rFonts w:hint="eastAsia" w:cs="Times New Roman"/>
          <w:bCs/>
          <w:color w:val="000000" w:themeColor="text1"/>
          <w:lang w:eastAsia="zh-CN"/>
          <w14:textFill>
            <w14:solidFill>
              <w14:schemeClr w14:val="tx1"/>
            </w14:solidFill>
          </w14:textFill>
        </w:rPr>
        <w:t>燃气</w:t>
      </w:r>
      <w:r>
        <w:rPr>
          <w:rFonts w:hint="eastAsia" w:cs="Times New Roman"/>
          <w:bCs/>
          <w:color w:val="000000" w:themeColor="text1"/>
          <w14:textFill>
            <w14:solidFill>
              <w14:schemeClr w14:val="tx1"/>
            </w14:solidFill>
          </w14:textFill>
        </w:rPr>
        <w:t>锅炉标准。</w:t>
      </w:r>
    </w:p>
    <w:p w14:paraId="79F86715">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4</w:t>
      </w:r>
      <w:r>
        <w:rPr>
          <w:rFonts w:hint="eastAsia" w:cs="Times New Roman"/>
          <w:color w:val="000000" w:themeColor="text1"/>
          <w14:textFill>
            <w14:solidFill>
              <w14:schemeClr w14:val="tx1"/>
            </w14:solidFill>
          </w14:textFill>
        </w:rPr>
        <w:t>）饲料加工车间粉尘</w:t>
      </w:r>
    </w:p>
    <w:p w14:paraId="707E001B">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原料处理间为封闭设备，原料投料、输送及去石筛分过程中产生的粉尘</w:t>
      </w:r>
      <w:r>
        <w:rPr>
          <w:rFonts w:cs="Times New Roman"/>
          <w:color w:val="000000" w:themeColor="text1"/>
          <w14:textFill>
            <w14:solidFill>
              <w14:schemeClr w14:val="tx1"/>
            </w14:solidFill>
          </w14:textFill>
        </w:rPr>
        <w:t>经引风机引至布袋除尘器，经处理后由15m排气筒</w:t>
      </w:r>
      <w:r>
        <w:rPr>
          <w:rFonts w:hint="eastAsia" w:cs="Times New Roman"/>
          <w:color w:val="000000" w:themeColor="text1"/>
          <w14:textFill>
            <w14:solidFill>
              <w14:schemeClr w14:val="tx1"/>
            </w14:solidFill>
          </w14:textFill>
        </w:rPr>
        <w:t>D</w:t>
      </w:r>
      <w:r>
        <w:rPr>
          <w:rFonts w:cs="Times New Roman"/>
          <w:color w:val="000000" w:themeColor="text1"/>
          <w14:textFill>
            <w14:solidFill>
              <w14:schemeClr w14:val="tx1"/>
            </w14:solidFill>
          </w14:textFill>
        </w:rPr>
        <w:t>A00</w:t>
      </w:r>
      <w:r>
        <w:rPr>
          <w:rFonts w:hint="eastAsia" w:cs="Times New Roman"/>
          <w:color w:val="000000" w:themeColor="text1"/>
          <w:lang w:val="en-US" w:eastAsia="zh-CN"/>
          <w14:textFill>
            <w14:solidFill>
              <w14:schemeClr w14:val="tx1"/>
            </w14:solidFill>
          </w14:textFill>
        </w:rPr>
        <w:t>3</w:t>
      </w:r>
      <w:r>
        <w:rPr>
          <w:rFonts w:cs="Times New Roman"/>
          <w:color w:val="000000" w:themeColor="text1"/>
          <w14:textFill>
            <w14:solidFill>
              <w14:schemeClr w14:val="tx1"/>
            </w14:solidFill>
          </w14:textFill>
        </w:rPr>
        <w:t>排放，</w:t>
      </w:r>
      <w:r>
        <w:rPr>
          <w:rFonts w:hint="eastAsia" w:cs="Times New Roman"/>
          <w:color w:val="000000" w:themeColor="text1"/>
          <w:lang w:val="zh-CN"/>
          <w14:textFill>
            <w14:solidFill>
              <w14:schemeClr w14:val="tx1"/>
            </w14:solidFill>
          </w14:textFill>
        </w:rPr>
        <w:t>原料间粉尘粉尘排放速率和排放浓度执行《大气污染物综合排放标准》（GB16297-1996）表2中二级标准（排放速率严格50%执行）要求</w:t>
      </w:r>
      <w:r>
        <w:rPr>
          <w:rFonts w:hint="eastAsia" w:cs="Times New Roman"/>
          <w:color w:val="000000" w:themeColor="text1"/>
          <w14:textFill>
            <w14:solidFill>
              <w14:schemeClr w14:val="tx1"/>
            </w14:solidFill>
          </w14:textFill>
        </w:rPr>
        <w:t>。</w:t>
      </w:r>
    </w:p>
    <w:p w14:paraId="5DC2CE74">
      <w:pPr>
        <w:pStyle w:val="85"/>
        <w:rPr>
          <w:rFonts w:hint="eastAsia" w:eastAsia="宋体"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5</w:t>
      </w:r>
      <w:r>
        <w:rPr>
          <w:rFonts w:hint="eastAsia" w:cs="Times New Roman"/>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食堂油烟</w:t>
      </w:r>
    </w:p>
    <w:p w14:paraId="64D98C2A">
      <w:pPr>
        <w:pStyle w:val="9"/>
        <w:spacing w:line="360" w:lineRule="auto"/>
        <w:ind w:firstLine="480"/>
        <w:rPr>
          <w:rFonts w:hint="eastAsia"/>
          <w:color w:val="000000" w:themeColor="text1"/>
          <w:sz w:val="24"/>
          <w:szCs w:val="24"/>
          <w:lang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本项目油烟</w:t>
      </w:r>
      <w:r>
        <w:rPr>
          <w:rFonts w:hint="eastAsia"/>
          <w:color w:val="000000" w:themeColor="text1"/>
          <w:sz w:val="24"/>
          <w:szCs w:val="24"/>
          <w:lang w:bidi="ar"/>
          <w14:textFill>
            <w14:solidFill>
              <w14:schemeClr w14:val="tx1"/>
            </w14:solidFill>
          </w14:textFill>
        </w:rPr>
        <w:t>经油烟净化设施处理后引至屋顶排放，油烟排放浓度满足《饮食业油烟排放标准》（GB18483-2001）</w:t>
      </w:r>
      <w:r>
        <w:rPr>
          <w:rFonts w:hint="eastAsia"/>
          <w:color w:val="000000" w:themeColor="text1"/>
          <w:sz w:val="24"/>
          <w:szCs w:val="24"/>
          <w:lang w:val="en-US" w:eastAsia="zh-CN" w:bidi="ar"/>
          <w14:textFill>
            <w14:solidFill>
              <w14:schemeClr w14:val="tx1"/>
            </w14:solidFill>
          </w14:textFill>
        </w:rPr>
        <w:t>中最高允许</w:t>
      </w:r>
      <w:r>
        <w:rPr>
          <w:rFonts w:hint="eastAsia"/>
          <w:color w:val="000000" w:themeColor="text1"/>
          <w:sz w:val="24"/>
          <w:szCs w:val="24"/>
          <w:lang w:bidi="ar"/>
          <w14:textFill>
            <w14:solidFill>
              <w14:schemeClr w14:val="tx1"/>
            </w14:solidFill>
          </w14:textFill>
        </w:rPr>
        <w:t>排放浓度</w:t>
      </w:r>
      <w:r>
        <w:rPr>
          <w:rFonts w:hint="eastAsia"/>
          <w:color w:val="000000" w:themeColor="text1"/>
          <w:sz w:val="24"/>
          <w:szCs w:val="24"/>
          <w:lang w:val="en-US" w:eastAsia="zh-CN" w:bidi="ar"/>
          <w14:textFill>
            <w14:solidFill>
              <w14:schemeClr w14:val="tx1"/>
            </w14:solidFill>
          </w14:textFill>
        </w:rPr>
        <w:t>2.0</w:t>
      </w:r>
      <w:r>
        <w:rPr>
          <w:rFonts w:hint="eastAsia"/>
          <w:color w:val="000000" w:themeColor="text1"/>
          <w:sz w:val="24"/>
          <w:szCs w:val="24"/>
          <w:lang w:bidi="ar"/>
          <w14:textFill>
            <w14:solidFill>
              <w14:schemeClr w14:val="tx1"/>
            </w14:solidFill>
          </w14:textFill>
        </w:rPr>
        <w:t>mg/m</w:t>
      </w:r>
      <w:r>
        <w:rPr>
          <w:rFonts w:hint="eastAsia"/>
          <w:color w:val="000000" w:themeColor="text1"/>
          <w:sz w:val="24"/>
          <w:szCs w:val="24"/>
          <w:vertAlign w:val="superscript"/>
          <w:lang w:bidi="ar"/>
          <w14:textFill>
            <w14:solidFill>
              <w14:schemeClr w14:val="tx1"/>
            </w14:solidFill>
          </w14:textFill>
        </w:rPr>
        <w:t>3</w:t>
      </w:r>
      <w:r>
        <w:rPr>
          <w:rFonts w:hint="eastAsia"/>
          <w:color w:val="000000" w:themeColor="text1"/>
          <w:sz w:val="24"/>
          <w:szCs w:val="24"/>
          <w:lang w:bidi="ar"/>
          <w14:textFill>
            <w14:solidFill>
              <w14:schemeClr w14:val="tx1"/>
            </w14:solidFill>
          </w14:textFill>
        </w:rPr>
        <w:t>的标准要求，经处理后的油烟废气</w:t>
      </w:r>
      <w:r>
        <w:rPr>
          <w:rFonts w:hint="eastAsia"/>
          <w:color w:val="000000" w:themeColor="text1"/>
          <w:sz w:val="24"/>
          <w:szCs w:val="28"/>
          <w14:textFill>
            <w14:solidFill>
              <w14:schemeClr w14:val="tx1"/>
            </w14:solidFill>
          </w14:textFill>
        </w:rPr>
        <w:t>经专用烟道引至楼顶排放</w:t>
      </w:r>
      <w:r>
        <w:rPr>
          <w:rFonts w:hint="eastAsia"/>
          <w:color w:val="000000" w:themeColor="text1"/>
          <w:sz w:val="24"/>
          <w:szCs w:val="24"/>
          <w:lang w:bidi="ar"/>
          <w14:textFill>
            <w14:solidFill>
              <w14:schemeClr w14:val="tx1"/>
            </w14:solidFill>
          </w14:textFill>
        </w:rPr>
        <w:t>。</w:t>
      </w:r>
    </w:p>
    <w:p w14:paraId="416BA514">
      <w:pPr>
        <w:pStyle w:val="85"/>
        <w:rPr>
          <w:rFonts w:hint="default" w:eastAsia="宋体" w:cs="Times New Roman"/>
          <w:color w:val="000000" w:themeColor="text1"/>
          <w:lang w:val="en-US"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6</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柴油发电机废气</w:t>
      </w:r>
    </w:p>
    <w:p w14:paraId="0FA7F746">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柴油发电机废气通过发电机排气系统引至柴油发电机房的排烟管道无组织排放，经大气稀释、植被吸收后对周围环境空气质量影响较小，排放浓度能满足《大气污染物综合排放标准》（GB16297-1996）表2无组织排放浓度限值要求。</w:t>
      </w:r>
    </w:p>
    <w:p w14:paraId="16A86F66">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2、废水</w:t>
      </w:r>
    </w:p>
    <w:p w14:paraId="1002D04C">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本项目废水由新建</w:t>
      </w:r>
      <w:r>
        <w:rPr>
          <w:rFonts w:hint="eastAsia" w:cs="Times New Roman"/>
          <w:color w:val="000000" w:themeColor="text1"/>
          <w14:textFill>
            <w14:solidFill>
              <w14:schemeClr w14:val="tx1"/>
            </w14:solidFill>
          </w14:textFill>
        </w:rPr>
        <w:t>的处理能力为</w:t>
      </w:r>
      <w:r>
        <w:rPr>
          <w:rFonts w:hint="eastAsia" w:cs="Times New Roman"/>
          <w:color w:val="000000" w:themeColor="text1"/>
          <w:lang w:val="en-US" w:eastAsia="zh-CN"/>
          <w14:textFill>
            <w14:solidFill>
              <w14:schemeClr w14:val="tx1"/>
            </w14:solidFill>
          </w14:textFill>
        </w:rPr>
        <w:t>2</w:t>
      </w:r>
      <w:r>
        <w:rPr>
          <w:rFonts w:cs="Times New Roman"/>
          <w:color w:val="000000" w:themeColor="text1"/>
          <w14:textFill>
            <w14:solidFill>
              <w14:schemeClr w14:val="tx1"/>
            </w14:solidFill>
          </w14:textFill>
        </w:rPr>
        <w:t>00m</w:t>
      </w:r>
      <w:r>
        <w:rPr>
          <w:rFonts w:cs="Times New Roman"/>
          <w:color w:val="000000" w:themeColor="text1"/>
          <w:vertAlign w:val="superscript"/>
          <w14:textFill>
            <w14:solidFill>
              <w14:schemeClr w14:val="tx1"/>
            </w14:solidFill>
          </w14:textFill>
        </w:rPr>
        <w:t>3</w:t>
      </w:r>
      <w:r>
        <w:rPr>
          <w:rFonts w:cs="Times New Roman"/>
          <w:color w:val="000000" w:themeColor="text1"/>
          <w14:textFill>
            <w14:solidFill>
              <w14:schemeClr w14:val="tx1"/>
            </w14:solidFill>
          </w14:textFill>
        </w:rPr>
        <w:t>/d</w:t>
      </w:r>
      <w:r>
        <w:rPr>
          <w:rFonts w:hint="eastAsia" w:cs="Times New Roman"/>
          <w:color w:val="000000" w:themeColor="text1"/>
          <w14:textFill>
            <w14:solidFill>
              <w14:schemeClr w14:val="tx1"/>
            </w14:solidFill>
          </w14:textFill>
        </w:rPr>
        <w:t>的</w:t>
      </w:r>
      <w:r>
        <w:rPr>
          <w:rFonts w:cs="Times New Roman"/>
          <w:color w:val="000000" w:themeColor="text1"/>
          <w14:textFill>
            <w14:solidFill>
              <w14:schemeClr w14:val="tx1"/>
            </w14:solidFill>
          </w14:textFill>
        </w:rPr>
        <w:t>污水处理站处理满足《</w:t>
      </w:r>
      <w:r>
        <w:rPr>
          <w:rFonts w:hint="eastAsia" w:cs="Times New Roman"/>
          <w:color w:val="000000" w:themeColor="text1"/>
          <w:lang w:eastAsia="zh-CN"/>
          <w14:textFill>
            <w14:solidFill>
              <w14:schemeClr w14:val="tx1"/>
            </w14:solidFill>
          </w14:textFill>
        </w:rPr>
        <w:t>酒类制造业水污染物排放标准</w:t>
      </w:r>
      <w:r>
        <w:rPr>
          <w:rFonts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GB19821-2025</w:t>
      </w:r>
      <w:r>
        <w:rPr>
          <w:rFonts w:cs="Times New Roman"/>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rFonts w:cs="Times New Roman"/>
          <w:color w:val="000000" w:themeColor="text1"/>
          <w14:textFill>
            <w14:solidFill>
              <w14:schemeClr w14:val="tx1"/>
            </w14:solidFill>
          </w14:textFill>
        </w:rPr>
        <w:t>及</w:t>
      </w:r>
      <w:r>
        <w:rPr>
          <w:rFonts w:hint="eastAsia" w:cs="Times New Roman"/>
          <w:color w:val="000000" w:themeColor="text1"/>
          <w:lang w:eastAsia="zh-CN"/>
          <w14:textFill>
            <w14:solidFill>
              <w14:schemeClr w14:val="tx1"/>
            </w14:solidFill>
          </w14:textFill>
        </w:rPr>
        <w:t>桦南县城镇污水处理厂</w:t>
      </w:r>
      <w:r>
        <w:rPr>
          <w:rFonts w:cs="Times New Roman"/>
          <w:color w:val="000000" w:themeColor="text1"/>
          <w14:textFill>
            <w14:solidFill>
              <w14:schemeClr w14:val="tx1"/>
            </w14:solidFill>
          </w14:textFill>
        </w:rPr>
        <w:t>进水指标后进入市政污水管网，排入</w:t>
      </w:r>
      <w:r>
        <w:rPr>
          <w:rFonts w:hint="eastAsia" w:cs="Times New Roman"/>
          <w:color w:val="000000" w:themeColor="text1"/>
          <w:lang w:eastAsia="zh-CN"/>
          <w14:textFill>
            <w14:solidFill>
              <w14:schemeClr w14:val="tx1"/>
            </w14:solidFill>
          </w14:textFill>
        </w:rPr>
        <w:t>桦南县城镇污水处理厂</w:t>
      </w:r>
      <w:r>
        <w:rPr>
          <w:rFonts w:cs="Times New Roman"/>
          <w:color w:val="000000" w:themeColor="text1"/>
          <w14:textFill>
            <w14:solidFill>
              <w14:schemeClr w14:val="tx1"/>
            </w14:solidFill>
          </w14:textFill>
        </w:rPr>
        <w:t>统一处理，废水</w:t>
      </w:r>
      <w:r>
        <w:rPr>
          <w:rFonts w:hint="eastAsia" w:cs="Times New Roman"/>
          <w:color w:val="000000" w:themeColor="text1"/>
          <w14:textFill>
            <w14:solidFill>
              <w14:schemeClr w14:val="tx1"/>
            </w14:solidFill>
          </w14:textFill>
        </w:rPr>
        <w:t>达到《城镇污水处理厂污染物排放标准》（GB 18918-2002）及修改单中的一级A标准排入</w:t>
      </w:r>
      <w:r>
        <w:rPr>
          <w:rFonts w:hint="default" w:eastAsia="宋体"/>
          <w:color w:val="000000" w:themeColor="text1"/>
          <w:lang w:val="en-US" w:eastAsia="zh-CN"/>
          <w14:textFill>
            <w14:solidFill>
              <w14:schemeClr w14:val="tx1"/>
            </w14:solidFill>
          </w14:textFill>
        </w:rPr>
        <w:t>八虎力河，最终汇入倭肯河</w:t>
      </w:r>
      <w:r>
        <w:rPr>
          <w:rFonts w:hint="eastAsia" w:cs="Times New Roman"/>
          <w:color w:val="000000" w:themeColor="text1"/>
          <w14:textFill>
            <w14:solidFill>
              <w14:schemeClr w14:val="tx1"/>
            </w14:solidFill>
          </w14:textFill>
        </w:rPr>
        <w:t>，</w:t>
      </w:r>
      <w:r>
        <w:rPr>
          <w:rFonts w:cs="Times New Roman"/>
          <w:color w:val="000000" w:themeColor="text1"/>
          <w14:textFill>
            <w14:solidFill>
              <w14:schemeClr w14:val="tx1"/>
            </w14:solidFill>
          </w14:textFill>
        </w:rPr>
        <w:t>对环境影响较小。</w:t>
      </w:r>
    </w:p>
    <w:p w14:paraId="5EBA493C">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3、噪声</w:t>
      </w:r>
    </w:p>
    <w:p w14:paraId="6D7A9F00">
      <w:pPr>
        <w:pStyle w:val="85"/>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本项目采取隔声、降噪等措施后，</w:t>
      </w:r>
      <w:r>
        <w:rPr>
          <w:rFonts w:hint="eastAsia" w:cs="Times New Roman"/>
          <w:color w:val="000000" w:themeColor="text1"/>
          <w:lang w:val="en-US" w:eastAsia="zh-CN"/>
          <w14:textFill>
            <w14:solidFill>
              <w14:schemeClr w14:val="tx1"/>
            </w14:solidFill>
          </w14:textFill>
        </w:rPr>
        <w:t>东侧、南侧、北侧</w:t>
      </w:r>
      <w:r>
        <w:rPr>
          <w:rFonts w:hint="eastAsia" w:cs="Times New Roman"/>
          <w:color w:val="000000" w:themeColor="text1"/>
          <w14:textFill>
            <w14:solidFill>
              <w14:schemeClr w14:val="tx1"/>
            </w14:solidFill>
          </w14:textFill>
        </w:rPr>
        <w:t>厂界噪声可满足《工业企业厂界环境噪声排放标准》（GB12348-2008）表1中3类标准，</w:t>
      </w:r>
      <w:r>
        <w:rPr>
          <w:rFonts w:hint="eastAsia" w:cs="Times New Roman"/>
          <w:color w:val="000000" w:themeColor="text1"/>
          <w:lang w:val="en-US" w:eastAsia="zh-CN"/>
          <w14:textFill>
            <w14:solidFill>
              <w14:schemeClr w14:val="tx1"/>
            </w14:solidFill>
          </w14:textFill>
        </w:rPr>
        <w:t>西侧</w:t>
      </w:r>
      <w:r>
        <w:rPr>
          <w:rFonts w:hint="eastAsia" w:cs="Times New Roman"/>
          <w:color w:val="000000" w:themeColor="text1"/>
          <w14:textFill>
            <w14:solidFill>
              <w14:schemeClr w14:val="tx1"/>
            </w14:solidFill>
          </w14:textFill>
        </w:rPr>
        <w:t>厂界噪声可满足《工业企业厂界环境噪声排放标准》（GB12348-2008）表1中</w:t>
      </w:r>
      <w:r>
        <w:rPr>
          <w:rFonts w:hint="eastAsia" w:cs="Times New Roman"/>
          <w:color w:val="000000" w:themeColor="text1"/>
          <w:lang w:val="en-US" w:eastAsia="zh-CN"/>
          <w14:textFill>
            <w14:solidFill>
              <w14:schemeClr w14:val="tx1"/>
            </w14:solidFill>
          </w14:textFill>
        </w:rPr>
        <w:t>4</w:t>
      </w:r>
      <w:r>
        <w:rPr>
          <w:rFonts w:hint="eastAsia" w:cs="Times New Roman"/>
          <w:color w:val="000000" w:themeColor="text1"/>
          <w14:textFill>
            <w14:solidFill>
              <w14:schemeClr w14:val="tx1"/>
            </w14:solidFill>
          </w14:textFill>
        </w:rPr>
        <w:t>类标准</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因此本项目设备噪声经隔声</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基础减振</w:t>
      </w:r>
      <w:r>
        <w:rPr>
          <w:rFonts w:hint="eastAsia" w:cs="Times New Roman"/>
          <w:color w:val="000000" w:themeColor="text1"/>
          <w14:textFill>
            <w14:solidFill>
              <w14:schemeClr w14:val="tx1"/>
            </w14:solidFill>
          </w14:textFill>
        </w:rPr>
        <w:t>及距离衰减后可达标排放，对周围声环境影响较小。</w:t>
      </w:r>
    </w:p>
    <w:p w14:paraId="77A5F405">
      <w:pPr>
        <w:pStyle w:val="85"/>
        <w:rPr>
          <w:rFonts w:cs="Times New Roman"/>
          <w:color w:val="auto"/>
        </w:rPr>
      </w:pPr>
      <w:r>
        <w:rPr>
          <w:rFonts w:hint="eastAsia" w:cs="Times New Roman"/>
          <w:color w:val="auto"/>
        </w:rPr>
        <w:t>4、固体废物</w:t>
      </w:r>
    </w:p>
    <w:p w14:paraId="4A032849">
      <w:pPr>
        <w:pStyle w:val="85"/>
        <w:rPr>
          <w:rFonts w:cs="Times New Roman"/>
          <w:color w:val="FF0000"/>
        </w:rPr>
      </w:pPr>
      <w:r>
        <w:rPr>
          <w:rFonts w:hint="eastAsia"/>
          <w:b w:val="0"/>
          <w:bCs w:val="0"/>
          <w:color w:val="000000" w:themeColor="text1"/>
          <w:lang w:val="en-US" w:eastAsia="zh-CN"/>
          <w14:textFill>
            <w14:solidFill>
              <w14:schemeClr w14:val="tx1"/>
            </w14:solidFill>
          </w14:textFill>
        </w:rPr>
        <w:t>生活垃圾经垃圾桶收集暂存后委托环卫部门集中处理；</w:t>
      </w:r>
      <w:r>
        <w:rPr>
          <w:rFonts w:hint="eastAsia"/>
          <w:color w:val="000000" w:themeColor="text1"/>
          <w:highlight w:val="none"/>
          <w14:textFill>
            <w14:solidFill>
              <w14:schemeClr w14:val="tx1"/>
            </w14:solidFill>
          </w14:textFill>
        </w:rPr>
        <w:t>餐厨垃圾</w:t>
      </w:r>
      <w:r>
        <w:rPr>
          <w:rFonts w:hint="eastAsia"/>
          <w:color w:val="000000" w:themeColor="text1"/>
          <w:highlight w:val="none"/>
          <w:lang w:val="en-US" w:eastAsia="zh-CN"/>
          <w14:textFill>
            <w14:solidFill>
              <w14:schemeClr w14:val="tx1"/>
            </w14:solidFill>
          </w14:textFill>
        </w:rPr>
        <w:t>集中收集，交由有资质单位处理；生产过程产生的</w:t>
      </w:r>
      <w:r>
        <w:rPr>
          <w:rFonts w:hint="eastAsia"/>
          <w:color w:val="auto"/>
          <w:lang w:val="en-US" w:eastAsia="zh-CN"/>
        </w:rPr>
        <w:t>原料</w:t>
      </w:r>
      <w:r>
        <w:rPr>
          <w:rFonts w:hint="eastAsia"/>
          <w:color w:val="auto"/>
        </w:rPr>
        <w:t>杂质，集中收集，外售有机肥厂生产有机肥</w:t>
      </w:r>
      <w:r>
        <w:rPr>
          <w:rFonts w:hint="eastAsia"/>
          <w:color w:val="auto"/>
          <w:lang w:eastAsia="zh-CN"/>
        </w:rPr>
        <w:t>；</w:t>
      </w:r>
      <w:r>
        <w:rPr>
          <w:rFonts w:hint="eastAsia"/>
          <w:color w:val="auto"/>
          <w:lang w:val="en-US" w:eastAsia="zh-CN"/>
        </w:rPr>
        <w:t>废</w:t>
      </w:r>
      <w:r>
        <w:rPr>
          <w:color w:val="auto"/>
        </w:rPr>
        <w:t>酒糟及废酵母采用专用容器收集并加盖密封，外售作饲料，日产日清</w:t>
      </w:r>
      <w:r>
        <w:rPr>
          <w:rFonts w:hint="eastAsia"/>
          <w:color w:val="auto"/>
          <w:lang w:eastAsia="zh-CN"/>
        </w:rPr>
        <w:t>；</w:t>
      </w:r>
      <w:r>
        <w:rPr>
          <w:rFonts w:hint="eastAsia"/>
          <w:color w:val="000000" w:themeColor="text1"/>
          <w:lang w:val="en-US" w:eastAsia="zh-CN"/>
          <w14:textFill>
            <w14:solidFill>
              <w14:schemeClr w14:val="tx1"/>
            </w14:solidFill>
          </w14:textFill>
        </w:rPr>
        <w:t>废硅藻土暂存在密闭废土罐中</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外售综合利用</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定期转运</w:t>
      </w:r>
      <w:r>
        <w:rPr>
          <w:rFonts w:hint="default"/>
          <w:color w:val="000000" w:themeColor="text1"/>
          <w:lang w:val="en-US" w:eastAsia="zh-CN"/>
          <w14:textFill>
            <w14:solidFill>
              <w14:schemeClr w14:val="tx1"/>
            </w14:solidFill>
          </w14:textFill>
        </w:rPr>
        <w:t>不在厂区长时间贮存</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除尘器收尘集中收集，外售有机肥厂生产有机肥</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废布袋更换时交厂家回收处置</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污水处理站产生的污泥外运前应采取压滤脱水处理，确保含水率低于</w:t>
      </w:r>
      <w:r>
        <w:rPr>
          <w:color w:val="000000" w:themeColor="text1"/>
          <w14:textFill>
            <w14:solidFill>
              <w14:schemeClr w14:val="tx1"/>
            </w14:solidFill>
          </w14:textFill>
        </w:rPr>
        <w:t>60%</w:t>
      </w:r>
      <w:r>
        <w:rPr>
          <w:rFonts w:hint="eastAsia"/>
          <w:color w:val="000000" w:themeColor="text1"/>
          <w14:textFill>
            <w14:solidFill>
              <w14:schemeClr w14:val="tx1"/>
            </w14:solidFill>
          </w14:textFill>
        </w:rPr>
        <w:t>，定期交由市政部门统一处理</w:t>
      </w:r>
      <w:r>
        <w:rPr>
          <w:rFonts w:hint="eastAsia"/>
          <w:color w:val="000000" w:themeColor="text1"/>
          <w:lang w:eastAsia="zh-CN"/>
          <w14:textFill>
            <w14:solidFill>
              <w14:schemeClr w14:val="tx1"/>
            </w14:solidFill>
          </w14:textFill>
        </w:rPr>
        <w:t>；废脱硫剂</w:t>
      </w:r>
      <w:r>
        <w:rPr>
          <w:rFonts w:hint="eastAsia"/>
          <w:color w:val="000000" w:themeColor="text1"/>
          <w:lang w:val="en-US" w:eastAsia="zh-CN"/>
          <w14:textFill>
            <w14:solidFill>
              <w14:schemeClr w14:val="tx1"/>
            </w14:solidFill>
          </w14:textFill>
        </w:rPr>
        <w:t>更换时</w:t>
      </w:r>
      <w:r>
        <w:rPr>
          <w:rFonts w:hint="eastAsia"/>
          <w:color w:val="000000" w:themeColor="text1"/>
          <w:lang w:eastAsia="zh-CN"/>
          <w14:textFill>
            <w14:solidFill>
              <w14:schemeClr w14:val="tx1"/>
            </w14:solidFill>
          </w14:textFill>
        </w:rPr>
        <w:t>由厂家回收；</w:t>
      </w:r>
      <w:r>
        <w:rPr>
          <w:rFonts w:hint="eastAsia"/>
          <w:color w:val="000000" w:themeColor="text1"/>
          <w:highlight w:val="none"/>
          <w14:textFill>
            <w14:solidFill>
              <w14:schemeClr w14:val="tx1"/>
            </w14:solidFill>
          </w14:textFill>
        </w:rPr>
        <w:t>废包装物</w:t>
      </w:r>
      <w:r>
        <w:rPr>
          <w:rFonts w:hint="eastAsia"/>
          <w:color w:val="000000" w:themeColor="text1"/>
          <w14:textFill>
            <w14:solidFill>
              <w14:schemeClr w14:val="tx1"/>
            </w14:solidFill>
          </w14:textFill>
        </w:rPr>
        <w:t>集中收集，外售废品收购站综合利用</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废过滤材料</w:t>
      </w:r>
      <w:r>
        <w:rPr>
          <w:rFonts w:hint="eastAsia"/>
          <w:color w:val="000000" w:themeColor="text1"/>
          <w:lang w:val="en-US" w:eastAsia="zh-CN"/>
          <w14:textFill>
            <w14:solidFill>
              <w14:schemeClr w14:val="tx1"/>
            </w14:solidFill>
          </w14:textFill>
        </w:rPr>
        <w:t>由</w:t>
      </w:r>
      <w:r>
        <w:rPr>
          <w:rFonts w:hint="eastAsia"/>
          <w:color w:val="000000" w:themeColor="text1"/>
          <w14:textFill>
            <w14:solidFill>
              <w14:schemeClr w14:val="tx1"/>
            </w14:solidFill>
          </w14:textFill>
        </w:rPr>
        <w:t>纯水设备公司</w:t>
      </w:r>
      <w:r>
        <w:rPr>
          <w:rFonts w:hint="eastAsia"/>
          <w:color w:val="000000" w:themeColor="text1"/>
          <w:lang w:val="en-US" w:eastAsia="zh-CN"/>
          <w14:textFill>
            <w14:solidFill>
              <w14:schemeClr w14:val="tx1"/>
            </w14:solidFill>
          </w14:textFill>
        </w:rPr>
        <w:t>定期更换时</w:t>
      </w:r>
      <w:r>
        <w:rPr>
          <w:rFonts w:hint="eastAsia"/>
          <w:color w:val="000000" w:themeColor="text1"/>
          <w14:textFill>
            <w14:solidFill>
              <w14:schemeClr w14:val="tx1"/>
            </w14:solidFill>
          </w14:textFill>
        </w:rPr>
        <w:t>回收处理</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废离子交换树脂由软水设备</w:t>
      </w:r>
      <w:r>
        <w:rPr>
          <w:rFonts w:hint="eastAsia"/>
          <w:color w:val="000000" w:themeColor="text1"/>
          <w:lang w:val="en-US" w:eastAsia="zh-CN"/>
          <w14:textFill>
            <w14:solidFill>
              <w14:schemeClr w14:val="tx1"/>
            </w14:solidFill>
          </w14:textFill>
        </w:rPr>
        <w:t>公司更换时</w:t>
      </w:r>
      <w:r>
        <w:rPr>
          <w:rFonts w:hint="eastAsia"/>
          <w:color w:val="000000" w:themeColor="text1"/>
          <w14:textFill>
            <w14:solidFill>
              <w14:schemeClr w14:val="tx1"/>
            </w14:solidFill>
          </w14:textFill>
        </w:rPr>
        <w:t>回收处理</w:t>
      </w:r>
      <w:r>
        <w:rPr>
          <w:rFonts w:hint="eastAsia"/>
          <w:color w:val="000000" w:themeColor="text1"/>
          <w:lang w:eastAsia="zh-CN"/>
          <w14:textFill>
            <w14:solidFill>
              <w14:schemeClr w14:val="tx1"/>
            </w14:solidFill>
          </w14:textFill>
        </w:rPr>
        <w:t>；</w:t>
      </w:r>
      <w:r>
        <w:rPr>
          <w:rFonts w:hint="default" w:ascii="Times New Roman" w:hAnsi="Times New Roman" w:eastAsia="宋体" w:cs="Times New Roman"/>
          <w:b w:val="0"/>
          <w:bCs w:val="0"/>
          <w:color w:val="000000"/>
          <w:kern w:val="0"/>
          <w:sz w:val="24"/>
          <w:szCs w:val="24"/>
          <w:lang w:val="en-US" w:eastAsia="zh-CN" w:bidi="ar"/>
        </w:rPr>
        <w:t>CO</w:t>
      </w:r>
      <w:r>
        <w:rPr>
          <w:rFonts w:hint="default" w:ascii="Times New Roman" w:hAnsi="Times New Roman" w:eastAsia="宋体" w:cs="Times New Roman"/>
          <w:b w:val="0"/>
          <w:bCs w:val="0"/>
          <w:color w:val="000000"/>
          <w:kern w:val="0"/>
          <w:sz w:val="15"/>
          <w:szCs w:val="15"/>
          <w:lang w:val="en-US" w:eastAsia="zh-CN" w:bidi="ar"/>
        </w:rPr>
        <w:t>2</w:t>
      </w:r>
      <w:r>
        <w:rPr>
          <w:rFonts w:hint="eastAsia" w:ascii="宋体" w:hAnsi="宋体" w:eastAsia="宋体" w:cs="宋体"/>
          <w:b w:val="0"/>
          <w:bCs w:val="0"/>
          <w:color w:val="000000"/>
          <w:kern w:val="0"/>
          <w:sz w:val="24"/>
          <w:szCs w:val="24"/>
          <w:lang w:val="en-US" w:eastAsia="zh-CN" w:bidi="ar"/>
        </w:rPr>
        <w:t>回收系统的</w:t>
      </w:r>
      <w:r>
        <w:rPr>
          <w:rFonts w:hint="eastAsia" w:ascii="宋体" w:hAnsi="宋体" w:eastAsia="宋体" w:cs="宋体"/>
          <w:color w:val="000000"/>
          <w:kern w:val="0"/>
          <w:sz w:val="24"/>
          <w:szCs w:val="24"/>
          <w:lang w:val="en-US" w:eastAsia="zh-CN" w:bidi="ar"/>
        </w:rPr>
        <w:t>废分子筛和废活性炭属于一般固废，</w:t>
      </w: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r>
        <w:rPr>
          <w:rFonts w:hint="eastAsia" w:ascii="宋体" w:hAnsi="宋体" w:eastAsia="宋体" w:cs="宋体"/>
          <w:color w:val="000000"/>
          <w:kern w:val="0"/>
          <w:sz w:val="24"/>
          <w:szCs w:val="24"/>
          <w:lang w:val="en-US" w:eastAsia="zh-CN" w:bidi="ar"/>
        </w:rPr>
        <w:t>。</w:t>
      </w:r>
      <w:r>
        <w:rPr>
          <w:rFonts w:hint="eastAsia"/>
          <w:color w:val="000000" w:themeColor="text1"/>
          <w:lang w:val="en-US" w:eastAsia="zh-CN"/>
          <w14:textFill>
            <w14:solidFill>
              <w14:schemeClr w14:val="tx1"/>
            </w14:solidFill>
          </w14:textFill>
        </w:rPr>
        <w:t>废危化品包装材料、</w:t>
      </w:r>
      <w:r>
        <w:rPr>
          <w:rFonts w:hint="eastAsia"/>
          <w:color w:val="000000" w:themeColor="text1"/>
          <w14:textFill>
            <w14:solidFill>
              <w14:schemeClr w14:val="tx1"/>
            </w14:solidFill>
          </w14:textFill>
        </w:rPr>
        <w:t>化验室废液</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废机油、废机油桶、废含油抹布手套分类暂存于危险废物贮存点，定期委托有资质单位处置。</w:t>
      </w:r>
    </w:p>
    <w:p w14:paraId="775D1D66">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本项目固体废物全部得到妥善处理，不直接排入外环境，满足《一般工业固体废物贮存和填埋污染控制标准》（GB18599-2020）、《危险废物贮存污染控制标准》（GB 18597-2023）中要求。</w:t>
      </w:r>
      <w:r>
        <w:rPr>
          <w:rFonts w:hint="eastAsia" w:cs="Times New Roman"/>
          <w:color w:val="000000" w:themeColor="text1"/>
          <w14:textFill>
            <w14:solidFill>
              <w14:schemeClr w14:val="tx1"/>
            </w14:solidFill>
          </w14:textFill>
        </w:rPr>
        <w:t>因此本项目产生的固废均可得到有效的处置和利用，不会产生二次污染，对项目周围环境不会产生明显不良影响。</w:t>
      </w:r>
    </w:p>
    <w:p w14:paraId="7C27DCCB">
      <w:pPr>
        <w:pStyle w:val="6"/>
        <w:rPr>
          <w:color w:val="000000" w:themeColor="text1"/>
          <w14:textFill>
            <w14:solidFill>
              <w14:schemeClr w14:val="tx1"/>
            </w14:solidFill>
          </w14:textFill>
        </w:rPr>
      </w:pPr>
      <w:bookmarkStart w:id="27" w:name="_Toc12314"/>
      <w:r>
        <w:rPr>
          <w:rFonts w:hint="eastAsia"/>
          <w:color w:val="000000" w:themeColor="text1"/>
          <w14:textFill>
            <w14:solidFill>
              <w14:schemeClr w14:val="tx1"/>
            </w14:solidFill>
          </w14:textFill>
        </w:rPr>
        <w:t>1</w:t>
      </w:r>
      <w:r>
        <w:rPr>
          <w:color w:val="000000" w:themeColor="text1"/>
          <w14:textFill>
            <w14:solidFill>
              <w14:schemeClr w14:val="tx1"/>
            </w14:solidFill>
          </w14:textFill>
        </w:rPr>
        <w:t>.6.4</w:t>
      </w:r>
      <w:r>
        <w:rPr>
          <w:rFonts w:hint="eastAsia"/>
          <w:color w:val="000000" w:themeColor="text1"/>
          <w14:textFill>
            <w14:solidFill>
              <w14:schemeClr w14:val="tx1"/>
            </w14:solidFill>
          </w14:textFill>
        </w:rPr>
        <w:t>主要结论</w:t>
      </w:r>
      <w:bookmarkEnd w:id="27"/>
    </w:p>
    <w:p w14:paraId="204E5F25">
      <w:pPr>
        <w:pStyle w:val="85"/>
        <w:rPr>
          <w:snapToGrid w:val="0"/>
          <w:color w:val="000000" w:themeColor="text1"/>
          <w14:textFill>
            <w14:solidFill>
              <w14:schemeClr w14:val="tx1"/>
            </w14:solidFill>
          </w14:textFill>
        </w:rPr>
        <w:sectPr>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720" w:num="1"/>
          <w:docGrid w:type="lines" w:linePitch="312" w:charSpace="0"/>
        </w:sectPr>
      </w:pPr>
      <w:r>
        <w:rPr>
          <w:rFonts w:hint="eastAsia"/>
          <w:snapToGrid w:val="0"/>
          <w:color w:val="000000" w:themeColor="text1"/>
          <w14:textFill>
            <w14:solidFill>
              <w14:schemeClr w14:val="tx1"/>
            </w14:solidFill>
          </w14:textFill>
        </w:rPr>
        <w:t>本次评价认为：本项目周边环境情况良好，工程的建设会对所在地区的环境产生不同程度的影响，通过积极有效的环保措施后，项目的建设可以实现污染物的达标排放，可以满足区域环境功能区划要求。在采取本报告书所提出的各项环保措施，且措施落实良好的前提下，从环保角度看，</w:t>
      </w:r>
      <w:r>
        <w:rPr>
          <w:rFonts w:hint="eastAsia"/>
          <w:snapToGrid w:val="0"/>
          <w:color w:val="000000" w:themeColor="text1"/>
          <w:lang w:eastAsia="zh-CN"/>
          <w14:textFill>
            <w14:solidFill>
              <w14:schemeClr w14:val="tx1"/>
            </w14:solidFill>
          </w14:textFill>
        </w:rPr>
        <w:t>年产30000吨紫苏精酿啤酒生产线建设项目</w:t>
      </w:r>
      <w:r>
        <w:rPr>
          <w:rFonts w:hint="eastAsia"/>
          <w:snapToGrid w:val="0"/>
          <w:color w:val="000000" w:themeColor="text1"/>
          <w14:textFill>
            <w14:solidFill>
              <w14:schemeClr w14:val="tx1"/>
            </w14:solidFill>
          </w14:textFill>
        </w:rPr>
        <w:t>合理可行。</w:t>
      </w:r>
    </w:p>
    <w:p w14:paraId="79A4CA9B">
      <w:pPr>
        <w:pStyle w:val="4"/>
        <w:rPr>
          <w:snapToGrid w:val="0"/>
          <w:color w:val="000000" w:themeColor="text1"/>
          <w14:textFill>
            <w14:solidFill>
              <w14:schemeClr w14:val="tx1"/>
            </w14:solidFill>
          </w14:textFill>
        </w:rPr>
      </w:pPr>
      <w:bookmarkStart w:id="28" w:name="_Toc436918979"/>
      <w:bookmarkStart w:id="29" w:name="_Toc439236474"/>
      <w:bookmarkStart w:id="30" w:name="_Toc477190960"/>
      <w:bookmarkStart w:id="31" w:name="_Toc472585612"/>
      <w:bookmarkStart w:id="32" w:name="_Toc22036"/>
      <w:r>
        <w:rPr>
          <w:snapToGrid w:val="0"/>
          <w:color w:val="000000" w:themeColor="text1"/>
          <w14:textFill>
            <w14:solidFill>
              <w14:schemeClr w14:val="tx1"/>
            </w14:solidFill>
          </w14:textFill>
        </w:rPr>
        <w:t>2</w:t>
      </w:r>
      <w:bookmarkEnd w:id="28"/>
      <w:bookmarkEnd w:id="29"/>
      <w:bookmarkEnd w:id="30"/>
      <w:bookmarkEnd w:id="31"/>
      <w:r>
        <w:rPr>
          <w:rFonts w:hint="eastAsia"/>
          <w:snapToGrid w:val="0"/>
          <w:color w:val="000000" w:themeColor="text1"/>
          <w14:textFill>
            <w14:solidFill>
              <w14:schemeClr w14:val="tx1"/>
            </w14:solidFill>
          </w14:textFill>
        </w:rPr>
        <w:t>总则</w:t>
      </w:r>
      <w:bookmarkEnd w:id="32"/>
    </w:p>
    <w:p w14:paraId="41FD970B">
      <w:pPr>
        <w:pStyle w:val="5"/>
        <w:rPr>
          <w:snapToGrid w:val="0"/>
          <w:color w:val="000000" w:themeColor="text1"/>
          <w14:textFill>
            <w14:solidFill>
              <w14:schemeClr w14:val="tx1"/>
            </w14:solidFill>
          </w14:textFill>
        </w:rPr>
      </w:pPr>
      <w:bookmarkStart w:id="33" w:name="_Toc25639"/>
      <w:r>
        <w:rPr>
          <w:snapToGrid w:val="0"/>
          <w:color w:val="000000" w:themeColor="text1"/>
          <w14:textFill>
            <w14:solidFill>
              <w14:schemeClr w14:val="tx1"/>
            </w14:solidFill>
          </w14:textFill>
        </w:rPr>
        <w:t>2.1评价目的</w:t>
      </w:r>
      <w:bookmarkEnd w:id="33"/>
    </w:p>
    <w:p w14:paraId="018B321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根据本项目特性及工程所在地的环境特点，确定本报告的编制目的：</w:t>
      </w:r>
    </w:p>
    <w:p w14:paraId="540E354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（1）贯彻</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预防为主，防治结合，综合利用</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环境管理方针，要求在开发建设活动实施之前预计可能产生的环境污染与破坏，再据此采取防治对策，做到防患于未然。</w:t>
      </w:r>
    </w:p>
    <w:p w14:paraId="401E240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（2）本次环评将在对工程分析的基础上，分析论证本项目</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三废</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排放情况及从环保角度确认工艺过程的先进性，为环境影响预测提供基础数据，并为今后的环境管理工作提供科学依据。</w:t>
      </w:r>
    </w:p>
    <w:p w14:paraId="5F5A14C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（3）通过对建设地点及周围环境的综合现状调查和现场监测，了解和掌握该地区的环境质量现状及污染现状，并确定环境保护目标。</w:t>
      </w:r>
    </w:p>
    <w:p w14:paraId="1DDC4BD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（4）采用适当的预测模式，预测和评价工程投产后对该地区的环境影响程度和范围，提出经济上合理，技术上可行的环境保护措施。</w:t>
      </w:r>
    </w:p>
    <w:p w14:paraId="27567BB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（5）通过对环境、经济的损益分析，论证本项目社会效益、环境效益和经济效益的统一性。</w:t>
      </w:r>
    </w:p>
    <w:p w14:paraId="523BA21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（6）从环境功能规划、环境容量及周围环境敏感保护目标等方面，论证本项目选址的合理性，为项目实现优化选址、合理布局、最佳设计提供科学依据。</w:t>
      </w:r>
    </w:p>
    <w:p w14:paraId="54C58D6A">
      <w:pPr>
        <w:pStyle w:val="5"/>
        <w:rPr>
          <w:snapToGrid w:val="0"/>
          <w:color w:val="000000" w:themeColor="text1"/>
          <w14:textFill>
            <w14:solidFill>
              <w14:schemeClr w14:val="tx1"/>
            </w14:solidFill>
          </w14:textFill>
        </w:rPr>
      </w:pPr>
      <w:bookmarkStart w:id="34" w:name="_Toc14873"/>
      <w:r>
        <w:rPr>
          <w:snapToGrid w:val="0"/>
          <w:color w:val="000000" w:themeColor="text1"/>
          <w14:textFill>
            <w14:solidFill>
              <w14:schemeClr w14:val="tx1"/>
            </w14:solidFill>
          </w14:textFill>
        </w:rPr>
        <w:t>2.2评价原则</w:t>
      </w:r>
      <w:bookmarkEnd w:id="34"/>
    </w:p>
    <w:p w14:paraId="2CF7BF0B">
      <w:pPr>
        <w:pStyle w:val="85"/>
        <w:rPr>
          <w:snapToGrid w:val="0"/>
          <w:color w:val="000000" w:themeColor="text1"/>
          <w14:textFill>
            <w14:solidFill>
              <w14:schemeClr w14:val="tx1"/>
            </w14:solidFill>
          </w14:textFill>
        </w:rPr>
      </w:pPr>
      <w:bookmarkStart w:id="35" w:name="_Toc472585613"/>
      <w:bookmarkStart w:id="36" w:name="_Toc439236475"/>
      <w:bookmarkStart w:id="37" w:name="_Toc436918980"/>
      <w:r>
        <w:rPr>
          <w:snapToGrid w:val="0"/>
          <w:color w:val="000000" w:themeColor="text1"/>
          <w14:textFill>
            <w14:solidFill>
              <w14:schemeClr w14:val="tx1"/>
            </w14:solidFill>
          </w14:textFill>
        </w:rPr>
        <w:t>突出环境影响评价的源头预防作用，坚持保护和改善环境质量。</w:t>
      </w:r>
    </w:p>
    <w:p w14:paraId="3768DC5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（1）依法评价</w:t>
      </w:r>
    </w:p>
    <w:p w14:paraId="4CD8E8A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贯彻执行我国环境保护相关法律法规、标准、政策和规划等，优化项目建设，服务环境管理。</w:t>
      </w:r>
    </w:p>
    <w:p w14:paraId="3862A86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（2）科学评价</w:t>
      </w:r>
    </w:p>
    <w:p w14:paraId="3BE39824">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规范环境影响评价方法，科学分析项目建设对环境质量的影响。</w:t>
      </w:r>
    </w:p>
    <w:p w14:paraId="2550684F">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（3）突出重点</w:t>
      </w:r>
    </w:p>
    <w:p w14:paraId="35206F4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根据建设项目的工程内容及其特点，明确与环境要素间的作用效应关系，充分利用符合时效的数据资料及成果，对建设项目主要环境影响予以重点分析和评价。</w:t>
      </w:r>
    </w:p>
    <w:p w14:paraId="385AAC19">
      <w:pPr>
        <w:pStyle w:val="5"/>
        <w:rPr>
          <w:snapToGrid w:val="0"/>
          <w:color w:val="000000" w:themeColor="text1"/>
          <w14:textFill>
            <w14:solidFill>
              <w14:schemeClr w14:val="tx1"/>
            </w14:solidFill>
          </w14:textFill>
        </w:rPr>
      </w:pPr>
      <w:bookmarkStart w:id="38" w:name="_Toc477190961"/>
      <w:bookmarkStart w:id="39" w:name="_Toc30519"/>
      <w:r>
        <w:rPr>
          <w:snapToGrid w:val="0"/>
          <w:color w:val="000000" w:themeColor="text1"/>
          <w14:textFill>
            <w14:solidFill>
              <w14:schemeClr w14:val="tx1"/>
            </w14:solidFill>
          </w14:textFill>
        </w:rPr>
        <w:t>2.3编制依据</w:t>
      </w:r>
      <w:bookmarkEnd w:id="35"/>
      <w:bookmarkEnd w:id="36"/>
      <w:bookmarkEnd w:id="37"/>
      <w:bookmarkEnd w:id="38"/>
      <w:bookmarkEnd w:id="39"/>
    </w:p>
    <w:p w14:paraId="09890DBB">
      <w:pPr>
        <w:pStyle w:val="6"/>
        <w:rPr>
          <w:snapToGrid w:val="0"/>
          <w:color w:val="000000" w:themeColor="text1"/>
          <w14:textFill>
            <w14:solidFill>
              <w14:schemeClr w14:val="tx1"/>
            </w14:solidFill>
          </w14:textFill>
        </w:rPr>
      </w:pPr>
      <w:bookmarkStart w:id="40" w:name="_Toc1197"/>
      <w:r>
        <w:rPr>
          <w:snapToGrid w:val="0"/>
          <w:color w:val="000000" w:themeColor="text1"/>
          <w14:textFill>
            <w14:solidFill>
              <w14:schemeClr w14:val="tx1"/>
            </w14:solidFill>
          </w14:textFill>
        </w:rPr>
        <w:t>2.3.1相关法律、法规</w:t>
      </w:r>
      <w:r>
        <w:rPr>
          <w:rFonts w:hint="eastAsia"/>
          <w:snapToGrid w:val="0"/>
          <w:color w:val="000000" w:themeColor="text1"/>
          <w14:textFill>
            <w14:solidFill>
              <w14:schemeClr w14:val="tx1"/>
            </w14:solidFill>
          </w14:textFill>
        </w:rPr>
        <w:t>、政策及文件</w:t>
      </w:r>
      <w:bookmarkEnd w:id="40"/>
    </w:p>
    <w:p w14:paraId="65A69246">
      <w:pPr>
        <w:pStyle w:val="85"/>
        <w:rPr>
          <w:snapToGrid w:val="0"/>
          <w:color w:val="000000" w:themeColor="text1"/>
          <w14:textFill>
            <w14:solidFill>
              <w14:schemeClr w14:val="tx1"/>
            </w14:solidFill>
          </w14:textFill>
        </w:rPr>
      </w:pPr>
      <w:bookmarkStart w:id="41" w:name="_Hlk522443451"/>
      <w:r>
        <w:rPr>
          <w:snapToGrid w:val="0"/>
          <w:color w:val="000000" w:themeColor="text1"/>
          <w14:textFill>
            <w14:solidFill>
              <w14:schemeClr w14:val="tx1"/>
            </w14:solidFill>
          </w14:textFill>
        </w:rPr>
        <w:t>（1）《中华人民共和国环境保护法》，2015.1.1施行；</w:t>
      </w:r>
    </w:p>
    <w:p w14:paraId="42466C4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（2）《中华人民共和国环境影响评价法》，2018.12.29修订并施行；</w:t>
      </w:r>
    </w:p>
    <w:p w14:paraId="22B4F2B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（3）《中华人民共和国大气污染防治法》，2018.10.26修订并施行；</w:t>
      </w:r>
    </w:p>
    <w:p w14:paraId="12D0AAF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（4）《中华人民共和国水污染防治法》，2018.1.1施行；</w:t>
      </w:r>
    </w:p>
    <w:p w14:paraId="6A3C17C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（5）《中华人民共和国固体废物污染环境防治法》，2020.9.1施行；</w:t>
      </w:r>
    </w:p>
    <w:p w14:paraId="1E68264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（6）《中华人民共和国噪声污染防治法》，2022年6月5日修正；</w:t>
      </w:r>
    </w:p>
    <w:p w14:paraId="1C911922">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（7）《中华人民共和国土壤污染防治法》2019.1.1施行；</w:t>
      </w:r>
    </w:p>
    <w:p w14:paraId="057DEEB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（8）《建设项目环境保护管理条例》（国务院令第682号），2017.10.1施行；</w:t>
      </w:r>
    </w:p>
    <w:p w14:paraId="4B3ABEC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（9）《中华人民共和国循环经济促进法》，2018.10.26修订并施行；</w:t>
      </w:r>
    </w:p>
    <w:p w14:paraId="27B51D1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（10）《建设项目环境影响评价分类管理名录》（2021版），2021.1.1施行；</w:t>
      </w:r>
    </w:p>
    <w:p w14:paraId="6A2A3540">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（11）《国家危险废物名录（2025年版）》；</w:t>
      </w:r>
    </w:p>
    <w:p w14:paraId="7049CB0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（12）《危险废物污染防治技术政策》（环发〔2001〕199号），2001.12.17实施；</w:t>
      </w:r>
    </w:p>
    <w:p w14:paraId="59FF22F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（13）《危险化学品安全管理条例》（国务院令第645号），2013.12.7修正；</w:t>
      </w:r>
    </w:p>
    <w:p w14:paraId="2BED199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（14）《关于进一步加强环境影响评价管理防范环境风险的通知》（环境保护部，环发〔2012〕77号），2012.7.3实施；</w:t>
      </w:r>
    </w:p>
    <w:p w14:paraId="41FBE17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（15）《关于切实加强风险防范严格环境影响评价管理的通知》（环境保护部，环发〔2012〕98号），2012.8.7实施；</w:t>
      </w:r>
    </w:p>
    <w:p w14:paraId="7704843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（16）《关于印发&lt;突发环境事件应急预案管理暂行办法&gt;的通知》（环境保护部，环发〔2010〕113号）2010.9.28实施；</w:t>
      </w:r>
    </w:p>
    <w:p w14:paraId="0352105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（17）《地下水管理条例》（2021年12月1日起施行）；</w:t>
      </w:r>
    </w:p>
    <w:p w14:paraId="7E49E74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（18）《环境影响评价公众参与办法》（生态环境部令第4号，2019年1月1日起实施）；</w:t>
      </w:r>
    </w:p>
    <w:p w14:paraId="743B149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（19）《黑龙江省人民政府关于印发黑龙江省“十四五”生态环境保护规划的通知》（黑政规〔2021〕18号）</w:t>
      </w:r>
      <w:r>
        <w:rPr>
          <w:rFonts w:hint="eastAsia"/>
          <w:bCs/>
          <w:snapToGrid w:val="0"/>
          <w:color w:val="000000" w:themeColor="text1"/>
          <w14:textFill>
            <w14:solidFill>
              <w14:schemeClr w14:val="tx1"/>
            </w14:solidFill>
          </w14:textFill>
        </w:rPr>
        <w:t>；</w:t>
      </w:r>
    </w:p>
    <w:p w14:paraId="16B3E51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（20）《产业结构调整指导目录（2024年本）》（中华人民共和国国家发展和改革委员会令第7号）</w:t>
      </w:r>
      <w:r>
        <w:rPr>
          <w:rFonts w:hint="eastAsia"/>
          <w:snapToGrid w:val="0"/>
          <w:color w:val="000000" w:themeColor="text1"/>
          <w14:textFill>
            <w14:solidFill>
              <w14:schemeClr w14:val="tx1"/>
            </w14:solidFill>
          </w14:textFill>
        </w:rPr>
        <w:t>；</w:t>
      </w:r>
    </w:p>
    <w:p w14:paraId="29D89FA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1）</w:t>
      </w:r>
      <w:r>
        <w:rPr>
          <w:rFonts w:hint="eastAsia"/>
          <w:snapToGrid w:val="0"/>
          <w:color w:val="000000" w:themeColor="text1"/>
          <w14:textFill>
            <w14:solidFill>
              <w14:schemeClr w14:val="tx1"/>
            </w14:solidFill>
          </w14:textFill>
        </w:rPr>
        <w:t>《黑龙江省大气污染防治条例》（2018年修正）</w:t>
      </w:r>
      <w:r>
        <w:rPr>
          <w:snapToGrid w:val="0"/>
          <w:color w:val="000000" w:themeColor="text1"/>
          <w14:textFill>
            <w14:solidFill>
              <w14:schemeClr w14:val="tx1"/>
            </w14:solidFill>
          </w14:textFill>
        </w:rPr>
        <w:t>；</w:t>
      </w:r>
    </w:p>
    <w:p w14:paraId="76720B2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2）《黑龙江省水污染防治条例》（2023年12月1日施行）；</w:t>
      </w:r>
    </w:p>
    <w:p w14:paraId="1021F10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w:t>
      </w:r>
      <w:r>
        <w:rPr>
          <w:rFonts w:hint="eastAsia"/>
        </w:rPr>
        <w:t>黑龙江省固体废物污染环境防治条例</w:t>
      </w:r>
      <w:r>
        <w:rPr>
          <w:rFonts w:hint="eastAsia"/>
          <w:snapToGrid w:val="0"/>
          <w:color w:val="000000" w:themeColor="text1"/>
          <w14:textFill>
            <w14:solidFill>
              <w14:schemeClr w14:val="tx1"/>
            </w14:solidFill>
          </w14:textFill>
        </w:rPr>
        <w:t>》（2025年1月1日起施行）</w:t>
      </w:r>
      <w:r>
        <w:rPr>
          <w:snapToGrid w:val="0"/>
          <w:color w:val="000000" w:themeColor="text1"/>
          <w14:textFill>
            <w14:solidFill>
              <w14:schemeClr w14:val="tx1"/>
            </w14:solidFill>
          </w14:textFill>
        </w:rPr>
        <w:t>；</w:t>
      </w:r>
    </w:p>
    <w:p w14:paraId="0128F6CF">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4）《黑龙江省水污染防治工作方案的通知》（黑政发〔2016〕3号）；</w:t>
      </w:r>
    </w:p>
    <w:p w14:paraId="02EF15C2">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5）</w:t>
      </w:r>
      <w:r>
        <w:rPr>
          <w:rFonts w:hint="eastAsia"/>
          <w:bCs/>
          <w:snapToGrid w:val="0"/>
          <w:color w:val="000000" w:themeColor="text1"/>
          <w14:textFill>
            <w14:solidFill>
              <w14:schemeClr w14:val="tx1"/>
            </w14:solidFill>
          </w14:textFill>
        </w:rPr>
        <w:t>《</w:t>
      </w:r>
      <w:r>
        <w:rPr>
          <w:rFonts w:hint="eastAsia"/>
          <w:bCs/>
          <w:snapToGrid w:val="0"/>
          <w:color w:val="000000" w:themeColor="text1"/>
          <w:lang w:eastAsia="zh-CN"/>
          <w14:textFill>
            <w14:solidFill>
              <w14:schemeClr w14:val="tx1"/>
            </w14:solidFill>
          </w14:textFill>
        </w:rPr>
        <w:t>佳木斯市</w:t>
      </w:r>
      <w:r>
        <w:rPr>
          <w:rFonts w:hint="eastAsia"/>
          <w:bCs/>
          <w:snapToGrid w:val="0"/>
          <w:color w:val="000000" w:themeColor="text1"/>
          <w14:textFill>
            <w14:solidFill>
              <w14:schemeClr w14:val="tx1"/>
            </w14:solidFill>
          </w14:textFill>
        </w:rPr>
        <w:t>人民政府关于印发&lt;</w:t>
      </w:r>
      <w:r>
        <w:rPr>
          <w:rFonts w:hint="eastAsia"/>
          <w:bCs/>
          <w:snapToGrid w:val="0"/>
          <w:color w:val="000000" w:themeColor="text1"/>
          <w:lang w:eastAsia="zh-CN"/>
          <w14:textFill>
            <w14:solidFill>
              <w14:schemeClr w14:val="tx1"/>
            </w14:solidFill>
          </w14:textFill>
        </w:rPr>
        <w:t>佳木斯市</w:t>
      </w:r>
      <w:r>
        <w:rPr>
          <w:rFonts w:hint="eastAsia"/>
          <w:bCs/>
          <w:snapToGrid w:val="0"/>
          <w:color w:val="000000" w:themeColor="text1"/>
          <w14:textFill>
            <w14:solidFill>
              <w14:schemeClr w14:val="tx1"/>
            </w14:solidFill>
          </w14:textFill>
        </w:rPr>
        <w:t>空气质量持续改善行动计划实施方案&gt;的通知》（牡政发{2024}2号）</w:t>
      </w:r>
      <w:r>
        <w:rPr>
          <w:rFonts w:hint="eastAsia"/>
          <w:snapToGrid w:val="0"/>
          <w:color w:val="000000" w:themeColor="text1"/>
          <w14:textFill>
            <w14:solidFill>
              <w14:schemeClr w14:val="tx1"/>
            </w14:solidFill>
          </w14:textFill>
        </w:rPr>
        <w:t>；</w:t>
      </w:r>
    </w:p>
    <w:p w14:paraId="6606DAF1">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6</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《排污许可管理条例》（中华人民共和国国务院令 第736号）（2120年3月1日实施）</w:t>
      </w:r>
      <w:r>
        <w:rPr>
          <w:rFonts w:hint="eastAsia"/>
          <w:snapToGrid w:val="0"/>
          <w:color w:val="000000" w:themeColor="text1"/>
          <w14:textFill>
            <w14:solidFill>
              <w14:schemeClr w14:val="tx1"/>
            </w14:solidFill>
          </w14:textFill>
        </w:rPr>
        <w:t>；</w:t>
      </w:r>
    </w:p>
    <w:p w14:paraId="6457B873">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（27）</w:t>
      </w:r>
      <w:r>
        <w:rPr>
          <w:snapToGrid w:val="0"/>
          <w:color w:val="000000" w:themeColor="text1"/>
          <w14:textFill>
            <w14:solidFill>
              <w14:schemeClr w14:val="tx1"/>
            </w14:solidFill>
          </w14:textFill>
        </w:rPr>
        <w:t>《饮料酒制造业污染防治技术政策》（环境保护部公告 2018年第7号）</w:t>
      </w:r>
      <w:r>
        <w:rPr>
          <w:rFonts w:hint="eastAsia"/>
          <w:snapToGrid w:val="0"/>
          <w:color w:val="000000" w:themeColor="text1"/>
          <w14:textFill>
            <w14:solidFill>
              <w14:schemeClr w14:val="tx1"/>
            </w14:solidFill>
          </w14:textFill>
        </w:rPr>
        <w:t>。</w:t>
      </w:r>
    </w:p>
    <w:bookmarkEnd w:id="41"/>
    <w:p w14:paraId="61E34C31">
      <w:pPr>
        <w:pStyle w:val="6"/>
        <w:rPr>
          <w:snapToGrid w:val="0"/>
          <w:color w:val="000000" w:themeColor="text1"/>
          <w14:textFill>
            <w14:solidFill>
              <w14:schemeClr w14:val="tx1"/>
            </w14:solidFill>
          </w14:textFill>
        </w:rPr>
      </w:pPr>
      <w:bookmarkStart w:id="42" w:name="_Toc18630"/>
      <w:r>
        <w:rPr>
          <w:snapToGrid w:val="0"/>
          <w:color w:val="000000" w:themeColor="text1"/>
          <w14:textFill>
            <w14:solidFill>
              <w14:schemeClr w14:val="tx1"/>
            </w14:solidFill>
          </w14:textFill>
        </w:rPr>
        <w:t>2.3.2相关技术规范</w:t>
      </w:r>
      <w:bookmarkEnd w:id="42"/>
    </w:p>
    <w:p w14:paraId="4907C92F">
      <w:pPr>
        <w:pStyle w:val="85"/>
        <w:rPr>
          <w:snapToGrid w:val="0"/>
          <w:color w:val="000000" w:themeColor="text1"/>
          <w14:textFill>
            <w14:solidFill>
              <w14:schemeClr w14:val="tx1"/>
            </w14:solidFill>
          </w14:textFill>
        </w:rPr>
      </w:pPr>
      <w:bookmarkStart w:id="43" w:name="_Hlk11609757"/>
      <w:r>
        <w:rPr>
          <w:snapToGrid w:val="0"/>
          <w:color w:val="000000" w:themeColor="text1"/>
          <w14:textFill>
            <w14:solidFill>
              <w14:schemeClr w14:val="tx1"/>
            </w14:solidFill>
          </w14:textFill>
        </w:rPr>
        <w:t>（1）《建设项目环境影响评价技术导则  总纲》（HJ2.1-2016）；</w:t>
      </w:r>
    </w:p>
    <w:p w14:paraId="4ABDF2D4">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（2）《环境影响评价技术导则  大气环境》（（HJ2.2-2018）；</w:t>
      </w:r>
    </w:p>
    <w:p w14:paraId="7419984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（3）《环境影响评价技术导则  地表水环境》（HJ 2.3-2018）；</w:t>
      </w:r>
    </w:p>
    <w:p w14:paraId="14F4309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（4）《环境影响评价技术导则  声环境》（HJ 2.4-2021）；</w:t>
      </w:r>
    </w:p>
    <w:p w14:paraId="76F8E54C">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（5）《环境影响评价技术导则  地下水环境》（HJ610-2016）；</w:t>
      </w:r>
    </w:p>
    <w:p w14:paraId="458189A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（6）《环境影响评价技术导则 生态影响》（HJ 19-2022）；</w:t>
      </w:r>
    </w:p>
    <w:p w14:paraId="158A74A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（7）《建设项目环境风险评价技术导则》（HJ169-2018）；</w:t>
      </w:r>
    </w:p>
    <w:p w14:paraId="7BAA1237">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（8）《国家危险废物名录（2025年</w:t>
      </w:r>
      <w:r>
        <w:rPr>
          <w:rFonts w:hint="eastAsia"/>
          <w:snapToGrid w:val="0"/>
          <w:color w:val="000000" w:themeColor="text1"/>
          <w14:textFill>
            <w14:solidFill>
              <w14:schemeClr w14:val="tx1"/>
            </w14:solidFill>
          </w14:textFill>
        </w:rPr>
        <w:t>版</w:t>
      </w:r>
      <w:r>
        <w:rPr>
          <w:snapToGrid w:val="0"/>
          <w:color w:val="000000" w:themeColor="text1"/>
          <w14:textFill>
            <w14:solidFill>
              <w14:schemeClr w14:val="tx1"/>
            </w14:solidFill>
          </w14:textFill>
        </w:rPr>
        <w:t>）》；</w:t>
      </w:r>
    </w:p>
    <w:p w14:paraId="4689C93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（9）《清洁生产标准 啤酒制造业》（HJ/T183-2006）；</w:t>
      </w:r>
    </w:p>
    <w:p w14:paraId="2EF9C30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（10）《中华人民共和国清洁生产促进法》（2016年7月1日实施）</w:t>
      </w:r>
    </w:p>
    <w:p w14:paraId="3EBB171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（11）《排污单位自行监测技术指南总则》（HJ 819-2017）；</w:t>
      </w:r>
    </w:p>
    <w:p w14:paraId="2A72A940">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（12）《酿造工业废水治理工程技术规范》（HJ575-2010）</w:t>
      </w:r>
    </w:p>
    <w:p w14:paraId="55174C9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（13）《排污许可证申请与核发技术规范 酒、饮料制造工业》（HJ 1028-2019）；</w:t>
      </w:r>
    </w:p>
    <w:p w14:paraId="79E189E7">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（14）《排污许可证申请与核发技术规范 工业噪声》（HJ 1301—2023）</w:t>
      </w:r>
    </w:p>
    <w:p w14:paraId="5C744F5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（15）</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排污单位自行监测技术指南 酒、饮料制造</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（HJ 1085—2020）；</w:t>
      </w:r>
    </w:p>
    <w:p w14:paraId="30EAEFF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（16）《污染源源强核算技术指南 准则》（HJ884-2018）；</w:t>
      </w:r>
    </w:p>
    <w:p w14:paraId="400417B7">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（17）《污染源源强核算技术指南 锅炉》（HJ 991—2018）；</w:t>
      </w:r>
    </w:p>
    <w:p w14:paraId="780EAA8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（18）《排污许可证申请与核发技术规范 锅炉》（HJ953—2018）</w:t>
      </w:r>
      <w:r>
        <w:rPr>
          <w:rFonts w:hint="eastAsia"/>
          <w:snapToGrid w:val="0"/>
          <w:color w:val="000000" w:themeColor="text1"/>
          <w14:textFill>
            <w14:solidFill>
              <w14:schemeClr w14:val="tx1"/>
            </w14:solidFill>
          </w14:textFill>
        </w:rPr>
        <w:t>；</w:t>
      </w:r>
    </w:p>
    <w:p w14:paraId="65B1288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（19）《</w:t>
      </w:r>
      <w:r>
        <w:rPr>
          <w:rFonts w:hint="eastAsia"/>
          <w:snapToGrid w:val="0"/>
          <w:color w:val="000000" w:themeColor="text1"/>
          <w:lang w:eastAsia="zh-CN"/>
          <w14:textFill>
            <w14:solidFill>
              <w14:schemeClr w14:val="tx1"/>
            </w14:solidFill>
          </w14:textFill>
        </w:rPr>
        <w:t>酒类制造业水污染物排放标准</w:t>
      </w:r>
      <w:r>
        <w:rPr>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GB 19821-2026</w:t>
      </w:r>
      <w:r>
        <w:rPr>
          <w:snapToGrid w:val="0"/>
          <w:color w:val="000000" w:themeColor="text1"/>
          <w14:textFill>
            <w14:solidFill>
              <w14:schemeClr w14:val="tx1"/>
            </w14:solidFill>
          </w14:textFill>
        </w:rPr>
        <w:t>）；</w:t>
      </w:r>
    </w:p>
    <w:p w14:paraId="27FBE4EC">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（20）《饮料酒制造业污染防治技术政策》（2018年1月12日实施）</w:t>
      </w:r>
      <w:r>
        <w:rPr>
          <w:rFonts w:hint="eastAsia"/>
          <w:snapToGrid w:val="0"/>
          <w:color w:val="000000" w:themeColor="text1"/>
          <w14:textFill>
            <w14:solidFill>
              <w14:schemeClr w14:val="tx1"/>
            </w14:solidFill>
          </w14:textFill>
        </w:rPr>
        <w:t>；</w:t>
      </w:r>
    </w:p>
    <w:p w14:paraId="19869F20">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（21）《建筑设计防火规范》（GB 50016-2014[2018年版]）</w:t>
      </w:r>
      <w:r>
        <w:rPr>
          <w:rFonts w:hint="eastAsia"/>
          <w:snapToGrid w:val="0"/>
          <w:color w:val="000000" w:themeColor="text1"/>
          <w14:textFill>
            <w14:solidFill>
              <w14:schemeClr w14:val="tx1"/>
            </w14:solidFill>
          </w14:textFill>
        </w:rPr>
        <w:t>；</w:t>
      </w:r>
    </w:p>
    <w:p w14:paraId="08728C9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（22）《食品安全国家标准 啤酒生产卫生规范》（GB8952-2016）</w:t>
      </w:r>
      <w:r>
        <w:rPr>
          <w:rFonts w:hint="eastAsia"/>
          <w:snapToGrid w:val="0"/>
          <w:color w:val="000000" w:themeColor="text1"/>
          <w14:textFill>
            <w14:solidFill>
              <w14:schemeClr w14:val="tx1"/>
            </w14:solidFill>
          </w14:textFill>
        </w:rPr>
        <w:t>；</w:t>
      </w:r>
    </w:p>
    <w:p w14:paraId="484E832D">
      <w:pPr>
        <w:pStyle w:val="85"/>
        <w:rPr>
          <w:color w:val="000000" w:themeColor="text1"/>
          <w:szCs w:val="20"/>
          <w14:textFill>
            <w14:solidFill>
              <w14:schemeClr w14:val="tx1"/>
            </w14:solidFill>
          </w14:textFill>
        </w:rPr>
      </w:pP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）《食品安全国家标准食品生产通用卫生规范》（GB14881-2013）</w:t>
      </w:r>
      <w:r>
        <w:rPr>
          <w:rFonts w:hint="eastAsia"/>
          <w:color w:val="000000" w:themeColor="text1"/>
          <w:szCs w:val="20"/>
          <w14:textFill>
            <w14:solidFill>
              <w14:schemeClr w14:val="tx1"/>
            </w14:solidFill>
          </w14:textFill>
        </w:rPr>
        <w:t>。</w:t>
      </w:r>
    </w:p>
    <w:bookmarkEnd w:id="43"/>
    <w:p w14:paraId="12A9E1EC">
      <w:pPr>
        <w:pStyle w:val="5"/>
        <w:rPr>
          <w:snapToGrid w:val="0"/>
          <w:color w:val="000000" w:themeColor="text1"/>
          <w14:textFill>
            <w14:solidFill>
              <w14:schemeClr w14:val="tx1"/>
            </w14:solidFill>
          </w14:textFill>
        </w:rPr>
      </w:pPr>
      <w:bookmarkStart w:id="44" w:name="_Toc17982"/>
      <w:r>
        <w:rPr>
          <w:snapToGrid w:val="0"/>
          <w:color w:val="000000" w:themeColor="text1"/>
          <w14:textFill>
            <w14:solidFill>
              <w14:schemeClr w14:val="tx1"/>
            </w14:solidFill>
          </w14:textFill>
        </w:rPr>
        <w:t>2.4</w:t>
      </w:r>
      <w:r>
        <w:rPr>
          <w:rFonts w:hint="eastAsia"/>
          <w:snapToGrid w:val="0"/>
          <w:color w:val="000000" w:themeColor="text1"/>
          <w14:textFill>
            <w14:solidFill>
              <w14:schemeClr w14:val="tx1"/>
            </w14:solidFill>
          </w14:textFill>
        </w:rPr>
        <w:t>环境影响识别与评价因子筛选</w:t>
      </w:r>
      <w:bookmarkEnd w:id="44"/>
    </w:p>
    <w:p w14:paraId="1A4CCA8B">
      <w:pPr>
        <w:pStyle w:val="6"/>
        <w:rPr>
          <w:color w:val="000000" w:themeColor="text1"/>
          <w14:textFill>
            <w14:solidFill>
              <w14:schemeClr w14:val="tx1"/>
            </w14:solidFill>
          </w14:textFill>
        </w:rPr>
      </w:pPr>
      <w:bookmarkStart w:id="45" w:name="_Toc767"/>
      <w:r>
        <w:rPr>
          <w:color w:val="000000" w:themeColor="text1"/>
          <w14:textFill>
            <w14:solidFill>
              <w14:schemeClr w14:val="tx1"/>
            </w14:solidFill>
          </w14:textFill>
        </w:rPr>
        <w:t>2.4.1</w:t>
      </w:r>
      <w:r>
        <w:rPr>
          <w:rFonts w:hint="eastAsia"/>
          <w:color w:val="000000" w:themeColor="text1"/>
          <w14:textFill>
            <w14:solidFill>
              <w14:schemeClr w14:val="tx1"/>
            </w14:solidFill>
          </w14:textFill>
        </w:rPr>
        <w:t>环境影响因素识别</w:t>
      </w:r>
      <w:bookmarkEnd w:id="45"/>
    </w:p>
    <w:p w14:paraId="14C243DC">
      <w:pPr>
        <w:pStyle w:val="7"/>
        <w:rPr>
          <w:color w:val="000000" w:themeColor="text1"/>
          <w14:textFill>
            <w14:solidFill>
              <w14:schemeClr w14:val="tx1"/>
            </w14:solidFill>
          </w14:textFill>
        </w:rPr>
      </w:pPr>
      <w:r>
        <w:rPr>
          <w:color w:val="000000" w:themeColor="text1"/>
          <w14:textFill>
            <w14:solidFill>
              <w14:schemeClr w14:val="tx1"/>
            </w14:solidFill>
          </w14:textFill>
        </w:rPr>
        <w:t>2.4.1.1</w:t>
      </w:r>
      <w:r>
        <w:rPr>
          <w:rFonts w:hint="eastAsia"/>
          <w:color w:val="000000" w:themeColor="text1"/>
          <w14:textFill>
            <w14:solidFill>
              <w14:schemeClr w14:val="tx1"/>
            </w14:solidFill>
          </w14:textFill>
        </w:rPr>
        <w:t>施工期</w:t>
      </w:r>
    </w:p>
    <w:p w14:paraId="6BD3A2FF">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1、建筑施工</w:t>
      </w:r>
      <w:r>
        <w:rPr>
          <w:color w:val="000000" w:themeColor="text1"/>
          <w14:textFill>
            <w14:solidFill>
              <w14:schemeClr w14:val="tx1"/>
            </w14:solidFill>
          </w14:textFill>
        </w:rPr>
        <w:t>中土石方的开挖机运输等会造成扬尘</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污染大气环境；</w:t>
      </w:r>
    </w:p>
    <w:p w14:paraId="3120F258">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2、施工</w:t>
      </w:r>
      <w:r>
        <w:rPr>
          <w:color w:val="000000" w:themeColor="text1"/>
          <w14:textFill>
            <w14:solidFill>
              <w14:schemeClr w14:val="tx1"/>
            </w14:solidFill>
          </w14:textFill>
        </w:rPr>
        <w:t>过程中车辆行驶</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土建施工</w:t>
      </w:r>
      <w:r>
        <w:rPr>
          <w:rFonts w:hint="eastAsia"/>
          <w:color w:val="000000" w:themeColor="text1"/>
          <w14:textFill>
            <w14:solidFill>
              <w14:schemeClr w14:val="tx1"/>
            </w14:solidFill>
          </w14:textFill>
        </w:rPr>
        <w:t>和</w:t>
      </w:r>
      <w:r>
        <w:rPr>
          <w:color w:val="000000" w:themeColor="text1"/>
          <w14:textFill>
            <w14:solidFill>
              <w14:schemeClr w14:val="tx1"/>
            </w14:solidFill>
          </w14:textFill>
        </w:rPr>
        <w:t>设备安装等噪声，会对周围声环境产生一定影响；</w:t>
      </w:r>
    </w:p>
    <w:p w14:paraId="57FDEE69">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3、施工期产生的生产、生活污水，若不进行妥善处理，将对周边地表水环境产生不良影响。</w:t>
      </w:r>
    </w:p>
    <w:p w14:paraId="2A8A3E98">
      <w:pPr>
        <w:pStyle w:val="85"/>
        <w:rPr>
          <w:snapToGrid w:val="0"/>
          <w:color w:val="000000" w:themeColor="text1"/>
          <w:kern w:val="0"/>
          <w14:textFill>
            <w14:solidFill>
              <w14:schemeClr w14:val="tx1"/>
            </w14:solidFill>
          </w14:textFill>
        </w:rPr>
      </w:pPr>
      <w:r>
        <w:rPr>
          <w:rFonts w:hint="eastAsia"/>
          <w:color w:val="000000" w:themeColor="text1"/>
          <w14:textFill>
            <w14:solidFill>
              <w14:schemeClr w14:val="tx1"/>
            </w14:solidFill>
          </w14:textFill>
        </w:rPr>
        <w:t>4、施工</w:t>
      </w:r>
      <w:r>
        <w:rPr>
          <w:color w:val="000000" w:themeColor="text1"/>
          <w14:textFill>
            <w14:solidFill>
              <w14:schemeClr w14:val="tx1"/>
            </w14:solidFill>
          </w14:textFill>
        </w:rPr>
        <w:t>人员生活垃圾、建筑垃圾、弃土如不妥善处置，将对周围</w:t>
      </w:r>
      <w:r>
        <w:rPr>
          <w:rFonts w:hint="eastAsia"/>
          <w:color w:val="000000" w:themeColor="text1"/>
          <w14:textFill>
            <w14:solidFill>
              <w14:schemeClr w14:val="tx1"/>
            </w14:solidFill>
          </w14:textFill>
        </w:rPr>
        <w:t>环境</w:t>
      </w:r>
      <w:r>
        <w:rPr>
          <w:color w:val="000000" w:themeColor="text1"/>
          <w14:textFill>
            <w14:solidFill>
              <w14:schemeClr w14:val="tx1"/>
            </w14:solidFill>
          </w14:textFill>
        </w:rPr>
        <w:t>造成影响</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项目施工过程</w:t>
      </w:r>
      <w:r>
        <w:rPr>
          <w:rFonts w:hint="eastAsia"/>
          <w:color w:val="000000" w:themeColor="text1"/>
          <w14:textFill>
            <w14:solidFill>
              <w14:schemeClr w14:val="tx1"/>
            </w14:solidFill>
          </w14:textFill>
        </w:rPr>
        <w:t>中</w:t>
      </w:r>
      <w:r>
        <w:rPr>
          <w:color w:val="000000" w:themeColor="text1"/>
          <w14:textFill>
            <w14:solidFill>
              <w14:schemeClr w14:val="tx1"/>
            </w14:solidFill>
          </w14:textFill>
        </w:rPr>
        <w:t>将造成一定的水土流失，</w:t>
      </w:r>
      <w:r>
        <w:rPr>
          <w:rFonts w:hint="eastAsia"/>
          <w:color w:val="000000" w:themeColor="text1"/>
          <w14:textFill>
            <w14:solidFill>
              <w14:schemeClr w14:val="tx1"/>
            </w14:solidFill>
          </w14:textFill>
        </w:rPr>
        <w:t>对</w:t>
      </w:r>
      <w:r>
        <w:rPr>
          <w:color w:val="000000" w:themeColor="text1"/>
          <w14:textFill>
            <w14:solidFill>
              <w14:schemeClr w14:val="tx1"/>
            </w14:solidFill>
          </w14:textFill>
        </w:rPr>
        <w:t>生态环境</w:t>
      </w:r>
      <w:r>
        <w:rPr>
          <w:rFonts w:hint="eastAsia"/>
          <w:color w:val="000000" w:themeColor="text1"/>
          <w14:textFill>
            <w14:solidFill>
              <w14:schemeClr w14:val="tx1"/>
            </w14:solidFill>
          </w14:textFill>
        </w:rPr>
        <w:t>也会</w:t>
      </w:r>
      <w:r>
        <w:rPr>
          <w:color w:val="000000" w:themeColor="text1"/>
          <w14:textFill>
            <w14:solidFill>
              <w14:schemeClr w14:val="tx1"/>
            </w14:solidFill>
          </w14:textFill>
        </w:rPr>
        <w:t>产生一定的影响。</w:t>
      </w:r>
    </w:p>
    <w:p w14:paraId="59D5CAF6">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5、</w:t>
      </w:r>
      <w:r>
        <w:rPr>
          <w:snapToGrid w:val="0"/>
          <w:color w:val="000000" w:themeColor="text1"/>
          <w:kern w:val="0"/>
          <w14:textFill>
            <w14:solidFill>
              <w14:schemeClr w14:val="tx1"/>
            </w14:solidFill>
          </w14:textFill>
        </w:rPr>
        <w:t>项目施工过程</w:t>
      </w:r>
      <w:r>
        <w:rPr>
          <w:rFonts w:hint="eastAsia"/>
          <w:snapToGrid w:val="0"/>
          <w:color w:val="000000" w:themeColor="text1"/>
          <w:kern w:val="0"/>
          <w14:textFill>
            <w14:solidFill>
              <w14:schemeClr w14:val="tx1"/>
            </w14:solidFill>
          </w14:textFill>
        </w:rPr>
        <w:t>中</w:t>
      </w:r>
      <w:r>
        <w:rPr>
          <w:snapToGrid w:val="0"/>
          <w:color w:val="000000" w:themeColor="text1"/>
          <w:kern w:val="0"/>
          <w14:textFill>
            <w14:solidFill>
              <w14:schemeClr w14:val="tx1"/>
            </w14:solidFill>
          </w14:textFill>
        </w:rPr>
        <w:t>将造成一定的水土流失，</w:t>
      </w:r>
      <w:r>
        <w:rPr>
          <w:rFonts w:hint="eastAsia"/>
          <w:snapToGrid w:val="0"/>
          <w:color w:val="000000" w:themeColor="text1"/>
          <w:kern w:val="0"/>
          <w14:textFill>
            <w14:solidFill>
              <w14:schemeClr w14:val="tx1"/>
            </w14:solidFill>
          </w14:textFill>
        </w:rPr>
        <w:t>对</w:t>
      </w:r>
      <w:r>
        <w:rPr>
          <w:snapToGrid w:val="0"/>
          <w:color w:val="000000" w:themeColor="text1"/>
          <w:kern w:val="0"/>
          <w14:textFill>
            <w14:solidFill>
              <w14:schemeClr w14:val="tx1"/>
            </w14:solidFill>
          </w14:textFill>
        </w:rPr>
        <w:t>生态环境</w:t>
      </w:r>
      <w:r>
        <w:rPr>
          <w:rFonts w:hint="eastAsia"/>
          <w:snapToGrid w:val="0"/>
          <w:color w:val="000000" w:themeColor="text1"/>
          <w:kern w:val="0"/>
          <w14:textFill>
            <w14:solidFill>
              <w14:schemeClr w14:val="tx1"/>
            </w14:solidFill>
          </w14:textFill>
        </w:rPr>
        <w:t>也会</w:t>
      </w:r>
      <w:r>
        <w:rPr>
          <w:snapToGrid w:val="0"/>
          <w:color w:val="000000" w:themeColor="text1"/>
          <w:kern w:val="0"/>
          <w14:textFill>
            <w14:solidFill>
              <w14:schemeClr w14:val="tx1"/>
            </w14:solidFill>
          </w14:textFill>
        </w:rPr>
        <w:t>产生一定的影响</w:t>
      </w:r>
      <w:r>
        <w:rPr>
          <w:rFonts w:hint="eastAsia"/>
          <w:snapToGrid w:val="0"/>
          <w:color w:val="000000" w:themeColor="text1"/>
          <w:kern w:val="0"/>
          <w14:textFill>
            <w14:solidFill>
              <w14:schemeClr w14:val="tx1"/>
            </w14:solidFill>
          </w14:textFill>
        </w:rPr>
        <w:t>。</w:t>
      </w:r>
    </w:p>
    <w:p w14:paraId="69B09733">
      <w:pPr>
        <w:pStyle w:val="7"/>
        <w:rPr>
          <w:color w:val="000000" w:themeColor="text1"/>
          <w14:textFill>
            <w14:solidFill>
              <w14:schemeClr w14:val="tx1"/>
            </w14:solidFill>
          </w14:textFill>
        </w:rPr>
      </w:pPr>
      <w:r>
        <w:rPr>
          <w:color w:val="000000" w:themeColor="text1"/>
          <w14:textFill>
            <w14:solidFill>
              <w14:schemeClr w14:val="tx1"/>
            </w14:solidFill>
          </w14:textFill>
        </w:rPr>
        <w:t>2.4.1.2</w:t>
      </w:r>
      <w:r>
        <w:rPr>
          <w:rFonts w:hint="eastAsia"/>
          <w:color w:val="000000" w:themeColor="text1"/>
          <w14:textFill>
            <w14:solidFill>
              <w14:schemeClr w14:val="tx1"/>
            </w14:solidFill>
          </w14:textFill>
        </w:rPr>
        <w:t>运营期</w:t>
      </w:r>
    </w:p>
    <w:p w14:paraId="4C79E495">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1、废气</w:t>
      </w:r>
    </w:p>
    <w:p w14:paraId="1C3C724C">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本项目运营期大气污染源主要为</w:t>
      </w:r>
      <w:r>
        <w:rPr>
          <w:rFonts w:hint="eastAsia"/>
          <w:color w:val="000000" w:themeColor="text1"/>
          <w14:textFill>
            <w14:solidFill>
              <w14:schemeClr w14:val="tx1"/>
            </w14:solidFill>
          </w14:textFill>
        </w:rPr>
        <w:t>污水处理站恶臭气体、发酵车间异味、锅炉烟气、原料处理间粉尘、沼气燃烧废气</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食堂油烟</w:t>
      </w:r>
      <w:r>
        <w:rPr>
          <w:rFonts w:hint="eastAsia"/>
          <w:color w:val="000000" w:themeColor="text1"/>
          <w14:textFill>
            <w14:solidFill>
              <w14:schemeClr w14:val="tx1"/>
            </w14:solidFill>
          </w14:textFill>
        </w:rPr>
        <w:t>等</w:t>
      </w:r>
      <w:r>
        <w:rPr>
          <w:snapToGrid w:val="0"/>
          <w:color w:val="000000" w:themeColor="text1"/>
          <w:kern w:val="0"/>
          <w14:textFill>
            <w14:solidFill>
              <w14:schemeClr w14:val="tx1"/>
            </w14:solidFill>
          </w14:textFill>
        </w:rPr>
        <w:t>将会对大气环境产生一定的影响；</w:t>
      </w:r>
    </w:p>
    <w:p w14:paraId="652838DF">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2、废水</w:t>
      </w:r>
    </w:p>
    <w:p w14:paraId="531AABFC">
      <w:pPr>
        <w:pStyle w:val="85"/>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w:t>
      </w:r>
      <w:r>
        <w:rPr>
          <w:rFonts w:hint="eastAsia"/>
          <w:snapToGrid w:val="0"/>
          <w:color w:val="000000" w:themeColor="text1"/>
          <w:kern w:val="0"/>
          <w14:textFill>
            <w14:solidFill>
              <w14:schemeClr w14:val="tx1"/>
            </w14:solidFill>
          </w14:textFill>
        </w:rPr>
        <w:t>运营期</w:t>
      </w:r>
      <w:r>
        <w:rPr>
          <w:snapToGrid w:val="0"/>
          <w:color w:val="000000" w:themeColor="text1"/>
          <w:kern w:val="0"/>
          <w14:textFill>
            <w14:solidFill>
              <w14:schemeClr w14:val="tx1"/>
            </w14:solidFill>
          </w14:textFill>
        </w:rPr>
        <w:t>废水主要为</w:t>
      </w:r>
      <w:r>
        <w:rPr>
          <w:rFonts w:hint="eastAsia"/>
          <w:color w:val="000000" w:themeColor="text1"/>
          <w:lang w:val="en-US" w:eastAsia="zh-CN"/>
          <w14:textFill>
            <w14:solidFill>
              <w14:schemeClr w14:val="tx1"/>
            </w14:solidFill>
          </w14:textFill>
        </w:rPr>
        <w:t>生活污水、食堂废水、</w:t>
      </w:r>
      <w:r>
        <w:rPr>
          <w:color w:val="000000" w:themeColor="text1"/>
          <w14:textFill>
            <w14:solidFill>
              <w14:schemeClr w14:val="tx1"/>
            </w14:solidFill>
          </w14:textFill>
        </w:rPr>
        <w:t>车间地面冲洗废水、CO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回收系统洗气废水、啤酒生产工艺废水、CIP清洗废水、玻璃瓶清洗废水、化验室废水、锅炉废水及软水制备废水、纯水制备废水</w:t>
      </w:r>
      <w:r>
        <w:rPr>
          <w:snapToGrid w:val="0"/>
          <w:color w:val="000000" w:themeColor="text1"/>
          <w:kern w:val="0"/>
          <w14:textFill>
            <w14:solidFill>
              <w14:schemeClr w14:val="tx1"/>
            </w14:solidFill>
          </w14:textFill>
        </w:rPr>
        <w:t>。如不妥善处置，将对地表水和地下水产生一定的影响</w:t>
      </w:r>
      <w:r>
        <w:rPr>
          <w:rFonts w:hint="eastAsia"/>
          <w:snapToGrid w:val="0"/>
          <w:color w:val="000000" w:themeColor="text1"/>
          <w:kern w:val="0"/>
          <w14:textFill>
            <w14:solidFill>
              <w14:schemeClr w14:val="tx1"/>
            </w14:solidFill>
          </w14:textFill>
        </w:rPr>
        <w:t>；</w:t>
      </w:r>
    </w:p>
    <w:p w14:paraId="4144CEBE">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3、噪声</w:t>
      </w:r>
    </w:p>
    <w:p w14:paraId="07BC33F5">
      <w:pPr>
        <w:pStyle w:val="85"/>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本项目新增噪声源主要为各生产设备生产过程产生的噪声，包括</w:t>
      </w:r>
      <w:r>
        <w:rPr>
          <w:rFonts w:hint="eastAsia"/>
          <w:color w:val="000000" w:themeColor="text1"/>
          <w:lang w:val="en-US" w:eastAsia="zh-CN"/>
          <w14:textFill>
            <w14:solidFill>
              <w14:schemeClr w14:val="tx1"/>
            </w14:solidFill>
          </w14:textFill>
        </w:rPr>
        <w:t>斗提机、</w:t>
      </w:r>
      <w:r>
        <w:rPr>
          <w:color w:val="000000" w:themeColor="text1"/>
          <w14:textFill>
            <w14:solidFill>
              <w14:schemeClr w14:val="tx1"/>
            </w14:solidFill>
          </w14:textFill>
        </w:rPr>
        <w:t>粉碎机、</w:t>
      </w:r>
      <w:r>
        <w:rPr>
          <w:rFonts w:ascii="Segoe UI Emoji" w:hAnsi="Segoe UI Emoji" w:eastAsia="Segoe UI Emoji" w:cs="Segoe UI Emoji"/>
          <w:i w:val="0"/>
          <w:iCs w:val="0"/>
          <w:caps w:val="0"/>
          <w:color w:val="000000" w:themeColor="text1"/>
          <w:spacing w:val="0"/>
          <w:sz w:val="24"/>
          <w:szCs w:val="24"/>
          <w14:textFill>
            <w14:solidFill>
              <w14:schemeClr w14:val="tx1"/>
            </w14:solidFill>
          </w14:textFill>
        </w:rPr>
        <w:t>糊化锅</w:t>
      </w:r>
      <w:r>
        <w:rPr>
          <w:rFonts w:hint="eastAsia" w:ascii="Segoe UI Emoji" w:hAnsi="Segoe UI Emoji" w:eastAsia="宋体" w:cs="Segoe UI Emoji"/>
          <w:i w:val="0"/>
          <w:iCs w:val="0"/>
          <w:caps w:val="0"/>
          <w:color w:val="000000" w:themeColor="text1"/>
          <w:spacing w:val="0"/>
          <w:sz w:val="24"/>
          <w:szCs w:val="24"/>
          <w:lang w:eastAsia="zh-CN"/>
          <w14:textFill>
            <w14:solidFill>
              <w14:schemeClr w14:val="tx1"/>
            </w14:solidFill>
          </w14:textFill>
        </w:rPr>
        <w:t>、</w:t>
      </w:r>
      <w:r>
        <w:rPr>
          <w:rFonts w:ascii="Segoe UI Emoji" w:hAnsi="Segoe UI Emoji" w:eastAsia="Segoe UI Emoji" w:cs="Segoe UI Emoji"/>
          <w:i w:val="0"/>
          <w:iCs w:val="0"/>
          <w:caps w:val="0"/>
          <w:color w:val="000000" w:themeColor="text1"/>
          <w:spacing w:val="0"/>
          <w:sz w:val="24"/>
          <w:szCs w:val="24"/>
          <w14:textFill>
            <w14:solidFill>
              <w14:schemeClr w14:val="tx1"/>
            </w14:solidFill>
          </w14:textFill>
        </w:rPr>
        <w:t>糖化锅</w:t>
      </w:r>
      <w:r>
        <w:rPr>
          <w:rFonts w:hint="eastAsia" w:ascii="Segoe UI Emoji" w:hAnsi="Segoe UI Emoji" w:eastAsia="宋体" w:cs="Segoe UI Emoji"/>
          <w:i w:val="0"/>
          <w:iCs w:val="0"/>
          <w:caps w:val="0"/>
          <w:color w:val="000000" w:themeColor="text1"/>
          <w:spacing w:val="0"/>
          <w:sz w:val="24"/>
          <w:szCs w:val="24"/>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离心机、螺杆空压机、</w:t>
      </w:r>
      <w:r>
        <w:rPr>
          <w:snapToGrid w:val="0"/>
          <w:color w:val="000000" w:themeColor="text1"/>
          <w:kern w:val="0"/>
          <w:szCs w:val="21"/>
          <w:lang w:val="en-US" w:eastAsia="zh-CN"/>
          <w14:textFill>
            <w14:solidFill>
              <w14:schemeClr w14:val="tx1"/>
            </w14:solidFill>
          </w14:textFill>
        </w:rPr>
        <w:t>吸附式干燥机</w:t>
      </w:r>
      <w:r>
        <w:rPr>
          <w:rFonts w:hint="eastAsia"/>
          <w:snapToGrid w:val="0"/>
          <w:color w:val="000000" w:themeColor="text1"/>
          <w:kern w:val="0"/>
          <w:szCs w:val="21"/>
          <w:lang w:val="en-US" w:eastAsia="zh-CN"/>
          <w14:textFill>
            <w14:solidFill>
              <w14:schemeClr w14:val="tx1"/>
            </w14:solidFill>
          </w14:textFill>
        </w:rPr>
        <w:t>、</w:t>
      </w:r>
      <w:r>
        <w:rPr>
          <w:snapToGrid w:val="0"/>
          <w:color w:val="000000" w:themeColor="text1"/>
          <w:kern w:val="0"/>
          <w:szCs w:val="21"/>
          <w:lang w:val="en-US" w:eastAsia="zh-CN"/>
          <w14:textFill>
            <w14:solidFill>
              <w14:schemeClr w14:val="tx1"/>
            </w14:solidFill>
          </w14:textFill>
        </w:rPr>
        <w:t>制冷压缩机</w:t>
      </w:r>
      <w:r>
        <w:rPr>
          <w:rFonts w:hint="eastAsia"/>
          <w:snapToGrid w:val="0"/>
          <w:color w:val="000000" w:themeColor="text1"/>
          <w:kern w:val="0"/>
          <w:szCs w:val="21"/>
          <w:lang w:val="en-US" w:eastAsia="zh-CN"/>
          <w14:textFill>
            <w14:solidFill>
              <w14:schemeClr w14:val="tx1"/>
            </w14:solidFill>
          </w14:textFill>
        </w:rPr>
        <w:t>、</w:t>
      </w:r>
      <w:r>
        <w:rPr>
          <w:color w:val="000000" w:themeColor="text1"/>
          <w14:textFill>
            <w14:solidFill>
              <w14:schemeClr w14:val="tx1"/>
            </w14:solidFill>
          </w14:textFill>
        </w:rPr>
        <w:t>灌装机、风机、各种泵类等运行噪声</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将</w:t>
      </w:r>
      <w:r>
        <w:rPr>
          <w:rFonts w:hint="eastAsia"/>
          <w:snapToGrid w:val="0"/>
          <w:color w:val="000000" w:themeColor="text1"/>
          <w:kern w:val="0"/>
          <w14:textFill>
            <w14:solidFill>
              <w14:schemeClr w14:val="tx1"/>
            </w14:solidFill>
          </w14:textFill>
        </w:rPr>
        <w:t>会</w:t>
      </w:r>
      <w:r>
        <w:rPr>
          <w:snapToGrid w:val="0"/>
          <w:color w:val="000000" w:themeColor="text1"/>
          <w:kern w:val="0"/>
          <w14:textFill>
            <w14:solidFill>
              <w14:schemeClr w14:val="tx1"/>
            </w14:solidFill>
          </w14:textFill>
        </w:rPr>
        <w:t>对周边声环境产生一定的</w:t>
      </w:r>
      <w:r>
        <w:rPr>
          <w:rFonts w:hint="eastAsia"/>
          <w:snapToGrid w:val="0"/>
          <w:color w:val="000000" w:themeColor="text1"/>
          <w:kern w:val="0"/>
          <w14:textFill>
            <w14:solidFill>
              <w14:schemeClr w14:val="tx1"/>
            </w14:solidFill>
          </w14:textFill>
        </w:rPr>
        <w:t>影响</w:t>
      </w:r>
      <w:r>
        <w:rPr>
          <w:snapToGrid w:val="0"/>
          <w:color w:val="000000" w:themeColor="text1"/>
          <w:kern w:val="0"/>
          <w14:textFill>
            <w14:solidFill>
              <w14:schemeClr w14:val="tx1"/>
            </w14:solidFill>
          </w14:textFill>
        </w:rPr>
        <w:t>；</w:t>
      </w:r>
    </w:p>
    <w:p w14:paraId="5A21E4D1">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4、固体废物</w:t>
      </w:r>
    </w:p>
    <w:p w14:paraId="1D321F89">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本项目固体废物主要为</w:t>
      </w:r>
      <w:r>
        <w:rPr>
          <w:rFonts w:hint="eastAsia"/>
          <w:color w:val="000000" w:themeColor="text1"/>
          <w:lang w:val="en-US" w:eastAsia="zh-CN"/>
          <w14:textFill>
            <w14:solidFill>
              <w14:schemeClr w14:val="tx1"/>
            </w14:solidFill>
          </w14:textFill>
        </w:rPr>
        <w:t>生活垃圾、餐厨废弃物以及废油脂、</w:t>
      </w:r>
      <w:r>
        <w:rPr>
          <w:color w:val="000000" w:themeColor="text1"/>
          <w14:textFill>
            <w14:solidFill>
              <w14:schemeClr w14:val="tx1"/>
            </w14:solidFill>
          </w14:textFill>
        </w:rPr>
        <w:t>杂质、酒糟及废酵母、除尘器收尘、废布袋、污水处理站污泥、废脱硫剂、废包装物、废活性炭、化验室废液、废过滤材料、废离子交换树脂</w:t>
      </w:r>
      <w:r>
        <w:rPr>
          <w:rFonts w:hint="eastAsia"/>
          <w:color w:val="000000" w:themeColor="text1"/>
          <w14:textFill>
            <w14:solidFill>
              <w14:schemeClr w14:val="tx1"/>
            </w14:solidFill>
          </w14:textFill>
        </w:rPr>
        <w:t>等</w:t>
      </w:r>
      <w:r>
        <w:rPr>
          <w:snapToGrid w:val="0"/>
          <w:color w:val="000000" w:themeColor="text1"/>
          <w:kern w:val="0"/>
          <w14:textFill>
            <w14:solidFill>
              <w14:schemeClr w14:val="tx1"/>
            </w14:solidFill>
          </w14:textFill>
        </w:rPr>
        <w:t>如不妥善处理，</w:t>
      </w:r>
      <w:r>
        <w:rPr>
          <w:rFonts w:hint="eastAsia"/>
          <w:snapToGrid w:val="0"/>
          <w:color w:val="000000" w:themeColor="text1"/>
          <w:kern w:val="0"/>
          <w14:textFill>
            <w14:solidFill>
              <w14:schemeClr w14:val="tx1"/>
            </w14:solidFill>
          </w14:textFill>
        </w:rPr>
        <w:t>向外排放</w:t>
      </w:r>
      <w:r>
        <w:rPr>
          <w:snapToGrid w:val="0"/>
          <w:color w:val="000000" w:themeColor="text1"/>
          <w:kern w:val="0"/>
          <w14:textFill>
            <w14:solidFill>
              <w14:schemeClr w14:val="tx1"/>
            </w14:solidFill>
          </w14:textFill>
        </w:rPr>
        <w:t>，</w:t>
      </w:r>
      <w:r>
        <w:rPr>
          <w:rFonts w:hint="eastAsia"/>
          <w:snapToGrid w:val="0"/>
          <w:color w:val="000000" w:themeColor="text1"/>
          <w:kern w:val="0"/>
          <w14:textFill>
            <w14:solidFill>
              <w14:schemeClr w14:val="tx1"/>
            </w14:solidFill>
          </w14:textFill>
        </w:rPr>
        <w:t>将对</w:t>
      </w:r>
      <w:r>
        <w:rPr>
          <w:snapToGrid w:val="0"/>
          <w:color w:val="000000" w:themeColor="text1"/>
          <w:kern w:val="0"/>
          <w14:textFill>
            <w14:solidFill>
              <w14:schemeClr w14:val="tx1"/>
            </w14:solidFill>
          </w14:textFill>
        </w:rPr>
        <w:t>周边环境产生一定影响。</w:t>
      </w:r>
    </w:p>
    <w:p w14:paraId="305F1808">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表2-4-1环境影响因素识别一览表</w:t>
      </w:r>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63"/>
        <w:gridCol w:w="1135"/>
        <w:gridCol w:w="2973"/>
        <w:gridCol w:w="3635"/>
      </w:tblGrid>
      <w:tr w14:paraId="7D42F2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1022" w:type="pct"/>
            <w:gridSpan w:val="2"/>
            <w:vAlign w:val="center"/>
          </w:tcPr>
          <w:p w14:paraId="4B29C74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污染物</w:t>
            </w:r>
          </w:p>
        </w:tc>
        <w:tc>
          <w:tcPr>
            <w:tcW w:w="1789" w:type="pct"/>
            <w:vAlign w:val="center"/>
          </w:tcPr>
          <w:p w14:paraId="1CCF60A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污染来源</w:t>
            </w:r>
          </w:p>
        </w:tc>
        <w:tc>
          <w:tcPr>
            <w:tcW w:w="2187" w:type="pct"/>
            <w:vAlign w:val="center"/>
          </w:tcPr>
          <w:p w14:paraId="5ABC1A1F">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污染因子</w:t>
            </w:r>
          </w:p>
        </w:tc>
      </w:tr>
      <w:tr w14:paraId="385A7D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restart"/>
            <w:vAlign w:val="center"/>
          </w:tcPr>
          <w:p w14:paraId="0C53622E">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施工期</w:t>
            </w:r>
          </w:p>
        </w:tc>
        <w:tc>
          <w:tcPr>
            <w:tcW w:w="683" w:type="pct"/>
            <w:vAlign w:val="center"/>
          </w:tcPr>
          <w:p w14:paraId="75EA40B8">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废气</w:t>
            </w:r>
          </w:p>
        </w:tc>
        <w:tc>
          <w:tcPr>
            <w:tcW w:w="1789" w:type="pct"/>
            <w:vAlign w:val="center"/>
          </w:tcPr>
          <w:p w14:paraId="36C1D405">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施工活动</w:t>
            </w:r>
            <w:r>
              <w:rPr>
                <w:snapToGrid w:val="0"/>
                <w:color w:val="000000" w:themeColor="text1"/>
                <w:kern w:val="0"/>
                <w:sz w:val="21"/>
                <w:lang w:val="zh-CN"/>
                <w14:textFill>
                  <w14:solidFill>
                    <w14:schemeClr w14:val="tx1"/>
                  </w14:solidFill>
                </w14:textFill>
              </w:rPr>
              <w:t>、机械及</w:t>
            </w:r>
            <w:r>
              <w:rPr>
                <w:rFonts w:hint="eastAsia"/>
                <w:snapToGrid w:val="0"/>
                <w:color w:val="000000" w:themeColor="text1"/>
                <w:kern w:val="0"/>
                <w:sz w:val="21"/>
                <w:lang w:val="zh-CN"/>
                <w14:textFill>
                  <w14:solidFill>
                    <w14:schemeClr w14:val="tx1"/>
                  </w14:solidFill>
                </w14:textFill>
              </w:rPr>
              <w:t>施工</w:t>
            </w:r>
            <w:r>
              <w:rPr>
                <w:snapToGrid w:val="0"/>
                <w:color w:val="000000" w:themeColor="text1"/>
                <w:kern w:val="0"/>
                <w:sz w:val="21"/>
                <w:lang w:val="zh-CN"/>
                <w14:textFill>
                  <w14:solidFill>
                    <w14:schemeClr w14:val="tx1"/>
                  </w14:solidFill>
                </w14:textFill>
              </w:rPr>
              <w:t>车辆</w:t>
            </w:r>
          </w:p>
        </w:tc>
        <w:tc>
          <w:tcPr>
            <w:tcW w:w="2187" w:type="pct"/>
            <w:vAlign w:val="center"/>
          </w:tcPr>
          <w:p w14:paraId="44EFA35A">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粉尘、CO、N</w:t>
            </w:r>
            <w:r>
              <w:rPr>
                <w:snapToGrid w:val="0"/>
                <w:color w:val="000000" w:themeColor="text1"/>
                <w:kern w:val="0"/>
                <w:sz w:val="21"/>
                <w:lang w:val="zh-CN"/>
                <w14:textFill>
                  <w14:solidFill>
                    <w14:schemeClr w14:val="tx1"/>
                  </w14:solidFill>
                </w14:textFill>
              </w:rPr>
              <w:t>O</w:t>
            </w:r>
            <w:r>
              <w:rPr>
                <w:snapToGrid w:val="0"/>
                <w:color w:val="000000" w:themeColor="text1"/>
                <w:kern w:val="0"/>
                <w:sz w:val="21"/>
                <w:vertAlign w:val="subscript"/>
                <w:lang w:val="zh-CN"/>
                <w14:textFill>
                  <w14:solidFill>
                    <w14:schemeClr w14:val="tx1"/>
                  </w14:solidFill>
                </w14:textFill>
              </w:rPr>
              <w:t>x</w:t>
            </w:r>
          </w:p>
        </w:tc>
      </w:tr>
      <w:tr w14:paraId="6D3571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029BCD79">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Align w:val="center"/>
          </w:tcPr>
          <w:p w14:paraId="2E265F4B">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废水</w:t>
            </w:r>
          </w:p>
        </w:tc>
        <w:tc>
          <w:tcPr>
            <w:tcW w:w="1789" w:type="pct"/>
            <w:vAlign w:val="center"/>
          </w:tcPr>
          <w:p w14:paraId="11228CE7">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施工活动和施工人员</w:t>
            </w:r>
            <w:r>
              <w:rPr>
                <w:snapToGrid w:val="0"/>
                <w:color w:val="000000" w:themeColor="text1"/>
                <w:kern w:val="0"/>
                <w:sz w:val="21"/>
                <w:lang w:val="zh-CN"/>
                <w14:textFill>
                  <w14:solidFill>
                    <w14:schemeClr w14:val="tx1"/>
                  </w14:solidFill>
                </w14:textFill>
              </w:rPr>
              <w:t>生活</w:t>
            </w:r>
          </w:p>
        </w:tc>
        <w:tc>
          <w:tcPr>
            <w:tcW w:w="2187" w:type="pct"/>
            <w:vAlign w:val="center"/>
          </w:tcPr>
          <w:p w14:paraId="75843D6D">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eastAsia="zh-CN"/>
                <w14:textFill>
                  <w14:solidFill>
                    <w14:schemeClr w14:val="tx1"/>
                  </w14:solidFill>
                </w14:textFill>
              </w:rPr>
              <w:t>COD、BOD</w:t>
            </w:r>
            <w:r>
              <w:rPr>
                <w:snapToGrid w:val="0"/>
                <w:color w:val="000000" w:themeColor="text1"/>
                <w:kern w:val="0"/>
                <w:sz w:val="21"/>
                <w:vertAlign w:val="subscript"/>
                <w:lang w:eastAsia="zh-CN"/>
                <w14:textFill>
                  <w14:solidFill>
                    <w14:schemeClr w14:val="tx1"/>
                  </w14:solidFill>
                </w14:textFill>
              </w:rPr>
              <w:t>5</w:t>
            </w:r>
            <w:r>
              <w:rPr>
                <w:snapToGrid w:val="0"/>
                <w:color w:val="000000" w:themeColor="text1"/>
                <w:kern w:val="0"/>
                <w:sz w:val="21"/>
                <w:lang w:eastAsia="zh-CN"/>
                <w14:textFill>
                  <w14:solidFill>
                    <w14:schemeClr w14:val="tx1"/>
                  </w14:solidFill>
                </w14:textFill>
              </w:rPr>
              <w:t>、氨氮、SS</w:t>
            </w:r>
          </w:p>
        </w:tc>
      </w:tr>
      <w:tr w14:paraId="02BB78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365746C7">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Align w:val="center"/>
          </w:tcPr>
          <w:p w14:paraId="4D43120A">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噪声</w:t>
            </w:r>
          </w:p>
        </w:tc>
        <w:tc>
          <w:tcPr>
            <w:tcW w:w="1789" w:type="pct"/>
            <w:vAlign w:val="center"/>
          </w:tcPr>
          <w:p w14:paraId="2117E9FE">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snapToGrid w:val="0"/>
                <w:color w:val="000000" w:themeColor="text1"/>
                <w:kern w:val="0"/>
                <w:sz w:val="21"/>
                <w:lang w:val="zh-CN"/>
                <w14:textFill>
                  <w14:solidFill>
                    <w14:schemeClr w14:val="tx1"/>
                  </w14:solidFill>
                </w14:textFill>
              </w:rPr>
              <w:t>施工活动</w:t>
            </w:r>
            <w:r>
              <w:rPr>
                <w:rFonts w:hint="eastAsia"/>
                <w:snapToGrid w:val="0"/>
                <w:color w:val="000000" w:themeColor="text1"/>
                <w:kern w:val="0"/>
                <w:sz w:val="21"/>
                <w:lang w:val="zh-CN"/>
                <w14:textFill>
                  <w14:solidFill>
                    <w14:schemeClr w14:val="tx1"/>
                  </w14:solidFill>
                </w14:textFill>
              </w:rPr>
              <w:t>和机械设备</w:t>
            </w:r>
          </w:p>
        </w:tc>
        <w:tc>
          <w:tcPr>
            <w:tcW w:w="2187" w:type="pct"/>
            <w:vAlign w:val="center"/>
          </w:tcPr>
          <w:p w14:paraId="2D787F6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等效连续A声级</w:t>
            </w:r>
            <w:r>
              <w:rPr>
                <w:snapToGrid w:val="0"/>
                <w:color w:val="000000" w:themeColor="text1"/>
                <w:kern w:val="0"/>
                <w:sz w:val="21"/>
                <w:lang w:val="zh-CN" w:eastAsia="zh-CN"/>
                <w14:textFill>
                  <w14:solidFill>
                    <w14:schemeClr w14:val="tx1"/>
                  </w14:solidFill>
                </w14:textFill>
              </w:rPr>
              <w:t>Leq（A）</w:t>
            </w:r>
          </w:p>
        </w:tc>
      </w:tr>
      <w:tr w14:paraId="3CA357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339" w:type="pct"/>
            <w:vMerge w:val="continue"/>
            <w:vAlign w:val="center"/>
          </w:tcPr>
          <w:p w14:paraId="6D05769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Align w:val="center"/>
          </w:tcPr>
          <w:p w14:paraId="05A3E498">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固体</w:t>
            </w:r>
            <w:r>
              <w:rPr>
                <w:snapToGrid w:val="0"/>
                <w:color w:val="000000" w:themeColor="text1"/>
                <w:kern w:val="0"/>
                <w:sz w:val="21"/>
                <w:lang w:val="zh-CN"/>
                <w14:textFill>
                  <w14:solidFill>
                    <w14:schemeClr w14:val="tx1"/>
                  </w14:solidFill>
                </w14:textFill>
              </w:rPr>
              <w:t>废物</w:t>
            </w:r>
          </w:p>
        </w:tc>
        <w:tc>
          <w:tcPr>
            <w:tcW w:w="1789" w:type="pct"/>
            <w:vAlign w:val="center"/>
          </w:tcPr>
          <w:p w14:paraId="7B853BF6">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建筑物</w:t>
            </w:r>
            <w:r>
              <w:rPr>
                <w:snapToGrid w:val="0"/>
                <w:color w:val="000000" w:themeColor="text1"/>
                <w:kern w:val="0"/>
                <w:sz w:val="21"/>
                <w:lang w:val="zh-CN"/>
                <w14:textFill>
                  <w14:solidFill>
                    <w14:schemeClr w14:val="tx1"/>
                  </w14:solidFill>
                </w14:textFill>
              </w:rPr>
              <w:t>施工</w:t>
            </w:r>
            <w:r>
              <w:rPr>
                <w:rFonts w:hint="eastAsia"/>
                <w:snapToGrid w:val="0"/>
                <w:color w:val="000000" w:themeColor="text1"/>
                <w:kern w:val="0"/>
                <w:sz w:val="21"/>
                <w:lang w:val="zh-CN"/>
                <w14:textFill>
                  <w14:solidFill>
                    <w14:schemeClr w14:val="tx1"/>
                  </w14:solidFill>
                </w14:textFill>
              </w:rPr>
              <w:t>和</w:t>
            </w:r>
            <w:r>
              <w:rPr>
                <w:snapToGrid w:val="0"/>
                <w:color w:val="000000" w:themeColor="text1"/>
                <w:kern w:val="0"/>
                <w:sz w:val="21"/>
                <w:lang w:val="zh-CN"/>
                <w14:textFill>
                  <w14:solidFill>
                    <w14:schemeClr w14:val="tx1"/>
                  </w14:solidFill>
                </w14:textFill>
              </w:rPr>
              <w:t>施工人员生活</w:t>
            </w:r>
          </w:p>
        </w:tc>
        <w:tc>
          <w:tcPr>
            <w:tcW w:w="2187" w:type="pct"/>
            <w:vAlign w:val="center"/>
          </w:tcPr>
          <w:p w14:paraId="415A34AB">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建筑</w:t>
            </w:r>
            <w:r>
              <w:rPr>
                <w:snapToGrid w:val="0"/>
                <w:color w:val="000000" w:themeColor="text1"/>
                <w:kern w:val="0"/>
                <w:sz w:val="21"/>
                <w:lang w:val="zh-CN"/>
                <w14:textFill>
                  <w14:solidFill>
                    <w14:schemeClr w14:val="tx1"/>
                  </w14:solidFill>
                </w14:textFill>
              </w:rPr>
              <w:t>垃圾</w:t>
            </w:r>
            <w:r>
              <w:rPr>
                <w:rFonts w:hint="eastAsia"/>
                <w:snapToGrid w:val="0"/>
                <w:color w:val="000000" w:themeColor="text1"/>
                <w:kern w:val="0"/>
                <w:sz w:val="21"/>
                <w:lang w:val="zh-CN"/>
                <w14:textFill>
                  <w14:solidFill>
                    <w14:schemeClr w14:val="tx1"/>
                  </w14:solidFill>
                </w14:textFill>
              </w:rPr>
              <w:t>、施工人员</w:t>
            </w:r>
            <w:r>
              <w:rPr>
                <w:snapToGrid w:val="0"/>
                <w:color w:val="000000" w:themeColor="text1"/>
                <w:kern w:val="0"/>
                <w:sz w:val="21"/>
                <w:lang w:val="zh-CN"/>
                <w14:textFill>
                  <w14:solidFill>
                    <w14:schemeClr w14:val="tx1"/>
                  </w14:solidFill>
                </w14:textFill>
              </w:rPr>
              <w:t>生活垃圾</w:t>
            </w:r>
          </w:p>
        </w:tc>
      </w:tr>
      <w:tr w14:paraId="2CD9BC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restart"/>
            <w:vAlign w:val="center"/>
          </w:tcPr>
          <w:p w14:paraId="61728262">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运营期</w:t>
            </w:r>
          </w:p>
        </w:tc>
        <w:tc>
          <w:tcPr>
            <w:tcW w:w="683" w:type="pct"/>
            <w:vMerge w:val="restart"/>
            <w:vAlign w:val="center"/>
          </w:tcPr>
          <w:p w14:paraId="0100D9C6">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废气</w:t>
            </w:r>
          </w:p>
        </w:tc>
        <w:tc>
          <w:tcPr>
            <w:tcW w:w="1789" w:type="pct"/>
            <w:vAlign w:val="center"/>
          </w:tcPr>
          <w:p w14:paraId="18AF3130">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snapToGrid w:val="0"/>
                <w:color w:val="000000" w:themeColor="text1"/>
                <w:kern w:val="0"/>
                <w:sz w:val="21"/>
                <w14:textFill>
                  <w14:solidFill>
                    <w14:schemeClr w14:val="tx1"/>
                  </w14:solidFill>
                </w14:textFill>
              </w:rPr>
              <w:t>污水处理站</w:t>
            </w:r>
            <w:r>
              <w:rPr>
                <w:rFonts w:hint="eastAsia"/>
                <w:snapToGrid w:val="0"/>
                <w:color w:val="000000" w:themeColor="text1"/>
                <w:kern w:val="0"/>
                <w:sz w:val="21"/>
                <w14:textFill>
                  <w14:solidFill>
                    <w14:schemeClr w14:val="tx1"/>
                  </w14:solidFill>
                </w14:textFill>
              </w:rPr>
              <w:t>废气</w:t>
            </w:r>
          </w:p>
        </w:tc>
        <w:tc>
          <w:tcPr>
            <w:tcW w:w="2187" w:type="pct"/>
            <w:vAlign w:val="center"/>
          </w:tcPr>
          <w:p w14:paraId="13FEB105">
            <w:pPr>
              <w:pStyle w:val="143"/>
              <w:rPr>
                <w:snapToGrid w:val="0"/>
                <w:color w:val="000000" w:themeColor="text1"/>
                <w:kern w:val="0"/>
                <w14:textFill>
                  <w14:solidFill>
                    <w14:schemeClr w14:val="tx1"/>
                  </w14:solidFill>
                </w14:textFill>
              </w:rPr>
            </w:pPr>
            <w:r>
              <w:rPr>
                <w:color w:val="000000" w:themeColor="text1"/>
                <w14:textFill>
                  <w14:solidFill>
                    <w14:schemeClr w14:val="tx1"/>
                  </w14:solidFill>
                </w14:textFill>
              </w:rPr>
              <w:t>NH</w:t>
            </w:r>
            <w:r>
              <w:rPr>
                <w:vanish/>
                <w:color w:val="000000" w:themeColor="text1"/>
                <w:vertAlign w:val="subscript"/>
                <w14:textFill>
                  <w14:solidFill>
                    <w14:schemeClr w14:val="tx1"/>
                  </w14:solidFill>
                </w14:textFill>
              </w:rPr>
              <w:t>3</w:t>
            </w:r>
            <w:r>
              <w:rPr>
                <w:color w:val="000000" w:themeColor="text1"/>
                <w14:textFill>
                  <w14:solidFill>
                    <w14:schemeClr w14:val="tx1"/>
                  </w14:solidFill>
                </w14:textFill>
              </w:rPr>
              <w:t>、H</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S</w:t>
            </w:r>
            <w:r>
              <w:rPr>
                <w:rFonts w:hint="eastAsia"/>
                <w:color w:val="000000" w:themeColor="text1"/>
                <w:lang w:eastAsia="zh-CN"/>
                <w14:textFill>
                  <w14:solidFill>
                    <w14:schemeClr w14:val="tx1"/>
                  </w14:solidFill>
                </w14:textFill>
              </w:rPr>
              <w:t>、臭气浓度</w:t>
            </w:r>
          </w:p>
        </w:tc>
      </w:tr>
      <w:tr w14:paraId="016A8E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2630E14F">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Merge w:val="continue"/>
            <w:vAlign w:val="center"/>
          </w:tcPr>
          <w:p w14:paraId="3C40672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789" w:type="pct"/>
            <w:vAlign w:val="center"/>
          </w:tcPr>
          <w:p w14:paraId="0DC2C3CD">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snapToGrid w:val="0"/>
                <w:color w:val="000000" w:themeColor="text1"/>
                <w:kern w:val="0"/>
                <w:sz w:val="21"/>
                <w14:textFill>
                  <w14:solidFill>
                    <w14:schemeClr w14:val="tx1"/>
                  </w14:solidFill>
                </w14:textFill>
              </w:rPr>
              <w:t>锅炉</w:t>
            </w:r>
            <w:r>
              <w:rPr>
                <w:rFonts w:hint="eastAsia"/>
                <w:snapToGrid w:val="0"/>
                <w:color w:val="000000" w:themeColor="text1"/>
                <w:kern w:val="0"/>
                <w:sz w:val="21"/>
                <w14:textFill>
                  <w14:solidFill>
                    <w14:schemeClr w14:val="tx1"/>
                  </w14:solidFill>
                </w14:textFill>
              </w:rPr>
              <w:t>烟气</w:t>
            </w:r>
          </w:p>
        </w:tc>
        <w:tc>
          <w:tcPr>
            <w:tcW w:w="2187" w:type="pct"/>
            <w:vAlign w:val="center"/>
          </w:tcPr>
          <w:p w14:paraId="03DE4786">
            <w:pPr>
              <w:pStyle w:val="143"/>
              <w:rPr>
                <w:snapToGrid w:val="0"/>
                <w:color w:val="000000" w:themeColor="text1"/>
                <w:kern w:val="0"/>
                <w14:textFill>
                  <w14:solidFill>
                    <w14:schemeClr w14:val="tx1"/>
                  </w14:solidFill>
                </w14:textFill>
              </w:rPr>
            </w:pPr>
            <w:r>
              <w:rPr>
                <w:color w:val="000000" w:themeColor="text1"/>
                <w14:textFill>
                  <w14:solidFill>
                    <w14:schemeClr w14:val="tx1"/>
                  </w14:solidFill>
                </w14:textFill>
              </w:rPr>
              <w:t>颗粒物、SO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、NOx、烟气黑度</w:t>
            </w:r>
          </w:p>
        </w:tc>
      </w:tr>
      <w:tr w14:paraId="302D10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5A2D1623">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Merge w:val="continue"/>
            <w:vAlign w:val="center"/>
          </w:tcPr>
          <w:p w14:paraId="0EB723D2">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789" w:type="pct"/>
            <w:vAlign w:val="center"/>
          </w:tcPr>
          <w:p w14:paraId="22E5E05F">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14:textFill>
                  <w14:solidFill>
                    <w14:schemeClr w14:val="tx1"/>
                  </w14:solidFill>
                </w14:textFill>
              </w:rPr>
              <w:t>原料原料处理间粉尘</w:t>
            </w:r>
          </w:p>
        </w:tc>
        <w:tc>
          <w:tcPr>
            <w:tcW w:w="2187" w:type="pct"/>
            <w:vAlign w:val="center"/>
          </w:tcPr>
          <w:p w14:paraId="67DD4F03">
            <w:pPr>
              <w:pStyle w:val="143"/>
              <w:rPr>
                <w:snapToGrid w:val="0"/>
                <w:color w:val="000000" w:themeColor="text1"/>
                <w:kern w:val="0"/>
                <w14:textFill>
                  <w14:solidFill>
                    <w14:schemeClr w14:val="tx1"/>
                  </w14:solidFill>
                </w14:textFill>
              </w:rPr>
            </w:pPr>
            <w:r>
              <w:rPr>
                <w:rFonts w:hint="eastAsia"/>
                <w:color w:val="000000" w:themeColor="text1"/>
                <w:lang w:eastAsia="zh-CN"/>
                <w14:textFill>
                  <w14:solidFill>
                    <w14:schemeClr w14:val="tx1"/>
                  </w14:solidFill>
                </w14:textFill>
              </w:rPr>
              <w:t>颗粒物</w:t>
            </w:r>
          </w:p>
        </w:tc>
      </w:tr>
      <w:tr w14:paraId="18D97F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0A74E07D">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Merge w:val="continue"/>
            <w:vAlign w:val="center"/>
          </w:tcPr>
          <w:p w14:paraId="40D4CF56">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789" w:type="pct"/>
            <w:vAlign w:val="center"/>
          </w:tcPr>
          <w:p w14:paraId="3F22EB5C">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snapToGrid w:val="0"/>
                <w:color w:val="000000" w:themeColor="text1"/>
                <w:kern w:val="0"/>
                <w:sz w:val="21"/>
                <w14:textFill>
                  <w14:solidFill>
                    <w14:schemeClr w14:val="tx1"/>
                  </w14:solidFill>
                </w14:textFill>
              </w:rPr>
              <w:t>发酵车间</w:t>
            </w:r>
            <w:r>
              <w:rPr>
                <w:rFonts w:hint="eastAsia"/>
                <w:snapToGrid w:val="0"/>
                <w:color w:val="000000" w:themeColor="text1"/>
                <w:kern w:val="0"/>
                <w:sz w:val="21"/>
                <w14:textFill>
                  <w14:solidFill>
                    <w14:schemeClr w14:val="tx1"/>
                  </w14:solidFill>
                </w14:textFill>
              </w:rPr>
              <w:t>异味</w:t>
            </w:r>
          </w:p>
        </w:tc>
        <w:tc>
          <w:tcPr>
            <w:tcW w:w="2187" w:type="pct"/>
            <w:vAlign w:val="center"/>
          </w:tcPr>
          <w:p w14:paraId="39AC0F73">
            <w:pPr>
              <w:pStyle w:val="143"/>
              <w:rPr>
                <w:snapToGrid w:val="0"/>
                <w:color w:val="000000" w:themeColor="text1"/>
                <w:kern w:val="0"/>
                <w14:textFill>
                  <w14:solidFill>
                    <w14:schemeClr w14:val="tx1"/>
                  </w14:solidFill>
                </w14:textFill>
              </w:rPr>
            </w:pPr>
            <w:r>
              <w:rPr>
                <w:color w:val="000000" w:themeColor="text1"/>
                <w14:textFill>
                  <w14:solidFill>
                    <w14:schemeClr w14:val="tx1"/>
                  </w14:solidFill>
                </w14:textFill>
              </w:rPr>
              <w:t>臭气浓度、CO</w:t>
            </w:r>
            <w:r>
              <w:rPr>
                <w:color w:val="000000" w:themeColor="text1"/>
                <w:vertAlign w:val="subscript"/>
                <w14:textFill>
                  <w14:solidFill>
                    <w14:schemeClr w14:val="tx1"/>
                  </w14:solidFill>
                </w14:textFill>
              </w:rPr>
              <w:t>2</w:t>
            </w:r>
          </w:p>
        </w:tc>
      </w:tr>
      <w:tr w14:paraId="4171DB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0A93DDB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Merge w:val="continue"/>
            <w:vAlign w:val="center"/>
          </w:tcPr>
          <w:p w14:paraId="65AD200D">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789" w:type="pct"/>
            <w:vAlign w:val="center"/>
          </w:tcPr>
          <w:p w14:paraId="3DB36E83">
            <w:pPr>
              <w:adjustRightInd/>
              <w:snapToGrid/>
              <w:spacing w:line="240" w:lineRule="auto"/>
              <w:ind w:firstLine="0" w:firstLineChars="0"/>
              <w:jc w:val="center"/>
              <w:rPr>
                <w:snapToGrid w:val="0"/>
                <w:color w:val="000000" w:themeColor="text1"/>
                <w:kern w:val="0"/>
                <w:sz w:val="21"/>
                <w14:textFill>
                  <w14:solidFill>
                    <w14:schemeClr w14:val="tx1"/>
                  </w14:solidFill>
                </w14:textFill>
              </w:rPr>
            </w:pPr>
            <w:r>
              <w:rPr>
                <w:rFonts w:hint="eastAsia"/>
                <w:snapToGrid w:val="0"/>
                <w:color w:val="000000" w:themeColor="text1"/>
                <w:kern w:val="0"/>
                <w:sz w:val="21"/>
                <w14:textFill>
                  <w14:solidFill>
                    <w14:schemeClr w14:val="tx1"/>
                  </w14:solidFill>
                </w14:textFill>
              </w:rPr>
              <w:t>沼气燃烧废气</w:t>
            </w:r>
          </w:p>
        </w:tc>
        <w:tc>
          <w:tcPr>
            <w:tcW w:w="2187" w:type="pct"/>
            <w:vAlign w:val="center"/>
          </w:tcPr>
          <w:p w14:paraId="27A35EA0">
            <w:pPr>
              <w:pStyle w:val="143"/>
              <w:rPr>
                <w:snapToGrid w:val="0"/>
                <w:color w:val="000000" w:themeColor="text1"/>
                <w:kern w:val="0"/>
                <w14:textFill>
                  <w14:solidFill>
                    <w14:schemeClr w14:val="tx1"/>
                  </w14:solidFill>
                </w14:textFill>
              </w:rPr>
            </w:pPr>
            <w:r>
              <w:rPr>
                <w:color w:val="000000" w:themeColor="text1"/>
                <w:lang w:val="en-US"/>
                <w14:textFill>
                  <w14:solidFill>
                    <w14:schemeClr w14:val="tx1"/>
                  </w14:solidFill>
                </w14:textFill>
              </w:rPr>
              <w:t>颗粒物、SO</w:t>
            </w:r>
            <w:r>
              <w:rPr>
                <w:color w:val="000000" w:themeColor="text1"/>
                <w:vertAlign w:val="subscript"/>
                <w:lang w:val="en-US"/>
                <w14:textFill>
                  <w14:solidFill>
                    <w14:schemeClr w14:val="tx1"/>
                  </w14:solidFill>
                </w14:textFill>
              </w:rPr>
              <w:t>2</w:t>
            </w:r>
            <w:r>
              <w:rPr>
                <w:color w:val="000000" w:themeColor="text1"/>
                <w:lang w:val="en-US"/>
                <w14:textFill>
                  <w14:solidFill>
                    <w14:schemeClr w14:val="tx1"/>
                  </w14:solidFill>
                </w14:textFill>
              </w:rPr>
              <w:t>、NOx</w:t>
            </w:r>
          </w:p>
        </w:tc>
      </w:tr>
      <w:tr w14:paraId="2A8B05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7165DB3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Merge w:val="continue"/>
            <w:vAlign w:val="center"/>
          </w:tcPr>
          <w:p w14:paraId="7FCC6D03">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789" w:type="pct"/>
            <w:vAlign w:val="center"/>
          </w:tcPr>
          <w:p w14:paraId="105F098C">
            <w:pPr>
              <w:adjustRightInd/>
              <w:snapToGrid/>
              <w:spacing w:line="240" w:lineRule="auto"/>
              <w:ind w:firstLine="0" w:firstLineChars="0"/>
              <w:jc w:val="center"/>
              <w:rPr>
                <w:rFonts w:hint="default" w:eastAsia="宋体"/>
                <w:snapToGrid w:val="0"/>
                <w:color w:val="000000" w:themeColor="text1"/>
                <w:kern w:val="0"/>
                <w:sz w:val="21"/>
                <w:lang w:val="en-US" w:eastAsia="zh-CN"/>
                <w14:textFill>
                  <w14:solidFill>
                    <w14:schemeClr w14:val="tx1"/>
                  </w14:solidFill>
                </w14:textFill>
              </w:rPr>
            </w:pPr>
            <w:r>
              <w:rPr>
                <w:rFonts w:hint="eastAsia"/>
                <w:snapToGrid w:val="0"/>
                <w:color w:val="000000" w:themeColor="text1"/>
                <w:kern w:val="0"/>
                <w:sz w:val="21"/>
                <w:lang w:val="en-US" w:eastAsia="zh-CN"/>
                <w14:textFill>
                  <w14:solidFill>
                    <w14:schemeClr w14:val="tx1"/>
                  </w14:solidFill>
                </w14:textFill>
              </w:rPr>
              <w:t>食堂油烟</w:t>
            </w:r>
          </w:p>
        </w:tc>
        <w:tc>
          <w:tcPr>
            <w:tcW w:w="2187" w:type="pct"/>
            <w:vAlign w:val="center"/>
          </w:tcPr>
          <w:p w14:paraId="13D81836">
            <w:pPr>
              <w:pStyle w:val="143"/>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油烟</w:t>
            </w:r>
          </w:p>
        </w:tc>
      </w:tr>
      <w:tr w14:paraId="4813ED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6144F43E">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Merge w:val="continue"/>
            <w:vAlign w:val="center"/>
          </w:tcPr>
          <w:p w14:paraId="03C9F59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789" w:type="pct"/>
            <w:vAlign w:val="center"/>
          </w:tcPr>
          <w:p w14:paraId="2D0980CC">
            <w:pPr>
              <w:adjustRightInd/>
              <w:snapToGrid/>
              <w:spacing w:line="240" w:lineRule="auto"/>
              <w:ind w:firstLine="0" w:firstLineChars="0"/>
              <w:jc w:val="center"/>
              <w:rPr>
                <w:rFonts w:hint="eastAsia"/>
                <w:snapToGrid w:val="0"/>
                <w:color w:val="000000" w:themeColor="text1"/>
                <w:kern w:val="0"/>
                <w:sz w:val="21"/>
                <w14:textFill>
                  <w14:solidFill>
                    <w14:schemeClr w14:val="tx1"/>
                  </w14:solidFill>
                </w14:textFill>
              </w:rPr>
            </w:pPr>
            <w:r>
              <w:rPr>
                <w:rFonts w:hint="eastAsia"/>
                <w:snapToGrid w:val="0"/>
                <w:color w:val="000000" w:themeColor="text1"/>
                <w:kern w:val="0"/>
                <w:sz w:val="21"/>
                <w:lang w:val="en-US" w:eastAsia="zh-CN"/>
                <w14:textFill>
                  <w14:solidFill>
                    <w14:schemeClr w14:val="tx1"/>
                  </w14:solidFill>
                </w14:textFill>
              </w:rPr>
              <w:t>柴油发电机废气</w:t>
            </w:r>
          </w:p>
        </w:tc>
        <w:tc>
          <w:tcPr>
            <w:tcW w:w="2187" w:type="pct"/>
            <w:vAlign w:val="center"/>
          </w:tcPr>
          <w:p w14:paraId="66EBF3E1">
            <w:pPr>
              <w:pStyle w:val="143"/>
              <w:rPr>
                <w:color w:val="000000" w:themeColor="text1"/>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烟尘、NO</w:t>
            </w:r>
            <w:r>
              <w:rPr>
                <w:rFonts w:hint="eastAsia"/>
                <w:snapToGrid w:val="0"/>
                <w:color w:val="000000" w:themeColor="text1"/>
                <w:kern w:val="0"/>
                <w:vertAlign w:val="subscript"/>
                <w:lang w:val="en-US" w:eastAsia="zh-CN"/>
                <w14:textFill>
                  <w14:solidFill>
                    <w14:schemeClr w14:val="tx1"/>
                  </w14:solidFill>
                </w14:textFill>
              </w:rPr>
              <w:t>X</w:t>
            </w:r>
            <w:r>
              <w:rPr>
                <w:rFonts w:hint="eastAsia"/>
                <w:snapToGrid w:val="0"/>
                <w:color w:val="000000" w:themeColor="text1"/>
                <w:kern w:val="0"/>
                <w:lang w:val="en-US" w:eastAsia="zh-CN"/>
                <w14:textFill>
                  <w14:solidFill>
                    <w14:schemeClr w14:val="tx1"/>
                  </w14:solidFill>
                </w14:textFill>
              </w:rPr>
              <w:t>、SO</w:t>
            </w:r>
            <w:r>
              <w:rPr>
                <w:rFonts w:hint="eastAsia"/>
                <w:snapToGrid w:val="0"/>
                <w:color w:val="000000" w:themeColor="text1"/>
                <w:kern w:val="0"/>
                <w:vertAlign w:val="subscript"/>
                <w:lang w:val="en-US" w:eastAsia="zh-CN"/>
                <w14:textFill>
                  <w14:solidFill>
                    <w14:schemeClr w14:val="tx1"/>
                  </w14:solidFill>
                </w14:textFill>
              </w:rPr>
              <w:t>2</w:t>
            </w:r>
          </w:p>
        </w:tc>
      </w:tr>
      <w:tr w14:paraId="02EF36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5B3DAE2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Align w:val="center"/>
          </w:tcPr>
          <w:p w14:paraId="16FF543C">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废水</w:t>
            </w:r>
          </w:p>
        </w:tc>
        <w:tc>
          <w:tcPr>
            <w:tcW w:w="1789" w:type="pct"/>
            <w:vAlign w:val="center"/>
          </w:tcPr>
          <w:p w14:paraId="5C4F3DD0">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厂区生活污水及生产废水</w:t>
            </w:r>
          </w:p>
        </w:tc>
        <w:tc>
          <w:tcPr>
            <w:tcW w:w="2187" w:type="pct"/>
            <w:vAlign w:val="center"/>
          </w:tcPr>
          <w:p w14:paraId="6703415B">
            <w:pPr>
              <w:adjustRightInd/>
              <w:snapToGrid/>
              <w:spacing w:line="240" w:lineRule="auto"/>
              <w:ind w:firstLine="0" w:firstLineChars="0"/>
              <w:jc w:val="center"/>
              <w:rPr>
                <w:rFonts w:hint="default"/>
                <w:snapToGrid w:val="0"/>
                <w:color w:val="000000" w:themeColor="text1"/>
                <w:kern w:val="0"/>
                <w:sz w:val="21"/>
                <w:lang w:val="en-US" w:eastAsia="zh-CN"/>
                <w14:textFill>
                  <w14:solidFill>
                    <w14:schemeClr w14:val="tx1"/>
                  </w14:solidFill>
                </w14:textFill>
              </w:rPr>
            </w:pPr>
            <w:r>
              <w:rPr>
                <w:rFonts w:hint="eastAsia"/>
                <w:snapToGrid w:val="0"/>
                <w:color w:val="000000" w:themeColor="text1"/>
                <w:kern w:val="0"/>
                <w:sz w:val="21"/>
                <w:lang w:val="zh-CN" w:eastAsia="zh-CN"/>
                <w14:textFill>
                  <w14:solidFill>
                    <w14:schemeClr w14:val="tx1"/>
                  </w14:solidFill>
                </w14:textFill>
              </w:rPr>
              <w:t>p</w:t>
            </w:r>
            <w:r>
              <w:rPr>
                <w:snapToGrid w:val="0"/>
                <w:color w:val="000000" w:themeColor="text1"/>
                <w:kern w:val="0"/>
                <w:sz w:val="21"/>
                <w:lang w:val="zh-CN" w:eastAsia="zh-CN"/>
                <w14:textFill>
                  <w14:solidFill>
                    <w14:schemeClr w14:val="tx1"/>
                  </w14:solidFill>
                </w14:textFill>
              </w:rPr>
              <w:t>H</w:t>
            </w:r>
            <w:r>
              <w:rPr>
                <w:rFonts w:hint="eastAsia"/>
                <w:snapToGrid w:val="0"/>
                <w:color w:val="000000" w:themeColor="text1"/>
                <w:kern w:val="0"/>
                <w:sz w:val="21"/>
                <w:lang w:val="zh-CN" w:eastAsia="zh-CN"/>
                <w14:textFill>
                  <w14:solidFill>
                    <w14:schemeClr w14:val="tx1"/>
                  </w14:solidFill>
                </w14:textFill>
              </w:rPr>
              <w:t>值、</w:t>
            </w:r>
            <w:r>
              <w:rPr>
                <w:snapToGrid w:val="0"/>
                <w:color w:val="000000" w:themeColor="text1"/>
                <w:kern w:val="0"/>
                <w:sz w:val="21"/>
                <w:lang w:val="zh-CN" w:eastAsia="zh-CN"/>
                <w14:textFill>
                  <w14:solidFill>
                    <w14:schemeClr w14:val="tx1"/>
                  </w14:solidFill>
                </w14:textFill>
              </w:rPr>
              <w:t>COD、BOD</w:t>
            </w:r>
            <w:r>
              <w:rPr>
                <w:snapToGrid w:val="0"/>
                <w:color w:val="000000" w:themeColor="text1"/>
                <w:kern w:val="0"/>
                <w:sz w:val="21"/>
                <w:vertAlign w:val="subscript"/>
                <w:lang w:val="zh-CN" w:eastAsia="zh-CN"/>
                <w14:textFill>
                  <w14:solidFill>
                    <w14:schemeClr w14:val="tx1"/>
                  </w14:solidFill>
                </w14:textFill>
              </w:rPr>
              <w:t>5</w:t>
            </w:r>
            <w:r>
              <w:rPr>
                <w:snapToGrid w:val="0"/>
                <w:color w:val="000000" w:themeColor="text1"/>
                <w:kern w:val="0"/>
                <w:sz w:val="21"/>
                <w:lang w:val="zh-CN" w:eastAsia="zh-CN"/>
                <w14:textFill>
                  <w14:solidFill>
                    <w14:schemeClr w14:val="tx1"/>
                  </w14:solidFill>
                </w14:textFill>
              </w:rPr>
              <w:t>、SS、NH</w:t>
            </w:r>
            <w:r>
              <w:rPr>
                <w:snapToGrid w:val="0"/>
                <w:color w:val="000000" w:themeColor="text1"/>
                <w:kern w:val="0"/>
                <w:sz w:val="21"/>
                <w:vertAlign w:val="subscript"/>
                <w:lang w:val="zh-CN" w:eastAsia="zh-CN"/>
                <w14:textFill>
                  <w14:solidFill>
                    <w14:schemeClr w14:val="tx1"/>
                  </w14:solidFill>
                </w14:textFill>
              </w:rPr>
              <w:t>3</w:t>
            </w:r>
            <w:r>
              <w:rPr>
                <w:snapToGrid w:val="0"/>
                <w:color w:val="000000" w:themeColor="text1"/>
                <w:kern w:val="0"/>
                <w:sz w:val="21"/>
                <w:lang w:val="zh-CN" w:eastAsia="zh-CN"/>
                <w14:textFill>
                  <w14:solidFill>
                    <w14:schemeClr w14:val="tx1"/>
                  </w14:solidFill>
                </w14:textFill>
              </w:rPr>
              <w:t>-N</w:t>
            </w:r>
            <w:r>
              <w:rPr>
                <w:rFonts w:hint="eastAsia"/>
                <w:snapToGrid w:val="0"/>
                <w:color w:val="000000" w:themeColor="text1"/>
                <w:kern w:val="0"/>
                <w:sz w:val="21"/>
                <w:lang w:val="zh-CN" w:eastAsia="zh-CN"/>
                <w14:textFill>
                  <w14:solidFill>
                    <w14:schemeClr w14:val="tx1"/>
                  </w14:solidFill>
                </w14:textFill>
              </w:rPr>
              <w:t>、T</w:t>
            </w:r>
            <w:r>
              <w:rPr>
                <w:snapToGrid w:val="0"/>
                <w:color w:val="000000" w:themeColor="text1"/>
                <w:kern w:val="0"/>
                <w:sz w:val="21"/>
                <w:lang w:val="zh-CN" w:eastAsia="zh-CN"/>
                <w14:textFill>
                  <w14:solidFill>
                    <w14:schemeClr w14:val="tx1"/>
                  </w14:solidFill>
                </w14:textFill>
              </w:rPr>
              <w:t>P</w:t>
            </w:r>
            <w:r>
              <w:rPr>
                <w:rFonts w:hint="eastAsia"/>
                <w:snapToGrid w:val="0"/>
                <w:color w:val="000000" w:themeColor="text1"/>
                <w:kern w:val="0"/>
                <w:sz w:val="21"/>
                <w:lang w:val="zh-CN" w:eastAsia="zh-CN"/>
                <w14:textFill>
                  <w14:solidFill>
                    <w14:schemeClr w14:val="tx1"/>
                  </w14:solidFill>
                </w14:textFill>
              </w:rPr>
              <w:t>、TN、</w:t>
            </w:r>
            <w:r>
              <w:rPr>
                <w:rFonts w:hint="eastAsia"/>
                <w:snapToGrid w:val="0"/>
                <w:color w:val="000000" w:themeColor="text1"/>
                <w:kern w:val="0"/>
                <w:sz w:val="21"/>
                <w:lang w:val="en-US" w:eastAsia="zh-CN"/>
                <w14:textFill>
                  <w14:solidFill>
                    <w14:schemeClr w14:val="tx1"/>
                  </w14:solidFill>
                </w14:textFill>
              </w:rPr>
              <w:t>动植物油</w:t>
            </w:r>
          </w:p>
        </w:tc>
      </w:tr>
      <w:tr w14:paraId="572F6D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6F8E8C16">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Align w:val="center"/>
          </w:tcPr>
          <w:p w14:paraId="4AA11889">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噪声</w:t>
            </w:r>
          </w:p>
        </w:tc>
        <w:tc>
          <w:tcPr>
            <w:tcW w:w="1789" w:type="pct"/>
            <w:tcMar>
              <w:left w:w="0" w:type="dxa"/>
              <w:right w:w="0" w:type="dxa"/>
            </w:tcMar>
            <w:vAlign w:val="center"/>
          </w:tcPr>
          <w:p w14:paraId="21371304">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水泵</w:t>
            </w:r>
            <w:r>
              <w:rPr>
                <w:snapToGrid w:val="0"/>
                <w:color w:val="000000" w:themeColor="text1"/>
                <w:kern w:val="0"/>
                <w:sz w:val="21"/>
                <w:lang w:val="zh-CN" w:eastAsia="zh-CN"/>
                <w14:textFill>
                  <w14:solidFill>
                    <w14:schemeClr w14:val="tx1"/>
                  </w14:solidFill>
                </w14:textFill>
              </w:rPr>
              <w:t>、</w:t>
            </w:r>
            <w:r>
              <w:rPr>
                <w:rFonts w:hint="eastAsia"/>
                <w:snapToGrid w:val="0"/>
                <w:color w:val="000000" w:themeColor="text1"/>
                <w:kern w:val="0"/>
                <w:sz w:val="21"/>
                <w:lang w:val="zh-CN"/>
                <w14:textFill>
                  <w14:solidFill>
                    <w14:schemeClr w14:val="tx1"/>
                  </w14:solidFill>
                </w14:textFill>
              </w:rPr>
              <w:t>运输车辆等设备</w:t>
            </w:r>
          </w:p>
        </w:tc>
        <w:tc>
          <w:tcPr>
            <w:tcW w:w="2187" w:type="pct"/>
            <w:vAlign w:val="center"/>
          </w:tcPr>
          <w:p w14:paraId="58E152B9">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等效连续A声级</w:t>
            </w:r>
            <w:r>
              <w:rPr>
                <w:snapToGrid w:val="0"/>
                <w:color w:val="000000" w:themeColor="text1"/>
                <w:kern w:val="0"/>
                <w:sz w:val="21"/>
                <w:lang w:val="zh-CN" w:eastAsia="zh-CN"/>
                <w14:textFill>
                  <w14:solidFill>
                    <w14:schemeClr w14:val="tx1"/>
                  </w14:solidFill>
                </w14:textFill>
              </w:rPr>
              <w:t>Leq（A）</w:t>
            </w:r>
          </w:p>
        </w:tc>
      </w:tr>
      <w:tr w14:paraId="10F8F9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4" w:hRule="atLeast"/>
          <w:jc w:val="center"/>
        </w:trPr>
        <w:tc>
          <w:tcPr>
            <w:tcW w:w="339" w:type="pct"/>
            <w:vMerge w:val="continue"/>
            <w:vAlign w:val="center"/>
          </w:tcPr>
          <w:p w14:paraId="519B09CE">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683" w:type="pct"/>
            <w:vAlign w:val="center"/>
          </w:tcPr>
          <w:p w14:paraId="43D3F296">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固体废物</w:t>
            </w:r>
          </w:p>
        </w:tc>
        <w:tc>
          <w:tcPr>
            <w:tcW w:w="1789" w:type="pct"/>
            <w:vAlign w:val="center"/>
          </w:tcPr>
          <w:p w14:paraId="350E3AA9">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生产车间、污水处理站等车间及构筑物</w:t>
            </w:r>
          </w:p>
        </w:tc>
        <w:tc>
          <w:tcPr>
            <w:tcW w:w="2187" w:type="pct"/>
            <w:vAlign w:val="center"/>
          </w:tcPr>
          <w:p w14:paraId="7DED3AE2">
            <w:pPr>
              <w:adjustRightInd/>
              <w:snapToGrid/>
              <w:spacing w:line="240" w:lineRule="auto"/>
              <w:ind w:firstLine="0" w:firstLineChars="0"/>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en-US" w:eastAsia="zh-CN"/>
                <w14:textFill>
                  <w14:solidFill>
                    <w14:schemeClr w14:val="tx1"/>
                  </w14:solidFill>
                </w14:textFill>
              </w:rPr>
              <w:t>麦芽、大米中杂质</w:t>
            </w:r>
            <w:r>
              <w:rPr>
                <w:rFonts w:hint="eastAsia"/>
                <w:snapToGrid w:val="0"/>
                <w:color w:val="000000" w:themeColor="text1"/>
                <w:kern w:val="0"/>
                <w:sz w:val="21"/>
                <w:lang w:val="zh-CN"/>
                <w14:textFill>
                  <w14:solidFill>
                    <w14:schemeClr w14:val="tx1"/>
                  </w14:solidFill>
                </w14:textFill>
              </w:rPr>
              <w:t>、</w:t>
            </w:r>
            <w:r>
              <w:rPr>
                <w:rFonts w:hint="eastAsia"/>
                <w:snapToGrid w:val="0"/>
                <w:color w:val="000000" w:themeColor="text1"/>
                <w:kern w:val="0"/>
                <w:sz w:val="21"/>
                <w:lang w:val="en-US" w:eastAsia="zh-CN"/>
                <w14:textFill>
                  <w14:solidFill>
                    <w14:schemeClr w14:val="tx1"/>
                  </w14:solidFill>
                </w14:textFill>
              </w:rPr>
              <w:t>废</w:t>
            </w:r>
            <w:r>
              <w:rPr>
                <w:rFonts w:hint="eastAsia"/>
                <w:snapToGrid w:val="0"/>
                <w:color w:val="000000" w:themeColor="text1"/>
                <w:kern w:val="0"/>
                <w:sz w:val="21"/>
                <w:lang w:val="zh-CN"/>
                <w14:textFill>
                  <w14:solidFill>
                    <w14:schemeClr w14:val="tx1"/>
                  </w14:solidFill>
                </w14:textFill>
              </w:rPr>
              <w:t>酒糟及废酵母</w:t>
            </w:r>
            <w:r>
              <w:rPr>
                <w:rFonts w:hint="eastAsia"/>
                <w:snapToGrid w:val="0"/>
                <w:color w:val="000000" w:themeColor="text1"/>
                <w:kern w:val="0"/>
                <w:sz w:val="21"/>
                <w:lang w:val="zh-CN" w:eastAsia="zh-CN"/>
                <w14:textFill>
                  <w14:solidFill>
                    <w14:schemeClr w14:val="tx1"/>
                  </w14:solidFill>
                </w14:textFill>
              </w:rPr>
              <w:t>、</w:t>
            </w:r>
            <w:r>
              <w:rPr>
                <w:rFonts w:hint="eastAsia"/>
                <w:snapToGrid w:val="0"/>
                <w:color w:val="000000" w:themeColor="text1"/>
                <w:kern w:val="0"/>
                <w:sz w:val="21"/>
                <w:lang w:val="en-US" w:eastAsia="zh-CN"/>
                <w14:textFill>
                  <w14:solidFill>
                    <w14:schemeClr w14:val="tx1"/>
                  </w14:solidFill>
                </w14:textFill>
              </w:rPr>
              <w:t>废硅藻土</w:t>
            </w:r>
            <w:r>
              <w:rPr>
                <w:rFonts w:hint="eastAsia"/>
                <w:snapToGrid w:val="0"/>
                <w:color w:val="000000" w:themeColor="text1"/>
                <w:kern w:val="0"/>
                <w:sz w:val="21"/>
                <w:lang w:val="zh-CN"/>
                <w14:textFill>
                  <w14:solidFill>
                    <w14:schemeClr w14:val="tx1"/>
                  </w14:solidFill>
                </w14:textFill>
              </w:rPr>
              <w:t>、除尘器收尘、废布袋、污水处理站污泥、废脱硫剂、废包装物、废过滤材料</w:t>
            </w:r>
            <w:r>
              <w:rPr>
                <w:rFonts w:hint="eastAsia"/>
                <w:snapToGrid w:val="0"/>
                <w:color w:val="000000" w:themeColor="text1"/>
                <w:kern w:val="0"/>
                <w:sz w:val="21"/>
                <w:lang w:val="zh-CN" w:eastAsia="zh-CN"/>
                <w14:textFill>
                  <w14:solidFill>
                    <w14:schemeClr w14:val="tx1"/>
                  </w14:solidFill>
                </w14:textFill>
              </w:rPr>
              <w:t>、</w:t>
            </w:r>
            <w:r>
              <w:rPr>
                <w:rFonts w:hint="eastAsia"/>
                <w:snapToGrid w:val="0"/>
                <w:color w:val="000000" w:themeColor="text1"/>
                <w:kern w:val="0"/>
                <w:sz w:val="21"/>
                <w:lang w:val="zh-CN"/>
                <w14:textFill>
                  <w14:solidFill>
                    <w14:schemeClr w14:val="tx1"/>
                  </w14:solidFill>
                </w14:textFill>
              </w:rPr>
              <w:t>废活性炭</w:t>
            </w:r>
            <w:r>
              <w:rPr>
                <w:rFonts w:hint="eastAsia"/>
                <w:snapToGrid w:val="0"/>
                <w:color w:val="000000" w:themeColor="text1"/>
                <w:kern w:val="0"/>
                <w:sz w:val="21"/>
                <w:lang w:val="en-US" w:eastAsia="zh-CN"/>
                <w14:textFill>
                  <w14:solidFill>
                    <w14:schemeClr w14:val="tx1"/>
                  </w14:solidFill>
                </w14:textFill>
              </w:rPr>
              <w:t>及废分子筛</w:t>
            </w:r>
            <w:r>
              <w:rPr>
                <w:rFonts w:hint="eastAsia"/>
                <w:snapToGrid w:val="0"/>
                <w:color w:val="000000" w:themeColor="text1"/>
                <w:kern w:val="0"/>
                <w:sz w:val="21"/>
                <w:lang w:val="zh-CN"/>
                <w14:textFill>
                  <w14:solidFill>
                    <w14:schemeClr w14:val="tx1"/>
                  </w14:solidFill>
                </w14:textFill>
              </w:rPr>
              <w:t>、</w:t>
            </w:r>
            <w:r>
              <w:rPr>
                <w:rFonts w:hint="eastAsia"/>
                <w:snapToGrid w:val="0"/>
                <w:color w:val="000000" w:themeColor="text1"/>
                <w:kern w:val="0"/>
                <w:sz w:val="21"/>
                <w:lang w:val="en-US" w:eastAsia="zh-CN"/>
                <w14:textFill>
                  <w14:solidFill>
                    <w14:schemeClr w14:val="tx1"/>
                  </w14:solidFill>
                </w14:textFill>
              </w:rPr>
              <w:t>废危化品包装材料、</w:t>
            </w:r>
            <w:r>
              <w:rPr>
                <w:rFonts w:hint="eastAsia"/>
                <w:snapToGrid w:val="0"/>
                <w:color w:val="000000" w:themeColor="text1"/>
                <w:kern w:val="0"/>
                <w:sz w:val="21"/>
                <w:lang w:val="zh-CN"/>
                <w14:textFill>
                  <w14:solidFill>
                    <w14:schemeClr w14:val="tx1"/>
                  </w14:solidFill>
                </w14:textFill>
              </w:rPr>
              <w:t>化验室废液、废离子交换树脂、</w:t>
            </w:r>
            <w:r>
              <w:rPr>
                <w:rFonts w:hint="eastAsia"/>
                <w:snapToGrid w:val="0"/>
                <w:color w:val="000000" w:themeColor="text1"/>
                <w:kern w:val="0"/>
                <w:sz w:val="21"/>
                <w:lang w:val="en-US" w:eastAsia="zh-CN"/>
                <w14:textFill>
                  <w14:solidFill>
                    <w14:schemeClr w14:val="tx1"/>
                  </w14:solidFill>
                </w14:textFill>
              </w:rPr>
              <w:t>废机油、废机油桶、废含油抹布手套、生活垃圾、餐厨废弃物</w:t>
            </w:r>
          </w:p>
        </w:tc>
      </w:tr>
    </w:tbl>
    <w:p w14:paraId="5F6055FE">
      <w:pPr>
        <w:pStyle w:val="6"/>
        <w:rPr>
          <w:color w:val="000000" w:themeColor="text1"/>
          <w14:textFill>
            <w14:solidFill>
              <w14:schemeClr w14:val="tx1"/>
            </w14:solidFill>
          </w14:textFill>
        </w:rPr>
      </w:pPr>
      <w:bookmarkStart w:id="46" w:name="_Toc13805"/>
      <w:r>
        <w:rPr>
          <w:color w:val="000000" w:themeColor="text1"/>
          <w14:textFill>
            <w14:solidFill>
              <w14:schemeClr w14:val="tx1"/>
            </w14:solidFill>
          </w14:textFill>
        </w:rPr>
        <w:t>2.4.2</w:t>
      </w:r>
      <w:r>
        <w:rPr>
          <w:rFonts w:hint="eastAsia"/>
          <w:color w:val="000000" w:themeColor="text1"/>
          <w14:textFill>
            <w14:solidFill>
              <w14:schemeClr w14:val="tx1"/>
            </w14:solidFill>
          </w14:textFill>
        </w:rPr>
        <w:t>评价因子筛选</w:t>
      </w:r>
      <w:bookmarkEnd w:id="46"/>
    </w:p>
    <w:p w14:paraId="0DCFD289">
      <w:pPr>
        <w:pStyle w:val="85"/>
        <w:rPr>
          <w:color w:val="000000" w:themeColor="text1"/>
          <w14:textFill>
            <w14:solidFill>
              <w14:schemeClr w14:val="tx1"/>
            </w14:solidFill>
          </w14:textFill>
        </w:rPr>
      </w:pPr>
      <w:r>
        <w:rPr>
          <w:color w:val="000000" w:themeColor="text1"/>
          <w14:textFill>
            <w14:solidFill>
              <w14:schemeClr w14:val="tx1"/>
            </w14:solidFill>
          </w14:textFill>
        </w:rPr>
        <w:t>根据表2-4-1，确定本项目环境影响评价因子见表2-4-2。</w:t>
      </w:r>
    </w:p>
    <w:p w14:paraId="78CC7C67">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表2-4-2评价因子表</w:t>
      </w:r>
    </w:p>
    <w:tbl>
      <w:tblPr>
        <w:tblStyle w:val="49"/>
        <w:tblW w:w="8423"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347"/>
        <w:gridCol w:w="787"/>
        <w:gridCol w:w="2127"/>
        <w:gridCol w:w="5162"/>
      </w:tblGrid>
      <w:tr w14:paraId="2A262AB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0" w:hRule="atLeast"/>
          <w:jc w:val="center"/>
        </w:trPr>
        <w:tc>
          <w:tcPr>
            <w:tcW w:w="1134" w:type="dxa"/>
            <w:gridSpan w:val="2"/>
            <w:shd w:val="clear" w:color="auto" w:fill="auto"/>
            <w:vAlign w:val="center"/>
          </w:tcPr>
          <w:p w14:paraId="57CD62D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环境要素</w:t>
            </w:r>
          </w:p>
        </w:tc>
        <w:tc>
          <w:tcPr>
            <w:tcW w:w="2127" w:type="dxa"/>
            <w:shd w:val="clear" w:color="auto" w:fill="auto"/>
            <w:vAlign w:val="center"/>
          </w:tcPr>
          <w:p w14:paraId="7D54DF3D">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评价类别</w:t>
            </w:r>
          </w:p>
        </w:tc>
        <w:tc>
          <w:tcPr>
            <w:tcW w:w="5162" w:type="dxa"/>
            <w:shd w:val="clear" w:color="auto" w:fill="auto"/>
            <w:vAlign w:val="center"/>
          </w:tcPr>
          <w:p w14:paraId="3C0515E8">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评价因子</w:t>
            </w:r>
          </w:p>
        </w:tc>
      </w:tr>
      <w:tr w14:paraId="3D6E7BA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0" w:hRule="atLeast"/>
          <w:jc w:val="center"/>
        </w:trPr>
        <w:tc>
          <w:tcPr>
            <w:tcW w:w="1134" w:type="dxa"/>
            <w:gridSpan w:val="2"/>
            <w:vMerge w:val="restart"/>
            <w:shd w:val="clear" w:color="auto" w:fill="auto"/>
            <w:vAlign w:val="center"/>
          </w:tcPr>
          <w:p w14:paraId="15427D1D">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环境空气</w:t>
            </w:r>
          </w:p>
        </w:tc>
        <w:tc>
          <w:tcPr>
            <w:tcW w:w="2127" w:type="dxa"/>
            <w:shd w:val="clear" w:color="auto" w:fill="auto"/>
            <w:vAlign w:val="center"/>
          </w:tcPr>
          <w:p w14:paraId="32C67CF4">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环境现状评价</w:t>
            </w:r>
          </w:p>
        </w:tc>
        <w:tc>
          <w:tcPr>
            <w:tcW w:w="5162" w:type="dxa"/>
            <w:shd w:val="clear" w:color="auto" w:fill="auto"/>
            <w:vAlign w:val="center"/>
          </w:tcPr>
          <w:p w14:paraId="03B4780F">
            <w:pPr>
              <w:adjustRightInd/>
              <w:snapToGrid/>
              <w:spacing w:line="240" w:lineRule="auto"/>
              <w:ind w:firstLine="0" w:firstLineChars="0"/>
              <w:rPr>
                <w:snapToGrid w:val="0"/>
                <w:color w:val="000000" w:themeColor="text1"/>
                <w:kern w:val="0"/>
                <w:sz w:val="21"/>
                <w:vertAlign w:val="subscript"/>
                <w:lang w:val="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NO</w:t>
            </w:r>
            <w:r>
              <w:rPr>
                <w:snapToGrid w:val="0"/>
                <w:color w:val="000000" w:themeColor="text1"/>
                <w:kern w:val="0"/>
                <w:sz w:val="21"/>
                <w:vertAlign w:val="subscript"/>
                <w:lang w:val="zh-CN" w:eastAsia="zh-CN"/>
                <w14:textFill>
                  <w14:solidFill>
                    <w14:schemeClr w14:val="tx1"/>
                  </w14:solidFill>
                </w14:textFill>
              </w:rPr>
              <w:t>2</w:t>
            </w:r>
            <w:r>
              <w:rPr>
                <w:snapToGrid w:val="0"/>
                <w:color w:val="000000" w:themeColor="text1"/>
                <w:kern w:val="0"/>
                <w:sz w:val="21"/>
                <w:lang w:val="zh-CN" w:eastAsia="zh-CN"/>
                <w14:textFill>
                  <w14:solidFill>
                    <w14:schemeClr w14:val="tx1"/>
                  </w14:solidFill>
                </w14:textFill>
              </w:rPr>
              <w:t>、SO</w:t>
            </w:r>
            <w:r>
              <w:rPr>
                <w:snapToGrid w:val="0"/>
                <w:color w:val="000000" w:themeColor="text1"/>
                <w:kern w:val="0"/>
                <w:sz w:val="21"/>
                <w:vertAlign w:val="subscript"/>
                <w:lang w:val="zh-CN" w:eastAsia="zh-CN"/>
                <w14:textFill>
                  <w14:solidFill>
                    <w14:schemeClr w14:val="tx1"/>
                  </w14:solidFill>
                </w14:textFill>
              </w:rPr>
              <w:t>2</w:t>
            </w:r>
            <w:r>
              <w:rPr>
                <w:snapToGrid w:val="0"/>
                <w:color w:val="000000" w:themeColor="text1"/>
                <w:kern w:val="0"/>
                <w:sz w:val="21"/>
                <w:lang w:val="zh-CN" w:eastAsia="zh-CN"/>
                <w14:textFill>
                  <w14:solidFill>
                    <w14:schemeClr w14:val="tx1"/>
                  </w14:solidFill>
                </w14:textFill>
              </w:rPr>
              <w:t>、PM</w:t>
            </w:r>
            <w:r>
              <w:rPr>
                <w:snapToGrid w:val="0"/>
                <w:color w:val="000000" w:themeColor="text1"/>
                <w:kern w:val="0"/>
                <w:sz w:val="21"/>
                <w:vertAlign w:val="subscript"/>
                <w:lang w:val="zh-CN" w:eastAsia="zh-CN"/>
                <w14:textFill>
                  <w14:solidFill>
                    <w14:schemeClr w14:val="tx1"/>
                  </w14:solidFill>
                </w14:textFill>
              </w:rPr>
              <w:t>10</w:t>
            </w:r>
            <w:r>
              <w:rPr>
                <w:snapToGrid w:val="0"/>
                <w:color w:val="000000" w:themeColor="text1"/>
                <w:kern w:val="0"/>
                <w:sz w:val="21"/>
                <w:lang w:val="zh-CN" w:eastAsia="zh-CN"/>
                <w14:textFill>
                  <w14:solidFill>
                    <w14:schemeClr w14:val="tx1"/>
                  </w14:solidFill>
                </w14:textFill>
              </w:rPr>
              <w:t>、PM</w:t>
            </w:r>
            <w:r>
              <w:rPr>
                <w:snapToGrid w:val="0"/>
                <w:color w:val="000000" w:themeColor="text1"/>
                <w:kern w:val="0"/>
                <w:sz w:val="21"/>
                <w:vertAlign w:val="subscript"/>
                <w:lang w:val="zh-CN" w:eastAsia="zh-CN"/>
                <w14:textFill>
                  <w14:solidFill>
                    <w14:schemeClr w14:val="tx1"/>
                  </w14:solidFill>
                </w14:textFill>
              </w:rPr>
              <w:t>2.5</w:t>
            </w:r>
            <w:r>
              <w:rPr>
                <w:snapToGrid w:val="0"/>
                <w:color w:val="000000" w:themeColor="text1"/>
                <w:kern w:val="0"/>
                <w:sz w:val="21"/>
                <w:lang w:val="zh-CN" w:eastAsia="zh-CN"/>
                <w14:textFill>
                  <w14:solidFill>
                    <w14:schemeClr w14:val="tx1"/>
                  </w14:solidFill>
                </w14:textFill>
              </w:rPr>
              <w:t>、CO</w:t>
            </w:r>
            <w:r>
              <w:rPr>
                <w:rFonts w:hint="eastAsia"/>
                <w:snapToGrid w:val="0"/>
                <w:color w:val="000000" w:themeColor="text1"/>
                <w:kern w:val="0"/>
                <w:sz w:val="21"/>
                <w:lang w:val="zh-CN"/>
                <w14:textFill>
                  <w14:solidFill>
                    <w14:schemeClr w14:val="tx1"/>
                  </w14:solidFill>
                </w14:textFill>
              </w:rPr>
              <w:t>、O</w:t>
            </w:r>
            <w:r>
              <w:rPr>
                <w:snapToGrid w:val="0"/>
                <w:color w:val="000000" w:themeColor="text1"/>
                <w:kern w:val="0"/>
                <w:sz w:val="21"/>
                <w:vertAlign w:val="subscript"/>
                <w:lang w:val="zh-CN"/>
                <w14:textFill>
                  <w14:solidFill>
                    <w14:schemeClr w14:val="tx1"/>
                  </w14:solidFill>
                </w14:textFill>
              </w:rPr>
              <w:t>3</w:t>
            </w:r>
            <w:r>
              <w:rPr>
                <w:rFonts w:hint="eastAsia"/>
                <w:snapToGrid w:val="0"/>
                <w:color w:val="000000" w:themeColor="text1"/>
                <w:kern w:val="0"/>
                <w:sz w:val="21"/>
                <w:lang w:val="zh-CN"/>
                <w14:textFill>
                  <w14:solidFill>
                    <w14:schemeClr w14:val="tx1"/>
                  </w14:solidFill>
                </w14:textFill>
              </w:rPr>
              <w:t>、</w:t>
            </w:r>
            <w:r>
              <w:rPr>
                <w:snapToGrid w:val="0"/>
                <w:color w:val="000000" w:themeColor="text1"/>
                <w:kern w:val="0"/>
                <w:sz w:val="21"/>
                <w:lang w:val="zh-CN" w:eastAsia="zh-CN"/>
                <w14:textFill>
                  <w14:solidFill>
                    <w14:schemeClr w14:val="tx1"/>
                  </w14:solidFill>
                </w14:textFill>
              </w:rPr>
              <w:t>NH</w:t>
            </w:r>
            <w:r>
              <w:rPr>
                <w:snapToGrid w:val="0"/>
                <w:color w:val="000000" w:themeColor="text1"/>
                <w:kern w:val="0"/>
                <w:sz w:val="21"/>
                <w:vertAlign w:val="subscript"/>
                <w:lang w:val="zh-CN" w:eastAsia="zh-CN"/>
                <w14:textFill>
                  <w14:solidFill>
                    <w14:schemeClr w14:val="tx1"/>
                  </w14:solidFill>
                </w14:textFill>
              </w:rPr>
              <w:t>3</w:t>
            </w:r>
            <w:r>
              <w:rPr>
                <w:snapToGrid w:val="0"/>
                <w:color w:val="000000" w:themeColor="text1"/>
                <w:kern w:val="0"/>
                <w:sz w:val="21"/>
                <w:lang w:val="zh-CN" w:eastAsia="zh-CN"/>
                <w14:textFill>
                  <w14:solidFill>
                    <w14:schemeClr w14:val="tx1"/>
                  </w14:solidFill>
                </w14:textFill>
              </w:rPr>
              <w:t>、H</w:t>
            </w:r>
            <w:r>
              <w:rPr>
                <w:snapToGrid w:val="0"/>
                <w:color w:val="000000" w:themeColor="text1"/>
                <w:kern w:val="0"/>
                <w:sz w:val="21"/>
                <w:vertAlign w:val="subscript"/>
                <w:lang w:val="zh-CN" w:eastAsia="zh-CN"/>
                <w14:textFill>
                  <w14:solidFill>
                    <w14:schemeClr w14:val="tx1"/>
                  </w14:solidFill>
                </w14:textFill>
              </w:rPr>
              <w:t>2</w:t>
            </w:r>
            <w:r>
              <w:rPr>
                <w:snapToGrid w:val="0"/>
                <w:color w:val="000000" w:themeColor="text1"/>
                <w:kern w:val="0"/>
                <w:sz w:val="21"/>
                <w:lang w:val="zh-CN" w:eastAsia="zh-CN"/>
                <w14:textFill>
                  <w14:solidFill>
                    <w14:schemeClr w14:val="tx1"/>
                  </w14:solidFill>
                </w14:textFill>
              </w:rPr>
              <w:t>S</w:t>
            </w:r>
            <w:r>
              <w:rPr>
                <w:rFonts w:hint="eastAsia"/>
                <w:snapToGrid w:val="0"/>
                <w:color w:val="000000" w:themeColor="text1"/>
                <w:kern w:val="0"/>
                <w:sz w:val="21"/>
                <w:lang w:val="zh-CN" w:eastAsia="zh-CN"/>
                <w14:textFill>
                  <w14:solidFill>
                    <w14:schemeClr w14:val="tx1"/>
                  </w14:solidFill>
                </w14:textFill>
              </w:rPr>
              <w:t>、</w:t>
            </w:r>
            <w:r>
              <w:rPr>
                <w:snapToGrid w:val="0"/>
                <w:color w:val="000000" w:themeColor="text1"/>
                <w:kern w:val="0"/>
                <w:sz w:val="21"/>
                <w:lang w:val="zh-CN" w:eastAsia="zh-CN"/>
                <w14:textFill>
                  <w14:solidFill>
                    <w14:schemeClr w14:val="tx1"/>
                  </w14:solidFill>
                </w14:textFill>
              </w:rPr>
              <w:t>TSP</w:t>
            </w:r>
          </w:p>
        </w:tc>
      </w:tr>
      <w:tr w14:paraId="056D75E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49" w:hRule="atLeast"/>
          <w:jc w:val="center"/>
        </w:trPr>
        <w:tc>
          <w:tcPr>
            <w:tcW w:w="1134" w:type="dxa"/>
            <w:gridSpan w:val="2"/>
            <w:vMerge w:val="continue"/>
            <w:shd w:val="clear" w:color="auto" w:fill="auto"/>
            <w:vAlign w:val="center"/>
          </w:tcPr>
          <w:p w14:paraId="528A1227">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127" w:type="dxa"/>
            <w:shd w:val="clear" w:color="auto" w:fill="auto"/>
            <w:vAlign w:val="center"/>
          </w:tcPr>
          <w:p w14:paraId="15E73843">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环境影响评价</w:t>
            </w:r>
          </w:p>
        </w:tc>
        <w:tc>
          <w:tcPr>
            <w:tcW w:w="5162" w:type="dxa"/>
            <w:shd w:val="clear" w:color="auto" w:fill="auto"/>
            <w:vAlign w:val="center"/>
          </w:tcPr>
          <w:p w14:paraId="626630DD">
            <w:pPr>
              <w:adjustRightInd/>
              <w:snapToGrid/>
              <w:spacing w:line="240" w:lineRule="auto"/>
              <w:ind w:firstLine="0" w:firstLineChars="0"/>
              <w:jc w:val="center"/>
              <w:rPr>
                <w:snapToGrid w:val="0"/>
                <w:color w:val="000000" w:themeColor="text1"/>
                <w:kern w:val="0"/>
                <w:sz w:val="21"/>
                <w14:textFill>
                  <w14:solidFill>
                    <w14:schemeClr w14:val="tx1"/>
                  </w14:solidFill>
                </w14:textFill>
              </w:rPr>
            </w:pPr>
            <w:r>
              <w:rPr>
                <w:snapToGrid w:val="0"/>
                <w:color w:val="000000" w:themeColor="text1"/>
                <w:kern w:val="0"/>
                <w:sz w:val="21"/>
                <w:lang w:val="zh-CN"/>
                <w14:textFill>
                  <w14:solidFill>
                    <w14:schemeClr w14:val="tx1"/>
                  </w14:solidFill>
                </w14:textFill>
              </w:rPr>
              <w:t>NH</w:t>
            </w:r>
            <w:r>
              <w:rPr>
                <w:snapToGrid w:val="0"/>
                <w:color w:val="000000" w:themeColor="text1"/>
                <w:kern w:val="0"/>
                <w:sz w:val="21"/>
                <w:vertAlign w:val="subscript"/>
                <w:lang w:val="zh-CN"/>
                <w14:textFill>
                  <w14:solidFill>
                    <w14:schemeClr w14:val="tx1"/>
                  </w14:solidFill>
                </w14:textFill>
              </w:rPr>
              <w:t>3</w:t>
            </w:r>
            <w:r>
              <w:rPr>
                <w:snapToGrid w:val="0"/>
                <w:color w:val="000000" w:themeColor="text1"/>
                <w:kern w:val="0"/>
                <w:sz w:val="21"/>
                <w:lang w:val="zh-CN"/>
                <w14:textFill>
                  <w14:solidFill>
                    <w14:schemeClr w14:val="tx1"/>
                  </w14:solidFill>
                </w14:textFill>
              </w:rPr>
              <w:t>、H</w:t>
            </w:r>
            <w:r>
              <w:rPr>
                <w:snapToGrid w:val="0"/>
                <w:color w:val="000000" w:themeColor="text1"/>
                <w:kern w:val="0"/>
                <w:sz w:val="21"/>
                <w:vertAlign w:val="subscript"/>
                <w:lang w:val="zh-CN"/>
                <w14:textFill>
                  <w14:solidFill>
                    <w14:schemeClr w14:val="tx1"/>
                  </w14:solidFill>
                </w14:textFill>
              </w:rPr>
              <w:t>2</w:t>
            </w:r>
            <w:r>
              <w:rPr>
                <w:snapToGrid w:val="0"/>
                <w:color w:val="000000" w:themeColor="text1"/>
                <w:kern w:val="0"/>
                <w:sz w:val="21"/>
                <w:lang w:val="zh-CN"/>
                <w14:textFill>
                  <w14:solidFill>
                    <w14:schemeClr w14:val="tx1"/>
                  </w14:solidFill>
                </w14:textFill>
              </w:rPr>
              <w:t>S</w:t>
            </w:r>
            <w:r>
              <w:rPr>
                <w:rFonts w:hint="eastAsia"/>
                <w:snapToGrid w:val="0"/>
                <w:color w:val="000000" w:themeColor="text1"/>
                <w:kern w:val="0"/>
                <w:sz w:val="21"/>
                <w:lang w:val="zh-CN"/>
                <w14:textFill>
                  <w14:solidFill>
                    <w14:schemeClr w14:val="tx1"/>
                  </w14:solidFill>
                </w14:textFill>
              </w:rPr>
              <w:t>、</w:t>
            </w:r>
            <w:r>
              <w:rPr>
                <w:rFonts w:hint="eastAsia"/>
                <w:snapToGrid w:val="0"/>
                <w:color w:val="000000" w:themeColor="text1"/>
                <w:kern w:val="0"/>
                <w:sz w:val="21"/>
                <w:lang w:val="en-US" w:eastAsia="zh-CN"/>
                <w14:textFill>
                  <w14:solidFill>
                    <w14:schemeClr w14:val="tx1"/>
                  </w14:solidFill>
                </w14:textFill>
              </w:rPr>
              <w:t>颗粒物</w:t>
            </w:r>
            <w:r>
              <w:rPr>
                <w:rFonts w:hint="eastAsia"/>
                <w:snapToGrid w:val="0"/>
                <w:color w:val="000000" w:themeColor="text1"/>
                <w:kern w:val="0"/>
                <w:sz w:val="21"/>
                <w:lang w:val="zh-CN"/>
                <w14:textFill>
                  <w14:solidFill>
                    <w14:schemeClr w14:val="tx1"/>
                  </w14:solidFill>
                </w14:textFill>
              </w:rPr>
              <w:t>、S</w:t>
            </w:r>
            <w:r>
              <w:rPr>
                <w:snapToGrid w:val="0"/>
                <w:color w:val="000000" w:themeColor="text1"/>
                <w:kern w:val="0"/>
                <w:sz w:val="21"/>
                <w:lang w:val="zh-CN"/>
                <w14:textFill>
                  <w14:solidFill>
                    <w14:schemeClr w14:val="tx1"/>
                  </w14:solidFill>
                </w14:textFill>
              </w:rPr>
              <w:t>O</w:t>
            </w:r>
            <w:r>
              <w:rPr>
                <w:snapToGrid w:val="0"/>
                <w:color w:val="000000" w:themeColor="text1"/>
                <w:kern w:val="0"/>
                <w:sz w:val="21"/>
                <w:vertAlign w:val="subscript"/>
                <w:lang w:val="zh-CN"/>
                <w14:textFill>
                  <w14:solidFill>
                    <w14:schemeClr w14:val="tx1"/>
                  </w14:solidFill>
                </w14:textFill>
              </w:rPr>
              <w:t>2</w:t>
            </w:r>
            <w:r>
              <w:rPr>
                <w:rFonts w:hint="eastAsia"/>
                <w:snapToGrid w:val="0"/>
                <w:color w:val="000000" w:themeColor="text1"/>
                <w:kern w:val="0"/>
                <w:sz w:val="21"/>
                <w:lang w:val="zh-CN"/>
                <w14:textFill>
                  <w14:solidFill>
                    <w14:schemeClr w14:val="tx1"/>
                  </w14:solidFill>
                </w14:textFill>
              </w:rPr>
              <w:t>、</w:t>
            </w:r>
            <w:r>
              <w:rPr>
                <w:snapToGrid w:val="0"/>
                <w:color w:val="000000" w:themeColor="text1"/>
                <w:kern w:val="0"/>
                <w:sz w:val="21"/>
                <w:lang w:val="zh-CN"/>
                <w14:textFill>
                  <w14:solidFill>
                    <w14:schemeClr w14:val="tx1"/>
                  </w14:solidFill>
                </w14:textFill>
              </w:rPr>
              <w:t>NO</w:t>
            </w:r>
            <w:r>
              <w:rPr>
                <w:snapToGrid w:val="0"/>
                <w:color w:val="000000" w:themeColor="text1"/>
                <w:kern w:val="0"/>
                <w:sz w:val="21"/>
                <w:vertAlign w:val="subscript"/>
                <w:lang w:val="zh-CN"/>
                <w14:textFill>
                  <w14:solidFill>
                    <w14:schemeClr w14:val="tx1"/>
                  </w14:solidFill>
                </w14:textFill>
              </w:rPr>
              <w:t>X</w:t>
            </w:r>
            <w:r>
              <w:rPr>
                <w:rFonts w:hint="eastAsia"/>
                <w:snapToGrid w:val="0"/>
                <w:color w:val="000000" w:themeColor="text1"/>
                <w:kern w:val="0"/>
                <w:sz w:val="21"/>
                <w:lang w:val="zh-CN"/>
                <w14:textFill>
                  <w14:solidFill>
                    <w14:schemeClr w14:val="tx1"/>
                  </w14:solidFill>
                </w14:textFill>
              </w:rPr>
              <w:t>、</w:t>
            </w:r>
            <w:r>
              <w:rPr>
                <w:snapToGrid w:val="0"/>
                <w:color w:val="000000" w:themeColor="text1"/>
                <w:kern w:val="0"/>
                <w:sz w:val="21"/>
                <w:lang w:val="zh-CN" w:eastAsia="zh-CN"/>
                <w14:textFill>
                  <w14:solidFill>
                    <w14:schemeClr w14:val="tx1"/>
                  </w14:solidFill>
                </w14:textFill>
              </w:rPr>
              <w:t>臭气浓度</w:t>
            </w:r>
          </w:p>
        </w:tc>
      </w:tr>
      <w:tr w14:paraId="6B25FCB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65" w:hRule="atLeast"/>
          <w:jc w:val="center"/>
        </w:trPr>
        <w:tc>
          <w:tcPr>
            <w:tcW w:w="1134" w:type="dxa"/>
            <w:gridSpan w:val="2"/>
            <w:vMerge w:val="restart"/>
            <w:shd w:val="clear" w:color="auto" w:fill="auto"/>
            <w:vAlign w:val="center"/>
          </w:tcPr>
          <w:p w14:paraId="53514D80">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声环境</w:t>
            </w:r>
          </w:p>
        </w:tc>
        <w:tc>
          <w:tcPr>
            <w:tcW w:w="2127" w:type="dxa"/>
            <w:shd w:val="clear" w:color="auto" w:fill="auto"/>
            <w:vAlign w:val="center"/>
          </w:tcPr>
          <w:p w14:paraId="711709E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环境现状评价</w:t>
            </w:r>
          </w:p>
        </w:tc>
        <w:tc>
          <w:tcPr>
            <w:tcW w:w="5162" w:type="dxa"/>
            <w:shd w:val="clear" w:color="auto" w:fill="auto"/>
            <w:vAlign w:val="center"/>
          </w:tcPr>
          <w:p w14:paraId="1BE2E989">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等效连续A声级</w:t>
            </w:r>
            <w:r>
              <w:rPr>
                <w:snapToGrid w:val="0"/>
                <w:color w:val="000000" w:themeColor="text1"/>
                <w:kern w:val="0"/>
                <w:sz w:val="21"/>
                <w:lang w:val="zh-CN" w:eastAsia="zh-CN"/>
                <w14:textFill>
                  <w14:solidFill>
                    <w14:schemeClr w14:val="tx1"/>
                  </w14:solidFill>
                </w14:textFill>
              </w:rPr>
              <w:t>Leq（A）</w:t>
            </w:r>
          </w:p>
        </w:tc>
      </w:tr>
      <w:tr w14:paraId="1A263F2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49" w:hRule="atLeast"/>
          <w:jc w:val="center"/>
        </w:trPr>
        <w:tc>
          <w:tcPr>
            <w:tcW w:w="1134" w:type="dxa"/>
            <w:gridSpan w:val="2"/>
            <w:vMerge w:val="continue"/>
            <w:shd w:val="clear" w:color="auto" w:fill="auto"/>
            <w:vAlign w:val="center"/>
          </w:tcPr>
          <w:p w14:paraId="2B5CF16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127" w:type="dxa"/>
            <w:shd w:val="clear" w:color="auto" w:fill="auto"/>
            <w:vAlign w:val="center"/>
          </w:tcPr>
          <w:p w14:paraId="27A64FF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环境影响评价</w:t>
            </w:r>
          </w:p>
        </w:tc>
        <w:tc>
          <w:tcPr>
            <w:tcW w:w="5162" w:type="dxa"/>
            <w:shd w:val="clear" w:color="auto" w:fill="auto"/>
            <w:vAlign w:val="center"/>
          </w:tcPr>
          <w:p w14:paraId="3255A1A0">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等效连续A声级</w:t>
            </w:r>
            <w:r>
              <w:rPr>
                <w:snapToGrid w:val="0"/>
                <w:color w:val="000000" w:themeColor="text1"/>
                <w:kern w:val="0"/>
                <w:sz w:val="21"/>
                <w:lang w:val="zh-CN" w:eastAsia="zh-CN"/>
                <w14:textFill>
                  <w14:solidFill>
                    <w14:schemeClr w14:val="tx1"/>
                  </w14:solidFill>
                </w14:textFill>
              </w:rPr>
              <w:t>Leq（A）</w:t>
            </w:r>
          </w:p>
        </w:tc>
      </w:tr>
      <w:tr w14:paraId="261A19F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0" w:hRule="atLeast"/>
          <w:jc w:val="center"/>
        </w:trPr>
        <w:tc>
          <w:tcPr>
            <w:tcW w:w="347" w:type="dxa"/>
            <w:vMerge w:val="restart"/>
            <w:shd w:val="clear" w:color="auto" w:fill="auto"/>
            <w:vAlign w:val="center"/>
          </w:tcPr>
          <w:p w14:paraId="4850C42F">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水环境</w:t>
            </w:r>
          </w:p>
        </w:tc>
        <w:tc>
          <w:tcPr>
            <w:tcW w:w="787" w:type="dxa"/>
            <w:vMerge w:val="restart"/>
            <w:shd w:val="clear" w:color="auto" w:fill="auto"/>
            <w:vAlign w:val="center"/>
          </w:tcPr>
          <w:p w14:paraId="5D8307D4">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地表水</w:t>
            </w:r>
          </w:p>
        </w:tc>
        <w:tc>
          <w:tcPr>
            <w:tcW w:w="2127" w:type="dxa"/>
            <w:shd w:val="clear" w:color="auto" w:fill="auto"/>
            <w:vAlign w:val="center"/>
          </w:tcPr>
          <w:p w14:paraId="06D0382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地表水现状评价</w:t>
            </w:r>
          </w:p>
        </w:tc>
        <w:tc>
          <w:tcPr>
            <w:tcW w:w="5162" w:type="dxa"/>
            <w:shd w:val="clear" w:color="auto" w:fill="auto"/>
            <w:vAlign w:val="center"/>
          </w:tcPr>
          <w:p w14:paraId="7D078F87">
            <w:pPr>
              <w:adjustRightInd/>
              <w:snapToGrid/>
              <w:spacing w:line="240" w:lineRule="auto"/>
              <w:ind w:firstLine="0" w:firstLineChars="0"/>
              <w:rPr>
                <w:snapToGrid w:val="0"/>
                <w:color w:val="000000" w:themeColor="text1"/>
                <w:kern w:val="0"/>
                <w:sz w:val="21"/>
                <w:lang w:val="zh-CN"/>
                <w14:textFill>
                  <w14:solidFill>
                    <w14:schemeClr w14:val="tx1"/>
                  </w14:solidFill>
                </w14:textFill>
              </w:rPr>
            </w:pPr>
            <w:r>
              <w:rPr>
                <w:rFonts w:cs="Times New Roman"/>
                <w:snapToGrid w:val="0"/>
                <w:color w:val="000000" w:themeColor="text1"/>
                <w:kern w:val="0"/>
                <w:sz w:val="21"/>
                <w14:textFill>
                  <w14:solidFill>
                    <w14:schemeClr w14:val="tx1"/>
                  </w14:solidFill>
                </w14:textFill>
              </w:rPr>
              <w:t>pH、溶解氧、COD、高锰酸盐指数、BOD</w:t>
            </w:r>
            <w:r>
              <w:rPr>
                <w:rFonts w:cs="Times New Roman"/>
                <w:snapToGrid w:val="0"/>
                <w:color w:val="000000" w:themeColor="text1"/>
                <w:kern w:val="0"/>
                <w:sz w:val="21"/>
                <w:vertAlign w:val="subscript"/>
                <w14:textFill>
                  <w14:solidFill>
                    <w14:schemeClr w14:val="tx1"/>
                  </w14:solidFill>
                </w14:textFill>
              </w:rPr>
              <w:t>5</w:t>
            </w:r>
            <w:r>
              <w:rPr>
                <w:rFonts w:cs="Times New Roman"/>
                <w:snapToGrid w:val="0"/>
                <w:color w:val="000000" w:themeColor="text1"/>
                <w:kern w:val="0"/>
                <w:sz w:val="21"/>
                <w14:textFill>
                  <w14:solidFill>
                    <w14:schemeClr w14:val="tx1"/>
                  </w14:solidFill>
                </w14:textFill>
              </w:rPr>
              <w:t>、氨氮、总磷、</w:t>
            </w:r>
            <w:r>
              <w:rPr>
                <w:rFonts w:hint="eastAsia" w:cs="Times New Roman"/>
                <w:snapToGrid w:val="0"/>
                <w:color w:val="000000" w:themeColor="text1"/>
                <w:kern w:val="0"/>
                <w:sz w:val="21"/>
                <w14:textFill>
                  <w14:solidFill>
                    <w14:schemeClr w14:val="tx1"/>
                  </w14:solidFill>
                </w14:textFill>
              </w:rPr>
              <w:t>氟化物、石油类</w:t>
            </w:r>
          </w:p>
        </w:tc>
      </w:tr>
      <w:tr w14:paraId="272035A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49" w:hRule="atLeast"/>
          <w:jc w:val="center"/>
        </w:trPr>
        <w:tc>
          <w:tcPr>
            <w:tcW w:w="347" w:type="dxa"/>
            <w:vMerge w:val="continue"/>
            <w:shd w:val="clear" w:color="auto" w:fill="auto"/>
            <w:vAlign w:val="center"/>
          </w:tcPr>
          <w:p w14:paraId="5261FB9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787" w:type="dxa"/>
            <w:vMerge w:val="continue"/>
            <w:shd w:val="clear" w:color="auto" w:fill="auto"/>
            <w:vAlign w:val="center"/>
          </w:tcPr>
          <w:p w14:paraId="13FE46F9">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127" w:type="dxa"/>
            <w:shd w:val="clear" w:color="auto" w:fill="auto"/>
            <w:vAlign w:val="center"/>
          </w:tcPr>
          <w:p w14:paraId="1CF573E2">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地表水影响分析</w:t>
            </w:r>
          </w:p>
        </w:tc>
        <w:tc>
          <w:tcPr>
            <w:tcW w:w="5162" w:type="dxa"/>
            <w:shd w:val="clear" w:color="auto" w:fill="auto"/>
            <w:vAlign w:val="center"/>
          </w:tcPr>
          <w:p w14:paraId="0F6B6C23">
            <w:pPr>
              <w:pStyle w:val="143"/>
              <w:rPr>
                <w:rFonts w:hint="default" w:eastAsia="宋体"/>
                <w:snapToGrid w:val="0"/>
                <w:color w:val="000000" w:themeColor="text1"/>
                <w:lang w:val="en-US" w:eastAsia="zh-CN"/>
                <w14:textFill>
                  <w14:solidFill>
                    <w14:schemeClr w14:val="tx1"/>
                  </w14:solidFill>
                </w14:textFill>
              </w:rPr>
            </w:pPr>
            <w:r>
              <w:rPr>
                <w:snapToGrid w:val="0"/>
                <w:color w:val="000000" w:themeColor="text1"/>
                <w14:textFill>
                  <w14:solidFill>
                    <w14:schemeClr w14:val="tx1"/>
                  </w14:solidFill>
                </w14:textFill>
              </w:rPr>
              <w:t>COD</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BOD</w:t>
            </w:r>
            <w:r>
              <w:rPr>
                <w:snapToGrid w:val="0"/>
                <w:color w:val="000000" w:themeColor="text1"/>
                <w:vertAlign w:val="subscript"/>
                <w14:textFill>
                  <w14:solidFill>
                    <w14:schemeClr w14:val="tx1"/>
                  </w14:solidFill>
                </w14:textFill>
              </w:rPr>
              <w:t>5</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-N</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SS</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TP</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TN、动植物油</w:t>
            </w:r>
          </w:p>
        </w:tc>
      </w:tr>
      <w:tr w14:paraId="5652D70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49" w:hRule="atLeast"/>
          <w:jc w:val="center"/>
        </w:trPr>
        <w:tc>
          <w:tcPr>
            <w:tcW w:w="347" w:type="dxa"/>
            <w:vMerge w:val="continue"/>
            <w:shd w:val="clear" w:color="auto" w:fill="auto"/>
            <w:vAlign w:val="center"/>
          </w:tcPr>
          <w:p w14:paraId="19B8528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787" w:type="dxa"/>
            <w:vMerge w:val="restart"/>
            <w:shd w:val="clear" w:color="auto" w:fill="auto"/>
            <w:vAlign w:val="center"/>
          </w:tcPr>
          <w:p w14:paraId="4F435B6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地下水</w:t>
            </w:r>
          </w:p>
        </w:tc>
        <w:tc>
          <w:tcPr>
            <w:tcW w:w="2127" w:type="dxa"/>
            <w:shd w:val="clear" w:color="auto" w:fill="auto"/>
            <w:vAlign w:val="center"/>
          </w:tcPr>
          <w:p w14:paraId="6616BED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地下水现状评价</w:t>
            </w:r>
          </w:p>
        </w:tc>
        <w:tc>
          <w:tcPr>
            <w:tcW w:w="5162" w:type="dxa"/>
            <w:shd w:val="clear" w:color="auto" w:fill="auto"/>
            <w:vAlign w:val="center"/>
          </w:tcPr>
          <w:p w14:paraId="11A3DC9B">
            <w:pPr>
              <w:adjustRightInd/>
              <w:snapToGrid/>
              <w:spacing w:line="240" w:lineRule="auto"/>
              <w:ind w:firstLine="0" w:firstLineChars="0"/>
              <w:rPr>
                <w:snapToGrid w:val="0"/>
                <w:color w:val="000000" w:themeColor="text1"/>
                <w:kern w:val="0"/>
                <w:sz w:val="21"/>
                <w:lang w:val="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K</w:t>
            </w:r>
            <w:r>
              <w:rPr>
                <w:snapToGrid w:val="0"/>
                <w:color w:val="000000" w:themeColor="text1"/>
                <w:kern w:val="0"/>
                <w:sz w:val="21"/>
                <w:vertAlign w:val="superscript"/>
                <w:lang w:val="zh-CN" w:eastAsia="zh-CN"/>
                <w14:textFill>
                  <w14:solidFill>
                    <w14:schemeClr w14:val="tx1"/>
                  </w14:solidFill>
                </w14:textFill>
              </w:rPr>
              <w:t>+</w:t>
            </w:r>
            <w:r>
              <w:rPr>
                <w:snapToGrid w:val="0"/>
                <w:color w:val="000000" w:themeColor="text1"/>
                <w:kern w:val="0"/>
                <w:sz w:val="21"/>
                <w:lang w:val="zh-CN" w:eastAsia="zh-CN"/>
                <w14:textFill>
                  <w14:solidFill>
                    <w14:schemeClr w14:val="tx1"/>
                  </w14:solidFill>
                </w14:textFill>
              </w:rPr>
              <w:t>、Na</w:t>
            </w:r>
            <w:r>
              <w:rPr>
                <w:snapToGrid w:val="0"/>
                <w:color w:val="000000" w:themeColor="text1"/>
                <w:kern w:val="0"/>
                <w:sz w:val="21"/>
                <w:vertAlign w:val="superscript"/>
                <w:lang w:val="zh-CN" w:eastAsia="zh-CN"/>
                <w14:textFill>
                  <w14:solidFill>
                    <w14:schemeClr w14:val="tx1"/>
                  </w14:solidFill>
                </w14:textFill>
              </w:rPr>
              <w:t>+</w:t>
            </w:r>
            <w:r>
              <w:rPr>
                <w:snapToGrid w:val="0"/>
                <w:color w:val="000000" w:themeColor="text1"/>
                <w:kern w:val="0"/>
                <w:sz w:val="21"/>
                <w:lang w:val="zh-CN" w:eastAsia="zh-CN"/>
                <w14:textFill>
                  <w14:solidFill>
                    <w14:schemeClr w14:val="tx1"/>
                  </w14:solidFill>
                </w14:textFill>
              </w:rPr>
              <w:t>、Ca</w:t>
            </w:r>
            <w:r>
              <w:rPr>
                <w:snapToGrid w:val="0"/>
                <w:color w:val="000000" w:themeColor="text1"/>
                <w:kern w:val="0"/>
                <w:sz w:val="21"/>
                <w:vertAlign w:val="superscript"/>
                <w:lang w:val="zh-CN" w:eastAsia="zh-CN"/>
                <w14:textFill>
                  <w14:solidFill>
                    <w14:schemeClr w14:val="tx1"/>
                  </w14:solidFill>
                </w14:textFill>
              </w:rPr>
              <w:t>2+</w:t>
            </w:r>
            <w:r>
              <w:rPr>
                <w:snapToGrid w:val="0"/>
                <w:color w:val="000000" w:themeColor="text1"/>
                <w:kern w:val="0"/>
                <w:sz w:val="21"/>
                <w:lang w:val="zh-CN" w:eastAsia="zh-CN"/>
                <w14:textFill>
                  <w14:solidFill>
                    <w14:schemeClr w14:val="tx1"/>
                  </w14:solidFill>
                </w14:textFill>
              </w:rPr>
              <w:t>、Mg</w:t>
            </w:r>
            <w:r>
              <w:rPr>
                <w:snapToGrid w:val="0"/>
                <w:color w:val="000000" w:themeColor="text1"/>
                <w:kern w:val="0"/>
                <w:sz w:val="21"/>
                <w:vertAlign w:val="superscript"/>
                <w:lang w:val="zh-CN" w:eastAsia="zh-CN"/>
                <w14:textFill>
                  <w14:solidFill>
                    <w14:schemeClr w14:val="tx1"/>
                  </w14:solidFill>
                </w14:textFill>
              </w:rPr>
              <w:t>2+</w:t>
            </w:r>
            <w:r>
              <w:rPr>
                <w:snapToGrid w:val="0"/>
                <w:color w:val="000000" w:themeColor="text1"/>
                <w:kern w:val="0"/>
                <w:sz w:val="21"/>
                <w:lang w:val="zh-CN" w:eastAsia="zh-CN"/>
                <w14:textFill>
                  <w14:solidFill>
                    <w14:schemeClr w14:val="tx1"/>
                  </w14:solidFill>
                </w14:textFill>
              </w:rPr>
              <w:t>、CO</w:t>
            </w:r>
            <w:r>
              <w:rPr>
                <w:snapToGrid w:val="0"/>
                <w:color w:val="000000" w:themeColor="text1"/>
                <w:kern w:val="0"/>
                <w:sz w:val="21"/>
                <w:vertAlign w:val="subscript"/>
                <w:lang w:val="zh-CN" w:eastAsia="zh-CN"/>
                <w14:textFill>
                  <w14:solidFill>
                    <w14:schemeClr w14:val="tx1"/>
                  </w14:solidFill>
                </w14:textFill>
              </w:rPr>
              <w:t>3</w:t>
            </w:r>
            <w:r>
              <w:rPr>
                <w:snapToGrid w:val="0"/>
                <w:color w:val="000000" w:themeColor="text1"/>
                <w:kern w:val="0"/>
                <w:sz w:val="21"/>
                <w:vertAlign w:val="superscript"/>
                <w:lang w:val="zh-CN" w:eastAsia="zh-CN"/>
                <w14:textFill>
                  <w14:solidFill>
                    <w14:schemeClr w14:val="tx1"/>
                  </w14:solidFill>
                </w14:textFill>
              </w:rPr>
              <w:t>2-</w:t>
            </w:r>
            <w:r>
              <w:rPr>
                <w:snapToGrid w:val="0"/>
                <w:color w:val="000000" w:themeColor="text1"/>
                <w:kern w:val="0"/>
                <w:sz w:val="21"/>
                <w:lang w:val="zh-CN" w:eastAsia="zh-CN"/>
                <w14:textFill>
                  <w14:solidFill>
                    <w14:schemeClr w14:val="tx1"/>
                  </w14:solidFill>
                </w14:textFill>
              </w:rPr>
              <w:t>、HCO</w:t>
            </w:r>
            <w:r>
              <w:rPr>
                <w:snapToGrid w:val="0"/>
                <w:color w:val="000000" w:themeColor="text1"/>
                <w:kern w:val="0"/>
                <w:sz w:val="21"/>
                <w:vertAlign w:val="subscript"/>
                <w:lang w:val="zh-CN" w:eastAsia="zh-CN"/>
                <w14:textFill>
                  <w14:solidFill>
                    <w14:schemeClr w14:val="tx1"/>
                  </w14:solidFill>
                </w14:textFill>
              </w:rPr>
              <w:t>3</w:t>
            </w:r>
            <w:r>
              <w:rPr>
                <w:snapToGrid w:val="0"/>
                <w:color w:val="000000" w:themeColor="text1"/>
                <w:kern w:val="0"/>
                <w:sz w:val="21"/>
                <w:vertAlign w:val="superscript"/>
                <w:lang w:val="zh-CN" w:eastAsia="zh-CN"/>
                <w14:textFill>
                  <w14:solidFill>
                    <w14:schemeClr w14:val="tx1"/>
                  </w14:solidFill>
                </w14:textFill>
              </w:rPr>
              <w:t>-</w:t>
            </w:r>
            <w:r>
              <w:rPr>
                <w:snapToGrid w:val="0"/>
                <w:color w:val="000000" w:themeColor="text1"/>
                <w:kern w:val="0"/>
                <w:sz w:val="21"/>
                <w:lang w:val="zh-CN" w:eastAsia="zh-CN"/>
                <w14:textFill>
                  <w14:solidFill>
                    <w14:schemeClr w14:val="tx1"/>
                  </w14:solidFill>
                </w14:textFill>
              </w:rPr>
              <w:t>、Cl</w:t>
            </w:r>
            <w:r>
              <w:rPr>
                <w:snapToGrid w:val="0"/>
                <w:color w:val="000000" w:themeColor="text1"/>
                <w:kern w:val="0"/>
                <w:sz w:val="21"/>
                <w:vertAlign w:val="superscript"/>
                <w:lang w:val="zh-CN" w:eastAsia="zh-CN"/>
                <w14:textFill>
                  <w14:solidFill>
                    <w14:schemeClr w14:val="tx1"/>
                  </w14:solidFill>
                </w14:textFill>
              </w:rPr>
              <w:t>-</w:t>
            </w:r>
            <w:r>
              <w:rPr>
                <w:snapToGrid w:val="0"/>
                <w:color w:val="000000" w:themeColor="text1"/>
                <w:kern w:val="0"/>
                <w:sz w:val="21"/>
                <w:lang w:val="zh-CN" w:eastAsia="zh-CN"/>
                <w14:textFill>
                  <w14:solidFill>
                    <w14:schemeClr w14:val="tx1"/>
                  </w14:solidFill>
                </w14:textFill>
              </w:rPr>
              <w:t>、SO</w:t>
            </w:r>
            <w:r>
              <w:rPr>
                <w:snapToGrid w:val="0"/>
                <w:color w:val="000000" w:themeColor="text1"/>
                <w:kern w:val="0"/>
                <w:sz w:val="21"/>
                <w:vertAlign w:val="subscript"/>
                <w:lang w:val="zh-CN" w:eastAsia="zh-CN"/>
                <w14:textFill>
                  <w14:solidFill>
                    <w14:schemeClr w14:val="tx1"/>
                  </w14:solidFill>
                </w14:textFill>
              </w:rPr>
              <w:t>4</w:t>
            </w:r>
            <w:r>
              <w:rPr>
                <w:snapToGrid w:val="0"/>
                <w:color w:val="000000" w:themeColor="text1"/>
                <w:kern w:val="0"/>
                <w:sz w:val="21"/>
                <w:vertAlign w:val="superscript"/>
                <w:lang w:val="zh-CN" w:eastAsia="zh-CN"/>
                <w14:textFill>
                  <w14:solidFill>
                    <w14:schemeClr w14:val="tx1"/>
                  </w14:solidFill>
                </w14:textFill>
              </w:rPr>
              <w:t>2-</w:t>
            </w:r>
            <w:r>
              <w:rPr>
                <w:snapToGrid w:val="0"/>
                <w:color w:val="000000" w:themeColor="text1"/>
                <w:kern w:val="0"/>
                <w:sz w:val="21"/>
                <w:lang w:val="zh-CN" w:eastAsia="zh-CN"/>
                <w14:textFill>
                  <w14:solidFill>
                    <w14:schemeClr w14:val="tx1"/>
                  </w14:solidFill>
                </w14:textFill>
              </w:rPr>
              <w:t>、</w:t>
            </w:r>
            <w:r>
              <w:rPr>
                <w:snapToGrid w:val="0"/>
                <w:color w:val="000000" w:themeColor="text1"/>
                <w:kern w:val="0"/>
                <w:sz w:val="21"/>
                <w:lang w:eastAsia="zh-CN"/>
                <w14:textFill>
                  <w14:solidFill>
                    <w14:schemeClr w14:val="tx1"/>
                  </w14:solidFill>
                </w14:textFill>
              </w:rPr>
              <w:t>pH</w:t>
            </w:r>
            <w:r>
              <w:rPr>
                <w:rFonts w:hint="eastAsia"/>
                <w:snapToGrid w:val="0"/>
                <w:color w:val="000000" w:themeColor="text1"/>
                <w:kern w:val="0"/>
                <w:sz w:val="21"/>
                <w:lang w:eastAsia="zh-CN"/>
                <w14:textFill>
                  <w14:solidFill>
                    <w14:schemeClr w14:val="tx1"/>
                  </w14:solidFill>
                </w14:textFill>
              </w:rPr>
              <w:t>、氨氮、硝酸盐、亚硝酸盐、总硬度、耗氧量（COD</w:t>
            </w:r>
            <w:r>
              <w:rPr>
                <w:rFonts w:hint="eastAsia"/>
                <w:snapToGrid w:val="0"/>
                <w:color w:val="000000" w:themeColor="text1"/>
                <w:kern w:val="0"/>
                <w:sz w:val="21"/>
                <w:vertAlign w:val="subscript"/>
                <w:lang w:eastAsia="zh-CN"/>
                <w14:textFill>
                  <w14:solidFill>
                    <w14:schemeClr w14:val="tx1"/>
                  </w14:solidFill>
                </w14:textFill>
              </w:rPr>
              <w:t>Mn</w:t>
            </w:r>
            <w:r>
              <w:rPr>
                <w:rFonts w:hint="eastAsia"/>
                <w:snapToGrid w:val="0"/>
                <w:color w:val="000000" w:themeColor="text1"/>
                <w:kern w:val="0"/>
                <w:sz w:val="21"/>
                <w:lang w:eastAsia="zh-CN"/>
                <w14:textFill>
                  <w14:solidFill>
                    <w14:schemeClr w14:val="tx1"/>
                  </w14:solidFill>
                </w14:textFill>
              </w:rPr>
              <w:t>法，以O</w:t>
            </w:r>
            <w:r>
              <w:rPr>
                <w:rFonts w:hint="eastAsia"/>
                <w:snapToGrid w:val="0"/>
                <w:color w:val="000000" w:themeColor="text1"/>
                <w:kern w:val="0"/>
                <w:sz w:val="21"/>
                <w:vertAlign w:val="subscript"/>
                <w:lang w:eastAsia="zh-CN"/>
                <w14:textFill>
                  <w14:solidFill>
                    <w14:schemeClr w14:val="tx1"/>
                  </w14:solidFill>
                </w14:textFill>
              </w:rPr>
              <w:t>2</w:t>
            </w:r>
            <w:r>
              <w:rPr>
                <w:rFonts w:hint="eastAsia"/>
                <w:snapToGrid w:val="0"/>
                <w:color w:val="000000" w:themeColor="text1"/>
                <w:kern w:val="0"/>
                <w:sz w:val="21"/>
                <w:lang w:eastAsia="zh-CN"/>
                <w14:textFill>
                  <w14:solidFill>
                    <w14:schemeClr w14:val="tx1"/>
                  </w14:solidFill>
                </w14:textFill>
              </w:rPr>
              <w:t>计）、溶解性总固体、铁、锰、铅、六价铬、氯化物、硫酸盐、细菌总数、总大肠菌群、挥发性酚类、氰化物、砷、汞、氟、镉</w:t>
            </w:r>
          </w:p>
        </w:tc>
      </w:tr>
      <w:tr w14:paraId="38D5848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49" w:hRule="atLeast"/>
          <w:jc w:val="center"/>
        </w:trPr>
        <w:tc>
          <w:tcPr>
            <w:tcW w:w="347" w:type="dxa"/>
            <w:vMerge w:val="continue"/>
            <w:shd w:val="clear" w:color="auto" w:fill="auto"/>
            <w:vAlign w:val="center"/>
          </w:tcPr>
          <w:p w14:paraId="430F6A7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787" w:type="dxa"/>
            <w:vMerge w:val="continue"/>
            <w:shd w:val="clear" w:color="auto" w:fill="auto"/>
            <w:vAlign w:val="center"/>
          </w:tcPr>
          <w:p w14:paraId="4174A2BC">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127" w:type="dxa"/>
            <w:shd w:val="clear" w:color="auto" w:fill="auto"/>
            <w:vAlign w:val="center"/>
          </w:tcPr>
          <w:p w14:paraId="3293ED06">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地下水影响分析</w:t>
            </w:r>
          </w:p>
        </w:tc>
        <w:tc>
          <w:tcPr>
            <w:tcW w:w="5162" w:type="dxa"/>
            <w:shd w:val="clear" w:color="auto" w:fill="auto"/>
            <w:vAlign w:val="center"/>
          </w:tcPr>
          <w:p w14:paraId="6FF8DA24">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C</w:t>
            </w:r>
            <w:r>
              <w:rPr>
                <w:snapToGrid w:val="0"/>
                <w:color w:val="000000" w:themeColor="text1"/>
                <w:kern w:val="0"/>
                <w:sz w:val="21"/>
                <w:lang w:val="zh-CN"/>
                <w14:textFill>
                  <w14:solidFill>
                    <w14:schemeClr w14:val="tx1"/>
                  </w14:solidFill>
                </w14:textFill>
              </w:rPr>
              <w:t>OD</w:t>
            </w:r>
            <w:r>
              <w:rPr>
                <w:rFonts w:hint="eastAsia"/>
                <w:snapToGrid w:val="0"/>
                <w:color w:val="000000" w:themeColor="text1"/>
                <w:kern w:val="0"/>
                <w:sz w:val="21"/>
                <w:lang w:val="zh-CN"/>
                <w14:textFill>
                  <w14:solidFill>
                    <w14:schemeClr w14:val="tx1"/>
                  </w14:solidFill>
                </w14:textFill>
              </w:rPr>
              <w:t>、</w:t>
            </w:r>
            <w:r>
              <w:rPr>
                <w:snapToGrid w:val="0"/>
                <w:color w:val="000000" w:themeColor="text1"/>
                <w:kern w:val="0"/>
                <w:sz w:val="21"/>
                <w:lang w:val="zh-CN" w:eastAsia="zh-CN"/>
                <w14:textFill>
                  <w14:solidFill>
                    <w14:schemeClr w14:val="tx1"/>
                  </w14:solidFill>
                </w14:textFill>
              </w:rPr>
              <w:t>氨氮</w:t>
            </w:r>
          </w:p>
        </w:tc>
      </w:tr>
      <w:tr w14:paraId="5C82F75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49" w:hRule="atLeast"/>
          <w:jc w:val="center"/>
        </w:trPr>
        <w:tc>
          <w:tcPr>
            <w:tcW w:w="1134" w:type="dxa"/>
            <w:gridSpan w:val="2"/>
            <w:shd w:val="clear" w:color="auto" w:fill="auto"/>
            <w:vAlign w:val="center"/>
          </w:tcPr>
          <w:p w14:paraId="0EA8A486">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环境风险</w:t>
            </w:r>
          </w:p>
        </w:tc>
        <w:tc>
          <w:tcPr>
            <w:tcW w:w="2127" w:type="dxa"/>
            <w:shd w:val="clear" w:color="auto" w:fill="auto"/>
            <w:vAlign w:val="center"/>
          </w:tcPr>
          <w:p w14:paraId="76BC67D7">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环境风险分析</w:t>
            </w:r>
          </w:p>
        </w:tc>
        <w:tc>
          <w:tcPr>
            <w:tcW w:w="5162" w:type="dxa"/>
            <w:shd w:val="clear" w:color="auto" w:fill="auto"/>
            <w:vAlign w:val="center"/>
          </w:tcPr>
          <w:p w14:paraId="34E8A807">
            <w:pPr>
              <w:adjustRightInd/>
              <w:snapToGrid/>
              <w:spacing w:line="240" w:lineRule="auto"/>
              <w:ind w:firstLine="0" w:firstLineChars="0"/>
              <w:jc w:val="center"/>
              <w:rPr>
                <w:rFonts w:hint="default" w:eastAsia="宋体"/>
                <w:snapToGrid w:val="0"/>
                <w:color w:val="000000" w:themeColor="text1"/>
                <w:kern w:val="0"/>
                <w:sz w:val="21"/>
                <w:lang w:val="en-US" w:eastAsia="zh-CN"/>
                <w14:textFill>
                  <w14:solidFill>
                    <w14:schemeClr w14:val="tx1"/>
                  </w14:solidFill>
                </w14:textFill>
              </w:rPr>
            </w:pPr>
            <w:r>
              <w:rPr>
                <w:rFonts w:hint="eastAsia"/>
                <w:snapToGrid w:val="0"/>
                <w:color w:val="000000" w:themeColor="text1"/>
                <w:kern w:val="0"/>
                <w:sz w:val="21"/>
                <w:lang w:val="en-US" w:eastAsia="zh-CN"/>
                <w14:textFill>
                  <w14:solidFill>
                    <w14:schemeClr w14:val="tx1"/>
                  </w14:solidFill>
                </w14:textFill>
              </w:rPr>
              <w:t>NaOH</w:t>
            </w:r>
            <w:r>
              <w:rPr>
                <w:snapToGrid w:val="0"/>
                <w:color w:val="000000" w:themeColor="text1"/>
                <w:kern w:val="0"/>
                <w:sz w:val="21"/>
                <w14:textFill>
                  <w14:solidFill>
                    <w14:schemeClr w14:val="tx1"/>
                  </w14:solidFill>
                </w14:textFill>
              </w:rPr>
              <w:t>、</w:t>
            </w:r>
            <w:r>
              <w:rPr>
                <w:rFonts w:cs="宋体"/>
                <w:bCs/>
                <w:snapToGrid w:val="0"/>
                <w:color w:val="000000" w:themeColor="text1"/>
                <w:szCs w:val="24"/>
                <w14:textFill>
                  <w14:solidFill>
                    <w14:schemeClr w14:val="tx1"/>
                  </w14:solidFill>
                </w14:textFill>
              </w:rPr>
              <w:t>HNO</w:t>
            </w:r>
            <w:r>
              <w:rPr>
                <w:rFonts w:cs="宋体"/>
                <w:bCs/>
                <w:snapToGrid w:val="0"/>
                <w:color w:val="000000" w:themeColor="text1"/>
                <w:szCs w:val="24"/>
                <w:vertAlign w:val="subscript"/>
                <w14:textFill>
                  <w14:solidFill>
                    <w14:schemeClr w14:val="tx1"/>
                  </w14:solidFill>
                </w14:textFill>
              </w:rPr>
              <w:t>3</w:t>
            </w:r>
            <w:r>
              <w:rPr>
                <w:rFonts w:hint="eastAsia" w:cs="宋体"/>
                <w:bCs/>
                <w:snapToGrid w:val="0"/>
                <w:color w:val="000000" w:themeColor="text1"/>
                <w:szCs w:val="24"/>
                <w:vertAlign w:val="baseline"/>
                <w:lang w:eastAsia="zh-CN"/>
                <w14:textFill>
                  <w14:solidFill>
                    <w14:schemeClr w14:val="tx1"/>
                  </w14:solidFill>
                </w14:textFill>
              </w:rPr>
              <w:t>、</w:t>
            </w:r>
            <w:r>
              <w:rPr>
                <w:rFonts w:hint="eastAsia"/>
                <w:snapToGrid w:val="0"/>
                <w:color w:val="000000" w:themeColor="text1"/>
                <w:kern w:val="0"/>
                <w:sz w:val="21"/>
                <w14:textFill>
                  <w14:solidFill>
                    <w14:schemeClr w14:val="tx1"/>
                  </w14:solidFill>
                </w14:textFill>
              </w:rPr>
              <w:t>过氧乙酸</w:t>
            </w:r>
            <w:r>
              <w:rPr>
                <w:snapToGrid w:val="0"/>
                <w:color w:val="000000" w:themeColor="text1"/>
                <w:kern w:val="0"/>
                <w:sz w:val="21"/>
                <w14:textFill>
                  <w14:solidFill>
                    <w14:schemeClr w14:val="tx1"/>
                  </w14:solidFill>
                </w14:textFill>
              </w:rPr>
              <w:t>、</w:t>
            </w:r>
            <w:r>
              <w:rPr>
                <w:rFonts w:hint="eastAsia"/>
                <w:snapToGrid w:val="0"/>
                <w:color w:val="000000" w:themeColor="text1"/>
                <w:kern w:val="0"/>
                <w:sz w:val="21"/>
                <w:lang w:val="en-US" w:eastAsia="zh-CN"/>
                <w14:textFill>
                  <w14:solidFill>
                    <w14:schemeClr w14:val="tx1"/>
                  </w14:solidFill>
                </w14:textFill>
              </w:rPr>
              <w:t>柴油、</w:t>
            </w:r>
            <w:r>
              <w:rPr>
                <w:snapToGrid w:val="0"/>
                <w:color w:val="000000" w:themeColor="text1"/>
                <w:kern w:val="0"/>
                <w:sz w:val="21"/>
                <w14:textFill>
                  <w14:solidFill>
                    <w14:schemeClr w14:val="tx1"/>
                  </w14:solidFill>
                </w14:textFill>
              </w:rPr>
              <w:t>沼气（甲烷）</w:t>
            </w:r>
            <w:r>
              <w:rPr>
                <w:rFonts w:hint="eastAsia"/>
                <w:snapToGrid w:val="0"/>
                <w:color w:val="000000" w:themeColor="text1"/>
                <w:kern w:val="0"/>
                <w:sz w:val="21"/>
                <w:lang w:eastAsia="zh-CN"/>
                <w14:textFill>
                  <w14:solidFill>
                    <w14:schemeClr w14:val="tx1"/>
                  </w14:solidFill>
                </w14:textFill>
              </w:rPr>
              <w:t>、</w:t>
            </w:r>
            <w:r>
              <w:rPr>
                <w:rFonts w:hint="eastAsia"/>
                <w:snapToGrid w:val="0"/>
                <w:color w:val="000000" w:themeColor="text1"/>
                <w:kern w:val="0"/>
                <w:sz w:val="21"/>
                <w:lang w:val="en-US" w:eastAsia="zh-CN"/>
                <w14:textFill>
                  <w14:solidFill>
                    <w14:schemeClr w14:val="tx1"/>
                  </w14:solidFill>
                </w14:textFill>
              </w:rPr>
              <w:t>天然气、机油</w:t>
            </w:r>
          </w:p>
        </w:tc>
      </w:tr>
      <w:tr w14:paraId="4DCCC66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96" w:hRule="atLeast"/>
          <w:jc w:val="center"/>
        </w:trPr>
        <w:tc>
          <w:tcPr>
            <w:tcW w:w="1134" w:type="dxa"/>
            <w:gridSpan w:val="2"/>
            <w:shd w:val="clear" w:color="auto" w:fill="auto"/>
            <w:vAlign w:val="center"/>
          </w:tcPr>
          <w:p w14:paraId="724AD73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固体废物</w:t>
            </w:r>
          </w:p>
        </w:tc>
        <w:tc>
          <w:tcPr>
            <w:tcW w:w="2127" w:type="dxa"/>
            <w:shd w:val="clear" w:color="auto" w:fill="auto"/>
            <w:vAlign w:val="center"/>
          </w:tcPr>
          <w:p w14:paraId="3C2FF39C">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snapToGrid w:val="0"/>
                <w:color w:val="000000" w:themeColor="text1"/>
                <w:kern w:val="0"/>
                <w:sz w:val="21"/>
                <w:lang w:val="zh-CN"/>
                <w14:textFill>
                  <w14:solidFill>
                    <w14:schemeClr w14:val="tx1"/>
                  </w14:solidFill>
                </w14:textFill>
              </w:rPr>
              <w:t>环境影响评价</w:t>
            </w:r>
          </w:p>
        </w:tc>
        <w:tc>
          <w:tcPr>
            <w:tcW w:w="5162" w:type="dxa"/>
            <w:shd w:val="clear" w:color="auto" w:fill="auto"/>
            <w:vAlign w:val="center"/>
          </w:tcPr>
          <w:p w14:paraId="16A18735">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snapToGrid w:val="0"/>
                <w:color w:val="000000" w:themeColor="text1"/>
                <w:kern w:val="0"/>
                <w:sz w:val="21"/>
                <w14:textFill>
                  <w14:solidFill>
                    <w14:schemeClr w14:val="tx1"/>
                  </w14:solidFill>
                </w14:textFill>
              </w:rPr>
              <w:t>固体废物处理或处置方式</w:t>
            </w:r>
          </w:p>
        </w:tc>
      </w:tr>
    </w:tbl>
    <w:p w14:paraId="43E5636B">
      <w:pPr>
        <w:pStyle w:val="5"/>
        <w:rPr>
          <w:snapToGrid w:val="0"/>
          <w:color w:val="000000" w:themeColor="text1"/>
          <w:highlight w:val="none"/>
          <w14:textFill>
            <w14:solidFill>
              <w14:schemeClr w14:val="tx1"/>
            </w14:solidFill>
          </w14:textFill>
        </w:rPr>
      </w:pPr>
      <w:bookmarkStart w:id="47" w:name="_Toc1920"/>
      <w:r>
        <w:rPr>
          <w:snapToGrid w:val="0"/>
          <w:color w:val="000000" w:themeColor="text1"/>
          <w:highlight w:val="none"/>
          <w14:textFill>
            <w14:solidFill>
              <w14:schemeClr w14:val="tx1"/>
            </w14:solidFill>
          </w14:textFill>
        </w:rPr>
        <w:t>2.5</w:t>
      </w:r>
      <w:r>
        <w:rPr>
          <w:rFonts w:hint="eastAsia"/>
          <w:snapToGrid w:val="0"/>
          <w:color w:val="000000" w:themeColor="text1"/>
          <w:highlight w:val="none"/>
          <w14:textFill>
            <w14:solidFill>
              <w14:schemeClr w14:val="tx1"/>
            </w14:solidFill>
          </w14:textFill>
        </w:rPr>
        <w:t>评价</w:t>
      </w:r>
      <w:r>
        <w:rPr>
          <w:snapToGrid w:val="0"/>
          <w:color w:val="000000" w:themeColor="text1"/>
          <w:highlight w:val="none"/>
          <w14:textFill>
            <w14:solidFill>
              <w14:schemeClr w14:val="tx1"/>
            </w14:solidFill>
          </w14:textFill>
        </w:rPr>
        <w:t>等级</w:t>
      </w:r>
      <w:bookmarkEnd w:id="47"/>
    </w:p>
    <w:p w14:paraId="5223EA91">
      <w:pPr>
        <w:pStyle w:val="6"/>
        <w:rPr>
          <w:snapToGrid w:val="0"/>
          <w:color w:val="000000" w:themeColor="text1"/>
          <w14:textFill>
            <w14:solidFill>
              <w14:schemeClr w14:val="tx1"/>
            </w14:solidFill>
          </w14:textFill>
        </w:rPr>
      </w:pPr>
      <w:bookmarkStart w:id="48" w:name="_Toc8672"/>
      <w:r>
        <w:rPr>
          <w:snapToGrid w:val="0"/>
          <w:color w:val="000000" w:themeColor="text1"/>
          <w14:textFill>
            <w14:solidFill>
              <w14:schemeClr w14:val="tx1"/>
            </w14:solidFill>
          </w14:textFill>
        </w:rPr>
        <w:t>2.5</w:t>
      </w:r>
      <w:r>
        <w:rPr>
          <w:rFonts w:hint="eastAsia"/>
          <w:snapToGrid w:val="0"/>
          <w:color w:val="000000" w:themeColor="text1"/>
          <w14:textFill>
            <w14:solidFill>
              <w14:schemeClr w14:val="tx1"/>
            </w14:solidFill>
          </w14:textFill>
        </w:rPr>
        <w:t>.1环境</w:t>
      </w:r>
      <w:r>
        <w:rPr>
          <w:snapToGrid w:val="0"/>
          <w:color w:val="000000" w:themeColor="text1"/>
          <w14:textFill>
            <w14:solidFill>
              <w14:schemeClr w14:val="tx1"/>
            </w14:solidFill>
          </w14:textFill>
        </w:rPr>
        <w:t>空气</w:t>
      </w:r>
      <w:bookmarkEnd w:id="48"/>
    </w:p>
    <w:p w14:paraId="46EAAFB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根据《环境影响评价技术导则 大气环境》（HJ2.2-2018）中的有关规定，将大气环境影响评价工作等级分为一、二、三级，划分依据见表2-5-1。</w:t>
      </w:r>
    </w:p>
    <w:p w14:paraId="3462EC2C">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表2-5-1 大气评价等级确定表</w:t>
      </w:r>
    </w:p>
    <w:tbl>
      <w:tblPr>
        <w:tblStyle w:val="49"/>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5665"/>
        <w:gridCol w:w="2641"/>
      </w:tblGrid>
      <w:tr w14:paraId="0E02F8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3410" w:type="pct"/>
            <w:vAlign w:val="center"/>
          </w:tcPr>
          <w:p w14:paraId="520B29C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评价工作等级判据</w:t>
            </w:r>
          </w:p>
        </w:tc>
        <w:tc>
          <w:tcPr>
            <w:tcW w:w="1590" w:type="pct"/>
            <w:vAlign w:val="center"/>
          </w:tcPr>
          <w:p w14:paraId="114E905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评价工作等级</w:t>
            </w:r>
          </w:p>
        </w:tc>
      </w:tr>
      <w:tr w14:paraId="7A34386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3410" w:type="pct"/>
            <w:vAlign w:val="center"/>
          </w:tcPr>
          <w:p w14:paraId="23020DC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P</w:t>
            </w:r>
            <w:r>
              <w:rPr>
                <w:snapToGrid w:val="0"/>
                <w:color w:val="000000" w:themeColor="text1"/>
                <w:vertAlign w:val="subscript"/>
                <w14:textFill>
                  <w14:solidFill>
                    <w14:schemeClr w14:val="tx1"/>
                  </w14:solidFill>
                </w14:textFill>
              </w:rPr>
              <w:t>max</w:t>
            </w:r>
            <w:r>
              <w:rPr>
                <w:snapToGrid w:val="0"/>
                <w:color w:val="000000" w:themeColor="text1"/>
                <w14:textFill>
                  <w14:solidFill>
                    <w14:schemeClr w14:val="tx1"/>
                  </w14:solidFill>
                </w14:textFill>
              </w:rPr>
              <w:t>≥10%</w:t>
            </w:r>
          </w:p>
        </w:tc>
        <w:tc>
          <w:tcPr>
            <w:tcW w:w="1590" w:type="pct"/>
            <w:vAlign w:val="center"/>
          </w:tcPr>
          <w:p w14:paraId="20D72F0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一级</w:t>
            </w:r>
          </w:p>
        </w:tc>
      </w:tr>
      <w:tr w14:paraId="4D8204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3410" w:type="pct"/>
            <w:vAlign w:val="center"/>
          </w:tcPr>
          <w:p w14:paraId="4064698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P</w:t>
            </w:r>
            <w:r>
              <w:rPr>
                <w:snapToGrid w:val="0"/>
                <w:color w:val="000000" w:themeColor="text1"/>
                <w:vertAlign w:val="subscript"/>
                <w14:textFill>
                  <w14:solidFill>
                    <w14:schemeClr w14:val="tx1"/>
                  </w14:solidFill>
                </w14:textFill>
              </w:rPr>
              <w:t>max</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10%</w:t>
            </w:r>
          </w:p>
        </w:tc>
        <w:tc>
          <w:tcPr>
            <w:tcW w:w="1590" w:type="pct"/>
            <w:vAlign w:val="center"/>
          </w:tcPr>
          <w:p w14:paraId="673092F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二级</w:t>
            </w:r>
          </w:p>
        </w:tc>
      </w:tr>
      <w:tr w14:paraId="5B3C1C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3410" w:type="pct"/>
            <w:vAlign w:val="center"/>
          </w:tcPr>
          <w:p w14:paraId="100344E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P</w:t>
            </w:r>
            <w:r>
              <w:rPr>
                <w:snapToGrid w:val="0"/>
                <w:color w:val="000000" w:themeColor="text1"/>
                <w:vertAlign w:val="subscript"/>
                <w14:textFill>
                  <w14:solidFill>
                    <w14:schemeClr w14:val="tx1"/>
                  </w14:solidFill>
                </w14:textFill>
              </w:rPr>
              <w:t>max</w:t>
            </w:r>
            <w:r>
              <w:rPr>
                <w:snapToGrid w:val="0"/>
                <w:color w:val="000000" w:themeColor="text1"/>
                <w14:textFill>
                  <w14:solidFill>
                    <w14:schemeClr w14:val="tx1"/>
                  </w14:solidFill>
                </w14:textFill>
              </w:rPr>
              <w:t>＜1%</w:t>
            </w:r>
          </w:p>
        </w:tc>
        <w:tc>
          <w:tcPr>
            <w:tcW w:w="1590" w:type="pct"/>
            <w:vAlign w:val="center"/>
          </w:tcPr>
          <w:p w14:paraId="6877E94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三级</w:t>
            </w:r>
          </w:p>
        </w:tc>
      </w:tr>
    </w:tbl>
    <w:p w14:paraId="2C0E37AF">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依据项目初步工程分析结果，选择1-3种主要污染物，分别计算每一种污染物的最大地面浓度占标率P</w:t>
      </w:r>
      <w:r>
        <w:rPr>
          <w:snapToGrid w:val="0"/>
          <w:color w:val="000000" w:themeColor="text1"/>
          <w:vertAlign w:val="subscript"/>
          <w14:textFill>
            <w14:solidFill>
              <w14:schemeClr w14:val="tx1"/>
            </w14:solidFill>
          </w14:textFill>
        </w:rPr>
        <w:t>i</w:t>
      </w:r>
      <w:r>
        <w:rPr>
          <w:snapToGrid w:val="0"/>
          <w:color w:val="000000" w:themeColor="text1"/>
          <w14:textFill>
            <w14:solidFill>
              <w14:schemeClr w14:val="tx1"/>
            </w14:solidFill>
          </w14:textFill>
        </w:rPr>
        <w:t>（第i个污染物），及第i个污染物的地面浓度达标准限值10%时所对应的最远距离D</w:t>
      </w:r>
      <w:r>
        <w:rPr>
          <w:snapToGrid w:val="0"/>
          <w:color w:val="000000" w:themeColor="text1"/>
          <w:vertAlign w:val="subscript"/>
          <w14:textFill>
            <w14:solidFill>
              <w14:schemeClr w14:val="tx1"/>
            </w14:solidFill>
          </w14:textFill>
        </w:rPr>
        <w:t>10%</w:t>
      </w:r>
      <w:r>
        <w:rPr>
          <w:snapToGrid w:val="0"/>
          <w:color w:val="000000" w:themeColor="text1"/>
          <w14:textFill>
            <w14:solidFill>
              <w14:schemeClr w14:val="tx1"/>
            </w14:solidFill>
          </w14:textFill>
        </w:rPr>
        <w:t>。其中P</w:t>
      </w:r>
      <w:r>
        <w:rPr>
          <w:snapToGrid w:val="0"/>
          <w:color w:val="000000" w:themeColor="text1"/>
          <w:vertAlign w:val="subscript"/>
          <w14:textFill>
            <w14:solidFill>
              <w14:schemeClr w14:val="tx1"/>
            </w14:solidFill>
          </w14:textFill>
        </w:rPr>
        <w:t>i</w:t>
      </w:r>
      <w:r>
        <w:rPr>
          <w:snapToGrid w:val="0"/>
          <w:color w:val="000000" w:themeColor="text1"/>
          <w14:textFill>
            <w14:solidFill>
              <w14:schemeClr w14:val="tx1"/>
            </w14:solidFill>
          </w14:textFill>
        </w:rPr>
        <w:t>定义为：</w:t>
      </w:r>
    </w:p>
    <w:p w14:paraId="387AF730">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P</w:t>
      </w:r>
      <w:r>
        <w:rPr>
          <w:snapToGrid w:val="0"/>
          <w:color w:val="000000" w:themeColor="text1"/>
          <w:vertAlign w:val="subscript"/>
          <w14:textFill>
            <w14:solidFill>
              <w14:schemeClr w14:val="tx1"/>
            </w14:solidFill>
          </w14:textFill>
        </w:rPr>
        <w:t>i</w:t>
      </w:r>
      <w:r>
        <w:rPr>
          <w:snapToGrid w:val="0"/>
          <w:color w:val="000000" w:themeColor="text1"/>
          <w14:textFill>
            <w14:solidFill>
              <w14:schemeClr w14:val="tx1"/>
            </w14:solidFill>
          </w14:textFill>
        </w:rPr>
        <w:t xml:space="preserve"> =C</w:t>
      </w:r>
      <w:r>
        <w:rPr>
          <w:snapToGrid w:val="0"/>
          <w:color w:val="000000" w:themeColor="text1"/>
          <w:vertAlign w:val="subscript"/>
          <w14:textFill>
            <w14:solidFill>
              <w14:schemeClr w14:val="tx1"/>
            </w14:solidFill>
          </w14:textFill>
        </w:rPr>
        <w:t>i</w:t>
      </w:r>
      <w:r>
        <w:rPr>
          <w:snapToGrid w:val="0"/>
          <w:color w:val="000000" w:themeColor="text1"/>
          <w14:textFill>
            <w14:solidFill>
              <w14:schemeClr w14:val="tx1"/>
            </w14:solidFill>
          </w14:textFill>
        </w:rPr>
        <w:t>/C</w:t>
      </w:r>
      <w:r>
        <w:rPr>
          <w:snapToGrid w:val="0"/>
          <w:color w:val="000000" w:themeColor="text1"/>
          <w:vertAlign w:val="subscript"/>
          <w14:textFill>
            <w14:solidFill>
              <w14:schemeClr w14:val="tx1"/>
            </w14:solidFill>
          </w14:textFill>
        </w:rPr>
        <w:t>0i</w:t>
      </w:r>
      <w:r>
        <w:rPr>
          <w:snapToGrid w:val="0"/>
          <w:color w:val="000000" w:themeColor="text1"/>
          <w14:textFill>
            <w14:solidFill>
              <w14:schemeClr w14:val="tx1"/>
            </w14:solidFill>
          </w14:textFill>
        </w:rPr>
        <w:t>×100%</w:t>
      </w:r>
    </w:p>
    <w:p w14:paraId="6069B245">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式中：</w:t>
      </w:r>
    </w:p>
    <w:p w14:paraId="51E8E5F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P</w:t>
      </w:r>
      <w:r>
        <w:rPr>
          <w:snapToGrid w:val="0"/>
          <w:color w:val="000000" w:themeColor="text1"/>
          <w:vertAlign w:val="subscript"/>
          <w14:textFill>
            <w14:solidFill>
              <w14:schemeClr w14:val="tx1"/>
            </w14:solidFill>
          </w14:textFill>
        </w:rPr>
        <w:t>i</w:t>
      </w:r>
      <w:r>
        <w:rPr>
          <w:rFonts w:cs="Times New Roman"/>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第i个污染物的最大地面浓度占标率，%；</w:t>
      </w:r>
    </w:p>
    <w:p w14:paraId="6ECC34CF">
      <w:pPr>
        <w:pStyle w:val="85"/>
        <w:rPr>
          <w:rFonts w:cs="Times New Roman"/>
          <w:snapToGrid w:val="0"/>
          <w:color w:val="000000" w:themeColor="text1"/>
          <w14:textFill>
            <w14:solidFill>
              <w14:schemeClr w14:val="tx1"/>
            </w14:solidFill>
          </w14:textFill>
        </w:rPr>
      </w:pPr>
      <w:r>
        <w:rPr>
          <w:rFonts w:cs="Times New Roman"/>
          <w:snapToGrid w:val="0"/>
          <w:color w:val="000000" w:themeColor="text1"/>
          <w14:textFill>
            <w14:solidFill>
              <w14:schemeClr w14:val="tx1"/>
            </w14:solidFill>
          </w14:textFill>
        </w:rPr>
        <w:t>C</w:t>
      </w:r>
      <w:r>
        <w:rPr>
          <w:rFonts w:cs="Times New Roman"/>
          <w:snapToGrid w:val="0"/>
          <w:color w:val="000000" w:themeColor="text1"/>
          <w:vertAlign w:val="subscript"/>
          <w14:textFill>
            <w14:solidFill>
              <w14:schemeClr w14:val="tx1"/>
            </w14:solidFill>
          </w14:textFill>
        </w:rPr>
        <w:t>i</w:t>
      </w:r>
      <w:r>
        <w:rPr>
          <w:rFonts w:cs="Times New Roman"/>
          <w:snapToGrid w:val="0"/>
          <w:color w:val="000000" w:themeColor="text1"/>
          <w14:textFill>
            <w14:solidFill>
              <w14:schemeClr w14:val="tx1"/>
            </w14:solidFill>
          </w14:textFill>
        </w:rPr>
        <w:t>——采用估算模式计算出的第i个污染物的最大地面浓度，μg/m</w:t>
      </w:r>
      <w:r>
        <w:rPr>
          <w:rFonts w:cs="Times New Roman"/>
          <w:snapToGrid w:val="0"/>
          <w:color w:val="000000" w:themeColor="text1"/>
          <w:vertAlign w:val="superscript"/>
          <w14:textFill>
            <w14:solidFill>
              <w14:schemeClr w14:val="tx1"/>
            </w14:solidFill>
          </w14:textFill>
        </w:rPr>
        <w:t>3</w:t>
      </w:r>
      <w:r>
        <w:rPr>
          <w:rFonts w:cs="Times New Roman"/>
          <w:snapToGrid w:val="0"/>
          <w:color w:val="000000" w:themeColor="text1"/>
          <w14:textFill>
            <w14:solidFill>
              <w14:schemeClr w14:val="tx1"/>
            </w14:solidFill>
          </w14:textFill>
        </w:rPr>
        <w:t>；</w:t>
      </w:r>
    </w:p>
    <w:p w14:paraId="2B12ECDA">
      <w:pPr>
        <w:pStyle w:val="85"/>
        <w:rPr>
          <w:rFonts w:cs="Times New Roman"/>
          <w:snapToGrid w:val="0"/>
          <w:color w:val="000000" w:themeColor="text1"/>
          <w14:textFill>
            <w14:solidFill>
              <w14:schemeClr w14:val="tx1"/>
            </w14:solidFill>
          </w14:textFill>
        </w:rPr>
      </w:pPr>
      <w:r>
        <w:rPr>
          <w:rFonts w:cs="Times New Roman"/>
          <w:snapToGrid w:val="0"/>
          <w:color w:val="000000" w:themeColor="text1"/>
          <w14:textFill>
            <w14:solidFill>
              <w14:schemeClr w14:val="tx1"/>
            </w14:solidFill>
          </w14:textFill>
        </w:rPr>
        <w:t>C</w:t>
      </w:r>
      <w:r>
        <w:rPr>
          <w:rFonts w:cs="Times New Roman"/>
          <w:snapToGrid w:val="0"/>
          <w:color w:val="000000" w:themeColor="text1"/>
          <w:vertAlign w:val="subscript"/>
          <w14:textFill>
            <w14:solidFill>
              <w14:schemeClr w14:val="tx1"/>
            </w14:solidFill>
          </w14:textFill>
        </w:rPr>
        <w:t>0i</w:t>
      </w:r>
      <w:r>
        <w:rPr>
          <w:rFonts w:cs="Times New Roman"/>
          <w:snapToGrid w:val="0"/>
          <w:color w:val="000000" w:themeColor="text1"/>
          <w14:textFill>
            <w14:solidFill>
              <w14:schemeClr w14:val="tx1"/>
            </w14:solidFill>
          </w14:textFill>
        </w:rPr>
        <w:t>——第i个污染物的环境空气质量标准，μg/m</w:t>
      </w:r>
      <w:r>
        <w:rPr>
          <w:rFonts w:cs="Times New Roman"/>
          <w:snapToGrid w:val="0"/>
          <w:color w:val="000000" w:themeColor="text1"/>
          <w:vertAlign w:val="superscript"/>
          <w14:textFill>
            <w14:solidFill>
              <w14:schemeClr w14:val="tx1"/>
            </w14:solidFill>
          </w14:textFill>
        </w:rPr>
        <w:t>3</w:t>
      </w:r>
      <w:r>
        <w:rPr>
          <w:rFonts w:cs="Times New Roman"/>
          <w:snapToGrid w:val="0"/>
          <w:color w:val="000000" w:themeColor="text1"/>
          <w14:textFill>
            <w14:solidFill>
              <w14:schemeClr w14:val="tx1"/>
            </w14:solidFill>
          </w14:textFill>
        </w:rPr>
        <w:t>；</w:t>
      </w:r>
    </w:p>
    <w:p w14:paraId="1015203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C</w:t>
      </w:r>
      <w:r>
        <w:rPr>
          <w:snapToGrid w:val="0"/>
          <w:color w:val="000000" w:themeColor="text1"/>
          <w:vertAlign w:val="subscript"/>
          <w14:textFill>
            <w14:solidFill>
              <w14:schemeClr w14:val="tx1"/>
            </w14:solidFill>
          </w14:textFill>
        </w:rPr>
        <w:t>0i</w:t>
      </w:r>
      <w:r>
        <w:rPr>
          <w:rFonts w:cs="Times New Roman"/>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般选用</w:t>
      </w:r>
      <w:r>
        <w:rPr>
          <w:rFonts w:hint="eastAsia"/>
          <w:snapToGrid w:val="0"/>
          <w:color w:val="000000" w:themeColor="text1"/>
          <w:lang w:eastAsia="zh-CN"/>
          <w14:textFill>
            <w14:solidFill>
              <w14:schemeClr w14:val="tx1"/>
            </w14:solidFill>
          </w14:textFill>
        </w:rPr>
        <w:t>GB3095-2026</w:t>
      </w:r>
      <w:r>
        <w:rPr>
          <w:snapToGrid w:val="0"/>
          <w:color w:val="000000" w:themeColor="text1"/>
          <w14:textFill>
            <w14:solidFill>
              <w14:schemeClr w14:val="tx1"/>
            </w14:solidFill>
          </w14:textFill>
        </w:rPr>
        <w:t>中1小时平均</w:t>
      </w:r>
      <w:r>
        <w:rPr>
          <w:rFonts w:hint="eastAsia"/>
          <w:snapToGrid w:val="0"/>
          <w:color w:val="000000" w:themeColor="text1"/>
          <w14:textFill>
            <w14:solidFill>
              <w14:schemeClr w14:val="tx1"/>
            </w14:solidFill>
          </w14:textFill>
        </w:rPr>
        <w:t>质量浓度的二级浓度限值，如项目位于一类环境空气功能区</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应选择相应的一级浓度限值；对该标准中未包含的污染物，使用5</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确定的各评价因子1</w:t>
      </w:r>
      <w:r>
        <w:rPr>
          <w:snapToGrid w:val="0"/>
          <w:color w:val="000000" w:themeColor="text1"/>
          <w14:textFill>
            <w14:solidFill>
              <w14:schemeClr w14:val="tx1"/>
            </w14:solidFill>
          </w14:textFill>
        </w:rPr>
        <w:t>h</w:t>
      </w:r>
      <w:r>
        <w:rPr>
          <w:rFonts w:hint="eastAsia"/>
          <w:snapToGrid w:val="0"/>
          <w:color w:val="000000" w:themeColor="text1"/>
          <w14:textFill>
            <w14:solidFill>
              <w14:schemeClr w14:val="tx1"/>
            </w14:solidFill>
          </w14:textFill>
        </w:rPr>
        <w:t>平均质量浓度限值。仅有8h平均质量浓度限值、日平均质量浓度限值或年平均质量浓度限值，可分别按2倍、3倍、6倍折算1h平均质量浓度限值。</w:t>
      </w:r>
    </w:p>
    <w:p w14:paraId="1581C097">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w:t>
      </w:r>
      <w:r>
        <w:rPr>
          <w:snapToGrid w:val="0"/>
          <w:color w:val="000000" w:themeColor="text1"/>
          <w14:textFill>
            <w14:solidFill>
              <w14:schemeClr w14:val="tx1"/>
            </w14:solidFill>
          </w14:textFill>
        </w:rPr>
        <w:t>选取</w:t>
      </w:r>
      <w:r>
        <w:rPr>
          <w:snapToGrid w:val="0"/>
          <w:color w:val="000000" w:themeColor="text1"/>
          <w:lang w:val="zh-CN"/>
          <w14:textFill>
            <w14:solidFill>
              <w14:schemeClr w14:val="tx1"/>
            </w14:solidFill>
          </w14:textFill>
        </w:rPr>
        <w:t>NH</w:t>
      </w:r>
      <w:r>
        <w:rPr>
          <w:snapToGrid w:val="0"/>
          <w:color w:val="000000" w:themeColor="text1"/>
          <w:vertAlign w:val="subscript"/>
          <w:lang w:val="zh-CN"/>
          <w14:textFill>
            <w14:solidFill>
              <w14:schemeClr w14:val="tx1"/>
            </w14:solidFill>
          </w14:textFill>
        </w:rPr>
        <w:t>3</w:t>
      </w:r>
      <w:r>
        <w:rPr>
          <w:snapToGrid w:val="0"/>
          <w:color w:val="000000" w:themeColor="text1"/>
          <w:lang w:val="zh-CN"/>
          <w14:textFill>
            <w14:solidFill>
              <w14:schemeClr w14:val="tx1"/>
            </w14:solidFill>
          </w14:textFill>
        </w:rPr>
        <w:t>、H</w:t>
      </w:r>
      <w:r>
        <w:rPr>
          <w:snapToGrid w:val="0"/>
          <w:color w:val="000000" w:themeColor="text1"/>
          <w:vertAlign w:val="subscript"/>
          <w:lang w:val="zh-CN"/>
          <w14:textFill>
            <w14:solidFill>
              <w14:schemeClr w14:val="tx1"/>
            </w14:solidFill>
          </w14:textFill>
        </w:rPr>
        <w:t>2</w:t>
      </w:r>
      <w:r>
        <w:rPr>
          <w:snapToGrid w:val="0"/>
          <w:color w:val="000000" w:themeColor="text1"/>
          <w:lang w:val="zh-CN"/>
          <w14:textFill>
            <w14:solidFill>
              <w14:schemeClr w14:val="tx1"/>
            </w14:solidFill>
          </w14:textFill>
        </w:rPr>
        <w:t>S</w:t>
      </w:r>
      <w:r>
        <w:rPr>
          <w:rFonts w:hint="eastAsia"/>
          <w:snapToGrid w:val="0"/>
          <w:color w:val="000000" w:themeColor="text1"/>
          <w:lang w:val="zh-CN"/>
          <w14:textFill>
            <w14:solidFill>
              <w14:schemeClr w14:val="tx1"/>
            </w14:solidFill>
          </w14:textFill>
        </w:rPr>
        <w:t>、P</w:t>
      </w:r>
      <w:r>
        <w:rPr>
          <w:snapToGrid w:val="0"/>
          <w:color w:val="000000" w:themeColor="text1"/>
          <w:lang w:val="zh-CN"/>
          <w14:textFill>
            <w14:solidFill>
              <w14:schemeClr w14:val="tx1"/>
            </w14:solidFill>
          </w14:textFill>
        </w:rPr>
        <w:t>M</w:t>
      </w:r>
      <w:r>
        <w:rPr>
          <w:snapToGrid w:val="0"/>
          <w:color w:val="000000" w:themeColor="text1"/>
          <w:vertAlign w:val="subscript"/>
          <w:lang w:val="zh-CN"/>
          <w14:textFill>
            <w14:solidFill>
              <w14:schemeClr w14:val="tx1"/>
            </w14:solidFill>
          </w14:textFill>
        </w:rPr>
        <w:t>10</w:t>
      </w:r>
      <w:r>
        <w:rPr>
          <w:rFonts w:hint="eastAsia"/>
          <w:snapToGrid w:val="0"/>
          <w:color w:val="000000" w:themeColor="text1"/>
          <w:lang w:val="zh-CN"/>
          <w14:textFill>
            <w14:solidFill>
              <w14:schemeClr w14:val="tx1"/>
            </w14:solidFill>
          </w14:textFill>
        </w:rPr>
        <w:t>、S</w:t>
      </w:r>
      <w:r>
        <w:rPr>
          <w:snapToGrid w:val="0"/>
          <w:color w:val="000000" w:themeColor="text1"/>
          <w:lang w:val="zh-CN"/>
          <w14:textFill>
            <w14:solidFill>
              <w14:schemeClr w14:val="tx1"/>
            </w14:solidFill>
          </w14:textFill>
        </w:rPr>
        <w:t>O</w:t>
      </w:r>
      <w:r>
        <w:rPr>
          <w:snapToGrid w:val="0"/>
          <w:color w:val="000000" w:themeColor="text1"/>
          <w:vertAlign w:val="subscript"/>
          <w:lang w:val="zh-CN"/>
          <w14:textFill>
            <w14:solidFill>
              <w14:schemeClr w14:val="tx1"/>
            </w14:solidFill>
          </w14:textFill>
        </w:rPr>
        <w:t>2</w:t>
      </w:r>
      <w:r>
        <w:rPr>
          <w:rFonts w:hint="eastAsia"/>
          <w:snapToGrid w:val="0"/>
          <w:color w:val="000000" w:themeColor="text1"/>
          <w:lang w:val="zh-CN"/>
          <w14:textFill>
            <w14:solidFill>
              <w14:schemeClr w14:val="tx1"/>
            </w14:solidFill>
          </w14:textFill>
        </w:rPr>
        <w:t>、</w:t>
      </w:r>
      <w:r>
        <w:rPr>
          <w:snapToGrid w:val="0"/>
          <w:color w:val="000000" w:themeColor="text1"/>
          <w:lang w:val="zh-CN"/>
          <w14:textFill>
            <w14:solidFill>
              <w14:schemeClr w14:val="tx1"/>
            </w14:solidFill>
          </w14:textFill>
        </w:rPr>
        <w:t>NO</w:t>
      </w:r>
      <w:r>
        <w:rPr>
          <w:snapToGrid w:val="0"/>
          <w:color w:val="000000" w:themeColor="text1"/>
          <w:vertAlign w:val="subscript"/>
          <w:lang w:val="zh-CN"/>
          <w14:textFill>
            <w14:solidFill>
              <w14:schemeClr w14:val="tx1"/>
            </w14:solidFill>
          </w14:textFill>
        </w:rPr>
        <w:t>X</w:t>
      </w:r>
      <w:r>
        <w:rPr>
          <w:snapToGrid w:val="0"/>
          <w:color w:val="000000" w:themeColor="text1"/>
          <w14:textFill>
            <w14:solidFill>
              <w14:schemeClr w14:val="tx1"/>
            </w14:solidFill>
          </w14:textFill>
        </w:rPr>
        <w:t>为主要污染物进行评价工作等级的确定。采用《环境影响评价技术导则 大气环境》（HJ2.2-2018）中</w:t>
      </w:r>
      <w:r>
        <w:rPr>
          <w:rFonts w:hint="eastAsia"/>
          <w:snapToGrid w:val="0"/>
          <w:color w:val="000000" w:themeColor="text1"/>
          <w14:textFill>
            <w14:solidFill>
              <w14:schemeClr w14:val="tx1"/>
            </w14:solidFill>
          </w14:textFill>
        </w:rPr>
        <w:t>附录A</w:t>
      </w:r>
      <w:r>
        <w:rPr>
          <w:snapToGrid w:val="0"/>
          <w:color w:val="000000" w:themeColor="text1"/>
          <w14:textFill>
            <w14:solidFill>
              <w14:schemeClr w14:val="tx1"/>
            </w14:solidFill>
          </w14:textFill>
        </w:rPr>
        <w:t>推荐的估算模式进行计算，评价因子和评价标准表见表2-5-2，估算模型参数表见表2-5-3，点源及面源估算模式计算参数表见表2-5-4</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表2-5-6。计算结果见表2-5-7—</w:t>
      </w:r>
      <w:r>
        <w:rPr>
          <w:rFonts w:hint="eastAsia"/>
          <w:snapToGrid w:val="0"/>
          <w:color w:val="000000" w:themeColor="text1"/>
          <w14:textFill>
            <w14:solidFill>
              <w14:schemeClr w14:val="tx1"/>
            </w14:solidFill>
          </w14:textFill>
        </w:rPr>
        <w:t>表2</w:t>
      </w:r>
      <w:r>
        <w:rPr>
          <w:snapToGrid w:val="0"/>
          <w:color w:val="000000" w:themeColor="text1"/>
          <w14:textFill>
            <w14:solidFill>
              <w14:schemeClr w14:val="tx1"/>
            </w14:solidFill>
          </w14:textFill>
        </w:rPr>
        <w:t>-5-</w:t>
      </w:r>
      <w:r>
        <w:rPr>
          <w:rFonts w:hint="eastAsia"/>
          <w:snapToGrid w:val="0"/>
          <w:color w:val="000000" w:themeColor="text1"/>
          <w:lang w:val="en-US" w:eastAsia="zh-CN"/>
          <w14:textFill>
            <w14:solidFill>
              <w14:schemeClr w14:val="tx1"/>
            </w14:solidFill>
          </w14:textFill>
        </w:rPr>
        <w:t>12</w:t>
      </w:r>
      <w:r>
        <w:rPr>
          <w:snapToGrid w:val="0"/>
          <w:color w:val="000000" w:themeColor="text1"/>
          <w14:textFill>
            <w14:solidFill>
              <w14:schemeClr w14:val="tx1"/>
            </w14:solidFill>
          </w14:textFill>
        </w:rPr>
        <w:t>。</w:t>
      </w:r>
    </w:p>
    <w:p w14:paraId="4207E3C0">
      <w:pPr>
        <w:pStyle w:val="206"/>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表2</w:t>
      </w:r>
      <w:r>
        <w:rPr>
          <w:rFonts w:hint="eastAsia"/>
          <w:snapToGrid w:val="0"/>
          <w:color w:val="000000" w:themeColor="text1"/>
          <w:lang w:eastAsia="zh-CN"/>
          <w14:textFill>
            <w14:solidFill>
              <w14:schemeClr w14:val="tx1"/>
            </w14:solidFill>
          </w14:textFill>
        </w:rPr>
        <w:t>-</w:t>
      </w:r>
      <w:r>
        <w:rPr>
          <w:snapToGrid w:val="0"/>
          <w:color w:val="000000" w:themeColor="text1"/>
          <w14:textFill>
            <w14:solidFill>
              <w14:schemeClr w14:val="tx1"/>
            </w14:solidFill>
          </w14:textFill>
        </w:rPr>
        <w:t>5</w:t>
      </w:r>
      <w:r>
        <w:rPr>
          <w:rFonts w:hint="eastAsia"/>
          <w:snapToGrid w:val="0"/>
          <w:color w:val="000000" w:themeColor="text1"/>
          <w:lang w:eastAsia="zh-CN"/>
          <w14:textFill>
            <w14:solidFill>
              <w14:schemeClr w14:val="tx1"/>
            </w14:solidFill>
          </w14:textFill>
        </w:rPr>
        <w:t>-</w:t>
      </w:r>
      <w:r>
        <w:rPr>
          <w:snapToGrid w:val="0"/>
          <w:color w:val="000000" w:themeColor="text1"/>
          <w14:textFill>
            <w14:solidFill>
              <w14:schemeClr w14:val="tx1"/>
            </w14:solidFill>
          </w14:textFill>
        </w:rPr>
        <w:t xml:space="preserve">2 </w:t>
      </w:r>
      <w:r>
        <w:rPr>
          <w:rFonts w:hint="eastAsia"/>
          <w:snapToGrid w:val="0"/>
          <w:color w:val="000000" w:themeColor="text1"/>
          <w14:textFill>
            <w14:solidFill>
              <w14:schemeClr w14:val="tx1"/>
            </w14:solidFill>
          </w14:textFill>
        </w:rPr>
        <w:t>评价因子和评价标准表</w:t>
      </w:r>
    </w:p>
    <w:tbl>
      <w:tblPr>
        <w:tblStyle w:val="4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276"/>
        <w:gridCol w:w="2126"/>
        <w:gridCol w:w="3203"/>
      </w:tblGrid>
      <w:tr w14:paraId="4EE85F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 w:hRule="atLeast"/>
        </w:trPr>
        <w:tc>
          <w:tcPr>
            <w:tcW w:w="1024" w:type="pct"/>
            <w:shd w:val="clear" w:color="auto" w:fill="auto"/>
            <w:vAlign w:val="center"/>
          </w:tcPr>
          <w:p w14:paraId="43B905A8">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评价因子</w:t>
            </w:r>
          </w:p>
        </w:tc>
        <w:tc>
          <w:tcPr>
            <w:tcW w:w="768" w:type="pct"/>
            <w:shd w:val="clear" w:color="auto" w:fill="auto"/>
            <w:vAlign w:val="center"/>
          </w:tcPr>
          <w:p w14:paraId="2C1ACDC2">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评价时段</w:t>
            </w:r>
          </w:p>
        </w:tc>
        <w:tc>
          <w:tcPr>
            <w:tcW w:w="1280" w:type="pct"/>
            <w:shd w:val="clear" w:color="auto" w:fill="auto"/>
            <w:vAlign w:val="center"/>
          </w:tcPr>
          <w:p w14:paraId="1B544925">
            <w:pPr>
              <w:pStyle w:val="143"/>
              <w:rPr>
                <w:snapToGrid w:val="0"/>
                <w:color w:val="000000" w:themeColor="text1"/>
                <w14:textFill>
                  <w14:solidFill>
                    <w14:schemeClr w14:val="tx1"/>
                  </w14:solidFill>
                </w14:textFill>
              </w:rPr>
            </w:pPr>
            <w:r>
              <w:rPr>
                <w:snapToGrid w:val="0"/>
                <w:color w:val="000000" w:themeColor="text1"/>
                <w:lang w:eastAsia="zh-CN"/>
                <w14:textFill>
                  <w14:solidFill>
                    <w14:schemeClr w14:val="tx1"/>
                  </w14:solidFill>
                </w14:textFill>
              </w:rPr>
              <w:t>标准值（μg/m</w:t>
            </w:r>
            <w:r>
              <w:rPr>
                <w:snapToGrid w:val="0"/>
                <w:color w:val="000000" w:themeColor="text1"/>
                <w:vertAlign w:val="superscript"/>
                <w:lang w:eastAsia="zh-CN"/>
                <w14:textFill>
                  <w14:solidFill>
                    <w14:schemeClr w14:val="tx1"/>
                  </w14:solidFill>
                </w14:textFill>
              </w:rPr>
              <w:t>3</w:t>
            </w:r>
            <w:r>
              <w:rPr>
                <w:snapToGrid w:val="0"/>
                <w:color w:val="000000" w:themeColor="text1"/>
                <w:lang w:eastAsia="zh-CN"/>
                <w14:textFill>
                  <w14:solidFill>
                    <w14:schemeClr w14:val="tx1"/>
                  </w14:solidFill>
                </w14:textFill>
              </w:rPr>
              <w:t>）</w:t>
            </w:r>
          </w:p>
        </w:tc>
        <w:tc>
          <w:tcPr>
            <w:tcW w:w="1928" w:type="pct"/>
            <w:shd w:val="clear" w:color="auto" w:fill="auto"/>
            <w:vAlign w:val="center"/>
          </w:tcPr>
          <w:p w14:paraId="0B86D6BA">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标准来源</w:t>
            </w:r>
          </w:p>
        </w:tc>
      </w:tr>
      <w:tr w14:paraId="059A80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1024" w:type="pct"/>
            <w:shd w:val="clear" w:color="auto" w:fill="auto"/>
            <w:vAlign w:val="center"/>
          </w:tcPr>
          <w:p w14:paraId="43A7B1F1">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N</w:t>
            </w:r>
            <w:r>
              <w:rPr>
                <w:snapToGrid w:val="0"/>
                <w:color w:val="000000" w:themeColor="text1"/>
                <w:szCs w:val="21"/>
                <w:lang w:eastAsia="zh-CN"/>
                <w14:textFill>
                  <w14:solidFill>
                    <w14:schemeClr w14:val="tx1"/>
                  </w14:solidFill>
                </w14:textFill>
              </w:rPr>
              <w:t>H</w:t>
            </w:r>
            <w:r>
              <w:rPr>
                <w:snapToGrid w:val="0"/>
                <w:color w:val="000000" w:themeColor="text1"/>
                <w:szCs w:val="21"/>
                <w:vertAlign w:val="subscript"/>
                <w:lang w:eastAsia="zh-CN"/>
                <w14:textFill>
                  <w14:solidFill>
                    <w14:schemeClr w14:val="tx1"/>
                  </w14:solidFill>
                </w14:textFill>
              </w:rPr>
              <w:t>3</w:t>
            </w:r>
          </w:p>
        </w:tc>
        <w:tc>
          <w:tcPr>
            <w:tcW w:w="768" w:type="pct"/>
            <w:vMerge w:val="restart"/>
            <w:shd w:val="clear" w:color="auto" w:fill="auto"/>
            <w:vAlign w:val="center"/>
          </w:tcPr>
          <w:p w14:paraId="13624A16">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运营期</w:t>
            </w:r>
          </w:p>
        </w:tc>
        <w:tc>
          <w:tcPr>
            <w:tcW w:w="1280" w:type="pct"/>
            <w:shd w:val="clear" w:color="auto" w:fill="auto"/>
            <w:vAlign w:val="center"/>
          </w:tcPr>
          <w:p w14:paraId="3CC0F82C">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2</w:t>
            </w:r>
            <w:r>
              <w:rPr>
                <w:snapToGrid w:val="0"/>
                <w:color w:val="000000" w:themeColor="text1"/>
                <w:lang w:eastAsia="zh-CN"/>
                <w14:textFill>
                  <w14:solidFill>
                    <w14:schemeClr w14:val="tx1"/>
                  </w14:solidFill>
                </w14:textFill>
              </w:rPr>
              <w:t>00</w:t>
            </w:r>
          </w:p>
        </w:tc>
        <w:tc>
          <w:tcPr>
            <w:tcW w:w="1928" w:type="pct"/>
            <w:vMerge w:val="restart"/>
            <w:shd w:val="clear" w:color="auto" w:fill="auto"/>
            <w:vAlign w:val="center"/>
          </w:tcPr>
          <w:p w14:paraId="51FD8314">
            <w:pPr>
              <w:pStyle w:val="143"/>
              <w:jc w:val="both"/>
              <w:rPr>
                <w:snapToGrid w:val="0"/>
                <w:color w:val="000000" w:themeColor="text1"/>
                <w:kern w:val="0"/>
                <w14:textFill>
                  <w14:solidFill>
                    <w14:schemeClr w14:val="tx1"/>
                  </w14:solidFill>
                </w14:textFill>
              </w:rPr>
            </w:pPr>
            <w:r>
              <w:rPr>
                <w:color w:val="000000" w:themeColor="text1"/>
                <w:szCs w:val="21"/>
                <w14:textFill>
                  <w14:solidFill>
                    <w14:schemeClr w14:val="tx1"/>
                  </w14:solidFill>
                </w14:textFill>
              </w:rPr>
              <w:t>《环境影响评价技术导则 大气环境》（HJ2.2-2018）中</w:t>
            </w:r>
            <w:r>
              <w:rPr>
                <w:rFonts w:hint="eastAsia"/>
                <w:color w:val="000000" w:themeColor="text1"/>
                <w:szCs w:val="21"/>
                <w14:textFill>
                  <w14:solidFill>
                    <w14:schemeClr w14:val="tx1"/>
                  </w14:solidFill>
                </w14:textFill>
              </w:rPr>
              <w:t>附录D</w:t>
            </w:r>
            <w:r>
              <w:rPr>
                <w:color w:val="000000" w:themeColor="text1"/>
                <w:szCs w:val="21"/>
                <w14:textFill>
                  <w14:solidFill>
                    <w14:schemeClr w14:val="tx1"/>
                  </w14:solidFill>
                </w14:textFill>
              </w:rPr>
              <w:t>）</w:t>
            </w:r>
          </w:p>
        </w:tc>
      </w:tr>
      <w:tr w14:paraId="26E45F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1024" w:type="pct"/>
            <w:shd w:val="clear" w:color="auto" w:fill="auto"/>
            <w:vAlign w:val="center"/>
          </w:tcPr>
          <w:p w14:paraId="13525063">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val="en-US" w:eastAsia="zh-CN"/>
                <w14:textFill>
                  <w14:solidFill>
                    <w14:schemeClr w14:val="tx1"/>
                  </w14:solidFill>
                </w14:textFill>
              </w:rPr>
              <w:t>H</w:t>
            </w:r>
            <w:r>
              <w:rPr>
                <w:snapToGrid w:val="0"/>
                <w:color w:val="000000" w:themeColor="text1"/>
                <w:szCs w:val="21"/>
                <w:vertAlign w:val="subscript"/>
                <w:lang w:val="en-US" w:eastAsia="zh-CN"/>
                <w14:textFill>
                  <w14:solidFill>
                    <w14:schemeClr w14:val="tx1"/>
                  </w14:solidFill>
                </w14:textFill>
              </w:rPr>
              <w:t>2</w:t>
            </w:r>
            <w:r>
              <w:rPr>
                <w:snapToGrid w:val="0"/>
                <w:color w:val="000000" w:themeColor="text1"/>
                <w:szCs w:val="21"/>
                <w:lang w:val="en-US" w:eastAsia="zh-CN"/>
                <w14:textFill>
                  <w14:solidFill>
                    <w14:schemeClr w14:val="tx1"/>
                  </w14:solidFill>
                </w14:textFill>
              </w:rPr>
              <w:t>S</w:t>
            </w:r>
          </w:p>
        </w:tc>
        <w:tc>
          <w:tcPr>
            <w:tcW w:w="768" w:type="pct"/>
            <w:vMerge w:val="continue"/>
            <w:shd w:val="clear" w:color="auto" w:fill="auto"/>
            <w:vAlign w:val="center"/>
          </w:tcPr>
          <w:p w14:paraId="57E29279">
            <w:pPr>
              <w:pStyle w:val="143"/>
              <w:rPr>
                <w:snapToGrid w:val="0"/>
                <w:color w:val="000000" w:themeColor="text1"/>
                <w14:textFill>
                  <w14:solidFill>
                    <w14:schemeClr w14:val="tx1"/>
                  </w14:solidFill>
                </w14:textFill>
              </w:rPr>
            </w:pPr>
          </w:p>
        </w:tc>
        <w:tc>
          <w:tcPr>
            <w:tcW w:w="1280" w:type="pct"/>
            <w:shd w:val="clear" w:color="auto" w:fill="auto"/>
            <w:vAlign w:val="center"/>
          </w:tcPr>
          <w:p w14:paraId="2A1A01C0">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1</w:t>
            </w:r>
            <w:r>
              <w:rPr>
                <w:snapToGrid w:val="0"/>
                <w:color w:val="000000" w:themeColor="text1"/>
                <w:lang w:eastAsia="zh-CN"/>
                <w14:textFill>
                  <w14:solidFill>
                    <w14:schemeClr w14:val="tx1"/>
                  </w14:solidFill>
                </w14:textFill>
              </w:rPr>
              <w:t>0</w:t>
            </w:r>
          </w:p>
        </w:tc>
        <w:tc>
          <w:tcPr>
            <w:tcW w:w="1928" w:type="pct"/>
            <w:vMerge w:val="continue"/>
            <w:shd w:val="clear" w:color="auto" w:fill="auto"/>
            <w:vAlign w:val="center"/>
          </w:tcPr>
          <w:p w14:paraId="42C1FBC4">
            <w:pPr>
              <w:pStyle w:val="143"/>
              <w:jc w:val="both"/>
              <w:rPr>
                <w:snapToGrid w:val="0"/>
                <w:color w:val="000000" w:themeColor="text1"/>
                <w:kern w:val="0"/>
                <w14:textFill>
                  <w14:solidFill>
                    <w14:schemeClr w14:val="tx1"/>
                  </w14:solidFill>
                </w14:textFill>
              </w:rPr>
            </w:pPr>
          </w:p>
        </w:tc>
      </w:tr>
      <w:tr w14:paraId="128E21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24" w:type="pct"/>
            <w:shd w:val="clear" w:color="auto" w:fill="auto"/>
            <w:vAlign w:val="center"/>
          </w:tcPr>
          <w:p w14:paraId="2241CDA3">
            <w:pPr>
              <w:pStyle w:val="143"/>
              <w:rPr>
                <w:snapToGrid w:val="0"/>
                <w:color w:val="000000" w:themeColor="text1"/>
                <w:szCs w:val="21"/>
                <w:vertAlign w:val="subscript"/>
                <w:lang w:val="en-US" w:eastAsia="zh-CN"/>
                <w14:textFill>
                  <w14:solidFill>
                    <w14:schemeClr w14:val="tx1"/>
                  </w14:solidFill>
                </w14:textFill>
              </w:rPr>
            </w:pPr>
            <w:r>
              <w:rPr>
                <w:rFonts w:hint="eastAsia"/>
                <w:snapToGrid w:val="0"/>
                <w:color w:val="000000" w:themeColor="text1"/>
                <w:szCs w:val="21"/>
                <w:lang w:val="en-US" w:eastAsia="zh-CN"/>
                <w14:textFill>
                  <w14:solidFill>
                    <w14:schemeClr w14:val="tx1"/>
                  </w14:solidFill>
                </w14:textFill>
              </w:rPr>
              <w:t>P</w:t>
            </w:r>
            <w:r>
              <w:rPr>
                <w:snapToGrid w:val="0"/>
                <w:color w:val="000000" w:themeColor="text1"/>
                <w:szCs w:val="21"/>
                <w:lang w:val="en-US" w:eastAsia="zh-CN"/>
                <w14:textFill>
                  <w14:solidFill>
                    <w14:schemeClr w14:val="tx1"/>
                  </w14:solidFill>
                </w14:textFill>
              </w:rPr>
              <w:t>M</w:t>
            </w:r>
            <w:r>
              <w:rPr>
                <w:snapToGrid w:val="0"/>
                <w:color w:val="000000" w:themeColor="text1"/>
                <w:szCs w:val="21"/>
                <w:vertAlign w:val="subscript"/>
                <w:lang w:val="en-US" w:eastAsia="zh-CN"/>
                <w14:textFill>
                  <w14:solidFill>
                    <w14:schemeClr w14:val="tx1"/>
                  </w14:solidFill>
                </w14:textFill>
              </w:rPr>
              <w:t>10</w:t>
            </w:r>
          </w:p>
        </w:tc>
        <w:tc>
          <w:tcPr>
            <w:tcW w:w="768" w:type="pct"/>
            <w:vMerge w:val="restart"/>
            <w:shd w:val="clear" w:color="auto" w:fill="auto"/>
            <w:vAlign w:val="center"/>
          </w:tcPr>
          <w:p w14:paraId="517AB051">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运营期</w:t>
            </w:r>
          </w:p>
        </w:tc>
        <w:tc>
          <w:tcPr>
            <w:tcW w:w="1280" w:type="pct"/>
            <w:shd w:val="clear" w:color="auto" w:fill="auto"/>
            <w:vAlign w:val="center"/>
          </w:tcPr>
          <w:p w14:paraId="6ACB05EA">
            <w:pPr>
              <w:pStyle w:val="143"/>
              <w:rPr>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120</w:t>
            </w:r>
            <w:r>
              <w:rPr>
                <w:rFonts w:hint="eastAsia"/>
                <w:snapToGrid w:val="0"/>
                <w:color w:val="000000" w:themeColor="text1"/>
                <w:lang w:eastAsia="zh-CN"/>
                <w14:textFill>
                  <w14:solidFill>
                    <w14:schemeClr w14:val="tx1"/>
                  </w14:solidFill>
                </w14:textFill>
              </w:rPr>
              <w:t>（2</w:t>
            </w:r>
            <w:r>
              <w:rPr>
                <w:snapToGrid w:val="0"/>
                <w:color w:val="000000" w:themeColor="text1"/>
                <w:lang w:eastAsia="zh-CN"/>
                <w14:textFill>
                  <w14:solidFill>
                    <w14:schemeClr w14:val="tx1"/>
                  </w14:solidFill>
                </w14:textFill>
              </w:rPr>
              <w:t>4</w:t>
            </w:r>
            <w:r>
              <w:rPr>
                <w:rFonts w:hint="eastAsia"/>
                <w:snapToGrid w:val="0"/>
                <w:color w:val="000000" w:themeColor="text1"/>
                <w:lang w:eastAsia="zh-CN"/>
                <w14:textFill>
                  <w14:solidFill>
                    <w14:schemeClr w14:val="tx1"/>
                  </w14:solidFill>
                </w14:textFill>
              </w:rPr>
              <w:t>小时均值）</w:t>
            </w:r>
          </w:p>
        </w:tc>
        <w:tc>
          <w:tcPr>
            <w:tcW w:w="1928" w:type="pct"/>
            <w:vMerge w:val="restart"/>
            <w:shd w:val="clear" w:color="auto" w:fill="auto"/>
            <w:vAlign w:val="center"/>
          </w:tcPr>
          <w:p w14:paraId="09AED0D5">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《环境空气质量标准》（GB3095-2026）</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p>
        </w:tc>
      </w:tr>
      <w:tr w14:paraId="093D0A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24" w:type="pct"/>
            <w:shd w:val="clear" w:color="auto" w:fill="auto"/>
            <w:vAlign w:val="center"/>
          </w:tcPr>
          <w:p w14:paraId="05C3AA51">
            <w:pPr>
              <w:pStyle w:val="143"/>
              <w:rPr>
                <w:snapToGrid w:val="0"/>
                <w:color w:val="000000" w:themeColor="text1"/>
                <w:szCs w:val="21"/>
                <w:lang w:val="en-US" w:eastAsia="zh-CN"/>
                <w14:textFill>
                  <w14:solidFill>
                    <w14:schemeClr w14:val="tx1"/>
                  </w14:solidFill>
                </w14:textFill>
              </w:rPr>
            </w:pPr>
            <w:r>
              <w:rPr>
                <w:rFonts w:hint="eastAsia"/>
                <w:snapToGrid w:val="0"/>
                <w:color w:val="000000" w:themeColor="text1"/>
                <w:szCs w:val="21"/>
                <w:lang w:val="en-US" w:eastAsia="zh-CN"/>
                <w14:textFill>
                  <w14:solidFill>
                    <w14:schemeClr w14:val="tx1"/>
                  </w14:solidFill>
                </w14:textFill>
              </w:rPr>
              <w:t>S</w:t>
            </w:r>
            <w:r>
              <w:rPr>
                <w:snapToGrid w:val="0"/>
                <w:color w:val="000000" w:themeColor="text1"/>
                <w:szCs w:val="21"/>
                <w:lang w:val="en-US" w:eastAsia="zh-CN"/>
                <w14:textFill>
                  <w14:solidFill>
                    <w14:schemeClr w14:val="tx1"/>
                  </w14:solidFill>
                </w14:textFill>
              </w:rPr>
              <w:t>O</w:t>
            </w:r>
            <w:r>
              <w:rPr>
                <w:snapToGrid w:val="0"/>
                <w:color w:val="000000" w:themeColor="text1"/>
                <w:szCs w:val="21"/>
                <w:vertAlign w:val="subscript"/>
                <w:lang w:val="en-US" w:eastAsia="zh-CN"/>
                <w14:textFill>
                  <w14:solidFill>
                    <w14:schemeClr w14:val="tx1"/>
                  </w14:solidFill>
                </w14:textFill>
              </w:rPr>
              <w:t>2</w:t>
            </w:r>
          </w:p>
        </w:tc>
        <w:tc>
          <w:tcPr>
            <w:tcW w:w="768" w:type="pct"/>
            <w:vMerge w:val="continue"/>
            <w:shd w:val="clear" w:color="auto" w:fill="auto"/>
            <w:vAlign w:val="center"/>
          </w:tcPr>
          <w:p w14:paraId="3E698B1D">
            <w:pPr>
              <w:pStyle w:val="143"/>
              <w:rPr>
                <w:snapToGrid w:val="0"/>
                <w:color w:val="000000" w:themeColor="text1"/>
                <w:lang w:eastAsia="zh-CN"/>
                <w14:textFill>
                  <w14:solidFill>
                    <w14:schemeClr w14:val="tx1"/>
                  </w14:solidFill>
                </w14:textFill>
              </w:rPr>
            </w:pPr>
          </w:p>
        </w:tc>
        <w:tc>
          <w:tcPr>
            <w:tcW w:w="1280" w:type="pct"/>
            <w:shd w:val="clear" w:color="auto" w:fill="auto"/>
            <w:vAlign w:val="center"/>
          </w:tcPr>
          <w:p w14:paraId="720ABF62">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5</w:t>
            </w:r>
            <w:r>
              <w:rPr>
                <w:snapToGrid w:val="0"/>
                <w:color w:val="000000" w:themeColor="text1"/>
                <w:lang w:eastAsia="zh-CN"/>
                <w14:textFill>
                  <w14:solidFill>
                    <w14:schemeClr w14:val="tx1"/>
                  </w14:solidFill>
                </w14:textFill>
              </w:rPr>
              <w:t>00</w:t>
            </w:r>
          </w:p>
        </w:tc>
        <w:tc>
          <w:tcPr>
            <w:tcW w:w="1928" w:type="pct"/>
            <w:vMerge w:val="continue"/>
            <w:shd w:val="clear" w:color="auto" w:fill="auto"/>
            <w:vAlign w:val="center"/>
          </w:tcPr>
          <w:p w14:paraId="215D095D">
            <w:pPr>
              <w:pStyle w:val="143"/>
              <w:jc w:val="both"/>
              <w:rPr>
                <w:snapToGrid w:val="0"/>
                <w:color w:val="000000" w:themeColor="text1"/>
                <w:kern w:val="0"/>
                <w:lang w:eastAsia="zh-CN"/>
                <w14:textFill>
                  <w14:solidFill>
                    <w14:schemeClr w14:val="tx1"/>
                  </w14:solidFill>
                </w14:textFill>
              </w:rPr>
            </w:pPr>
          </w:p>
        </w:tc>
      </w:tr>
      <w:tr w14:paraId="555399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24" w:type="pct"/>
            <w:shd w:val="clear" w:color="auto" w:fill="auto"/>
            <w:vAlign w:val="center"/>
          </w:tcPr>
          <w:p w14:paraId="761D5DCD">
            <w:pPr>
              <w:pStyle w:val="143"/>
              <w:rPr>
                <w:snapToGrid w:val="0"/>
                <w:color w:val="000000" w:themeColor="text1"/>
                <w:szCs w:val="21"/>
                <w:lang w:val="en-US" w:eastAsia="zh-CN"/>
                <w14:textFill>
                  <w14:solidFill>
                    <w14:schemeClr w14:val="tx1"/>
                  </w14:solidFill>
                </w14:textFill>
              </w:rPr>
            </w:pPr>
            <w:r>
              <w:rPr>
                <w:rFonts w:hint="eastAsia"/>
                <w:snapToGrid w:val="0"/>
                <w:color w:val="000000" w:themeColor="text1"/>
                <w:szCs w:val="21"/>
                <w:lang w:val="en-US" w:eastAsia="zh-CN"/>
                <w14:textFill>
                  <w14:solidFill>
                    <w14:schemeClr w14:val="tx1"/>
                  </w14:solidFill>
                </w14:textFill>
              </w:rPr>
              <w:t>N</w:t>
            </w:r>
            <w:r>
              <w:rPr>
                <w:snapToGrid w:val="0"/>
                <w:color w:val="000000" w:themeColor="text1"/>
                <w:szCs w:val="21"/>
                <w:lang w:val="en-US" w:eastAsia="zh-CN"/>
                <w14:textFill>
                  <w14:solidFill>
                    <w14:schemeClr w14:val="tx1"/>
                  </w14:solidFill>
                </w14:textFill>
              </w:rPr>
              <w:t>O</w:t>
            </w:r>
            <w:r>
              <w:rPr>
                <w:snapToGrid w:val="0"/>
                <w:color w:val="000000" w:themeColor="text1"/>
                <w:szCs w:val="21"/>
                <w:vertAlign w:val="subscript"/>
                <w:lang w:val="en-US" w:eastAsia="zh-CN"/>
                <w14:textFill>
                  <w14:solidFill>
                    <w14:schemeClr w14:val="tx1"/>
                  </w14:solidFill>
                </w14:textFill>
              </w:rPr>
              <w:t>X</w:t>
            </w:r>
          </w:p>
        </w:tc>
        <w:tc>
          <w:tcPr>
            <w:tcW w:w="768" w:type="pct"/>
            <w:vMerge w:val="continue"/>
            <w:shd w:val="clear" w:color="auto" w:fill="auto"/>
            <w:vAlign w:val="center"/>
          </w:tcPr>
          <w:p w14:paraId="5FA46B7F">
            <w:pPr>
              <w:pStyle w:val="143"/>
              <w:rPr>
                <w:snapToGrid w:val="0"/>
                <w:color w:val="000000" w:themeColor="text1"/>
                <w:lang w:eastAsia="zh-CN"/>
                <w14:textFill>
                  <w14:solidFill>
                    <w14:schemeClr w14:val="tx1"/>
                  </w14:solidFill>
                </w14:textFill>
              </w:rPr>
            </w:pPr>
          </w:p>
        </w:tc>
        <w:tc>
          <w:tcPr>
            <w:tcW w:w="1280" w:type="pct"/>
            <w:shd w:val="clear" w:color="auto" w:fill="auto"/>
            <w:vAlign w:val="center"/>
          </w:tcPr>
          <w:p w14:paraId="41BCC1E0">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2</w:t>
            </w:r>
            <w:r>
              <w:rPr>
                <w:snapToGrid w:val="0"/>
                <w:color w:val="000000" w:themeColor="text1"/>
                <w:lang w:eastAsia="zh-CN"/>
                <w14:textFill>
                  <w14:solidFill>
                    <w14:schemeClr w14:val="tx1"/>
                  </w14:solidFill>
                </w14:textFill>
              </w:rPr>
              <w:t>50</w:t>
            </w:r>
          </w:p>
        </w:tc>
        <w:tc>
          <w:tcPr>
            <w:tcW w:w="1928" w:type="pct"/>
            <w:vMerge w:val="continue"/>
            <w:shd w:val="clear" w:color="auto" w:fill="auto"/>
            <w:vAlign w:val="center"/>
          </w:tcPr>
          <w:p w14:paraId="016686F2">
            <w:pPr>
              <w:pStyle w:val="143"/>
              <w:jc w:val="both"/>
              <w:rPr>
                <w:snapToGrid w:val="0"/>
                <w:color w:val="000000" w:themeColor="text1"/>
                <w:kern w:val="0"/>
                <w:lang w:eastAsia="zh-CN"/>
                <w14:textFill>
                  <w14:solidFill>
                    <w14:schemeClr w14:val="tx1"/>
                  </w14:solidFill>
                </w14:textFill>
              </w:rPr>
            </w:pPr>
          </w:p>
        </w:tc>
      </w:tr>
    </w:tbl>
    <w:p w14:paraId="71A2F082">
      <w:pPr>
        <w:pStyle w:val="206"/>
        <w:rPr>
          <w:snapToGrid w:val="0"/>
          <w:color w:val="000000" w:themeColor="text1"/>
          <w14:textFill>
            <w14:solidFill>
              <w14:schemeClr w14:val="tx1"/>
            </w14:solidFill>
          </w14:textFill>
        </w:rPr>
      </w:pPr>
      <w:bookmarkStart w:id="49" w:name="_Hlk120785071"/>
      <w:r>
        <w:rPr>
          <w:rFonts w:hint="eastAsia"/>
          <w:snapToGrid w:val="0"/>
          <w:color w:val="000000" w:themeColor="text1"/>
          <w14:textFill>
            <w14:solidFill>
              <w14:schemeClr w14:val="tx1"/>
            </w14:solidFill>
          </w14:textFill>
        </w:rPr>
        <w:t>表2</w:t>
      </w:r>
      <w:r>
        <w:rPr>
          <w:snapToGrid w:val="0"/>
          <w:color w:val="000000" w:themeColor="text1"/>
          <w14:textFill>
            <w14:solidFill>
              <w14:schemeClr w14:val="tx1"/>
            </w14:solidFill>
          </w14:textFill>
        </w:rPr>
        <w:t xml:space="preserve">-5-3 </w:t>
      </w:r>
      <w:r>
        <w:rPr>
          <w:rFonts w:hint="eastAsia"/>
          <w:snapToGrid w:val="0"/>
          <w:color w:val="000000" w:themeColor="text1"/>
          <w14:textFill>
            <w14:solidFill>
              <w14:schemeClr w14:val="tx1"/>
            </w14:solidFill>
          </w14:textFill>
        </w:rPr>
        <w:t>估算模型参数表</w:t>
      </w:r>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2410"/>
        <w:gridCol w:w="142"/>
        <w:gridCol w:w="3118"/>
        <w:gridCol w:w="2636"/>
      </w:tblGrid>
      <w:tr w14:paraId="230E1D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5" w:hRule="atLeast"/>
          <w:jc w:val="center"/>
        </w:trPr>
        <w:tc>
          <w:tcPr>
            <w:tcW w:w="5670" w:type="dxa"/>
            <w:gridSpan w:val="3"/>
            <w:vAlign w:val="center"/>
          </w:tcPr>
          <w:p w14:paraId="12F19182">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参数</w:t>
            </w:r>
          </w:p>
        </w:tc>
        <w:tc>
          <w:tcPr>
            <w:tcW w:w="2636" w:type="dxa"/>
            <w:vAlign w:val="center"/>
          </w:tcPr>
          <w:p w14:paraId="5867D974">
            <w:pPr>
              <w:pStyle w:val="143"/>
              <w:rPr>
                <w:rFonts w:cs="Times New Roman"/>
                <w:color w:val="000000" w:themeColor="text1"/>
                <w:szCs w:val="21"/>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取值</w:t>
            </w:r>
          </w:p>
        </w:tc>
      </w:tr>
      <w:tr w14:paraId="073C73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jc w:val="center"/>
        </w:trPr>
        <w:tc>
          <w:tcPr>
            <w:tcW w:w="2552" w:type="dxa"/>
            <w:gridSpan w:val="2"/>
            <w:vMerge w:val="restart"/>
            <w:vAlign w:val="center"/>
          </w:tcPr>
          <w:p w14:paraId="6F9F887B">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城市/农村选项</w:t>
            </w:r>
          </w:p>
        </w:tc>
        <w:tc>
          <w:tcPr>
            <w:tcW w:w="3118" w:type="dxa"/>
            <w:vAlign w:val="center"/>
          </w:tcPr>
          <w:p w14:paraId="5643C008">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城市/农村</w:t>
            </w:r>
          </w:p>
        </w:tc>
        <w:tc>
          <w:tcPr>
            <w:tcW w:w="2636" w:type="dxa"/>
            <w:vAlign w:val="center"/>
          </w:tcPr>
          <w:p w14:paraId="002ADBBC">
            <w:pPr>
              <w:pStyle w:val="143"/>
              <w:rPr>
                <w:rFonts w:cs="Times New Roman"/>
                <w:color w:val="000000" w:themeColor="text1"/>
                <w:szCs w:val="21"/>
                <w14:textFill>
                  <w14:solidFill>
                    <w14:schemeClr w14:val="tx1"/>
                  </w14:solidFill>
                </w14:textFill>
              </w:rPr>
            </w:pPr>
            <w:r>
              <w:rPr>
                <w:color w:val="000000" w:themeColor="text1"/>
                <w:szCs w:val="21"/>
                <w14:textFill>
                  <w14:solidFill>
                    <w14:schemeClr w14:val="tx1"/>
                  </w14:solidFill>
                </w14:textFill>
              </w:rPr>
              <w:t>农村</w:t>
            </w:r>
          </w:p>
        </w:tc>
      </w:tr>
      <w:tr w14:paraId="531504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jc w:val="center"/>
        </w:trPr>
        <w:tc>
          <w:tcPr>
            <w:tcW w:w="2552" w:type="dxa"/>
            <w:gridSpan w:val="2"/>
            <w:vMerge w:val="continue"/>
            <w:vAlign w:val="center"/>
          </w:tcPr>
          <w:p w14:paraId="351C0BF9">
            <w:pPr>
              <w:pStyle w:val="143"/>
              <w:rPr>
                <w:rFonts w:cs="Times New Roman"/>
                <w:color w:val="000000" w:themeColor="text1"/>
                <w:szCs w:val="21"/>
                <w14:textFill>
                  <w14:solidFill>
                    <w14:schemeClr w14:val="tx1"/>
                  </w14:solidFill>
                </w14:textFill>
              </w:rPr>
            </w:pPr>
          </w:p>
        </w:tc>
        <w:tc>
          <w:tcPr>
            <w:tcW w:w="3118" w:type="dxa"/>
            <w:vAlign w:val="center"/>
          </w:tcPr>
          <w:p w14:paraId="10042A44">
            <w:pPr>
              <w:pStyle w:val="143"/>
              <w:rPr>
                <w:rFonts w:cs="Times New Roman"/>
                <w:color w:val="000000" w:themeColor="text1"/>
                <w:szCs w:val="21"/>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人口数（城市选项时）</w:t>
            </w:r>
          </w:p>
        </w:tc>
        <w:tc>
          <w:tcPr>
            <w:tcW w:w="2636" w:type="dxa"/>
            <w:vAlign w:val="center"/>
          </w:tcPr>
          <w:p w14:paraId="0AD61CA1">
            <w:pPr>
              <w:pStyle w:val="143"/>
              <w:rPr>
                <w:rFonts w:cs="Times New Roman"/>
                <w:color w:val="000000" w:themeColor="text1"/>
                <w:szCs w:val="21"/>
                <w:lang w:eastAsia="zh-CN"/>
                <w14:textFill>
                  <w14:solidFill>
                    <w14:schemeClr w14:val="tx1"/>
                  </w14:solidFill>
                </w14:textFill>
              </w:rPr>
            </w:pPr>
            <w:r>
              <w:rPr>
                <w:color w:val="000000" w:themeColor="text1"/>
                <w:szCs w:val="21"/>
                <w14:textFill>
                  <w14:solidFill>
                    <w14:schemeClr w14:val="tx1"/>
                  </w14:solidFill>
                </w14:textFill>
              </w:rPr>
              <w:t>/</w:t>
            </w:r>
          </w:p>
        </w:tc>
      </w:tr>
      <w:tr w14:paraId="022948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jc w:val="center"/>
        </w:trPr>
        <w:tc>
          <w:tcPr>
            <w:tcW w:w="5670" w:type="dxa"/>
            <w:gridSpan w:val="3"/>
            <w:vAlign w:val="center"/>
          </w:tcPr>
          <w:p w14:paraId="6868BFEE">
            <w:pPr>
              <w:pStyle w:val="143"/>
              <w:rPr>
                <w:rFonts w:cs="Times New Roman"/>
                <w:color w:val="000000" w:themeColor="text1"/>
                <w:szCs w:val="21"/>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最高环境温度/℃</w:t>
            </w:r>
          </w:p>
        </w:tc>
        <w:tc>
          <w:tcPr>
            <w:tcW w:w="2636" w:type="dxa"/>
            <w:vAlign w:val="center"/>
          </w:tcPr>
          <w:p w14:paraId="1597F89C">
            <w:pPr>
              <w:pStyle w:val="143"/>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36.7</w:t>
            </w:r>
            <w:r>
              <w:rPr>
                <w:color w:val="000000" w:themeColor="text1"/>
                <w14:textFill>
                  <w14:solidFill>
                    <w14:schemeClr w14:val="tx1"/>
                  </w14:solidFill>
                </w14:textFill>
              </w:rPr>
              <w:t>°C</w:t>
            </w:r>
          </w:p>
        </w:tc>
      </w:tr>
      <w:tr w14:paraId="22AA8C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jc w:val="center"/>
        </w:trPr>
        <w:tc>
          <w:tcPr>
            <w:tcW w:w="5670" w:type="dxa"/>
            <w:gridSpan w:val="3"/>
            <w:vAlign w:val="center"/>
          </w:tcPr>
          <w:p w14:paraId="04D98E14">
            <w:pPr>
              <w:pStyle w:val="143"/>
              <w:rPr>
                <w:rFonts w:cs="Times New Roman"/>
                <w:color w:val="000000" w:themeColor="text1"/>
                <w:szCs w:val="21"/>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最低环境温度/℃</w:t>
            </w:r>
          </w:p>
        </w:tc>
        <w:tc>
          <w:tcPr>
            <w:tcW w:w="2636" w:type="dxa"/>
            <w:vAlign w:val="center"/>
          </w:tcPr>
          <w:p w14:paraId="292C46F2">
            <w:pPr>
              <w:pStyle w:val="143"/>
              <w:rPr>
                <w:rFonts w:cs="Times New Roman"/>
                <w:color w:val="000000" w:themeColor="text1"/>
                <w:szCs w:val="2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34.2</w:t>
            </w:r>
            <w:r>
              <w:rPr>
                <w:color w:val="000000" w:themeColor="text1"/>
                <w14:textFill>
                  <w14:solidFill>
                    <w14:schemeClr w14:val="tx1"/>
                  </w14:solidFill>
                </w14:textFill>
              </w:rPr>
              <w:t>°C</w:t>
            </w:r>
          </w:p>
        </w:tc>
      </w:tr>
      <w:tr w14:paraId="684F64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6" w:hRule="atLeast"/>
          <w:jc w:val="center"/>
        </w:trPr>
        <w:tc>
          <w:tcPr>
            <w:tcW w:w="5670" w:type="dxa"/>
            <w:gridSpan w:val="3"/>
            <w:vAlign w:val="center"/>
          </w:tcPr>
          <w:p w14:paraId="03E81F01">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土地利用类型</w:t>
            </w:r>
          </w:p>
        </w:tc>
        <w:tc>
          <w:tcPr>
            <w:tcW w:w="2636" w:type="dxa"/>
            <w:vAlign w:val="center"/>
          </w:tcPr>
          <w:p w14:paraId="7AFA1D9F">
            <w:pPr>
              <w:pStyle w:val="143"/>
              <w:rPr>
                <w:rFonts w:hint="default" w:cs="Times New Roman"/>
                <w:color w:val="000000" w:themeColor="text1"/>
                <w:szCs w:val="21"/>
                <w:lang w:val="en-US"/>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农作地</w:t>
            </w:r>
          </w:p>
        </w:tc>
      </w:tr>
      <w:tr w14:paraId="4182CF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jc w:val="center"/>
        </w:trPr>
        <w:tc>
          <w:tcPr>
            <w:tcW w:w="5670" w:type="dxa"/>
            <w:gridSpan w:val="3"/>
            <w:vAlign w:val="center"/>
          </w:tcPr>
          <w:p w14:paraId="48CC44A6">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区域湿度条件</w:t>
            </w:r>
          </w:p>
        </w:tc>
        <w:tc>
          <w:tcPr>
            <w:tcW w:w="2636" w:type="dxa"/>
            <w:vAlign w:val="center"/>
          </w:tcPr>
          <w:p w14:paraId="5F725DBC">
            <w:pPr>
              <w:pStyle w:val="143"/>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中等湿度气候</w:t>
            </w:r>
          </w:p>
        </w:tc>
      </w:tr>
      <w:tr w14:paraId="15D9DC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jc w:val="center"/>
        </w:trPr>
        <w:tc>
          <w:tcPr>
            <w:tcW w:w="2410" w:type="dxa"/>
            <w:vMerge w:val="restart"/>
            <w:vAlign w:val="center"/>
          </w:tcPr>
          <w:p w14:paraId="525CC2DE">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是否考虑地形</w:t>
            </w:r>
          </w:p>
        </w:tc>
        <w:tc>
          <w:tcPr>
            <w:tcW w:w="3260" w:type="dxa"/>
            <w:gridSpan w:val="2"/>
            <w:vAlign w:val="center"/>
          </w:tcPr>
          <w:p w14:paraId="4BACADEB">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考虑地形</w:t>
            </w:r>
          </w:p>
        </w:tc>
        <w:tc>
          <w:tcPr>
            <w:tcW w:w="2636" w:type="dxa"/>
            <w:vAlign w:val="center"/>
          </w:tcPr>
          <w:p w14:paraId="3A98E018">
            <w:pPr>
              <w:pStyle w:val="143"/>
              <w:rPr>
                <w:rFonts w:cs="Times New Roman"/>
                <w:color w:val="000000" w:themeColor="text1"/>
                <w:szCs w:val="21"/>
                <w14:textFill>
                  <w14:solidFill>
                    <w14:schemeClr w14:val="tx1"/>
                  </w14:solidFill>
                </w14:textFill>
              </w:rPr>
            </w:pPr>
            <w:r>
              <w:rPr>
                <w:color w:val="000000" w:themeColor="text1"/>
                <w:szCs w:val="21"/>
                <w14:textFill>
                  <w14:solidFill>
                    <w14:schemeClr w14:val="tx1"/>
                  </w14:solidFill>
                </w14:textFill>
              </w:rPr>
              <w:t>口是    √否</w:t>
            </w:r>
          </w:p>
        </w:tc>
      </w:tr>
      <w:tr w14:paraId="21B328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jc w:val="center"/>
        </w:trPr>
        <w:tc>
          <w:tcPr>
            <w:tcW w:w="2410" w:type="dxa"/>
            <w:vMerge w:val="continue"/>
            <w:vAlign w:val="center"/>
          </w:tcPr>
          <w:p w14:paraId="61F67808">
            <w:pPr>
              <w:pStyle w:val="143"/>
              <w:rPr>
                <w:rFonts w:cs="Times New Roman"/>
                <w:color w:val="000000" w:themeColor="text1"/>
                <w:szCs w:val="21"/>
                <w:lang w:eastAsia="zh-CN"/>
                <w14:textFill>
                  <w14:solidFill>
                    <w14:schemeClr w14:val="tx1"/>
                  </w14:solidFill>
                </w14:textFill>
              </w:rPr>
            </w:pPr>
          </w:p>
        </w:tc>
        <w:tc>
          <w:tcPr>
            <w:tcW w:w="3260" w:type="dxa"/>
            <w:gridSpan w:val="2"/>
            <w:vAlign w:val="center"/>
          </w:tcPr>
          <w:p w14:paraId="4767B348">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地形数据分辨率/m</w:t>
            </w:r>
          </w:p>
        </w:tc>
        <w:tc>
          <w:tcPr>
            <w:tcW w:w="2636" w:type="dxa"/>
            <w:vAlign w:val="center"/>
          </w:tcPr>
          <w:p w14:paraId="7055ABF7">
            <w:pPr>
              <w:pStyle w:val="143"/>
              <w:rPr>
                <w:rFonts w:cs="Times New Roman"/>
                <w:color w:val="000000" w:themeColor="text1"/>
                <w:szCs w:val="21"/>
                <w:lang w:eastAsia="zh-CN"/>
                <w14:textFill>
                  <w14:solidFill>
                    <w14:schemeClr w14:val="tx1"/>
                  </w14:solidFill>
                </w14:textFill>
              </w:rPr>
            </w:pPr>
            <w:r>
              <w:rPr>
                <w:color w:val="000000" w:themeColor="text1"/>
                <w:szCs w:val="21"/>
                <w14:textFill>
                  <w14:solidFill>
                    <w14:schemeClr w14:val="tx1"/>
                  </w14:solidFill>
                </w14:textFill>
              </w:rPr>
              <w:t>90</w:t>
            </w:r>
          </w:p>
        </w:tc>
      </w:tr>
      <w:tr w14:paraId="6F13FC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2410" w:type="dxa"/>
            <w:vMerge w:val="restart"/>
            <w:vAlign w:val="center"/>
          </w:tcPr>
          <w:p w14:paraId="712A72BD">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是否考虑岸线熏烟</w:t>
            </w:r>
          </w:p>
        </w:tc>
        <w:tc>
          <w:tcPr>
            <w:tcW w:w="3260" w:type="dxa"/>
            <w:gridSpan w:val="2"/>
            <w:vAlign w:val="center"/>
          </w:tcPr>
          <w:p w14:paraId="0480BD17">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岸线距离/</w:t>
            </w:r>
            <w:r>
              <w:rPr>
                <w:rFonts w:cs="Times New Roman"/>
                <w:color w:val="000000" w:themeColor="text1"/>
                <w:szCs w:val="21"/>
                <w:lang w:eastAsia="zh-CN"/>
                <w14:textFill>
                  <w14:solidFill>
                    <w14:schemeClr w14:val="tx1"/>
                  </w14:solidFill>
                </w14:textFill>
              </w:rPr>
              <w:t>km</w:t>
            </w:r>
          </w:p>
        </w:tc>
        <w:tc>
          <w:tcPr>
            <w:tcW w:w="2636" w:type="dxa"/>
            <w:vAlign w:val="center"/>
          </w:tcPr>
          <w:p w14:paraId="59E2DBB8">
            <w:pPr>
              <w:pStyle w:val="143"/>
              <w:rPr>
                <w:rFonts w:cs="Times New Roman"/>
                <w:color w:val="000000" w:themeColor="text1"/>
                <w:szCs w:val="21"/>
                <w14:textFill>
                  <w14:solidFill>
                    <w14:schemeClr w14:val="tx1"/>
                  </w14:solidFill>
                </w14:textFill>
              </w:rPr>
            </w:pPr>
            <w:r>
              <w:rPr>
                <w:color w:val="000000" w:themeColor="text1"/>
                <w:szCs w:val="21"/>
                <w14:textFill>
                  <w14:solidFill>
                    <w14:schemeClr w14:val="tx1"/>
                  </w14:solidFill>
                </w14:textFill>
              </w:rPr>
              <w:t>口是    √否</w:t>
            </w:r>
          </w:p>
        </w:tc>
      </w:tr>
      <w:tr w14:paraId="60FE19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jc w:val="center"/>
        </w:trPr>
        <w:tc>
          <w:tcPr>
            <w:tcW w:w="2410" w:type="dxa"/>
            <w:vMerge w:val="continue"/>
            <w:vAlign w:val="center"/>
          </w:tcPr>
          <w:p w14:paraId="6CD6584E">
            <w:pPr>
              <w:pStyle w:val="143"/>
              <w:rPr>
                <w:rFonts w:cs="Times New Roman"/>
                <w:color w:val="000000" w:themeColor="text1"/>
                <w:szCs w:val="21"/>
                <w:lang w:eastAsia="zh-CN"/>
                <w14:textFill>
                  <w14:solidFill>
                    <w14:schemeClr w14:val="tx1"/>
                  </w14:solidFill>
                </w14:textFill>
              </w:rPr>
            </w:pPr>
          </w:p>
        </w:tc>
        <w:tc>
          <w:tcPr>
            <w:tcW w:w="3260" w:type="dxa"/>
            <w:gridSpan w:val="2"/>
            <w:vAlign w:val="center"/>
          </w:tcPr>
          <w:p w14:paraId="760690B5">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岸线方向/°</w:t>
            </w:r>
          </w:p>
        </w:tc>
        <w:tc>
          <w:tcPr>
            <w:tcW w:w="2636" w:type="dxa"/>
            <w:vAlign w:val="center"/>
          </w:tcPr>
          <w:p w14:paraId="74EA7101">
            <w:pPr>
              <w:pStyle w:val="143"/>
              <w:rPr>
                <w:rFonts w:cs="Times New Roman"/>
                <w:color w:val="000000" w:themeColor="text1"/>
                <w:szCs w:val="21"/>
                <w:lang w:eastAsia="zh-CN"/>
                <w14:textFill>
                  <w14:solidFill>
                    <w14:schemeClr w14:val="tx1"/>
                  </w14:solidFill>
                </w14:textFill>
              </w:rPr>
            </w:pPr>
            <w:r>
              <w:rPr>
                <w:color w:val="000000" w:themeColor="text1"/>
                <w:szCs w:val="21"/>
                <w14:textFill>
                  <w14:solidFill>
                    <w14:schemeClr w14:val="tx1"/>
                  </w14:solidFill>
                </w14:textFill>
              </w:rPr>
              <w:t>/</w:t>
            </w:r>
          </w:p>
        </w:tc>
      </w:tr>
      <w:bookmarkEnd w:id="49"/>
    </w:tbl>
    <w:p w14:paraId="3DA0BCA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注：根据《环境影响评价技术导则 大气环境》（HJ2.2-2018），火炬源调查内容如下。</w:t>
      </w:r>
    </w:p>
    <w:p w14:paraId="5A7285D2">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a.火炬等效内径（D）计算</w:t>
      </w:r>
    </w:p>
    <w:p w14:paraId="7684AEB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drawing>
          <wp:inline distT="0" distB="0" distL="0" distR="0">
            <wp:extent cx="2943225" cy="3848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0"/>
                    <a:stretch>
                      <a:fillRect/>
                    </a:stretch>
                  </pic:blipFill>
                  <pic:spPr>
                    <a:xfrm>
                      <a:off x="0" y="0"/>
                      <a:ext cx="2954428" cy="386480"/>
                    </a:xfrm>
                    <a:prstGeom prst="rect">
                      <a:avLst/>
                    </a:prstGeom>
                  </pic:spPr>
                </pic:pic>
              </a:graphicData>
            </a:graphic>
          </wp:inline>
        </w:drawing>
      </w:r>
    </w:p>
    <w:p w14:paraId="5B30869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式中：HR—总热释放速率，cal/s；</w:t>
      </w:r>
    </w:p>
    <w:p w14:paraId="6FA91BE9">
      <w:pPr>
        <w:pStyle w:val="85"/>
        <w:ind w:firstLine="1200" w:firstLineChars="500"/>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HL—辐射热损失比例，一般取0.55。</w:t>
      </w:r>
    </w:p>
    <w:p w14:paraId="45A0A28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根据文献《国内外沼气提纯生物天然气技术研究及应用》（冉毅、蔡萍、黄家鹤、王超、汤晓玉、王斌，文章编号：1000-1166（2016）05-0061-06），沼气的低位发热值为17.94~25.11MJ/m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，本项目取平均值，即21.525MJ/m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。本项目年燃烧沼气</w:t>
      </w:r>
      <w:r>
        <w:rPr>
          <w:rFonts w:hint="eastAsia"/>
          <w:snapToGrid w:val="0"/>
          <w:color w:val="000000" w:themeColor="text1"/>
          <w:lang w:val="en-US" w:eastAsia="zh-CN"/>
          <w14:textFill>
            <w14:solidFill>
              <w14:schemeClr w14:val="tx1"/>
            </w14:solidFill>
          </w14:textFill>
        </w:rPr>
        <w:t>44019</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rFonts w:hint="eastAsia"/>
          <w:snapToGrid w:val="0"/>
          <w:color w:val="000000" w:themeColor="text1"/>
          <w14:textFill>
            <w14:solidFill>
              <w14:schemeClr w14:val="tx1"/>
            </w14:solidFill>
          </w14:textFill>
        </w:rPr>
        <w:t>（其中C</w:t>
      </w: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4</w:t>
      </w:r>
      <w:r>
        <w:rPr>
          <w:rFonts w:hint="eastAsia"/>
          <w:snapToGrid w:val="0"/>
          <w:color w:val="000000" w:themeColor="text1"/>
          <w14:textFill>
            <w14:solidFill>
              <w14:schemeClr w14:val="tx1"/>
            </w14:solidFill>
          </w14:textFill>
        </w:rPr>
        <w:t>的含量为</w:t>
      </w:r>
      <w:r>
        <w:rPr>
          <w:rFonts w:hint="eastAsia"/>
          <w:color w:val="000000" w:themeColor="text1"/>
          <w:lang w:val="en-US" w:eastAsia="zh-CN"/>
          <w14:textFill>
            <w14:solidFill>
              <w14:schemeClr w14:val="tx1"/>
            </w14:solidFill>
          </w14:textFill>
        </w:rPr>
        <w:t>30373.11</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采用50kW沼气燃烧器，</w:t>
      </w:r>
      <w:r>
        <w:rPr>
          <w:snapToGrid w:val="0"/>
          <w:color w:val="000000" w:themeColor="text1"/>
          <w14:textFill>
            <w14:solidFill>
              <w14:schemeClr w14:val="tx1"/>
            </w14:solidFill>
          </w14:textFill>
        </w:rPr>
        <w:t>年燃烧</w:t>
      </w:r>
      <w:r>
        <w:rPr>
          <w:rFonts w:hint="eastAsia"/>
          <w:snapToGrid w:val="0"/>
          <w:color w:val="000000" w:themeColor="text1"/>
          <w14:textFill>
            <w14:solidFill>
              <w14:schemeClr w14:val="tx1"/>
            </w14:solidFill>
          </w14:textFill>
        </w:rPr>
        <w:t>约</w:t>
      </w:r>
      <w:r>
        <w:rPr>
          <w:rFonts w:hint="eastAsia"/>
          <w:snapToGrid w:val="0"/>
          <w:color w:val="000000" w:themeColor="text1"/>
          <w:lang w:val="en-US" w:eastAsia="zh-CN"/>
          <w14:textFill>
            <w14:solidFill>
              <w14:schemeClr w14:val="tx1"/>
            </w14:solidFill>
          </w14:textFill>
        </w:rPr>
        <w:t>5264</w:t>
      </w:r>
      <w:r>
        <w:rPr>
          <w:snapToGrid w:val="0"/>
          <w:color w:val="000000" w:themeColor="text1"/>
          <w14:textFill>
            <w14:solidFill>
              <w14:schemeClr w14:val="tx1"/>
            </w14:solidFill>
          </w14:textFill>
        </w:rPr>
        <w:t>小时。1cal=4.186J，经过计算，厂区总热释放速率为</w:t>
      </w:r>
      <w:r>
        <w:rPr>
          <w:rFonts w:hint="eastAsia"/>
          <w:snapToGrid w:val="0"/>
          <w:color w:val="000000" w:themeColor="text1"/>
          <w:lang w:val="en-US" w:eastAsia="zh-CN"/>
          <w14:textFill>
            <w14:solidFill>
              <w14:schemeClr w14:val="tx1"/>
            </w14:solidFill>
          </w14:textFill>
        </w:rPr>
        <w:t>11944.44</w:t>
      </w:r>
      <w:r>
        <w:rPr>
          <w:snapToGrid w:val="0"/>
          <w:color w:val="000000" w:themeColor="text1"/>
          <w14:textFill>
            <w14:solidFill>
              <w14:schemeClr w14:val="tx1"/>
            </w14:solidFill>
          </w14:textFill>
        </w:rPr>
        <w:t>cal/s，厂区火炬等效内径（D）约为0.</w:t>
      </w:r>
      <w:r>
        <w:rPr>
          <w:rFonts w:hint="eastAsia"/>
          <w:snapToGrid w:val="0"/>
          <w:color w:val="000000" w:themeColor="text1"/>
          <w:lang w:val="en-US" w:eastAsia="zh-CN"/>
          <w14:textFill>
            <w14:solidFill>
              <w14:schemeClr w14:val="tx1"/>
            </w14:solidFill>
          </w14:textFill>
        </w:rPr>
        <w:t>07</w:t>
      </w:r>
      <w:r>
        <w:rPr>
          <w:snapToGrid w:val="0"/>
          <w:color w:val="000000" w:themeColor="text1"/>
          <w14:textFill>
            <w14:solidFill>
              <w14:schemeClr w14:val="tx1"/>
            </w14:solidFill>
          </w14:textFill>
        </w:rPr>
        <w:t>m。</w:t>
      </w:r>
    </w:p>
    <w:p w14:paraId="3E8893B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b.火炬等效高度（h</w:t>
      </w:r>
      <w:r>
        <w:rPr>
          <w:snapToGrid w:val="0"/>
          <w:color w:val="000000" w:themeColor="text1"/>
          <w:vertAlign w:val="subscript"/>
          <w14:textFill>
            <w14:solidFill>
              <w14:schemeClr w14:val="tx1"/>
            </w14:solidFill>
          </w14:textFill>
        </w:rPr>
        <w:t>eff</w:t>
      </w:r>
      <w:r>
        <w:rPr>
          <w:snapToGrid w:val="0"/>
          <w:color w:val="000000" w:themeColor="text1"/>
          <w14:textFill>
            <w14:solidFill>
              <w14:schemeClr w14:val="tx1"/>
            </w14:solidFill>
          </w14:textFill>
        </w:rPr>
        <w:t>）计算</w:t>
      </w:r>
    </w:p>
    <w:p w14:paraId="1898094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drawing>
          <wp:inline distT="0" distB="0" distL="0" distR="0">
            <wp:extent cx="3018790" cy="36131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1"/>
                    <a:stretch>
                      <a:fillRect/>
                    </a:stretch>
                  </pic:blipFill>
                  <pic:spPr>
                    <a:xfrm>
                      <a:off x="0" y="0"/>
                      <a:ext cx="3019048" cy="361905"/>
                    </a:xfrm>
                    <a:prstGeom prst="rect">
                      <a:avLst/>
                    </a:prstGeom>
                  </pic:spPr>
                </pic:pic>
              </a:graphicData>
            </a:graphic>
          </wp:inline>
        </w:drawing>
      </w:r>
    </w:p>
    <w:p w14:paraId="1BA7F5C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式中：Hs—火炬高度，m，本项目火炬高度为8m；</w:t>
      </w:r>
    </w:p>
    <w:p w14:paraId="158CB41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经计算本项目厂区火炬等效高度（h</w:t>
      </w:r>
      <w:r>
        <w:rPr>
          <w:snapToGrid w:val="0"/>
          <w:color w:val="000000" w:themeColor="text1"/>
          <w:vertAlign w:val="subscript"/>
          <w14:textFill>
            <w14:solidFill>
              <w14:schemeClr w14:val="tx1"/>
            </w14:solidFill>
          </w14:textFill>
        </w:rPr>
        <w:t>eff</w:t>
      </w:r>
      <w:r>
        <w:rPr>
          <w:snapToGrid w:val="0"/>
          <w:color w:val="000000" w:themeColor="text1"/>
          <w14:textFill>
            <w14:solidFill>
              <w14:schemeClr w14:val="tx1"/>
            </w14:solidFill>
          </w14:textFill>
        </w:rPr>
        <w:t>）约为</w:t>
      </w:r>
      <w:r>
        <w:rPr>
          <w:rFonts w:hint="eastAsia"/>
          <w:snapToGrid w:val="0"/>
          <w:color w:val="000000" w:themeColor="text1"/>
          <w:lang w:val="en-US" w:eastAsia="zh-CN"/>
          <w14:textFill>
            <w14:solidFill>
              <w14:schemeClr w14:val="tx1"/>
            </w14:solidFill>
          </w14:textFill>
        </w:rPr>
        <w:t>8.41</w:t>
      </w:r>
      <w:r>
        <w:rPr>
          <w:snapToGrid w:val="0"/>
          <w:color w:val="000000" w:themeColor="text1"/>
          <w14:textFill>
            <w14:solidFill>
              <w14:schemeClr w14:val="tx1"/>
            </w14:solidFill>
          </w14:textFill>
        </w:rPr>
        <w:t>m。</w:t>
      </w:r>
    </w:p>
    <w:p w14:paraId="251A504B">
      <w:pPr>
        <w:pStyle w:val="85"/>
        <w:rPr>
          <w:snapToGrid w:val="0"/>
          <w:color w:val="000000" w:themeColor="text1"/>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snapToGrid w:val="0"/>
          <w:color w:val="000000" w:themeColor="text1"/>
          <w14:textFill>
            <w14:solidFill>
              <w14:schemeClr w14:val="tx1"/>
            </w14:solidFill>
          </w14:textFill>
        </w:rPr>
        <w:t>c.火炬等效烟气排放速度默认设置20m/s，排气筒出口处烟气温度默认设置1000℃。</w:t>
      </w:r>
    </w:p>
    <w:p w14:paraId="0C3F460C">
      <w:pPr>
        <w:pStyle w:val="206"/>
        <w:rPr>
          <w:snapToGrid w:val="0"/>
          <w:color w:val="000000" w:themeColor="text1"/>
          <w14:textFill>
            <w14:solidFill>
              <w14:schemeClr w14:val="tx1"/>
            </w14:solidFill>
          </w14:textFill>
        </w:rPr>
      </w:pPr>
      <w:bookmarkStart w:id="50" w:name="_Hlk28274858"/>
      <w:r>
        <w:rPr>
          <w:snapToGrid w:val="0"/>
          <w:color w:val="000000" w:themeColor="text1"/>
          <w14:textFill>
            <w14:solidFill>
              <w14:schemeClr w14:val="tx1"/>
            </w14:solidFill>
          </w14:textFill>
        </w:rPr>
        <w:t>表2-5-4 点源参数表</w:t>
      </w:r>
    </w:p>
    <w:tbl>
      <w:tblPr>
        <w:tblStyle w:val="49"/>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539"/>
        <w:gridCol w:w="1602"/>
        <w:gridCol w:w="1432"/>
        <w:gridCol w:w="1681"/>
        <w:gridCol w:w="1055"/>
        <w:gridCol w:w="745"/>
        <w:gridCol w:w="745"/>
        <w:gridCol w:w="915"/>
        <w:gridCol w:w="589"/>
        <w:gridCol w:w="748"/>
        <w:gridCol w:w="712"/>
        <w:gridCol w:w="575"/>
        <w:gridCol w:w="567"/>
        <w:gridCol w:w="610"/>
        <w:gridCol w:w="666"/>
        <w:gridCol w:w="776"/>
      </w:tblGrid>
      <w:tr w14:paraId="1BAB0D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0" w:hRule="atLeast"/>
          <w:jc w:val="center"/>
        </w:trPr>
        <w:tc>
          <w:tcPr>
            <w:tcW w:w="193" w:type="pct"/>
            <w:vMerge w:val="restart"/>
            <w:vAlign w:val="center"/>
          </w:tcPr>
          <w:p w14:paraId="726EF6D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编号</w:t>
            </w:r>
          </w:p>
        </w:tc>
        <w:tc>
          <w:tcPr>
            <w:tcW w:w="573" w:type="pct"/>
            <w:vMerge w:val="restart"/>
            <w:vAlign w:val="center"/>
          </w:tcPr>
          <w:p w14:paraId="25FFECE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点源</w:t>
            </w:r>
          </w:p>
          <w:p w14:paraId="662FEAE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名称</w:t>
            </w:r>
          </w:p>
        </w:tc>
        <w:tc>
          <w:tcPr>
            <w:tcW w:w="1115" w:type="pct"/>
            <w:gridSpan w:val="2"/>
            <w:vAlign w:val="center"/>
          </w:tcPr>
          <w:p w14:paraId="575468D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排气筒底部中心坐标（m）</w:t>
            </w:r>
          </w:p>
        </w:tc>
        <w:tc>
          <w:tcPr>
            <w:tcW w:w="377" w:type="pct"/>
            <w:vMerge w:val="restart"/>
            <w:vAlign w:val="center"/>
          </w:tcPr>
          <w:p w14:paraId="5C475C7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排气筒底部海拔高度（m）</w:t>
            </w:r>
          </w:p>
        </w:tc>
        <w:tc>
          <w:tcPr>
            <w:tcW w:w="266" w:type="pct"/>
            <w:vMerge w:val="restart"/>
            <w:vAlign w:val="center"/>
          </w:tcPr>
          <w:p w14:paraId="38B3494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排气筒高度/m</w:t>
            </w:r>
          </w:p>
        </w:tc>
        <w:tc>
          <w:tcPr>
            <w:tcW w:w="266" w:type="pct"/>
            <w:vMerge w:val="restart"/>
            <w:vAlign w:val="center"/>
          </w:tcPr>
          <w:p w14:paraId="510FE36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排气筒内径/m</w:t>
            </w:r>
          </w:p>
        </w:tc>
        <w:tc>
          <w:tcPr>
            <w:tcW w:w="327" w:type="pct"/>
            <w:vMerge w:val="restart"/>
            <w:vAlign w:val="center"/>
          </w:tcPr>
          <w:p w14:paraId="69944E8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烟气流速/（m/s）</w:t>
            </w:r>
          </w:p>
        </w:tc>
        <w:tc>
          <w:tcPr>
            <w:tcW w:w="211" w:type="pct"/>
            <w:vMerge w:val="restart"/>
            <w:vAlign w:val="center"/>
          </w:tcPr>
          <w:p w14:paraId="7996200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烟气温度</w:t>
            </w:r>
          </w:p>
          <w:p w14:paraId="0F58B91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p>
        </w:tc>
        <w:tc>
          <w:tcPr>
            <w:tcW w:w="267" w:type="pct"/>
            <w:vMerge w:val="restart"/>
            <w:vAlign w:val="center"/>
          </w:tcPr>
          <w:p w14:paraId="59C07DF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年排放小时数/h</w:t>
            </w:r>
          </w:p>
        </w:tc>
        <w:tc>
          <w:tcPr>
            <w:tcW w:w="255" w:type="pct"/>
            <w:vMerge w:val="restart"/>
            <w:vAlign w:val="center"/>
          </w:tcPr>
          <w:p w14:paraId="48AC6C4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排放</w:t>
            </w:r>
          </w:p>
          <w:p w14:paraId="19C3B97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工况</w:t>
            </w:r>
          </w:p>
        </w:tc>
        <w:tc>
          <w:tcPr>
            <w:tcW w:w="1144" w:type="pct"/>
            <w:gridSpan w:val="5"/>
            <w:vAlign w:val="center"/>
          </w:tcPr>
          <w:p w14:paraId="04ADD40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污染物排放速率/（kg/h）</w:t>
            </w:r>
          </w:p>
        </w:tc>
      </w:tr>
      <w:tr w14:paraId="26CDD3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0" w:hRule="atLeast"/>
          <w:jc w:val="center"/>
        </w:trPr>
        <w:tc>
          <w:tcPr>
            <w:tcW w:w="193" w:type="pct"/>
            <w:vMerge w:val="continue"/>
            <w:vAlign w:val="center"/>
          </w:tcPr>
          <w:p w14:paraId="0C3D0003">
            <w:pPr>
              <w:pStyle w:val="143"/>
              <w:rPr>
                <w:snapToGrid w:val="0"/>
                <w:color w:val="000000" w:themeColor="text1"/>
                <w14:textFill>
                  <w14:solidFill>
                    <w14:schemeClr w14:val="tx1"/>
                  </w14:solidFill>
                </w14:textFill>
              </w:rPr>
            </w:pPr>
          </w:p>
        </w:tc>
        <w:tc>
          <w:tcPr>
            <w:tcW w:w="573" w:type="pct"/>
            <w:vMerge w:val="continue"/>
            <w:vAlign w:val="center"/>
          </w:tcPr>
          <w:p w14:paraId="1B362FB6">
            <w:pPr>
              <w:pStyle w:val="143"/>
              <w:rPr>
                <w:snapToGrid w:val="0"/>
                <w:color w:val="000000" w:themeColor="text1"/>
                <w14:textFill>
                  <w14:solidFill>
                    <w14:schemeClr w14:val="tx1"/>
                  </w14:solidFill>
                </w14:textFill>
              </w:rPr>
            </w:pPr>
          </w:p>
        </w:tc>
        <w:tc>
          <w:tcPr>
            <w:tcW w:w="513" w:type="pct"/>
            <w:vAlign w:val="center"/>
          </w:tcPr>
          <w:p w14:paraId="08D10A9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东经</w:t>
            </w:r>
          </w:p>
        </w:tc>
        <w:tc>
          <w:tcPr>
            <w:tcW w:w="602" w:type="pct"/>
            <w:vAlign w:val="center"/>
          </w:tcPr>
          <w:p w14:paraId="568F586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北纬</w:t>
            </w:r>
          </w:p>
        </w:tc>
        <w:tc>
          <w:tcPr>
            <w:tcW w:w="377" w:type="pct"/>
            <w:vMerge w:val="continue"/>
            <w:vAlign w:val="center"/>
          </w:tcPr>
          <w:p w14:paraId="543E7D2B">
            <w:pPr>
              <w:pStyle w:val="143"/>
              <w:rPr>
                <w:snapToGrid w:val="0"/>
                <w:color w:val="000000" w:themeColor="text1"/>
                <w14:textFill>
                  <w14:solidFill>
                    <w14:schemeClr w14:val="tx1"/>
                  </w14:solidFill>
                </w14:textFill>
              </w:rPr>
            </w:pPr>
          </w:p>
        </w:tc>
        <w:tc>
          <w:tcPr>
            <w:tcW w:w="266" w:type="pct"/>
            <w:vMerge w:val="continue"/>
            <w:vAlign w:val="center"/>
          </w:tcPr>
          <w:p w14:paraId="7C54C517">
            <w:pPr>
              <w:pStyle w:val="143"/>
              <w:rPr>
                <w:snapToGrid w:val="0"/>
                <w:color w:val="000000" w:themeColor="text1"/>
                <w14:textFill>
                  <w14:solidFill>
                    <w14:schemeClr w14:val="tx1"/>
                  </w14:solidFill>
                </w14:textFill>
              </w:rPr>
            </w:pPr>
          </w:p>
        </w:tc>
        <w:tc>
          <w:tcPr>
            <w:tcW w:w="266" w:type="pct"/>
            <w:vMerge w:val="continue"/>
            <w:vAlign w:val="center"/>
          </w:tcPr>
          <w:p w14:paraId="5B1A07D4">
            <w:pPr>
              <w:pStyle w:val="143"/>
              <w:rPr>
                <w:snapToGrid w:val="0"/>
                <w:color w:val="000000" w:themeColor="text1"/>
                <w14:textFill>
                  <w14:solidFill>
                    <w14:schemeClr w14:val="tx1"/>
                  </w14:solidFill>
                </w14:textFill>
              </w:rPr>
            </w:pPr>
          </w:p>
        </w:tc>
        <w:tc>
          <w:tcPr>
            <w:tcW w:w="327" w:type="pct"/>
            <w:vMerge w:val="continue"/>
            <w:vAlign w:val="center"/>
          </w:tcPr>
          <w:p w14:paraId="10AB2F41">
            <w:pPr>
              <w:pStyle w:val="143"/>
              <w:rPr>
                <w:snapToGrid w:val="0"/>
                <w:color w:val="000000" w:themeColor="text1"/>
                <w14:textFill>
                  <w14:solidFill>
                    <w14:schemeClr w14:val="tx1"/>
                  </w14:solidFill>
                </w14:textFill>
              </w:rPr>
            </w:pPr>
          </w:p>
        </w:tc>
        <w:tc>
          <w:tcPr>
            <w:tcW w:w="211" w:type="pct"/>
            <w:vMerge w:val="continue"/>
            <w:vAlign w:val="center"/>
          </w:tcPr>
          <w:p w14:paraId="12407EEC">
            <w:pPr>
              <w:pStyle w:val="143"/>
              <w:rPr>
                <w:snapToGrid w:val="0"/>
                <w:color w:val="000000" w:themeColor="text1"/>
                <w14:textFill>
                  <w14:solidFill>
                    <w14:schemeClr w14:val="tx1"/>
                  </w14:solidFill>
                </w14:textFill>
              </w:rPr>
            </w:pPr>
          </w:p>
        </w:tc>
        <w:tc>
          <w:tcPr>
            <w:tcW w:w="267" w:type="pct"/>
            <w:vMerge w:val="continue"/>
            <w:vAlign w:val="center"/>
          </w:tcPr>
          <w:p w14:paraId="4F51E0F3">
            <w:pPr>
              <w:pStyle w:val="143"/>
              <w:rPr>
                <w:snapToGrid w:val="0"/>
                <w:color w:val="000000" w:themeColor="text1"/>
                <w14:textFill>
                  <w14:solidFill>
                    <w14:schemeClr w14:val="tx1"/>
                  </w14:solidFill>
                </w14:textFill>
              </w:rPr>
            </w:pPr>
          </w:p>
        </w:tc>
        <w:tc>
          <w:tcPr>
            <w:tcW w:w="255" w:type="pct"/>
            <w:vMerge w:val="continue"/>
            <w:vAlign w:val="center"/>
          </w:tcPr>
          <w:p w14:paraId="132FB37B">
            <w:pPr>
              <w:pStyle w:val="143"/>
              <w:rPr>
                <w:snapToGrid w:val="0"/>
                <w:color w:val="000000" w:themeColor="text1"/>
                <w14:textFill>
                  <w14:solidFill>
                    <w14:schemeClr w14:val="tx1"/>
                  </w14:solidFill>
                </w14:textFill>
              </w:rPr>
            </w:pPr>
          </w:p>
        </w:tc>
        <w:tc>
          <w:tcPr>
            <w:tcW w:w="205" w:type="pct"/>
            <w:vAlign w:val="center"/>
          </w:tcPr>
          <w:p w14:paraId="28052A0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p>
        </w:tc>
        <w:tc>
          <w:tcPr>
            <w:tcW w:w="203" w:type="pct"/>
            <w:vAlign w:val="center"/>
          </w:tcPr>
          <w:p w14:paraId="77489E23">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H</w:t>
            </w:r>
            <w:r>
              <w:rPr>
                <w:snapToGrid w:val="0"/>
                <w:color w:val="000000" w:themeColor="text1"/>
                <w:vertAlign w:val="subscript"/>
                <w:lang w:val="en-US"/>
                <w14:textFill>
                  <w14:solidFill>
                    <w14:schemeClr w14:val="tx1"/>
                  </w14:solidFill>
                </w14:textFill>
              </w:rPr>
              <w:t>2</w:t>
            </w:r>
            <w:r>
              <w:rPr>
                <w:snapToGrid w:val="0"/>
                <w:color w:val="000000" w:themeColor="text1"/>
                <w:lang w:val="en-US"/>
                <w14:textFill>
                  <w14:solidFill>
                    <w14:schemeClr w14:val="tx1"/>
                  </w14:solidFill>
                </w14:textFill>
              </w:rPr>
              <w:t>S</w:t>
            </w:r>
          </w:p>
        </w:tc>
        <w:tc>
          <w:tcPr>
            <w:tcW w:w="218" w:type="pct"/>
            <w:vAlign w:val="center"/>
          </w:tcPr>
          <w:p w14:paraId="37E78F0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PM</w:t>
            </w:r>
            <w:r>
              <w:rPr>
                <w:snapToGrid w:val="0"/>
                <w:color w:val="000000" w:themeColor="text1"/>
                <w:vertAlign w:val="subscript"/>
                <w14:textFill>
                  <w14:solidFill>
                    <w14:schemeClr w14:val="tx1"/>
                  </w14:solidFill>
                </w14:textFill>
              </w:rPr>
              <w:t>10</w:t>
            </w:r>
          </w:p>
        </w:tc>
        <w:tc>
          <w:tcPr>
            <w:tcW w:w="238" w:type="pct"/>
            <w:vAlign w:val="center"/>
          </w:tcPr>
          <w:p w14:paraId="692B5A03">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S</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2</w:t>
            </w:r>
          </w:p>
        </w:tc>
        <w:tc>
          <w:tcPr>
            <w:tcW w:w="277" w:type="pct"/>
            <w:vAlign w:val="center"/>
          </w:tcPr>
          <w:p w14:paraId="3F2919C1">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N</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X</w:t>
            </w:r>
          </w:p>
        </w:tc>
      </w:tr>
      <w:tr w14:paraId="158E92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0" w:hRule="atLeast"/>
          <w:jc w:val="center"/>
        </w:trPr>
        <w:tc>
          <w:tcPr>
            <w:tcW w:w="193" w:type="pct"/>
            <w:vAlign w:val="center"/>
          </w:tcPr>
          <w:p w14:paraId="4144809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p>
        </w:tc>
        <w:tc>
          <w:tcPr>
            <w:tcW w:w="573" w:type="pct"/>
            <w:vAlign w:val="center"/>
          </w:tcPr>
          <w:p w14:paraId="7C064ED6">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14:textFill>
                  <w14:solidFill>
                    <w14:schemeClr w14:val="tx1"/>
                  </w14:solidFill>
                </w14:textFill>
              </w:rPr>
              <w:t>排气筒D</w:t>
            </w:r>
            <w:r>
              <w:rPr>
                <w:snapToGrid w:val="0"/>
                <w:color w:val="000000" w:themeColor="text1"/>
                <w14:textFill>
                  <w14:solidFill>
                    <w14:schemeClr w14:val="tx1"/>
                  </w14:solidFill>
                </w14:textFill>
              </w:rPr>
              <w:t>A00</w:t>
            </w:r>
            <w:r>
              <w:rPr>
                <w:rFonts w:hint="eastAsia"/>
                <w:snapToGrid w:val="0"/>
                <w:color w:val="000000" w:themeColor="text1"/>
                <w:lang w:val="en-US" w:eastAsia="zh-CN"/>
                <w14:textFill>
                  <w14:solidFill>
                    <w14:schemeClr w14:val="tx1"/>
                  </w14:solidFill>
                </w14:textFill>
              </w:rPr>
              <w:t>1</w:t>
            </w:r>
          </w:p>
        </w:tc>
        <w:tc>
          <w:tcPr>
            <w:tcW w:w="513" w:type="pct"/>
            <w:vAlign w:val="center"/>
          </w:tcPr>
          <w:p w14:paraId="190B5F1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130.57729704</w:t>
            </w:r>
          </w:p>
        </w:tc>
        <w:tc>
          <w:tcPr>
            <w:tcW w:w="602" w:type="pct"/>
            <w:vAlign w:val="center"/>
          </w:tcPr>
          <w:p w14:paraId="644C4FE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46.26923313</w:t>
            </w:r>
          </w:p>
        </w:tc>
        <w:tc>
          <w:tcPr>
            <w:tcW w:w="377" w:type="pct"/>
            <w:vAlign w:val="center"/>
          </w:tcPr>
          <w:p w14:paraId="5EA2E4A7">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152</w:t>
            </w:r>
          </w:p>
        </w:tc>
        <w:tc>
          <w:tcPr>
            <w:tcW w:w="266" w:type="pct"/>
            <w:vAlign w:val="center"/>
          </w:tcPr>
          <w:p w14:paraId="2A2AC54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5</w:t>
            </w:r>
          </w:p>
        </w:tc>
        <w:tc>
          <w:tcPr>
            <w:tcW w:w="266" w:type="pct"/>
            <w:vAlign w:val="center"/>
          </w:tcPr>
          <w:p w14:paraId="45DF93EE">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14:textFill>
                  <w14:solidFill>
                    <w14:schemeClr w14:val="tx1"/>
                  </w14:solidFill>
                </w14:textFill>
              </w:rPr>
              <w:t>0</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4</w:t>
            </w:r>
          </w:p>
        </w:tc>
        <w:tc>
          <w:tcPr>
            <w:tcW w:w="327" w:type="pct"/>
            <w:vAlign w:val="center"/>
          </w:tcPr>
          <w:p w14:paraId="2D3AE87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17.7</w:t>
            </w:r>
          </w:p>
        </w:tc>
        <w:tc>
          <w:tcPr>
            <w:tcW w:w="211" w:type="pct"/>
            <w:vAlign w:val="center"/>
          </w:tcPr>
          <w:p w14:paraId="47F47F8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5</w:t>
            </w:r>
          </w:p>
        </w:tc>
        <w:tc>
          <w:tcPr>
            <w:tcW w:w="267" w:type="pct"/>
            <w:vAlign w:val="center"/>
          </w:tcPr>
          <w:p w14:paraId="09CE6D7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7920</w:t>
            </w:r>
          </w:p>
        </w:tc>
        <w:tc>
          <w:tcPr>
            <w:tcW w:w="255" w:type="pct"/>
            <w:vAlign w:val="center"/>
          </w:tcPr>
          <w:p w14:paraId="4F4B1466">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连续</w:t>
            </w:r>
          </w:p>
        </w:tc>
        <w:tc>
          <w:tcPr>
            <w:tcW w:w="205" w:type="pct"/>
            <w:vAlign w:val="center"/>
          </w:tcPr>
          <w:p w14:paraId="0E5A6B8B">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0.0038</w:t>
            </w:r>
          </w:p>
        </w:tc>
        <w:tc>
          <w:tcPr>
            <w:tcW w:w="203" w:type="pct"/>
            <w:vAlign w:val="center"/>
          </w:tcPr>
          <w:p w14:paraId="72CFF2C3">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0.00015</w:t>
            </w:r>
          </w:p>
        </w:tc>
        <w:tc>
          <w:tcPr>
            <w:tcW w:w="218" w:type="pct"/>
            <w:vAlign w:val="center"/>
          </w:tcPr>
          <w:p w14:paraId="2EA109F1">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38" w:type="pct"/>
            <w:vAlign w:val="center"/>
          </w:tcPr>
          <w:p w14:paraId="3DDC68D8">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77" w:type="pct"/>
            <w:vAlign w:val="center"/>
          </w:tcPr>
          <w:p w14:paraId="4BAF0CE5">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r>
      <w:tr w14:paraId="2F8EF5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0" w:hRule="atLeast"/>
          <w:jc w:val="center"/>
        </w:trPr>
        <w:tc>
          <w:tcPr>
            <w:tcW w:w="193" w:type="pct"/>
            <w:vAlign w:val="center"/>
          </w:tcPr>
          <w:p w14:paraId="199C9B89">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w:t>
            </w:r>
          </w:p>
        </w:tc>
        <w:tc>
          <w:tcPr>
            <w:tcW w:w="573" w:type="pct"/>
            <w:vAlign w:val="center"/>
          </w:tcPr>
          <w:p w14:paraId="28079736">
            <w:pPr>
              <w:pStyle w:val="143"/>
              <w:rPr>
                <w:rFonts w:hint="eastAsia" w:eastAsia="宋体"/>
                <w:snapToGrid w:val="0"/>
                <w:color w:val="000000" w:themeColor="text1"/>
                <w:lang w:eastAsia="zh-CN"/>
                <w14:textFill>
                  <w14:solidFill>
                    <w14:schemeClr w14:val="tx1"/>
                  </w14:solidFill>
                </w14:textFill>
              </w:rPr>
            </w:pPr>
            <w:r>
              <w:rPr>
                <w:snapToGrid w:val="0"/>
                <w:color w:val="000000" w:themeColor="text1"/>
                <w14:textFill>
                  <w14:solidFill>
                    <w14:schemeClr w14:val="tx1"/>
                  </w14:solidFill>
                </w14:textFill>
              </w:rPr>
              <w:t>排气筒DA00</w:t>
            </w:r>
            <w:r>
              <w:rPr>
                <w:rFonts w:hint="eastAsia"/>
                <w:snapToGrid w:val="0"/>
                <w:color w:val="000000" w:themeColor="text1"/>
                <w:lang w:val="en-US" w:eastAsia="zh-CN"/>
                <w14:textFill>
                  <w14:solidFill>
                    <w14:schemeClr w14:val="tx1"/>
                  </w14:solidFill>
                </w14:textFill>
              </w:rPr>
              <w:t>2</w:t>
            </w:r>
          </w:p>
        </w:tc>
        <w:tc>
          <w:tcPr>
            <w:tcW w:w="513" w:type="pct"/>
            <w:vAlign w:val="center"/>
          </w:tcPr>
          <w:p w14:paraId="4640AE2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130.57703325</w:t>
            </w:r>
          </w:p>
        </w:tc>
        <w:tc>
          <w:tcPr>
            <w:tcW w:w="602" w:type="pct"/>
            <w:vAlign w:val="center"/>
          </w:tcPr>
          <w:p w14:paraId="3A672A6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46.26920286</w:t>
            </w:r>
          </w:p>
        </w:tc>
        <w:tc>
          <w:tcPr>
            <w:tcW w:w="377" w:type="pct"/>
            <w:vAlign w:val="center"/>
          </w:tcPr>
          <w:p w14:paraId="22D359E9">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152</w:t>
            </w:r>
          </w:p>
        </w:tc>
        <w:tc>
          <w:tcPr>
            <w:tcW w:w="266" w:type="pct"/>
            <w:vAlign w:val="center"/>
          </w:tcPr>
          <w:p w14:paraId="212D0FF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25</w:t>
            </w:r>
          </w:p>
        </w:tc>
        <w:tc>
          <w:tcPr>
            <w:tcW w:w="266" w:type="pct"/>
            <w:vAlign w:val="center"/>
          </w:tcPr>
          <w:p w14:paraId="58CA6C2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0.6</w:t>
            </w:r>
          </w:p>
        </w:tc>
        <w:tc>
          <w:tcPr>
            <w:tcW w:w="327" w:type="pct"/>
            <w:vAlign w:val="center"/>
          </w:tcPr>
          <w:p w14:paraId="68A3931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10.86</w:t>
            </w:r>
          </w:p>
        </w:tc>
        <w:tc>
          <w:tcPr>
            <w:tcW w:w="211" w:type="pct"/>
            <w:vAlign w:val="center"/>
          </w:tcPr>
          <w:p w14:paraId="664FD145">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1</w:t>
            </w:r>
            <w:r>
              <w:rPr>
                <w:snapToGrid w:val="0"/>
                <w:color w:val="000000" w:themeColor="text1"/>
                <w:lang w:eastAsia="zh-CN"/>
                <w14:textFill>
                  <w14:solidFill>
                    <w14:schemeClr w14:val="tx1"/>
                  </w14:solidFill>
                </w14:textFill>
              </w:rPr>
              <w:t>00</w:t>
            </w:r>
          </w:p>
        </w:tc>
        <w:tc>
          <w:tcPr>
            <w:tcW w:w="267" w:type="pct"/>
            <w:vAlign w:val="center"/>
          </w:tcPr>
          <w:p w14:paraId="1F1C2912">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7200</w:t>
            </w:r>
          </w:p>
        </w:tc>
        <w:tc>
          <w:tcPr>
            <w:tcW w:w="255" w:type="pct"/>
            <w:vAlign w:val="center"/>
          </w:tcPr>
          <w:p w14:paraId="16606BB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连续</w:t>
            </w:r>
          </w:p>
        </w:tc>
        <w:tc>
          <w:tcPr>
            <w:tcW w:w="205" w:type="pct"/>
            <w:vAlign w:val="center"/>
          </w:tcPr>
          <w:p w14:paraId="0C0FF1BE">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03" w:type="pct"/>
            <w:vAlign w:val="center"/>
          </w:tcPr>
          <w:p w14:paraId="4C75F2A1">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18" w:type="pct"/>
            <w:vAlign w:val="center"/>
          </w:tcPr>
          <w:p w14:paraId="63E9E1A1">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0.11</w:t>
            </w:r>
          </w:p>
        </w:tc>
        <w:tc>
          <w:tcPr>
            <w:tcW w:w="238" w:type="pct"/>
            <w:vAlign w:val="center"/>
          </w:tcPr>
          <w:p w14:paraId="5AB9BF58">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0.214</w:t>
            </w:r>
          </w:p>
        </w:tc>
        <w:tc>
          <w:tcPr>
            <w:tcW w:w="277" w:type="pct"/>
            <w:vAlign w:val="center"/>
          </w:tcPr>
          <w:p w14:paraId="22EE6B16">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1.39</w:t>
            </w:r>
          </w:p>
        </w:tc>
      </w:tr>
      <w:tr w14:paraId="3D5BAE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0" w:hRule="atLeast"/>
          <w:jc w:val="center"/>
        </w:trPr>
        <w:tc>
          <w:tcPr>
            <w:tcW w:w="193" w:type="pct"/>
            <w:vAlign w:val="center"/>
          </w:tcPr>
          <w:p w14:paraId="57E4BC93">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3</w:t>
            </w:r>
          </w:p>
        </w:tc>
        <w:tc>
          <w:tcPr>
            <w:tcW w:w="573" w:type="pct"/>
            <w:vAlign w:val="center"/>
          </w:tcPr>
          <w:p w14:paraId="7D23345B">
            <w:pPr>
              <w:pStyle w:val="143"/>
              <w:rPr>
                <w:rFonts w:hint="eastAsia" w:eastAsia="宋体"/>
                <w:snapToGrid w:val="0"/>
                <w:color w:val="000000" w:themeColor="text1"/>
                <w:lang w:eastAsia="zh-CN"/>
                <w14:textFill>
                  <w14:solidFill>
                    <w14:schemeClr w14:val="tx1"/>
                  </w14:solidFill>
                </w14:textFill>
              </w:rPr>
            </w:pPr>
            <w:r>
              <w:rPr>
                <w:snapToGrid w:val="0"/>
                <w:color w:val="000000" w:themeColor="text1"/>
                <w:lang w:val="en-US"/>
                <w14:textFill>
                  <w14:solidFill>
                    <w14:schemeClr w14:val="tx1"/>
                  </w14:solidFill>
                </w14:textFill>
              </w:rPr>
              <w:t>排气筒DA00</w:t>
            </w:r>
            <w:r>
              <w:rPr>
                <w:rFonts w:hint="eastAsia"/>
                <w:snapToGrid w:val="0"/>
                <w:color w:val="000000" w:themeColor="text1"/>
                <w:lang w:val="en-US" w:eastAsia="zh-CN"/>
                <w14:textFill>
                  <w14:solidFill>
                    <w14:schemeClr w14:val="tx1"/>
                  </w14:solidFill>
                </w14:textFill>
              </w:rPr>
              <w:t>3</w:t>
            </w:r>
          </w:p>
        </w:tc>
        <w:tc>
          <w:tcPr>
            <w:tcW w:w="513" w:type="pct"/>
            <w:vAlign w:val="center"/>
          </w:tcPr>
          <w:p w14:paraId="4A9C88E9">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130.57516134</w:t>
            </w:r>
          </w:p>
        </w:tc>
        <w:tc>
          <w:tcPr>
            <w:tcW w:w="602" w:type="pct"/>
            <w:vAlign w:val="center"/>
          </w:tcPr>
          <w:p w14:paraId="723D243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46.26877884</w:t>
            </w:r>
          </w:p>
        </w:tc>
        <w:tc>
          <w:tcPr>
            <w:tcW w:w="377" w:type="pct"/>
            <w:vAlign w:val="center"/>
          </w:tcPr>
          <w:p w14:paraId="2EA430F2">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150</w:t>
            </w:r>
          </w:p>
        </w:tc>
        <w:tc>
          <w:tcPr>
            <w:tcW w:w="266" w:type="pct"/>
            <w:vAlign w:val="center"/>
          </w:tcPr>
          <w:p w14:paraId="6BF68642">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w:t>
            </w:r>
          </w:p>
        </w:tc>
        <w:tc>
          <w:tcPr>
            <w:tcW w:w="266" w:type="pct"/>
            <w:vAlign w:val="center"/>
          </w:tcPr>
          <w:p w14:paraId="6B8983B7">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0.6</w:t>
            </w:r>
          </w:p>
        </w:tc>
        <w:tc>
          <w:tcPr>
            <w:tcW w:w="327" w:type="pct"/>
            <w:vAlign w:val="center"/>
          </w:tcPr>
          <w:p w14:paraId="158EF97F">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4.91</w:t>
            </w:r>
          </w:p>
        </w:tc>
        <w:tc>
          <w:tcPr>
            <w:tcW w:w="211" w:type="pct"/>
            <w:vAlign w:val="center"/>
          </w:tcPr>
          <w:p w14:paraId="290633E9">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2</w:t>
            </w:r>
            <w:r>
              <w:rPr>
                <w:snapToGrid w:val="0"/>
                <w:color w:val="000000" w:themeColor="text1"/>
                <w:lang w:eastAsia="zh-CN"/>
                <w14:textFill>
                  <w14:solidFill>
                    <w14:schemeClr w14:val="tx1"/>
                  </w14:solidFill>
                </w14:textFill>
              </w:rPr>
              <w:t>5</w:t>
            </w:r>
          </w:p>
        </w:tc>
        <w:tc>
          <w:tcPr>
            <w:tcW w:w="267" w:type="pct"/>
            <w:vAlign w:val="center"/>
          </w:tcPr>
          <w:p w14:paraId="6E024304">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7200</w:t>
            </w:r>
          </w:p>
        </w:tc>
        <w:tc>
          <w:tcPr>
            <w:tcW w:w="255" w:type="pct"/>
            <w:vAlign w:val="center"/>
          </w:tcPr>
          <w:p w14:paraId="67D1D455">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连续</w:t>
            </w:r>
          </w:p>
        </w:tc>
        <w:tc>
          <w:tcPr>
            <w:tcW w:w="205" w:type="pct"/>
            <w:vAlign w:val="center"/>
          </w:tcPr>
          <w:p w14:paraId="77CB9FA9">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03" w:type="pct"/>
            <w:vAlign w:val="center"/>
          </w:tcPr>
          <w:p w14:paraId="26867308">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18" w:type="pct"/>
            <w:vAlign w:val="center"/>
          </w:tcPr>
          <w:p w14:paraId="0EF7C630">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0.0029</w:t>
            </w:r>
          </w:p>
        </w:tc>
        <w:tc>
          <w:tcPr>
            <w:tcW w:w="238" w:type="pct"/>
            <w:vAlign w:val="center"/>
          </w:tcPr>
          <w:p w14:paraId="59B90DFB">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77" w:type="pct"/>
            <w:vAlign w:val="center"/>
          </w:tcPr>
          <w:p w14:paraId="2B5A2C21">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r>
      <w:bookmarkEnd w:id="50"/>
    </w:tbl>
    <w:p w14:paraId="1A7A4AEB">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表2-5-5 火炬源参数表（火炬源）</w:t>
      </w:r>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324"/>
        <w:gridCol w:w="1051"/>
        <w:gridCol w:w="1322"/>
        <w:gridCol w:w="1217"/>
        <w:gridCol w:w="627"/>
        <w:gridCol w:w="677"/>
        <w:gridCol w:w="680"/>
        <w:gridCol w:w="680"/>
        <w:gridCol w:w="680"/>
        <w:gridCol w:w="680"/>
        <w:gridCol w:w="680"/>
        <w:gridCol w:w="529"/>
        <w:gridCol w:w="772"/>
        <w:gridCol w:w="993"/>
        <w:gridCol w:w="1015"/>
        <w:gridCol w:w="1015"/>
        <w:gridCol w:w="1016"/>
      </w:tblGrid>
      <w:tr w14:paraId="0F2D69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 w:hRule="atLeast"/>
          <w:tblHeader/>
          <w:jc w:val="center"/>
        </w:trPr>
        <w:tc>
          <w:tcPr>
            <w:tcW w:w="122" w:type="pct"/>
            <w:vMerge w:val="restart"/>
            <w:vAlign w:val="center"/>
          </w:tcPr>
          <w:p w14:paraId="6098DEF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序号</w:t>
            </w:r>
          </w:p>
        </w:tc>
        <w:tc>
          <w:tcPr>
            <w:tcW w:w="419" w:type="pct"/>
            <w:vMerge w:val="restart"/>
            <w:vAlign w:val="center"/>
          </w:tcPr>
          <w:p w14:paraId="63AF133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名称</w:t>
            </w:r>
          </w:p>
        </w:tc>
        <w:tc>
          <w:tcPr>
            <w:tcW w:w="800" w:type="pct"/>
            <w:gridSpan w:val="2"/>
            <w:vMerge w:val="restart"/>
            <w:vAlign w:val="center"/>
          </w:tcPr>
          <w:p w14:paraId="4E80B1C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排气筒底部中心坐标</w:t>
            </w:r>
          </w:p>
        </w:tc>
        <w:tc>
          <w:tcPr>
            <w:tcW w:w="249" w:type="pct"/>
            <w:vMerge w:val="restart"/>
            <w:vAlign w:val="center"/>
          </w:tcPr>
          <w:p w14:paraId="3A3194E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底部海拔高度</w:t>
            </w:r>
          </w:p>
        </w:tc>
        <w:tc>
          <w:tcPr>
            <w:tcW w:w="267" w:type="pct"/>
            <w:vMerge w:val="restart"/>
            <w:vAlign w:val="center"/>
          </w:tcPr>
          <w:p w14:paraId="1B2A722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火炬等效高度</w:t>
            </w:r>
          </w:p>
        </w:tc>
        <w:tc>
          <w:tcPr>
            <w:tcW w:w="268" w:type="pct"/>
            <w:vMerge w:val="restart"/>
            <w:vAlign w:val="center"/>
          </w:tcPr>
          <w:p w14:paraId="466A354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等效出口内径</w:t>
            </w:r>
          </w:p>
        </w:tc>
        <w:tc>
          <w:tcPr>
            <w:tcW w:w="268" w:type="pct"/>
            <w:vMerge w:val="restart"/>
            <w:vAlign w:val="center"/>
          </w:tcPr>
          <w:p w14:paraId="7389FED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烟气流速</w:t>
            </w:r>
          </w:p>
        </w:tc>
        <w:tc>
          <w:tcPr>
            <w:tcW w:w="268" w:type="pct"/>
            <w:vMerge w:val="restart"/>
            <w:vAlign w:val="center"/>
          </w:tcPr>
          <w:p w14:paraId="1001699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烟气温度</w:t>
            </w:r>
          </w:p>
        </w:tc>
        <w:tc>
          <w:tcPr>
            <w:tcW w:w="268" w:type="pct"/>
            <w:vMerge w:val="restart"/>
            <w:vAlign w:val="center"/>
          </w:tcPr>
          <w:p w14:paraId="213CEC2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排放小时数</w:t>
            </w:r>
          </w:p>
        </w:tc>
        <w:tc>
          <w:tcPr>
            <w:tcW w:w="268" w:type="pct"/>
            <w:vMerge w:val="restart"/>
            <w:vAlign w:val="center"/>
          </w:tcPr>
          <w:p w14:paraId="393B3D6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排放工况</w:t>
            </w:r>
          </w:p>
        </w:tc>
        <w:tc>
          <w:tcPr>
            <w:tcW w:w="895" w:type="pct"/>
            <w:gridSpan w:val="3"/>
            <w:vAlign w:val="center"/>
          </w:tcPr>
          <w:p w14:paraId="30B0421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污染物排放速率</w:t>
            </w:r>
          </w:p>
        </w:tc>
        <w:tc>
          <w:tcPr>
            <w:tcW w:w="908" w:type="pct"/>
            <w:gridSpan w:val="3"/>
            <w:vAlign w:val="center"/>
          </w:tcPr>
          <w:p w14:paraId="74E4F8E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污染物排放速率</w:t>
            </w:r>
          </w:p>
        </w:tc>
      </w:tr>
      <w:tr w14:paraId="782E89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4" w:hRule="atLeast"/>
          <w:tblHeader/>
          <w:jc w:val="center"/>
        </w:trPr>
        <w:tc>
          <w:tcPr>
            <w:tcW w:w="122" w:type="pct"/>
            <w:vMerge w:val="continue"/>
            <w:vAlign w:val="center"/>
          </w:tcPr>
          <w:p w14:paraId="5C311970">
            <w:pPr>
              <w:pStyle w:val="143"/>
              <w:rPr>
                <w:snapToGrid w:val="0"/>
                <w:color w:val="000000" w:themeColor="text1"/>
                <w14:textFill>
                  <w14:solidFill>
                    <w14:schemeClr w14:val="tx1"/>
                  </w14:solidFill>
                </w14:textFill>
              </w:rPr>
            </w:pPr>
          </w:p>
        </w:tc>
        <w:tc>
          <w:tcPr>
            <w:tcW w:w="419" w:type="pct"/>
            <w:vMerge w:val="continue"/>
            <w:vAlign w:val="center"/>
          </w:tcPr>
          <w:p w14:paraId="62A9BE0B">
            <w:pPr>
              <w:pStyle w:val="143"/>
              <w:rPr>
                <w:snapToGrid w:val="0"/>
                <w:color w:val="000000" w:themeColor="text1"/>
                <w14:textFill>
                  <w14:solidFill>
                    <w14:schemeClr w14:val="tx1"/>
                  </w14:solidFill>
                </w14:textFill>
              </w:rPr>
            </w:pPr>
          </w:p>
        </w:tc>
        <w:tc>
          <w:tcPr>
            <w:tcW w:w="800" w:type="pct"/>
            <w:gridSpan w:val="2"/>
            <w:vMerge w:val="continue"/>
            <w:vAlign w:val="center"/>
          </w:tcPr>
          <w:p w14:paraId="24EC9C77">
            <w:pPr>
              <w:pStyle w:val="143"/>
              <w:rPr>
                <w:snapToGrid w:val="0"/>
                <w:color w:val="000000" w:themeColor="text1"/>
                <w14:textFill>
                  <w14:solidFill>
                    <w14:schemeClr w14:val="tx1"/>
                  </w14:solidFill>
                </w14:textFill>
              </w:rPr>
            </w:pPr>
          </w:p>
        </w:tc>
        <w:tc>
          <w:tcPr>
            <w:tcW w:w="249" w:type="pct"/>
            <w:vMerge w:val="continue"/>
            <w:vAlign w:val="center"/>
          </w:tcPr>
          <w:p w14:paraId="243B4D5C">
            <w:pPr>
              <w:pStyle w:val="143"/>
              <w:rPr>
                <w:snapToGrid w:val="0"/>
                <w:color w:val="000000" w:themeColor="text1"/>
                <w14:textFill>
                  <w14:solidFill>
                    <w14:schemeClr w14:val="tx1"/>
                  </w14:solidFill>
                </w14:textFill>
              </w:rPr>
            </w:pPr>
          </w:p>
        </w:tc>
        <w:tc>
          <w:tcPr>
            <w:tcW w:w="267" w:type="pct"/>
            <w:vMerge w:val="continue"/>
            <w:vAlign w:val="center"/>
          </w:tcPr>
          <w:p w14:paraId="12138AE1">
            <w:pPr>
              <w:pStyle w:val="143"/>
              <w:rPr>
                <w:snapToGrid w:val="0"/>
                <w:color w:val="000000" w:themeColor="text1"/>
                <w14:textFill>
                  <w14:solidFill>
                    <w14:schemeClr w14:val="tx1"/>
                  </w14:solidFill>
                </w14:textFill>
              </w:rPr>
            </w:pPr>
          </w:p>
        </w:tc>
        <w:tc>
          <w:tcPr>
            <w:tcW w:w="268" w:type="pct"/>
            <w:vMerge w:val="continue"/>
            <w:vAlign w:val="center"/>
          </w:tcPr>
          <w:p w14:paraId="12C3A605">
            <w:pPr>
              <w:pStyle w:val="143"/>
              <w:rPr>
                <w:snapToGrid w:val="0"/>
                <w:color w:val="000000" w:themeColor="text1"/>
                <w14:textFill>
                  <w14:solidFill>
                    <w14:schemeClr w14:val="tx1"/>
                  </w14:solidFill>
                </w14:textFill>
              </w:rPr>
            </w:pPr>
          </w:p>
        </w:tc>
        <w:tc>
          <w:tcPr>
            <w:tcW w:w="268" w:type="pct"/>
            <w:vMerge w:val="continue"/>
            <w:vAlign w:val="center"/>
          </w:tcPr>
          <w:p w14:paraId="76C4BDD8">
            <w:pPr>
              <w:pStyle w:val="143"/>
              <w:rPr>
                <w:snapToGrid w:val="0"/>
                <w:color w:val="000000" w:themeColor="text1"/>
                <w14:textFill>
                  <w14:solidFill>
                    <w14:schemeClr w14:val="tx1"/>
                  </w14:solidFill>
                </w14:textFill>
              </w:rPr>
            </w:pPr>
          </w:p>
        </w:tc>
        <w:tc>
          <w:tcPr>
            <w:tcW w:w="268" w:type="pct"/>
            <w:vMerge w:val="continue"/>
            <w:vAlign w:val="center"/>
          </w:tcPr>
          <w:p w14:paraId="74B3F1DD">
            <w:pPr>
              <w:pStyle w:val="143"/>
              <w:rPr>
                <w:snapToGrid w:val="0"/>
                <w:color w:val="000000" w:themeColor="text1"/>
                <w14:textFill>
                  <w14:solidFill>
                    <w14:schemeClr w14:val="tx1"/>
                  </w14:solidFill>
                </w14:textFill>
              </w:rPr>
            </w:pPr>
          </w:p>
        </w:tc>
        <w:tc>
          <w:tcPr>
            <w:tcW w:w="268" w:type="pct"/>
            <w:vMerge w:val="continue"/>
            <w:vAlign w:val="center"/>
          </w:tcPr>
          <w:p w14:paraId="3652A8CA">
            <w:pPr>
              <w:pStyle w:val="143"/>
              <w:rPr>
                <w:snapToGrid w:val="0"/>
                <w:color w:val="000000" w:themeColor="text1"/>
                <w14:textFill>
                  <w14:solidFill>
                    <w14:schemeClr w14:val="tx1"/>
                  </w14:solidFill>
                </w14:textFill>
              </w:rPr>
            </w:pPr>
          </w:p>
        </w:tc>
        <w:tc>
          <w:tcPr>
            <w:tcW w:w="268" w:type="pct"/>
            <w:vMerge w:val="continue"/>
            <w:vAlign w:val="center"/>
          </w:tcPr>
          <w:p w14:paraId="1C2230D1">
            <w:pPr>
              <w:pStyle w:val="143"/>
              <w:rPr>
                <w:snapToGrid w:val="0"/>
                <w:color w:val="000000" w:themeColor="text1"/>
                <w14:textFill>
                  <w14:solidFill>
                    <w14:schemeClr w14:val="tx1"/>
                  </w14:solidFill>
                </w14:textFill>
              </w:rPr>
            </w:pPr>
          </w:p>
        </w:tc>
        <w:tc>
          <w:tcPr>
            <w:tcW w:w="214" w:type="pct"/>
            <w:vAlign w:val="center"/>
          </w:tcPr>
          <w:p w14:paraId="66B776D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燃烧物质</w:t>
            </w:r>
          </w:p>
        </w:tc>
        <w:tc>
          <w:tcPr>
            <w:tcW w:w="301" w:type="pct"/>
            <w:vAlign w:val="center"/>
          </w:tcPr>
          <w:p w14:paraId="27565FA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燃烧速率</w:t>
            </w:r>
          </w:p>
        </w:tc>
        <w:tc>
          <w:tcPr>
            <w:tcW w:w="380" w:type="pct"/>
            <w:vAlign w:val="center"/>
          </w:tcPr>
          <w:p w14:paraId="379FA1A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总热释放速率</w:t>
            </w:r>
          </w:p>
        </w:tc>
        <w:tc>
          <w:tcPr>
            <w:tcW w:w="334" w:type="pct"/>
            <w:vAlign w:val="center"/>
          </w:tcPr>
          <w:p w14:paraId="0209F27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PM</w:t>
            </w:r>
            <w:r>
              <w:rPr>
                <w:snapToGrid w:val="0"/>
                <w:color w:val="000000" w:themeColor="text1"/>
                <w:vertAlign w:val="subscript"/>
                <w14:textFill>
                  <w14:solidFill>
                    <w14:schemeClr w14:val="tx1"/>
                  </w14:solidFill>
                </w14:textFill>
              </w:rPr>
              <w:t>10</w:t>
            </w:r>
          </w:p>
        </w:tc>
        <w:tc>
          <w:tcPr>
            <w:tcW w:w="348" w:type="pct"/>
            <w:vAlign w:val="center"/>
          </w:tcPr>
          <w:p w14:paraId="52A794C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SO</w:t>
            </w:r>
            <w:r>
              <w:rPr>
                <w:snapToGrid w:val="0"/>
                <w:color w:val="000000" w:themeColor="text1"/>
                <w:vertAlign w:val="subscript"/>
                <w14:textFill>
                  <w14:solidFill>
                    <w14:schemeClr w14:val="tx1"/>
                  </w14:solidFill>
                </w14:textFill>
              </w:rPr>
              <w:t>2</w:t>
            </w:r>
          </w:p>
        </w:tc>
        <w:tc>
          <w:tcPr>
            <w:tcW w:w="226" w:type="pct"/>
            <w:vAlign w:val="center"/>
          </w:tcPr>
          <w:p w14:paraId="0204409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NO</w:t>
            </w:r>
            <w:r>
              <w:rPr>
                <w:snapToGrid w:val="0"/>
                <w:color w:val="000000" w:themeColor="text1"/>
                <w:vertAlign w:val="subscript"/>
                <w14:textFill>
                  <w14:solidFill>
                    <w14:schemeClr w14:val="tx1"/>
                  </w14:solidFill>
                </w14:textFill>
              </w:rPr>
              <w:t>X</w:t>
            </w:r>
          </w:p>
        </w:tc>
      </w:tr>
      <w:tr w14:paraId="62C730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6" w:hRule="atLeast"/>
          <w:jc w:val="center"/>
        </w:trPr>
        <w:tc>
          <w:tcPr>
            <w:tcW w:w="122" w:type="pct"/>
            <w:vMerge w:val="continue"/>
            <w:vAlign w:val="center"/>
          </w:tcPr>
          <w:p w14:paraId="2C53E5B2">
            <w:pPr>
              <w:pStyle w:val="143"/>
              <w:rPr>
                <w:snapToGrid w:val="0"/>
                <w:color w:val="000000" w:themeColor="text1"/>
                <w14:textFill>
                  <w14:solidFill>
                    <w14:schemeClr w14:val="tx1"/>
                  </w14:solidFill>
                </w14:textFill>
              </w:rPr>
            </w:pPr>
          </w:p>
        </w:tc>
        <w:tc>
          <w:tcPr>
            <w:tcW w:w="419" w:type="pct"/>
            <w:vAlign w:val="center"/>
          </w:tcPr>
          <w:p w14:paraId="299FA3E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单位</w:t>
            </w:r>
          </w:p>
        </w:tc>
        <w:tc>
          <w:tcPr>
            <w:tcW w:w="420" w:type="pct"/>
            <w:vAlign w:val="center"/>
          </w:tcPr>
          <w:p w14:paraId="6C5E836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东经</w:t>
            </w:r>
          </w:p>
        </w:tc>
        <w:tc>
          <w:tcPr>
            <w:tcW w:w="380" w:type="pct"/>
            <w:vAlign w:val="center"/>
          </w:tcPr>
          <w:p w14:paraId="00E47EC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北纬</w:t>
            </w:r>
          </w:p>
        </w:tc>
        <w:tc>
          <w:tcPr>
            <w:tcW w:w="249" w:type="pct"/>
            <w:vAlign w:val="center"/>
          </w:tcPr>
          <w:p w14:paraId="58E1841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m</w:t>
            </w:r>
          </w:p>
        </w:tc>
        <w:tc>
          <w:tcPr>
            <w:tcW w:w="267" w:type="pct"/>
            <w:vAlign w:val="center"/>
          </w:tcPr>
          <w:p w14:paraId="5E947B3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m</w:t>
            </w:r>
          </w:p>
        </w:tc>
        <w:tc>
          <w:tcPr>
            <w:tcW w:w="268" w:type="pct"/>
            <w:vAlign w:val="center"/>
          </w:tcPr>
          <w:p w14:paraId="01478F4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m</w:t>
            </w:r>
          </w:p>
        </w:tc>
        <w:tc>
          <w:tcPr>
            <w:tcW w:w="268" w:type="pct"/>
            <w:vAlign w:val="center"/>
          </w:tcPr>
          <w:p w14:paraId="315137C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m/s</w:t>
            </w:r>
          </w:p>
        </w:tc>
        <w:tc>
          <w:tcPr>
            <w:tcW w:w="268" w:type="pct"/>
            <w:vAlign w:val="center"/>
          </w:tcPr>
          <w:p w14:paraId="13D630C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p>
        </w:tc>
        <w:tc>
          <w:tcPr>
            <w:tcW w:w="268" w:type="pct"/>
            <w:vAlign w:val="center"/>
          </w:tcPr>
          <w:p w14:paraId="1B1A12F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w:t>
            </w:r>
          </w:p>
        </w:tc>
        <w:tc>
          <w:tcPr>
            <w:tcW w:w="268" w:type="pct"/>
            <w:vAlign w:val="center"/>
          </w:tcPr>
          <w:p w14:paraId="5255F5D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p>
        </w:tc>
        <w:tc>
          <w:tcPr>
            <w:tcW w:w="214" w:type="pct"/>
            <w:vAlign w:val="center"/>
          </w:tcPr>
          <w:p w14:paraId="46C611F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w:t>
            </w:r>
          </w:p>
        </w:tc>
        <w:tc>
          <w:tcPr>
            <w:tcW w:w="301" w:type="pct"/>
            <w:vAlign w:val="center"/>
          </w:tcPr>
          <w:p w14:paraId="37ABF77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kg/h</w:t>
            </w:r>
          </w:p>
        </w:tc>
        <w:tc>
          <w:tcPr>
            <w:tcW w:w="380" w:type="pct"/>
            <w:vAlign w:val="center"/>
          </w:tcPr>
          <w:p w14:paraId="5B4155B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cal/s</w:t>
            </w:r>
          </w:p>
        </w:tc>
        <w:tc>
          <w:tcPr>
            <w:tcW w:w="334" w:type="pct"/>
            <w:vAlign w:val="center"/>
          </w:tcPr>
          <w:p w14:paraId="7481296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kg/h</w:t>
            </w:r>
          </w:p>
        </w:tc>
        <w:tc>
          <w:tcPr>
            <w:tcW w:w="348" w:type="pct"/>
            <w:vAlign w:val="center"/>
          </w:tcPr>
          <w:p w14:paraId="1A1D9CC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kg/h</w:t>
            </w:r>
          </w:p>
        </w:tc>
        <w:tc>
          <w:tcPr>
            <w:tcW w:w="226" w:type="pct"/>
            <w:vAlign w:val="center"/>
          </w:tcPr>
          <w:p w14:paraId="7D1326D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kg/h</w:t>
            </w:r>
          </w:p>
        </w:tc>
      </w:tr>
      <w:tr w14:paraId="1D9283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6" w:hRule="atLeast"/>
          <w:jc w:val="center"/>
        </w:trPr>
        <w:tc>
          <w:tcPr>
            <w:tcW w:w="122" w:type="pct"/>
            <w:vAlign w:val="center"/>
          </w:tcPr>
          <w:p w14:paraId="0EABB30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p>
        </w:tc>
        <w:tc>
          <w:tcPr>
            <w:tcW w:w="419" w:type="pct"/>
            <w:vAlign w:val="center"/>
          </w:tcPr>
          <w:p w14:paraId="6BFF2A3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火炬F1</w:t>
            </w:r>
          </w:p>
        </w:tc>
        <w:tc>
          <w:tcPr>
            <w:tcW w:w="420" w:type="pct"/>
            <w:vAlign w:val="center"/>
          </w:tcPr>
          <w:p w14:paraId="37028B2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130.57725553</w:t>
            </w:r>
          </w:p>
        </w:tc>
        <w:tc>
          <w:tcPr>
            <w:tcW w:w="380" w:type="pct"/>
            <w:vAlign w:val="center"/>
          </w:tcPr>
          <w:p w14:paraId="77A1C3B7">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46.26921557</w:t>
            </w:r>
          </w:p>
        </w:tc>
        <w:tc>
          <w:tcPr>
            <w:tcW w:w="249" w:type="pct"/>
            <w:vAlign w:val="center"/>
          </w:tcPr>
          <w:p w14:paraId="13DE2E2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152</w:t>
            </w:r>
          </w:p>
        </w:tc>
        <w:tc>
          <w:tcPr>
            <w:tcW w:w="267" w:type="pct"/>
            <w:vAlign w:val="center"/>
          </w:tcPr>
          <w:p w14:paraId="4D9E675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8.41</w:t>
            </w:r>
          </w:p>
        </w:tc>
        <w:tc>
          <w:tcPr>
            <w:tcW w:w="268" w:type="pct"/>
            <w:vAlign w:val="center"/>
          </w:tcPr>
          <w:p w14:paraId="185875AB">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0.07</w:t>
            </w:r>
          </w:p>
        </w:tc>
        <w:tc>
          <w:tcPr>
            <w:tcW w:w="268" w:type="pct"/>
            <w:vAlign w:val="center"/>
          </w:tcPr>
          <w:p w14:paraId="29145BD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20</w:t>
            </w:r>
          </w:p>
        </w:tc>
        <w:tc>
          <w:tcPr>
            <w:tcW w:w="268" w:type="pct"/>
            <w:vAlign w:val="center"/>
          </w:tcPr>
          <w:p w14:paraId="0D1386A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1000</w:t>
            </w:r>
          </w:p>
        </w:tc>
        <w:tc>
          <w:tcPr>
            <w:tcW w:w="268" w:type="pct"/>
            <w:vAlign w:val="center"/>
          </w:tcPr>
          <w:p w14:paraId="41221FD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5264</w:t>
            </w:r>
          </w:p>
        </w:tc>
        <w:tc>
          <w:tcPr>
            <w:tcW w:w="268" w:type="pct"/>
            <w:vAlign w:val="center"/>
          </w:tcPr>
          <w:p w14:paraId="552D680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连续</w:t>
            </w:r>
          </w:p>
        </w:tc>
        <w:tc>
          <w:tcPr>
            <w:tcW w:w="214" w:type="pct"/>
            <w:vAlign w:val="center"/>
          </w:tcPr>
          <w:p w14:paraId="49FBDED5">
            <w:pPr>
              <w:pStyle w:val="143"/>
              <w:rPr>
                <w:snapToGrid w:val="0"/>
                <w:color w:val="000000" w:themeColor="text1"/>
                <w:vertAlign w:val="subscript"/>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C</w:t>
            </w:r>
            <w:r>
              <w:rPr>
                <w:snapToGrid w:val="0"/>
                <w:color w:val="000000" w:themeColor="text1"/>
                <w:lang w:eastAsia="zh-CN"/>
                <w14:textFill>
                  <w14:solidFill>
                    <w14:schemeClr w14:val="tx1"/>
                  </w14:solidFill>
                </w14:textFill>
              </w:rPr>
              <w:t>H</w:t>
            </w:r>
            <w:r>
              <w:rPr>
                <w:snapToGrid w:val="0"/>
                <w:color w:val="000000" w:themeColor="text1"/>
                <w:vertAlign w:val="subscript"/>
                <w:lang w:eastAsia="zh-CN"/>
                <w14:textFill>
                  <w14:solidFill>
                    <w14:schemeClr w14:val="tx1"/>
                  </w14:solidFill>
                </w14:textFill>
              </w:rPr>
              <w:t>4</w:t>
            </w:r>
          </w:p>
        </w:tc>
        <w:tc>
          <w:tcPr>
            <w:tcW w:w="301" w:type="pct"/>
            <w:vAlign w:val="center"/>
          </w:tcPr>
          <w:p w14:paraId="5EA05D81">
            <w:pPr>
              <w:pStyle w:val="143"/>
              <w:jc w:val="center"/>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4.14</w:t>
            </w:r>
          </w:p>
        </w:tc>
        <w:tc>
          <w:tcPr>
            <w:tcW w:w="380" w:type="pct"/>
            <w:vAlign w:val="center"/>
          </w:tcPr>
          <w:p w14:paraId="49300CAF">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11944.44</w:t>
            </w:r>
          </w:p>
        </w:tc>
        <w:tc>
          <w:tcPr>
            <w:tcW w:w="334" w:type="pct"/>
            <w:vAlign w:val="center"/>
          </w:tcPr>
          <w:p w14:paraId="536361DA">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1.39×10</w:t>
            </w:r>
            <w:r>
              <w:rPr>
                <w:rFonts w:hint="eastAsia"/>
                <w:snapToGrid w:val="0"/>
                <w:color w:val="000000" w:themeColor="text1"/>
                <w:vertAlign w:val="superscript"/>
                <w:lang w:val="en-US" w:eastAsia="zh-CN"/>
                <w14:textFill>
                  <w14:solidFill>
                    <w14:schemeClr w14:val="tx1"/>
                  </w14:solidFill>
                </w14:textFill>
              </w:rPr>
              <w:t>-3</w:t>
            </w:r>
          </w:p>
        </w:tc>
        <w:tc>
          <w:tcPr>
            <w:tcW w:w="348" w:type="pct"/>
            <w:vAlign w:val="center"/>
          </w:tcPr>
          <w:p w14:paraId="26ADBE97">
            <w:pPr>
              <w:pStyle w:val="143"/>
              <w:rPr>
                <w:rFonts w:hint="default"/>
                <w:snapToGrid w:val="0"/>
                <w:color w:val="000000" w:themeColor="text1"/>
                <w:vertAlign w:val="superscript"/>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2.28×10</w:t>
            </w:r>
            <w:r>
              <w:rPr>
                <w:rFonts w:hint="eastAsia"/>
                <w:snapToGrid w:val="0"/>
                <w:color w:val="000000" w:themeColor="text1"/>
                <w:vertAlign w:val="superscript"/>
                <w:lang w:val="en-US" w:eastAsia="zh-CN"/>
                <w14:textFill>
                  <w14:solidFill>
                    <w14:schemeClr w14:val="tx1"/>
                  </w14:solidFill>
                </w14:textFill>
              </w:rPr>
              <w:t>-4</w:t>
            </w:r>
          </w:p>
        </w:tc>
        <w:tc>
          <w:tcPr>
            <w:tcW w:w="226" w:type="pct"/>
            <w:vAlign w:val="center"/>
          </w:tcPr>
          <w:p w14:paraId="72756AE3">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9.16×10</w:t>
            </w:r>
            <w:r>
              <w:rPr>
                <w:rFonts w:hint="eastAsia"/>
                <w:snapToGrid w:val="0"/>
                <w:color w:val="000000" w:themeColor="text1"/>
                <w:vertAlign w:val="superscript"/>
                <w:lang w:val="en-US" w:eastAsia="zh-CN"/>
                <w14:textFill>
                  <w14:solidFill>
                    <w14:schemeClr w14:val="tx1"/>
                  </w14:solidFill>
                </w14:textFill>
              </w:rPr>
              <w:t>-3</w:t>
            </w:r>
          </w:p>
        </w:tc>
      </w:tr>
    </w:tbl>
    <w:p w14:paraId="18DDA487">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表2-5-6 面源参数表</w:t>
      </w:r>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47"/>
        <w:gridCol w:w="1494"/>
        <w:gridCol w:w="1346"/>
        <w:gridCol w:w="894"/>
        <w:gridCol w:w="1047"/>
        <w:gridCol w:w="1195"/>
        <w:gridCol w:w="1198"/>
        <w:gridCol w:w="1195"/>
        <w:gridCol w:w="771"/>
        <w:gridCol w:w="1603"/>
        <w:gridCol w:w="1363"/>
        <w:gridCol w:w="1405"/>
      </w:tblGrid>
      <w:tr w14:paraId="7FEB37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0" w:type="pct"/>
            <w:vMerge w:val="restart"/>
            <w:vAlign w:val="center"/>
          </w:tcPr>
          <w:p w14:paraId="09FD83F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编号</w:t>
            </w:r>
          </w:p>
        </w:tc>
        <w:tc>
          <w:tcPr>
            <w:tcW w:w="535" w:type="pct"/>
            <w:vMerge w:val="restart"/>
            <w:vAlign w:val="center"/>
          </w:tcPr>
          <w:p w14:paraId="5DBB978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面源名称</w:t>
            </w:r>
          </w:p>
        </w:tc>
        <w:tc>
          <w:tcPr>
            <w:tcW w:w="482" w:type="pct"/>
            <w:vMerge w:val="restart"/>
            <w:vAlign w:val="center"/>
          </w:tcPr>
          <w:p w14:paraId="00B1143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面源海拔高度/m</w:t>
            </w:r>
          </w:p>
        </w:tc>
        <w:tc>
          <w:tcPr>
            <w:tcW w:w="320" w:type="pct"/>
            <w:vMerge w:val="restart"/>
            <w:vAlign w:val="center"/>
          </w:tcPr>
          <w:p w14:paraId="2461A40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面源长度/m</w:t>
            </w:r>
          </w:p>
        </w:tc>
        <w:tc>
          <w:tcPr>
            <w:tcW w:w="375" w:type="pct"/>
            <w:vMerge w:val="restart"/>
            <w:vAlign w:val="center"/>
          </w:tcPr>
          <w:p w14:paraId="50DF5C4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面源宽度/m</w:t>
            </w:r>
          </w:p>
        </w:tc>
        <w:tc>
          <w:tcPr>
            <w:tcW w:w="428" w:type="pct"/>
            <w:vMerge w:val="restart"/>
            <w:vAlign w:val="center"/>
          </w:tcPr>
          <w:p w14:paraId="23E478D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与正北向夹角/°</w:t>
            </w:r>
          </w:p>
        </w:tc>
        <w:tc>
          <w:tcPr>
            <w:tcW w:w="429" w:type="pct"/>
            <w:vMerge w:val="restart"/>
            <w:vAlign w:val="center"/>
          </w:tcPr>
          <w:p w14:paraId="0EFD565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面源排放高度/m</w:t>
            </w:r>
          </w:p>
        </w:tc>
        <w:tc>
          <w:tcPr>
            <w:tcW w:w="428" w:type="pct"/>
            <w:vMerge w:val="restart"/>
            <w:vAlign w:val="center"/>
          </w:tcPr>
          <w:p w14:paraId="27E6B10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年排放小时数/h</w:t>
            </w:r>
          </w:p>
        </w:tc>
        <w:tc>
          <w:tcPr>
            <w:tcW w:w="276" w:type="pct"/>
            <w:vMerge w:val="restart"/>
            <w:vAlign w:val="center"/>
          </w:tcPr>
          <w:p w14:paraId="58216C4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排放工况</w:t>
            </w:r>
          </w:p>
        </w:tc>
        <w:tc>
          <w:tcPr>
            <w:tcW w:w="1565" w:type="pct"/>
            <w:gridSpan w:val="3"/>
            <w:vAlign w:val="center"/>
          </w:tcPr>
          <w:p w14:paraId="15447FE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污染物排放速率/（kg/h）</w:t>
            </w:r>
          </w:p>
        </w:tc>
      </w:tr>
      <w:tr w14:paraId="0B33B5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 w:hRule="atLeast"/>
          <w:jc w:val="center"/>
        </w:trPr>
        <w:tc>
          <w:tcPr>
            <w:tcW w:w="160" w:type="pct"/>
            <w:vMerge w:val="continue"/>
            <w:vAlign w:val="center"/>
          </w:tcPr>
          <w:p w14:paraId="7DB661C3">
            <w:pPr>
              <w:pStyle w:val="143"/>
              <w:rPr>
                <w:snapToGrid w:val="0"/>
                <w:color w:val="000000" w:themeColor="text1"/>
                <w14:textFill>
                  <w14:solidFill>
                    <w14:schemeClr w14:val="tx1"/>
                  </w14:solidFill>
                </w14:textFill>
              </w:rPr>
            </w:pPr>
          </w:p>
        </w:tc>
        <w:tc>
          <w:tcPr>
            <w:tcW w:w="535" w:type="pct"/>
            <w:vMerge w:val="continue"/>
            <w:vAlign w:val="center"/>
          </w:tcPr>
          <w:p w14:paraId="58D1645C">
            <w:pPr>
              <w:pStyle w:val="143"/>
              <w:rPr>
                <w:snapToGrid w:val="0"/>
                <w:color w:val="000000" w:themeColor="text1"/>
                <w14:textFill>
                  <w14:solidFill>
                    <w14:schemeClr w14:val="tx1"/>
                  </w14:solidFill>
                </w14:textFill>
              </w:rPr>
            </w:pPr>
          </w:p>
        </w:tc>
        <w:tc>
          <w:tcPr>
            <w:tcW w:w="482" w:type="pct"/>
            <w:vMerge w:val="continue"/>
            <w:vAlign w:val="center"/>
          </w:tcPr>
          <w:p w14:paraId="7403F443">
            <w:pPr>
              <w:pStyle w:val="143"/>
              <w:rPr>
                <w:snapToGrid w:val="0"/>
                <w:color w:val="000000" w:themeColor="text1"/>
                <w14:textFill>
                  <w14:solidFill>
                    <w14:schemeClr w14:val="tx1"/>
                  </w14:solidFill>
                </w14:textFill>
              </w:rPr>
            </w:pPr>
          </w:p>
        </w:tc>
        <w:tc>
          <w:tcPr>
            <w:tcW w:w="320" w:type="pct"/>
            <w:vMerge w:val="continue"/>
            <w:vAlign w:val="center"/>
          </w:tcPr>
          <w:p w14:paraId="56BE9C2F">
            <w:pPr>
              <w:pStyle w:val="143"/>
              <w:rPr>
                <w:snapToGrid w:val="0"/>
                <w:color w:val="000000" w:themeColor="text1"/>
                <w14:textFill>
                  <w14:solidFill>
                    <w14:schemeClr w14:val="tx1"/>
                  </w14:solidFill>
                </w14:textFill>
              </w:rPr>
            </w:pPr>
          </w:p>
        </w:tc>
        <w:tc>
          <w:tcPr>
            <w:tcW w:w="375" w:type="pct"/>
            <w:vMerge w:val="continue"/>
            <w:vAlign w:val="center"/>
          </w:tcPr>
          <w:p w14:paraId="697A9C00">
            <w:pPr>
              <w:pStyle w:val="143"/>
              <w:rPr>
                <w:snapToGrid w:val="0"/>
                <w:color w:val="000000" w:themeColor="text1"/>
                <w14:textFill>
                  <w14:solidFill>
                    <w14:schemeClr w14:val="tx1"/>
                  </w14:solidFill>
                </w14:textFill>
              </w:rPr>
            </w:pPr>
          </w:p>
        </w:tc>
        <w:tc>
          <w:tcPr>
            <w:tcW w:w="428" w:type="pct"/>
            <w:vMerge w:val="continue"/>
            <w:vAlign w:val="center"/>
          </w:tcPr>
          <w:p w14:paraId="1FBF9F8B">
            <w:pPr>
              <w:pStyle w:val="143"/>
              <w:rPr>
                <w:snapToGrid w:val="0"/>
                <w:color w:val="000000" w:themeColor="text1"/>
                <w14:textFill>
                  <w14:solidFill>
                    <w14:schemeClr w14:val="tx1"/>
                  </w14:solidFill>
                </w14:textFill>
              </w:rPr>
            </w:pPr>
          </w:p>
        </w:tc>
        <w:tc>
          <w:tcPr>
            <w:tcW w:w="429" w:type="pct"/>
            <w:vMerge w:val="continue"/>
            <w:vAlign w:val="center"/>
          </w:tcPr>
          <w:p w14:paraId="15584E6C">
            <w:pPr>
              <w:pStyle w:val="143"/>
              <w:rPr>
                <w:snapToGrid w:val="0"/>
                <w:color w:val="000000" w:themeColor="text1"/>
                <w14:textFill>
                  <w14:solidFill>
                    <w14:schemeClr w14:val="tx1"/>
                  </w14:solidFill>
                </w14:textFill>
              </w:rPr>
            </w:pPr>
          </w:p>
        </w:tc>
        <w:tc>
          <w:tcPr>
            <w:tcW w:w="428" w:type="pct"/>
            <w:vMerge w:val="continue"/>
            <w:vAlign w:val="center"/>
          </w:tcPr>
          <w:p w14:paraId="77C53E2D">
            <w:pPr>
              <w:pStyle w:val="143"/>
              <w:rPr>
                <w:snapToGrid w:val="0"/>
                <w:color w:val="000000" w:themeColor="text1"/>
                <w14:textFill>
                  <w14:solidFill>
                    <w14:schemeClr w14:val="tx1"/>
                  </w14:solidFill>
                </w14:textFill>
              </w:rPr>
            </w:pPr>
          </w:p>
        </w:tc>
        <w:tc>
          <w:tcPr>
            <w:tcW w:w="276" w:type="pct"/>
            <w:vMerge w:val="continue"/>
            <w:vAlign w:val="center"/>
          </w:tcPr>
          <w:p w14:paraId="64EF4659">
            <w:pPr>
              <w:pStyle w:val="143"/>
              <w:rPr>
                <w:snapToGrid w:val="0"/>
                <w:color w:val="000000" w:themeColor="text1"/>
                <w14:textFill>
                  <w14:solidFill>
                    <w14:schemeClr w14:val="tx1"/>
                  </w14:solidFill>
                </w14:textFill>
              </w:rPr>
            </w:pPr>
          </w:p>
        </w:tc>
        <w:tc>
          <w:tcPr>
            <w:tcW w:w="574" w:type="pct"/>
            <w:vAlign w:val="center"/>
          </w:tcPr>
          <w:p w14:paraId="4A6AA3D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p>
        </w:tc>
        <w:tc>
          <w:tcPr>
            <w:tcW w:w="488" w:type="pct"/>
            <w:vAlign w:val="center"/>
          </w:tcPr>
          <w:p w14:paraId="160CA91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p>
        </w:tc>
        <w:tc>
          <w:tcPr>
            <w:tcW w:w="502" w:type="pct"/>
            <w:vAlign w:val="center"/>
          </w:tcPr>
          <w:p w14:paraId="1A59A34C">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TSP</w:t>
            </w:r>
          </w:p>
        </w:tc>
      </w:tr>
      <w:tr w14:paraId="040D5C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60" w:type="pct"/>
            <w:vAlign w:val="center"/>
          </w:tcPr>
          <w:p w14:paraId="3A45F48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p>
        </w:tc>
        <w:tc>
          <w:tcPr>
            <w:tcW w:w="535" w:type="pct"/>
            <w:vAlign w:val="center"/>
          </w:tcPr>
          <w:p w14:paraId="28C2FA85">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污水处理站</w:t>
            </w:r>
          </w:p>
        </w:tc>
        <w:tc>
          <w:tcPr>
            <w:tcW w:w="482" w:type="pct"/>
            <w:vAlign w:val="center"/>
          </w:tcPr>
          <w:p w14:paraId="5B11967C">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152</w:t>
            </w:r>
          </w:p>
        </w:tc>
        <w:tc>
          <w:tcPr>
            <w:tcW w:w="320" w:type="pct"/>
            <w:vAlign w:val="center"/>
          </w:tcPr>
          <w:p w14:paraId="4CC6E88A">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30.8</w:t>
            </w:r>
          </w:p>
        </w:tc>
        <w:tc>
          <w:tcPr>
            <w:tcW w:w="375" w:type="pct"/>
            <w:vAlign w:val="center"/>
          </w:tcPr>
          <w:p w14:paraId="05D3D9A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21.8</w:t>
            </w:r>
          </w:p>
        </w:tc>
        <w:tc>
          <w:tcPr>
            <w:tcW w:w="428" w:type="pct"/>
            <w:vAlign w:val="center"/>
          </w:tcPr>
          <w:p w14:paraId="2B512473">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165</w:t>
            </w:r>
          </w:p>
        </w:tc>
        <w:tc>
          <w:tcPr>
            <w:tcW w:w="429" w:type="pct"/>
            <w:vAlign w:val="center"/>
          </w:tcPr>
          <w:p w14:paraId="62F00845">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5.88</w:t>
            </w:r>
          </w:p>
        </w:tc>
        <w:tc>
          <w:tcPr>
            <w:tcW w:w="428" w:type="pct"/>
            <w:vAlign w:val="center"/>
          </w:tcPr>
          <w:p w14:paraId="2D7A3D9F">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7920</w:t>
            </w:r>
          </w:p>
        </w:tc>
        <w:tc>
          <w:tcPr>
            <w:tcW w:w="276" w:type="pct"/>
            <w:vAlign w:val="center"/>
          </w:tcPr>
          <w:p w14:paraId="459ACE9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连续</w:t>
            </w:r>
          </w:p>
        </w:tc>
        <w:tc>
          <w:tcPr>
            <w:tcW w:w="574" w:type="pct"/>
            <w:vAlign w:val="center"/>
          </w:tcPr>
          <w:p w14:paraId="5EF4117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0.0021</w:t>
            </w:r>
          </w:p>
        </w:tc>
        <w:tc>
          <w:tcPr>
            <w:tcW w:w="488" w:type="pct"/>
            <w:vAlign w:val="center"/>
          </w:tcPr>
          <w:p w14:paraId="61E436E9">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0.000083</w:t>
            </w:r>
          </w:p>
        </w:tc>
        <w:tc>
          <w:tcPr>
            <w:tcW w:w="502" w:type="pct"/>
            <w:vAlign w:val="center"/>
          </w:tcPr>
          <w:p w14:paraId="1D71337E">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w:t>
            </w:r>
          </w:p>
        </w:tc>
      </w:tr>
      <w:tr w14:paraId="4479BB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60" w:type="pct"/>
            <w:vAlign w:val="center"/>
          </w:tcPr>
          <w:p w14:paraId="3DF9DF60">
            <w:pPr>
              <w:pStyle w:val="143"/>
              <w:rPr>
                <w:rFonts w:hint="eastAsia" w:eastAsia="宋体"/>
                <w:snapToGrid w:val="0"/>
                <w:color w:val="000000" w:themeColor="text1"/>
                <w:lang w:val="en-US" w:eastAsia="zh-CN"/>
                <w14:textFill>
                  <w14:solidFill>
                    <w14:schemeClr w14:val="tx1"/>
                  </w14:solidFill>
                </w14:textFill>
              </w:rPr>
            </w:pPr>
            <w:bookmarkStart w:id="51" w:name="_Hlk28274917"/>
            <w:r>
              <w:rPr>
                <w:rFonts w:hint="eastAsia"/>
                <w:snapToGrid w:val="0"/>
                <w:color w:val="000000" w:themeColor="text1"/>
                <w:lang w:val="en-US" w:eastAsia="zh-CN"/>
                <w14:textFill>
                  <w14:solidFill>
                    <w14:schemeClr w14:val="tx1"/>
                  </w14:solidFill>
                </w14:textFill>
              </w:rPr>
              <w:t>2</w:t>
            </w:r>
          </w:p>
        </w:tc>
        <w:tc>
          <w:tcPr>
            <w:tcW w:w="535" w:type="pct"/>
            <w:vAlign w:val="center"/>
          </w:tcPr>
          <w:p w14:paraId="0EA3980D">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酿造车间</w:t>
            </w:r>
          </w:p>
        </w:tc>
        <w:tc>
          <w:tcPr>
            <w:tcW w:w="482" w:type="pct"/>
            <w:vAlign w:val="center"/>
          </w:tcPr>
          <w:p w14:paraId="141B3D81">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150</w:t>
            </w:r>
          </w:p>
        </w:tc>
        <w:tc>
          <w:tcPr>
            <w:tcW w:w="320" w:type="pct"/>
            <w:vAlign w:val="center"/>
          </w:tcPr>
          <w:p w14:paraId="697C9F6B">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168.8</w:t>
            </w:r>
          </w:p>
        </w:tc>
        <w:tc>
          <w:tcPr>
            <w:tcW w:w="375" w:type="pct"/>
            <w:vAlign w:val="center"/>
          </w:tcPr>
          <w:p w14:paraId="646D8C06">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47.3</w:t>
            </w:r>
          </w:p>
        </w:tc>
        <w:tc>
          <w:tcPr>
            <w:tcW w:w="428" w:type="pct"/>
            <w:vAlign w:val="center"/>
          </w:tcPr>
          <w:p w14:paraId="7167590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165</w:t>
            </w:r>
          </w:p>
        </w:tc>
        <w:tc>
          <w:tcPr>
            <w:tcW w:w="429" w:type="pct"/>
            <w:vAlign w:val="center"/>
          </w:tcPr>
          <w:p w14:paraId="21CED6F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17.46</w:t>
            </w:r>
          </w:p>
        </w:tc>
        <w:tc>
          <w:tcPr>
            <w:tcW w:w="428" w:type="pct"/>
            <w:vAlign w:val="center"/>
          </w:tcPr>
          <w:p w14:paraId="37892443">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7200</w:t>
            </w:r>
          </w:p>
        </w:tc>
        <w:tc>
          <w:tcPr>
            <w:tcW w:w="276" w:type="pct"/>
            <w:vAlign w:val="center"/>
          </w:tcPr>
          <w:p w14:paraId="3D615B5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连续</w:t>
            </w:r>
          </w:p>
        </w:tc>
        <w:tc>
          <w:tcPr>
            <w:tcW w:w="574" w:type="pct"/>
            <w:vAlign w:val="center"/>
          </w:tcPr>
          <w:p w14:paraId="39A9E8D8">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w:t>
            </w:r>
          </w:p>
        </w:tc>
        <w:tc>
          <w:tcPr>
            <w:tcW w:w="488" w:type="pct"/>
            <w:vAlign w:val="center"/>
          </w:tcPr>
          <w:p w14:paraId="146CEFEF">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w:t>
            </w:r>
          </w:p>
        </w:tc>
        <w:tc>
          <w:tcPr>
            <w:tcW w:w="502" w:type="pct"/>
            <w:vAlign w:val="center"/>
          </w:tcPr>
          <w:p w14:paraId="4BAF13D7">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0.032</w:t>
            </w:r>
          </w:p>
        </w:tc>
      </w:tr>
    </w:tbl>
    <w:p w14:paraId="5693EDE9">
      <w:pPr>
        <w:pStyle w:val="206"/>
        <w:rPr>
          <w:snapToGrid w:val="0"/>
          <w:color w:val="000000" w:themeColor="text1"/>
          <w:highlight w:val="none"/>
          <w14:textFill>
            <w14:solidFill>
              <w14:schemeClr w14:val="tx1"/>
            </w14:solidFill>
          </w14:textFill>
        </w:rPr>
      </w:pPr>
      <w:r>
        <w:rPr>
          <w:snapToGrid w:val="0"/>
          <w:color w:val="000000" w:themeColor="text1"/>
          <w:highlight w:val="none"/>
          <w14:textFill>
            <w14:solidFill>
              <w14:schemeClr w14:val="tx1"/>
            </w14:solidFill>
          </w14:textFill>
        </w:rPr>
        <w:t>表2-5-7 本项目主要污染物最大浓度及浓度占标率（点源）</w:t>
      </w:r>
    </w:p>
    <w:tbl>
      <w:tblPr>
        <w:tblStyle w:val="49"/>
        <w:tblW w:w="492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515"/>
        <w:gridCol w:w="2100"/>
        <w:gridCol w:w="1982"/>
        <w:gridCol w:w="2012"/>
        <w:gridCol w:w="2134"/>
      </w:tblGrid>
      <w:tr w14:paraId="1FA8F9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2006" w:type="pct"/>
            <w:vMerge w:val="restart"/>
            <w:shd w:val="clear" w:color="auto" w:fill="auto"/>
            <w:vAlign w:val="center"/>
          </w:tcPr>
          <w:p w14:paraId="06D8F71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下风向距离/m</w:t>
            </w:r>
          </w:p>
        </w:tc>
        <w:tc>
          <w:tcPr>
            <w:tcW w:w="2993" w:type="pct"/>
            <w:gridSpan w:val="4"/>
            <w:shd w:val="clear" w:color="auto" w:fill="auto"/>
            <w:vAlign w:val="center"/>
          </w:tcPr>
          <w:p w14:paraId="38B8A885">
            <w:pPr>
              <w:pStyle w:val="143"/>
              <w:rPr>
                <w:rFonts w:hint="eastAsia" w:eastAsia="宋体"/>
                <w:snapToGrid w:val="0"/>
                <w:color w:val="000000" w:themeColor="text1"/>
                <w:lang w:eastAsia="zh-CN"/>
                <w14:textFill>
                  <w14:solidFill>
                    <w14:schemeClr w14:val="tx1"/>
                  </w14:solidFill>
                </w14:textFill>
              </w:rPr>
            </w:pPr>
            <w:r>
              <w:rPr>
                <w:snapToGrid w:val="0"/>
                <w:color w:val="000000" w:themeColor="text1"/>
                <w:lang w:val="en-US"/>
                <w14:textFill>
                  <w14:solidFill>
                    <w14:schemeClr w14:val="tx1"/>
                  </w14:solidFill>
                </w14:textFill>
              </w:rPr>
              <w:t>排气筒</w:t>
            </w:r>
            <w:r>
              <w:rPr>
                <w:snapToGrid w:val="0"/>
                <w:color w:val="000000" w:themeColor="text1"/>
                <w14:textFill>
                  <w14:solidFill>
                    <w14:schemeClr w14:val="tx1"/>
                  </w14:solidFill>
                </w14:textFill>
              </w:rPr>
              <w:t>DA00</w:t>
            </w:r>
            <w:r>
              <w:rPr>
                <w:rFonts w:hint="eastAsia"/>
                <w:snapToGrid w:val="0"/>
                <w:color w:val="000000" w:themeColor="text1"/>
                <w:lang w:val="en-US" w:eastAsia="zh-CN"/>
                <w14:textFill>
                  <w14:solidFill>
                    <w14:schemeClr w14:val="tx1"/>
                  </w14:solidFill>
                </w14:textFill>
              </w:rPr>
              <w:t>1</w:t>
            </w:r>
          </w:p>
        </w:tc>
      </w:tr>
      <w:tr w14:paraId="67979D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006" w:type="pct"/>
            <w:vMerge w:val="continue"/>
            <w:shd w:val="clear" w:color="auto" w:fill="auto"/>
            <w:vAlign w:val="center"/>
          </w:tcPr>
          <w:p w14:paraId="35B8EBEE">
            <w:pPr>
              <w:pStyle w:val="143"/>
              <w:rPr>
                <w:snapToGrid w:val="0"/>
                <w:color w:val="000000" w:themeColor="text1"/>
                <w14:textFill>
                  <w14:solidFill>
                    <w14:schemeClr w14:val="tx1"/>
                  </w14:solidFill>
                </w14:textFill>
              </w:rPr>
            </w:pPr>
          </w:p>
        </w:tc>
        <w:tc>
          <w:tcPr>
            <w:tcW w:w="1485" w:type="pct"/>
            <w:gridSpan w:val="2"/>
            <w:shd w:val="clear" w:color="auto" w:fill="auto"/>
            <w:vAlign w:val="center"/>
          </w:tcPr>
          <w:p w14:paraId="3EAB2B66">
            <w:pPr>
              <w:pStyle w:val="143"/>
              <w:rPr>
                <w:snapToGrid w:val="0"/>
                <w:color w:val="000000" w:themeColor="text1"/>
                <w:vertAlign w:val="subscript"/>
                <w14:textFill>
                  <w14:solidFill>
                    <w14:schemeClr w14:val="tx1"/>
                  </w14:solidFill>
                </w14:textFill>
              </w:rPr>
            </w:pPr>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p>
        </w:tc>
        <w:tc>
          <w:tcPr>
            <w:tcW w:w="1508" w:type="pct"/>
            <w:gridSpan w:val="2"/>
            <w:vAlign w:val="center"/>
          </w:tcPr>
          <w:p w14:paraId="765457D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p>
        </w:tc>
      </w:tr>
      <w:tr w14:paraId="6B8471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006" w:type="pct"/>
            <w:vMerge w:val="continue"/>
            <w:shd w:val="clear" w:color="auto" w:fill="auto"/>
            <w:vAlign w:val="center"/>
          </w:tcPr>
          <w:p w14:paraId="74158555">
            <w:pPr>
              <w:pStyle w:val="143"/>
              <w:rPr>
                <w:snapToGrid w:val="0"/>
                <w:color w:val="000000" w:themeColor="text1"/>
                <w14:textFill>
                  <w14:solidFill>
                    <w14:schemeClr w14:val="tx1"/>
                  </w14:solidFill>
                </w14:textFill>
              </w:rPr>
            </w:pPr>
          </w:p>
        </w:tc>
        <w:tc>
          <w:tcPr>
            <w:tcW w:w="764" w:type="pct"/>
            <w:shd w:val="clear" w:color="auto" w:fill="auto"/>
            <w:vAlign w:val="center"/>
          </w:tcPr>
          <w:p w14:paraId="436225F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720" w:type="pct"/>
            <w:vAlign w:val="center"/>
          </w:tcPr>
          <w:p w14:paraId="42D41D6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c>
          <w:tcPr>
            <w:tcW w:w="732" w:type="pct"/>
            <w:vAlign w:val="center"/>
          </w:tcPr>
          <w:p w14:paraId="0531EF3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775" w:type="pct"/>
            <w:vAlign w:val="center"/>
          </w:tcPr>
          <w:p w14:paraId="65ABB6E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r>
      <w:tr w14:paraId="22D8B7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6AAF61D6">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5</w:t>
            </w:r>
          </w:p>
        </w:tc>
        <w:tc>
          <w:tcPr>
            <w:tcW w:w="2134" w:type="dxa"/>
            <w:shd w:val="clear" w:color="auto" w:fill="auto"/>
            <w:vAlign w:val="center"/>
          </w:tcPr>
          <w:p w14:paraId="026675A6">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0.053458</w:t>
            </w:r>
          </w:p>
        </w:tc>
        <w:tc>
          <w:tcPr>
            <w:tcW w:w="2012" w:type="dxa"/>
            <w:vAlign w:val="center"/>
          </w:tcPr>
          <w:p w14:paraId="12251616">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0.03</w:t>
            </w:r>
          </w:p>
        </w:tc>
        <w:tc>
          <w:tcPr>
            <w:tcW w:w="2044" w:type="dxa"/>
            <w:vAlign w:val="center"/>
          </w:tcPr>
          <w:p w14:paraId="3188162C">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0.002103</w:t>
            </w:r>
          </w:p>
        </w:tc>
        <w:tc>
          <w:tcPr>
            <w:tcW w:w="2166" w:type="dxa"/>
            <w:vAlign w:val="center"/>
          </w:tcPr>
          <w:p w14:paraId="15E4EC1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0.02</w:t>
            </w:r>
          </w:p>
        </w:tc>
      </w:tr>
      <w:tr w14:paraId="1711FE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55FABD61">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0</w:t>
            </w:r>
          </w:p>
        </w:tc>
        <w:tc>
          <w:tcPr>
            <w:tcW w:w="2134" w:type="dxa"/>
            <w:shd w:val="clear" w:color="auto" w:fill="auto"/>
            <w:vAlign w:val="center"/>
          </w:tcPr>
          <w:p w14:paraId="6C205B04">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0.17523</w:t>
            </w:r>
          </w:p>
        </w:tc>
        <w:tc>
          <w:tcPr>
            <w:tcW w:w="2012" w:type="dxa"/>
            <w:vAlign w:val="center"/>
          </w:tcPr>
          <w:p w14:paraId="4352D5B8">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c>
          <w:tcPr>
            <w:tcW w:w="2044" w:type="dxa"/>
            <w:vAlign w:val="center"/>
          </w:tcPr>
          <w:p w14:paraId="0E78BDB3">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0.006893</w:t>
            </w:r>
          </w:p>
        </w:tc>
        <w:tc>
          <w:tcPr>
            <w:tcW w:w="2166" w:type="dxa"/>
            <w:vAlign w:val="center"/>
          </w:tcPr>
          <w:p w14:paraId="4145BF33">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0.07</w:t>
            </w:r>
          </w:p>
        </w:tc>
      </w:tr>
      <w:tr w14:paraId="0DBAB6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2E6393CD">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89</w:t>
            </w:r>
          </w:p>
        </w:tc>
        <w:tc>
          <w:tcPr>
            <w:tcW w:w="2134" w:type="dxa"/>
            <w:shd w:val="clear" w:color="auto" w:fill="auto"/>
            <w:vAlign w:val="center"/>
          </w:tcPr>
          <w:p w14:paraId="155F6E29">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0.30556</w:t>
            </w:r>
          </w:p>
        </w:tc>
        <w:tc>
          <w:tcPr>
            <w:tcW w:w="2012" w:type="dxa"/>
            <w:vAlign w:val="center"/>
          </w:tcPr>
          <w:p w14:paraId="28B26EF9">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0.15</w:t>
            </w:r>
          </w:p>
        </w:tc>
        <w:tc>
          <w:tcPr>
            <w:tcW w:w="2044" w:type="dxa"/>
            <w:vAlign w:val="center"/>
          </w:tcPr>
          <w:p w14:paraId="7EB74C7C">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0.012021</w:t>
            </w:r>
          </w:p>
        </w:tc>
        <w:tc>
          <w:tcPr>
            <w:tcW w:w="2166" w:type="dxa"/>
            <w:vAlign w:val="center"/>
          </w:tcPr>
          <w:p w14:paraId="40BA8A43">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0.12</w:t>
            </w:r>
          </w:p>
        </w:tc>
      </w:tr>
      <w:tr w14:paraId="746B4A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4E1B2AC6">
            <w:pPr>
              <w:pStyle w:val="143"/>
              <w:rPr>
                <w:color w:val="000000" w:themeColor="text1"/>
                <w14:textFill>
                  <w14:solidFill>
                    <w14:schemeClr w14:val="tx1"/>
                  </w14:solidFill>
                </w14:textFill>
              </w:rPr>
            </w:pPr>
            <w:r>
              <w:rPr>
                <w:color w:val="000000" w:themeColor="text1"/>
                <w14:textFill>
                  <w14:solidFill>
                    <w14:schemeClr w14:val="tx1"/>
                  </w14:solidFill>
                </w14:textFill>
              </w:rPr>
              <w:t>100</w:t>
            </w:r>
          </w:p>
        </w:tc>
        <w:tc>
          <w:tcPr>
            <w:tcW w:w="2134" w:type="dxa"/>
            <w:shd w:val="clear" w:color="auto" w:fill="auto"/>
            <w:vAlign w:val="center"/>
          </w:tcPr>
          <w:p w14:paraId="629CD4D6">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0.30202</w:t>
            </w:r>
          </w:p>
        </w:tc>
        <w:tc>
          <w:tcPr>
            <w:tcW w:w="2012" w:type="dxa"/>
            <w:vAlign w:val="center"/>
          </w:tcPr>
          <w:p w14:paraId="17C7369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0.15</w:t>
            </w:r>
          </w:p>
        </w:tc>
        <w:tc>
          <w:tcPr>
            <w:tcW w:w="2044" w:type="dxa"/>
            <w:vAlign w:val="center"/>
          </w:tcPr>
          <w:p w14:paraId="16D1B44C">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0.011881</w:t>
            </w:r>
          </w:p>
        </w:tc>
        <w:tc>
          <w:tcPr>
            <w:tcW w:w="2166" w:type="dxa"/>
            <w:vAlign w:val="center"/>
          </w:tcPr>
          <w:p w14:paraId="0426DE5B">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0.12</w:t>
            </w:r>
          </w:p>
        </w:tc>
      </w:tr>
      <w:tr w14:paraId="3643BA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0D81EDF3">
            <w:pPr>
              <w:pStyle w:val="143"/>
              <w:rPr>
                <w:color w:val="000000" w:themeColor="text1"/>
                <w14:textFill>
                  <w14:solidFill>
                    <w14:schemeClr w14:val="tx1"/>
                  </w14:solidFill>
                </w14:textFill>
              </w:rPr>
            </w:pPr>
            <w:r>
              <w:rPr>
                <w:color w:val="000000" w:themeColor="text1"/>
                <w14:textFill>
                  <w14:solidFill>
                    <w14:schemeClr w14:val="tx1"/>
                  </w14:solidFill>
                </w14:textFill>
              </w:rPr>
              <w:t>200</w:t>
            </w:r>
          </w:p>
        </w:tc>
        <w:tc>
          <w:tcPr>
            <w:tcW w:w="2134" w:type="dxa"/>
            <w:shd w:val="clear" w:color="auto" w:fill="auto"/>
            <w:vAlign w:val="center"/>
          </w:tcPr>
          <w:p w14:paraId="0A14ABC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0.29466</w:t>
            </w:r>
          </w:p>
        </w:tc>
        <w:tc>
          <w:tcPr>
            <w:tcW w:w="2012" w:type="dxa"/>
            <w:vAlign w:val="center"/>
          </w:tcPr>
          <w:p w14:paraId="023100FF">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0.15</w:t>
            </w:r>
          </w:p>
        </w:tc>
        <w:tc>
          <w:tcPr>
            <w:tcW w:w="2044" w:type="dxa"/>
            <w:vAlign w:val="center"/>
          </w:tcPr>
          <w:p w14:paraId="4ADF19A6">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0.011592</w:t>
            </w:r>
          </w:p>
        </w:tc>
        <w:tc>
          <w:tcPr>
            <w:tcW w:w="2166" w:type="dxa"/>
            <w:vAlign w:val="center"/>
          </w:tcPr>
          <w:p w14:paraId="5AE3E035">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0.12</w:t>
            </w:r>
          </w:p>
        </w:tc>
      </w:tr>
      <w:tr w14:paraId="03CEF5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7A9C011F">
            <w:pPr>
              <w:pStyle w:val="143"/>
              <w:rPr>
                <w:color w:val="000000" w:themeColor="text1"/>
                <w14:textFill>
                  <w14:solidFill>
                    <w14:schemeClr w14:val="tx1"/>
                  </w14:solidFill>
                </w14:textFill>
              </w:rPr>
            </w:pPr>
            <w:r>
              <w:rPr>
                <w:color w:val="000000" w:themeColor="text1"/>
                <w14:textFill>
                  <w14:solidFill>
                    <w14:schemeClr w14:val="tx1"/>
                  </w14:solidFill>
                </w14:textFill>
              </w:rPr>
              <w:t>300</w:t>
            </w:r>
          </w:p>
        </w:tc>
        <w:tc>
          <w:tcPr>
            <w:tcW w:w="2134" w:type="dxa"/>
            <w:shd w:val="clear" w:color="auto" w:fill="auto"/>
            <w:vAlign w:val="center"/>
          </w:tcPr>
          <w:p w14:paraId="0C67A664">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0.25921</w:t>
            </w:r>
          </w:p>
        </w:tc>
        <w:tc>
          <w:tcPr>
            <w:tcW w:w="2012" w:type="dxa"/>
            <w:vAlign w:val="center"/>
          </w:tcPr>
          <w:p w14:paraId="463A6799">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0.13</w:t>
            </w:r>
          </w:p>
        </w:tc>
        <w:tc>
          <w:tcPr>
            <w:tcW w:w="2044" w:type="dxa"/>
            <w:vAlign w:val="center"/>
          </w:tcPr>
          <w:p w14:paraId="6A56163F">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0.010197</w:t>
            </w:r>
          </w:p>
        </w:tc>
        <w:tc>
          <w:tcPr>
            <w:tcW w:w="2166" w:type="dxa"/>
            <w:vAlign w:val="center"/>
          </w:tcPr>
          <w:p w14:paraId="73C3A848">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w:t>
            </w:r>
          </w:p>
        </w:tc>
      </w:tr>
      <w:tr w14:paraId="2A98F7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53FBB49C">
            <w:pPr>
              <w:pStyle w:val="143"/>
              <w:rPr>
                <w:color w:val="000000" w:themeColor="text1"/>
                <w14:textFill>
                  <w14:solidFill>
                    <w14:schemeClr w14:val="tx1"/>
                  </w14:solidFill>
                </w14:textFill>
              </w:rPr>
            </w:pPr>
            <w:r>
              <w:rPr>
                <w:color w:val="000000" w:themeColor="text1"/>
                <w14:textFill>
                  <w14:solidFill>
                    <w14:schemeClr w14:val="tx1"/>
                  </w14:solidFill>
                </w14:textFill>
              </w:rPr>
              <w:t>500</w:t>
            </w:r>
          </w:p>
        </w:tc>
        <w:tc>
          <w:tcPr>
            <w:tcW w:w="2134" w:type="dxa"/>
            <w:shd w:val="clear" w:color="auto" w:fill="auto"/>
            <w:vAlign w:val="center"/>
          </w:tcPr>
          <w:p w14:paraId="113D732F">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0.21625</w:t>
            </w:r>
          </w:p>
        </w:tc>
        <w:tc>
          <w:tcPr>
            <w:tcW w:w="2012" w:type="dxa"/>
            <w:vAlign w:val="center"/>
          </w:tcPr>
          <w:p w14:paraId="0C8B5E2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0.11</w:t>
            </w:r>
          </w:p>
        </w:tc>
        <w:tc>
          <w:tcPr>
            <w:tcW w:w="2044" w:type="dxa"/>
            <w:vAlign w:val="center"/>
          </w:tcPr>
          <w:p w14:paraId="32DDEF8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0.008507</w:t>
            </w:r>
          </w:p>
        </w:tc>
        <w:tc>
          <w:tcPr>
            <w:tcW w:w="2166" w:type="dxa"/>
            <w:vAlign w:val="center"/>
          </w:tcPr>
          <w:p w14:paraId="0196C922">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r>
      <w:tr w14:paraId="5B5478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1C88B32D">
            <w:pPr>
              <w:pStyle w:val="143"/>
              <w:rPr>
                <w:color w:val="000000" w:themeColor="text1"/>
                <w14:textFill>
                  <w14:solidFill>
                    <w14:schemeClr w14:val="tx1"/>
                  </w14:solidFill>
                </w14:textFill>
              </w:rPr>
            </w:pPr>
            <w:r>
              <w:rPr>
                <w:color w:val="000000" w:themeColor="text1"/>
                <w14:textFill>
                  <w14:solidFill>
                    <w14:schemeClr w14:val="tx1"/>
                  </w14:solidFill>
                </w14:textFill>
              </w:rPr>
              <w:t>1000</w:t>
            </w:r>
          </w:p>
        </w:tc>
        <w:tc>
          <w:tcPr>
            <w:tcW w:w="2134" w:type="dxa"/>
            <w:shd w:val="clear" w:color="auto" w:fill="auto"/>
            <w:vAlign w:val="center"/>
          </w:tcPr>
          <w:p w14:paraId="5C4321AB">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0.13371</w:t>
            </w:r>
          </w:p>
        </w:tc>
        <w:tc>
          <w:tcPr>
            <w:tcW w:w="2012" w:type="dxa"/>
            <w:vAlign w:val="center"/>
          </w:tcPr>
          <w:p w14:paraId="4CE126C5">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0.07</w:t>
            </w:r>
          </w:p>
        </w:tc>
        <w:tc>
          <w:tcPr>
            <w:tcW w:w="2044" w:type="dxa"/>
            <w:vAlign w:val="center"/>
          </w:tcPr>
          <w:p w14:paraId="234EDDA1">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0.00526</w:t>
            </w:r>
          </w:p>
        </w:tc>
        <w:tc>
          <w:tcPr>
            <w:tcW w:w="2166" w:type="dxa"/>
            <w:vAlign w:val="center"/>
          </w:tcPr>
          <w:p w14:paraId="7CF4308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0.05</w:t>
            </w:r>
          </w:p>
        </w:tc>
      </w:tr>
      <w:tr w14:paraId="6F159B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74FA63AE">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w:t>
            </w:r>
            <w:r>
              <w:rPr>
                <w:color w:val="000000" w:themeColor="text1"/>
                <w:lang w:eastAsia="zh-CN"/>
                <w14:textFill>
                  <w14:solidFill>
                    <w14:schemeClr w14:val="tx1"/>
                  </w14:solidFill>
                </w14:textFill>
              </w:rPr>
              <w:t>500</w:t>
            </w:r>
          </w:p>
        </w:tc>
        <w:tc>
          <w:tcPr>
            <w:tcW w:w="2134" w:type="dxa"/>
            <w:shd w:val="clear" w:color="auto" w:fill="auto"/>
            <w:vAlign w:val="center"/>
          </w:tcPr>
          <w:p w14:paraId="303870F9">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0.087858</w:t>
            </w:r>
          </w:p>
        </w:tc>
        <w:tc>
          <w:tcPr>
            <w:tcW w:w="2012" w:type="dxa"/>
            <w:vAlign w:val="center"/>
          </w:tcPr>
          <w:p w14:paraId="57750536">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0.04</w:t>
            </w:r>
          </w:p>
        </w:tc>
        <w:tc>
          <w:tcPr>
            <w:tcW w:w="2044" w:type="dxa"/>
            <w:vAlign w:val="center"/>
          </w:tcPr>
          <w:p w14:paraId="7555987D">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0.003456</w:t>
            </w:r>
          </w:p>
        </w:tc>
        <w:tc>
          <w:tcPr>
            <w:tcW w:w="2166" w:type="dxa"/>
            <w:vAlign w:val="center"/>
          </w:tcPr>
          <w:p w14:paraId="571863B6">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0.03</w:t>
            </w:r>
          </w:p>
        </w:tc>
      </w:tr>
      <w:tr w14:paraId="4AD105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006" w:type="pct"/>
            <w:shd w:val="clear" w:color="auto" w:fill="auto"/>
            <w:vAlign w:val="center"/>
          </w:tcPr>
          <w:p w14:paraId="49F55835">
            <w:pPr>
              <w:pStyle w:val="143"/>
              <w:rPr>
                <w:color w:val="000000" w:themeColor="text1"/>
                <w14:textFill>
                  <w14:solidFill>
                    <w14:schemeClr w14:val="tx1"/>
                  </w14:solidFill>
                </w14:textFill>
              </w:rPr>
            </w:pPr>
            <w:r>
              <w:rPr>
                <w:color w:val="000000" w:themeColor="text1"/>
                <w14:textFill>
                  <w14:solidFill>
                    <w14:schemeClr w14:val="tx1"/>
                  </w14:solidFill>
                </w14:textFill>
              </w:rPr>
              <w:t>2000</w:t>
            </w:r>
          </w:p>
        </w:tc>
        <w:tc>
          <w:tcPr>
            <w:tcW w:w="2134" w:type="dxa"/>
            <w:shd w:val="clear" w:color="auto" w:fill="auto"/>
            <w:vAlign w:val="center"/>
          </w:tcPr>
          <w:p w14:paraId="35158BA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0.076654</w:t>
            </w:r>
          </w:p>
        </w:tc>
        <w:tc>
          <w:tcPr>
            <w:tcW w:w="2012" w:type="dxa"/>
            <w:vAlign w:val="center"/>
          </w:tcPr>
          <w:p w14:paraId="0CEEFCDF">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0.04</w:t>
            </w:r>
          </w:p>
        </w:tc>
        <w:tc>
          <w:tcPr>
            <w:tcW w:w="2044" w:type="dxa"/>
            <w:vAlign w:val="center"/>
          </w:tcPr>
          <w:p w14:paraId="088E47C1">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0.003016</w:t>
            </w:r>
          </w:p>
        </w:tc>
        <w:tc>
          <w:tcPr>
            <w:tcW w:w="2166" w:type="dxa"/>
            <w:vAlign w:val="center"/>
          </w:tcPr>
          <w:p w14:paraId="13820719">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0.03</w:t>
            </w:r>
          </w:p>
        </w:tc>
      </w:tr>
      <w:tr w14:paraId="12FABD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2DAB1B16">
            <w:pPr>
              <w:pStyle w:val="143"/>
              <w:rPr>
                <w:color w:val="000000" w:themeColor="text1"/>
                <w14:textFill>
                  <w14:solidFill>
                    <w14:schemeClr w14:val="tx1"/>
                  </w14:solidFill>
                </w14:textFill>
              </w:rPr>
            </w:pPr>
            <w:r>
              <w:rPr>
                <w:color w:val="000000" w:themeColor="text1"/>
                <w14:textFill>
                  <w14:solidFill>
                    <w14:schemeClr w14:val="tx1"/>
                  </w14:solidFill>
                </w14:textFill>
              </w:rPr>
              <w:t>2500</w:t>
            </w:r>
          </w:p>
        </w:tc>
        <w:tc>
          <w:tcPr>
            <w:tcW w:w="2134" w:type="dxa"/>
            <w:shd w:val="clear" w:color="auto" w:fill="auto"/>
            <w:vAlign w:val="center"/>
          </w:tcPr>
          <w:p w14:paraId="347230FE">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0.068563</w:t>
            </w:r>
          </w:p>
        </w:tc>
        <w:tc>
          <w:tcPr>
            <w:tcW w:w="2012" w:type="dxa"/>
            <w:vAlign w:val="center"/>
          </w:tcPr>
          <w:p w14:paraId="72F10063">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0.03</w:t>
            </w:r>
          </w:p>
        </w:tc>
        <w:tc>
          <w:tcPr>
            <w:tcW w:w="2044" w:type="dxa"/>
            <w:vAlign w:val="center"/>
          </w:tcPr>
          <w:p w14:paraId="033954C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0.002697</w:t>
            </w:r>
          </w:p>
        </w:tc>
        <w:tc>
          <w:tcPr>
            <w:tcW w:w="2166" w:type="dxa"/>
            <w:vAlign w:val="center"/>
          </w:tcPr>
          <w:p w14:paraId="23F59CF9">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0.03</w:t>
            </w:r>
          </w:p>
        </w:tc>
      </w:tr>
      <w:tr w14:paraId="1FD139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006" w:type="pct"/>
            <w:shd w:val="clear" w:color="auto" w:fill="auto"/>
            <w:vAlign w:val="center"/>
          </w:tcPr>
          <w:p w14:paraId="70C8DFF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下风向最大质量浓度及占标率/%</w:t>
            </w:r>
          </w:p>
        </w:tc>
        <w:tc>
          <w:tcPr>
            <w:tcW w:w="2100" w:type="dxa"/>
            <w:shd w:val="clear" w:color="auto" w:fill="auto"/>
            <w:vAlign w:val="center"/>
          </w:tcPr>
          <w:p w14:paraId="24F758C7">
            <w:pPr>
              <w:pStyle w:val="143"/>
              <w:ind w:firstLine="0" w:firstLineChars="0"/>
              <w:rPr>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0.30556</w:t>
            </w:r>
          </w:p>
        </w:tc>
        <w:tc>
          <w:tcPr>
            <w:tcW w:w="1982" w:type="dxa"/>
            <w:vAlign w:val="center"/>
          </w:tcPr>
          <w:p w14:paraId="0A53FAA2">
            <w:pPr>
              <w:pStyle w:val="143"/>
              <w:ind w:firstLine="0" w:firstLineChars="0"/>
              <w:rPr>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0.15</w:t>
            </w:r>
          </w:p>
        </w:tc>
        <w:tc>
          <w:tcPr>
            <w:tcW w:w="2012" w:type="dxa"/>
            <w:vAlign w:val="center"/>
          </w:tcPr>
          <w:p w14:paraId="24543F31">
            <w:pPr>
              <w:pStyle w:val="143"/>
              <w:ind w:firstLine="0" w:firstLineChars="0"/>
              <w:rPr>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0.012021</w:t>
            </w:r>
          </w:p>
        </w:tc>
        <w:tc>
          <w:tcPr>
            <w:tcW w:w="2134" w:type="dxa"/>
            <w:vAlign w:val="center"/>
          </w:tcPr>
          <w:p w14:paraId="3926452B">
            <w:pPr>
              <w:pStyle w:val="143"/>
              <w:ind w:firstLine="0" w:firstLineChars="0"/>
              <w:rPr>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0.12</w:t>
            </w:r>
          </w:p>
        </w:tc>
      </w:tr>
      <w:tr w14:paraId="2539E7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06" w:type="pct"/>
            <w:shd w:val="clear" w:color="auto" w:fill="auto"/>
            <w:vAlign w:val="center"/>
          </w:tcPr>
          <w:p w14:paraId="12EDE13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最大浓度落地点（m）</w:t>
            </w:r>
          </w:p>
        </w:tc>
        <w:tc>
          <w:tcPr>
            <w:tcW w:w="2993" w:type="pct"/>
            <w:gridSpan w:val="4"/>
            <w:shd w:val="clear" w:color="auto" w:fill="auto"/>
            <w:vAlign w:val="center"/>
          </w:tcPr>
          <w:p w14:paraId="316FD77B">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89</w:t>
            </w:r>
          </w:p>
        </w:tc>
      </w:tr>
      <w:tr w14:paraId="560F3B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 w:hRule="atLeast"/>
          <w:jc w:val="center"/>
        </w:trPr>
        <w:tc>
          <w:tcPr>
            <w:tcW w:w="2006" w:type="pct"/>
            <w:shd w:val="clear" w:color="auto" w:fill="auto"/>
            <w:vAlign w:val="center"/>
          </w:tcPr>
          <w:p w14:paraId="64E96D3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评价等级</w:t>
            </w:r>
          </w:p>
        </w:tc>
        <w:tc>
          <w:tcPr>
            <w:tcW w:w="1485" w:type="pct"/>
            <w:gridSpan w:val="2"/>
            <w:shd w:val="clear" w:color="auto" w:fill="auto"/>
            <w:vAlign w:val="center"/>
          </w:tcPr>
          <w:p w14:paraId="2A782323">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三级</w:t>
            </w:r>
          </w:p>
        </w:tc>
        <w:tc>
          <w:tcPr>
            <w:tcW w:w="1508" w:type="pct"/>
            <w:gridSpan w:val="2"/>
            <w:vAlign w:val="center"/>
          </w:tcPr>
          <w:p w14:paraId="2C9D4A7D">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三级</w:t>
            </w:r>
          </w:p>
        </w:tc>
      </w:tr>
    </w:tbl>
    <w:p w14:paraId="3D734D11">
      <w:pPr>
        <w:pStyle w:val="206"/>
        <w:rPr>
          <w:snapToGrid w:val="0"/>
          <w:color w:val="000000" w:themeColor="text1"/>
          <w:highlight w:val="none"/>
          <w14:textFill>
            <w14:solidFill>
              <w14:schemeClr w14:val="tx1"/>
            </w14:solidFill>
          </w14:textFill>
        </w:rPr>
      </w:pPr>
      <w:r>
        <w:rPr>
          <w:snapToGrid w:val="0"/>
          <w:color w:val="000000" w:themeColor="text1"/>
          <w:highlight w:val="none"/>
          <w14:textFill>
            <w14:solidFill>
              <w14:schemeClr w14:val="tx1"/>
            </w14:solidFill>
          </w14:textFill>
        </w:rPr>
        <w:t>表2-5</w:t>
      </w:r>
      <w:r>
        <w:rPr>
          <w:rFonts w:hint="eastAsia"/>
          <w:snapToGrid w:val="0"/>
          <w:color w:val="000000" w:themeColor="text1"/>
          <w:highlight w:val="none"/>
          <w:lang w:val="en-US" w:eastAsia="zh-CN"/>
          <w14:textFill>
            <w14:solidFill>
              <w14:schemeClr w14:val="tx1"/>
            </w14:solidFill>
          </w14:textFill>
        </w:rPr>
        <w:t>-8</w:t>
      </w:r>
      <w:r>
        <w:rPr>
          <w:snapToGrid w:val="0"/>
          <w:color w:val="000000" w:themeColor="text1"/>
          <w:highlight w:val="none"/>
          <w14:textFill>
            <w14:solidFill>
              <w14:schemeClr w14:val="tx1"/>
            </w14:solidFill>
          </w14:textFill>
        </w:rPr>
        <w:t xml:space="preserve"> 本项目主要污染物最大浓度及浓度占标率（点源）</w:t>
      </w:r>
    </w:p>
    <w:tbl>
      <w:tblPr>
        <w:tblStyle w:val="49"/>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058"/>
        <w:gridCol w:w="1675"/>
        <w:gridCol w:w="1628"/>
        <w:gridCol w:w="1628"/>
        <w:gridCol w:w="1633"/>
        <w:gridCol w:w="1675"/>
        <w:gridCol w:w="1658"/>
      </w:tblGrid>
      <w:tr w14:paraId="3E2C95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54" w:type="pct"/>
            <w:vMerge w:val="restart"/>
            <w:shd w:val="clear" w:color="auto" w:fill="auto"/>
            <w:vAlign w:val="center"/>
          </w:tcPr>
          <w:p w14:paraId="041AEBE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下风向距离/m</w:t>
            </w:r>
          </w:p>
        </w:tc>
        <w:tc>
          <w:tcPr>
            <w:tcW w:w="3545" w:type="pct"/>
            <w:gridSpan w:val="6"/>
          </w:tcPr>
          <w:p w14:paraId="163A5402">
            <w:pPr>
              <w:pStyle w:val="143"/>
              <w:rPr>
                <w:rFonts w:hint="default" w:eastAsia="宋体"/>
                <w:snapToGrid w:val="0"/>
                <w:color w:val="000000" w:themeColor="text1"/>
                <w:lang w:val="en-US" w:eastAsia="zh-CN"/>
                <w14:textFill>
                  <w14:solidFill>
                    <w14:schemeClr w14:val="tx1"/>
                  </w14:solidFill>
                </w14:textFill>
              </w:rPr>
            </w:pPr>
            <w:r>
              <w:rPr>
                <w:snapToGrid w:val="0"/>
                <w:color w:val="000000" w:themeColor="text1"/>
                <w:lang w:val="en-US"/>
                <w14:textFill>
                  <w14:solidFill>
                    <w14:schemeClr w14:val="tx1"/>
                  </w14:solidFill>
                </w14:textFill>
              </w:rPr>
              <w:t>排气筒DA0</w:t>
            </w:r>
            <w:r>
              <w:rPr>
                <w:rFonts w:hint="eastAsia"/>
                <w:snapToGrid w:val="0"/>
                <w:color w:val="000000" w:themeColor="text1"/>
                <w:lang w:val="en-US" w:eastAsia="zh-CN"/>
                <w14:textFill>
                  <w14:solidFill>
                    <w14:schemeClr w14:val="tx1"/>
                  </w14:solidFill>
                </w14:textFill>
              </w:rPr>
              <w:t>02</w:t>
            </w:r>
          </w:p>
        </w:tc>
      </w:tr>
      <w:tr w14:paraId="779908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1454" w:type="pct"/>
            <w:vMerge w:val="continue"/>
            <w:shd w:val="clear" w:color="auto" w:fill="auto"/>
            <w:vAlign w:val="center"/>
          </w:tcPr>
          <w:p w14:paraId="4F818BC7">
            <w:pPr>
              <w:pStyle w:val="143"/>
              <w:rPr>
                <w:snapToGrid w:val="0"/>
                <w:color w:val="000000" w:themeColor="text1"/>
                <w14:textFill>
                  <w14:solidFill>
                    <w14:schemeClr w14:val="tx1"/>
                  </w14:solidFill>
                </w14:textFill>
              </w:rPr>
            </w:pPr>
          </w:p>
        </w:tc>
        <w:tc>
          <w:tcPr>
            <w:tcW w:w="1183" w:type="pct"/>
            <w:gridSpan w:val="2"/>
            <w:vAlign w:val="center"/>
          </w:tcPr>
          <w:p w14:paraId="3D0878D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PM</w:t>
            </w:r>
            <w:r>
              <w:rPr>
                <w:snapToGrid w:val="0"/>
                <w:color w:val="000000" w:themeColor="text1"/>
                <w:vertAlign w:val="subscript"/>
                <w14:textFill>
                  <w14:solidFill>
                    <w14:schemeClr w14:val="tx1"/>
                  </w14:solidFill>
                </w14:textFill>
              </w:rPr>
              <w:t>10</w:t>
            </w:r>
          </w:p>
        </w:tc>
        <w:tc>
          <w:tcPr>
            <w:tcW w:w="1168" w:type="pct"/>
            <w:gridSpan w:val="2"/>
            <w:vAlign w:val="center"/>
          </w:tcPr>
          <w:p w14:paraId="09112CEC">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S</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2</w:t>
            </w:r>
          </w:p>
        </w:tc>
        <w:tc>
          <w:tcPr>
            <w:tcW w:w="1192" w:type="pct"/>
            <w:gridSpan w:val="2"/>
            <w:vAlign w:val="center"/>
          </w:tcPr>
          <w:p w14:paraId="0CF3CCB0">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N</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X</w:t>
            </w:r>
          </w:p>
        </w:tc>
      </w:tr>
      <w:tr w14:paraId="118890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vMerge w:val="continue"/>
            <w:shd w:val="clear" w:color="auto" w:fill="auto"/>
            <w:vAlign w:val="center"/>
          </w:tcPr>
          <w:p w14:paraId="44EB7580">
            <w:pPr>
              <w:pStyle w:val="143"/>
              <w:rPr>
                <w:snapToGrid w:val="0"/>
                <w:color w:val="000000" w:themeColor="text1"/>
                <w14:textFill>
                  <w14:solidFill>
                    <w14:schemeClr w14:val="tx1"/>
                  </w14:solidFill>
                </w14:textFill>
              </w:rPr>
            </w:pPr>
          </w:p>
        </w:tc>
        <w:tc>
          <w:tcPr>
            <w:tcW w:w="600" w:type="pct"/>
            <w:vAlign w:val="center"/>
          </w:tcPr>
          <w:p w14:paraId="5227A7B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583" w:type="pct"/>
            <w:vAlign w:val="center"/>
          </w:tcPr>
          <w:p w14:paraId="565AE74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c>
          <w:tcPr>
            <w:tcW w:w="583" w:type="pct"/>
            <w:vAlign w:val="center"/>
          </w:tcPr>
          <w:p w14:paraId="78689FE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585" w:type="pct"/>
            <w:vAlign w:val="center"/>
          </w:tcPr>
          <w:p w14:paraId="60CA874D">
            <w:pPr>
              <w:pStyle w:val="143"/>
              <w:rPr>
                <w:rFonts w:hint="eastAsia"/>
              </w:rPr>
            </w:pPr>
            <w:r>
              <w:rPr>
                <w:rFonts w:hint="eastAsia"/>
              </w:rPr>
              <w:t>占标率/%</w:t>
            </w:r>
          </w:p>
        </w:tc>
        <w:tc>
          <w:tcPr>
            <w:tcW w:w="600" w:type="pct"/>
            <w:vAlign w:val="center"/>
          </w:tcPr>
          <w:p w14:paraId="54B58BE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592" w:type="pct"/>
            <w:vAlign w:val="center"/>
          </w:tcPr>
          <w:p w14:paraId="20CED6B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r>
      <w:tr w14:paraId="5829C9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3F1186FD">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5</w:t>
            </w:r>
          </w:p>
        </w:tc>
        <w:tc>
          <w:tcPr>
            <w:tcW w:w="600" w:type="pct"/>
            <w:vAlign w:val="center"/>
          </w:tcPr>
          <w:p w14:paraId="3C08D461">
            <w:pPr>
              <w:pStyle w:val="143"/>
              <w:rPr>
                <w:rFonts w:hint="eastAsia"/>
                <w:lang w:val="en-US" w:eastAsia="zh-CN"/>
              </w:rPr>
            </w:pPr>
            <w:r>
              <w:rPr>
                <w:rFonts w:hint="eastAsia"/>
                <w:lang w:val="en-US" w:eastAsia="zh-CN"/>
              </w:rPr>
              <w:t>0.246918</w:t>
            </w:r>
          </w:p>
        </w:tc>
        <w:tc>
          <w:tcPr>
            <w:tcW w:w="583" w:type="pct"/>
            <w:vAlign w:val="center"/>
          </w:tcPr>
          <w:p w14:paraId="39C84EE0">
            <w:pPr>
              <w:pStyle w:val="143"/>
              <w:rPr>
                <w:rFonts w:hint="eastAsia"/>
                <w:lang w:val="en-US" w:eastAsia="zh-CN"/>
              </w:rPr>
            </w:pPr>
            <w:r>
              <w:rPr>
                <w:rFonts w:hint="eastAsia"/>
                <w:lang w:val="en-US" w:eastAsia="zh-CN"/>
              </w:rPr>
              <w:t>0.05</w:t>
            </w:r>
          </w:p>
        </w:tc>
        <w:tc>
          <w:tcPr>
            <w:tcW w:w="583" w:type="pct"/>
            <w:vAlign w:val="center"/>
          </w:tcPr>
          <w:p w14:paraId="5486C5B5">
            <w:pPr>
              <w:pStyle w:val="143"/>
              <w:rPr>
                <w:rFonts w:hint="eastAsia"/>
                <w:lang w:val="en-US" w:eastAsia="zh-CN"/>
              </w:rPr>
            </w:pPr>
            <w:r>
              <w:rPr>
                <w:rFonts w:hint="eastAsia"/>
                <w:lang w:val="en-US" w:eastAsia="zh-CN"/>
              </w:rPr>
              <w:t>0.46994</w:t>
            </w:r>
          </w:p>
        </w:tc>
        <w:tc>
          <w:tcPr>
            <w:tcW w:w="585" w:type="pct"/>
            <w:vAlign w:val="center"/>
          </w:tcPr>
          <w:p w14:paraId="515BA4E4">
            <w:pPr>
              <w:pStyle w:val="143"/>
              <w:rPr>
                <w:rFonts w:hint="eastAsia"/>
                <w:lang w:val="en-US" w:eastAsia="zh-CN"/>
              </w:rPr>
            </w:pPr>
            <w:r>
              <w:rPr>
                <w:rFonts w:hint="eastAsia"/>
                <w:lang w:val="en-US" w:eastAsia="zh-CN"/>
              </w:rPr>
              <w:t>0.09</w:t>
            </w:r>
          </w:p>
        </w:tc>
        <w:tc>
          <w:tcPr>
            <w:tcW w:w="600" w:type="pct"/>
            <w:vAlign w:val="center"/>
          </w:tcPr>
          <w:p w14:paraId="43D1AD7F">
            <w:pPr>
              <w:pStyle w:val="143"/>
              <w:rPr>
                <w:rFonts w:hint="eastAsia"/>
                <w:lang w:val="en-US" w:eastAsia="zh-CN"/>
              </w:rPr>
            </w:pPr>
            <w:r>
              <w:rPr>
                <w:rFonts w:hint="eastAsia"/>
                <w:lang w:val="en-US" w:eastAsia="zh-CN"/>
              </w:rPr>
              <w:t>3.074523</w:t>
            </w:r>
          </w:p>
        </w:tc>
        <w:tc>
          <w:tcPr>
            <w:tcW w:w="592" w:type="pct"/>
            <w:vAlign w:val="center"/>
          </w:tcPr>
          <w:p w14:paraId="7BD16E1F">
            <w:pPr>
              <w:pStyle w:val="143"/>
              <w:rPr>
                <w:rFonts w:hint="eastAsia"/>
                <w:lang w:val="en-US" w:eastAsia="zh-CN"/>
              </w:rPr>
            </w:pPr>
            <w:r>
              <w:rPr>
                <w:rFonts w:hint="eastAsia"/>
                <w:lang w:val="en-US" w:eastAsia="zh-CN"/>
              </w:rPr>
              <w:t>1.23</w:t>
            </w:r>
          </w:p>
        </w:tc>
      </w:tr>
      <w:tr w14:paraId="7AB85D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5620657C">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0</w:t>
            </w:r>
          </w:p>
        </w:tc>
        <w:tc>
          <w:tcPr>
            <w:tcW w:w="600" w:type="pct"/>
            <w:vAlign w:val="center"/>
          </w:tcPr>
          <w:p w14:paraId="3794CC76">
            <w:pPr>
              <w:pStyle w:val="143"/>
              <w:rPr>
                <w:rFonts w:hint="eastAsia"/>
                <w:lang w:val="en-US" w:eastAsia="zh-CN"/>
              </w:rPr>
            </w:pPr>
            <w:r>
              <w:rPr>
                <w:rFonts w:hint="eastAsia"/>
                <w:lang w:val="en-US" w:eastAsia="zh-CN"/>
              </w:rPr>
              <w:t>0.90457</w:t>
            </w:r>
          </w:p>
        </w:tc>
        <w:tc>
          <w:tcPr>
            <w:tcW w:w="583" w:type="pct"/>
            <w:vAlign w:val="center"/>
          </w:tcPr>
          <w:p w14:paraId="627495A5">
            <w:pPr>
              <w:pStyle w:val="143"/>
              <w:rPr>
                <w:rFonts w:hint="eastAsia"/>
                <w:lang w:val="en-US" w:eastAsia="zh-CN"/>
              </w:rPr>
            </w:pPr>
            <w:r>
              <w:rPr>
                <w:rFonts w:hint="eastAsia"/>
                <w:lang w:val="en-US" w:eastAsia="zh-CN"/>
              </w:rPr>
              <w:t>0.2</w:t>
            </w:r>
          </w:p>
        </w:tc>
        <w:tc>
          <w:tcPr>
            <w:tcW w:w="583" w:type="pct"/>
            <w:vAlign w:val="center"/>
          </w:tcPr>
          <w:p w14:paraId="2D9DBF6C">
            <w:pPr>
              <w:pStyle w:val="143"/>
              <w:rPr>
                <w:rFonts w:hint="eastAsia"/>
                <w:lang w:val="en-US" w:eastAsia="zh-CN"/>
              </w:rPr>
            </w:pPr>
            <w:r>
              <w:rPr>
                <w:rFonts w:hint="eastAsia"/>
                <w:lang w:val="en-US" w:eastAsia="zh-CN"/>
              </w:rPr>
              <w:t>1.7216</w:t>
            </w:r>
          </w:p>
        </w:tc>
        <w:tc>
          <w:tcPr>
            <w:tcW w:w="585" w:type="pct"/>
            <w:vAlign w:val="center"/>
          </w:tcPr>
          <w:p w14:paraId="17C55BF7">
            <w:pPr>
              <w:pStyle w:val="143"/>
              <w:rPr>
                <w:rFonts w:hint="eastAsia"/>
                <w:lang w:val="en-US" w:eastAsia="zh-CN"/>
              </w:rPr>
            </w:pPr>
            <w:r>
              <w:rPr>
                <w:rFonts w:hint="eastAsia"/>
                <w:lang w:val="en-US" w:eastAsia="zh-CN"/>
              </w:rPr>
              <w:t>0.34</w:t>
            </w:r>
          </w:p>
        </w:tc>
        <w:tc>
          <w:tcPr>
            <w:tcW w:w="600" w:type="pct"/>
            <w:vAlign w:val="center"/>
          </w:tcPr>
          <w:p w14:paraId="0965E262">
            <w:pPr>
              <w:pStyle w:val="143"/>
              <w:rPr>
                <w:rFonts w:hint="eastAsia"/>
                <w:lang w:val="en-US" w:eastAsia="zh-CN"/>
              </w:rPr>
            </w:pPr>
            <w:r>
              <w:rPr>
                <w:rFonts w:hint="eastAsia"/>
                <w:lang w:val="en-US" w:eastAsia="zh-CN"/>
              </w:rPr>
              <w:t>11.26335</w:t>
            </w:r>
          </w:p>
        </w:tc>
        <w:tc>
          <w:tcPr>
            <w:tcW w:w="592" w:type="pct"/>
            <w:vAlign w:val="center"/>
          </w:tcPr>
          <w:p w14:paraId="77127152">
            <w:pPr>
              <w:pStyle w:val="143"/>
              <w:rPr>
                <w:rFonts w:hint="eastAsia"/>
                <w:lang w:val="en-US" w:eastAsia="zh-CN"/>
              </w:rPr>
            </w:pPr>
            <w:r>
              <w:rPr>
                <w:rFonts w:hint="eastAsia"/>
                <w:lang w:val="en-US" w:eastAsia="zh-CN"/>
              </w:rPr>
              <w:t>4.51</w:t>
            </w:r>
          </w:p>
        </w:tc>
      </w:tr>
      <w:tr w14:paraId="1FD5B4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0DD6D122">
            <w:pPr>
              <w:pStyle w:val="143"/>
              <w:rPr>
                <w:color w:val="000000" w:themeColor="text1"/>
                <w14:textFill>
                  <w14:solidFill>
                    <w14:schemeClr w14:val="tx1"/>
                  </w14:solidFill>
                </w14:textFill>
              </w:rPr>
            </w:pPr>
            <w:r>
              <w:rPr>
                <w:color w:val="000000" w:themeColor="text1"/>
                <w14:textFill>
                  <w14:solidFill>
                    <w14:schemeClr w14:val="tx1"/>
                  </w14:solidFill>
                </w14:textFill>
              </w:rPr>
              <w:t>100</w:t>
            </w:r>
          </w:p>
        </w:tc>
        <w:tc>
          <w:tcPr>
            <w:tcW w:w="600" w:type="pct"/>
            <w:vAlign w:val="center"/>
          </w:tcPr>
          <w:p w14:paraId="338FCEB8">
            <w:pPr>
              <w:pStyle w:val="143"/>
              <w:rPr>
                <w:rFonts w:hint="eastAsia"/>
                <w:lang w:val="en-US" w:eastAsia="zh-CN"/>
              </w:rPr>
            </w:pPr>
            <w:r>
              <w:rPr>
                <w:rFonts w:hint="eastAsia"/>
                <w:lang w:val="en-US" w:eastAsia="zh-CN"/>
              </w:rPr>
              <w:t>0.872204</w:t>
            </w:r>
          </w:p>
        </w:tc>
        <w:tc>
          <w:tcPr>
            <w:tcW w:w="583" w:type="pct"/>
            <w:vAlign w:val="center"/>
          </w:tcPr>
          <w:p w14:paraId="2EFA3FFD">
            <w:pPr>
              <w:pStyle w:val="143"/>
              <w:rPr>
                <w:rFonts w:hint="eastAsia"/>
                <w:lang w:val="en-US" w:eastAsia="zh-CN"/>
              </w:rPr>
            </w:pPr>
            <w:r>
              <w:rPr>
                <w:rFonts w:hint="eastAsia"/>
                <w:lang w:val="en-US" w:eastAsia="zh-CN"/>
              </w:rPr>
              <w:t>0.19</w:t>
            </w:r>
          </w:p>
        </w:tc>
        <w:tc>
          <w:tcPr>
            <w:tcW w:w="583" w:type="pct"/>
            <w:vAlign w:val="center"/>
          </w:tcPr>
          <w:p w14:paraId="517589E7">
            <w:pPr>
              <w:pStyle w:val="143"/>
              <w:rPr>
                <w:rFonts w:hint="eastAsia"/>
                <w:lang w:val="en-US" w:eastAsia="zh-CN"/>
              </w:rPr>
            </w:pPr>
            <w:r>
              <w:rPr>
                <w:rFonts w:hint="eastAsia"/>
                <w:lang w:val="en-US" w:eastAsia="zh-CN"/>
              </w:rPr>
              <w:t>1.66</w:t>
            </w:r>
          </w:p>
        </w:tc>
        <w:tc>
          <w:tcPr>
            <w:tcW w:w="585" w:type="pct"/>
            <w:vAlign w:val="center"/>
          </w:tcPr>
          <w:p w14:paraId="25383737">
            <w:pPr>
              <w:pStyle w:val="143"/>
              <w:rPr>
                <w:rFonts w:hint="eastAsia"/>
                <w:lang w:val="en-US" w:eastAsia="zh-CN"/>
              </w:rPr>
            </w:pPr>
            <w:r>
              <w:rPr>
                <w:rFonts w:hint="eastAsia"/>
                <w:lang w:val="en-US" w:eastAsia="zh-CN"/>
              </w:rPr>
              <w:t>0.33</w:t>
            </w:r>
          </w:p>
        </w:tc>
        <w:tc>
          <w:tcPr>
            <w:tcW w:w="600" w:type="pct"/>
            <w:vAlign w:val="center"/>
          </w:tcPr>
          <w:p w14:paraId="78AAF9B7">
            <w:pPr>
              <w:pStyle w:val="143"/>
              <w:rPr>
                <w:rFonts w:hint="eastAsia"/>
                <w:lang w:val="en-US" w:eastAsia="zh-CN"/>
              </w:rPr>
            </w:pPr>
            <w:r>
              <w:rPr>
                <w:rFonts w:hint="eastAsia"/>
                <w:lang w:val="en-US" w:eastAsia="zh-CN"/>
              </w:rPr>
              <w:t>10.86034</w:t>
            </w:r>
          </w:p>
        </w:tc>
        <w:tc>
          <w:tcPr>
            <w:tcW w:w="592" w:type="pct"/>
            <w:vAlign w:val="center"/>
          </w:tcPr>
          <w:p w14:paraId="1A1DEE44">
            <w:pPr>
              <w:pStyle w:val="143"/>
              <w:rPr>
                <w:rFonts w:hint="eastAsia"/>
                <w:lang w:val="en-US" w:eastAsia="zh-CN"/>
              </w:rPr>
            </w:pPr>
            <w:r>
              <w:rPr>
                <w:rFonts w:hint="eastAsia"/>
                <w:lang w:val="en-US" w:eastAsia="zh-CN"/>
              </w:rPr>
              <w:t>4.34</w:t>
            </w:r>
          </w:p>
        </w:tc>
      </w:tr>
      <w:tr w14:paraId="3643DC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647E2679">
            <w:pPr>
              <w:pStyle w:val="143"/>
              <w:rPr>
                <w:color w:val="000000" w:themeColor="text1"/>
                <w14:textFill>
                  <w14:solidFill>
                    <w14:schemeClr w14:val="tx1"/>
                  </w14:solidFill>
                </w14:textFill>
              </w:rPr>
            </w:pPr>
            <w:r>
              <w:rPr>
                <w:color w:val="000000" w:themeColor="text1"/>
                <w14:textFill>
                  <w14:solidFill>
                    <w14:schemeClr w14:val="tx1"/>
                  </w14:solidFill>
                </w14:textFill>
              </w:rPr>
              <w:t>200</w:t>
            </w:r>
          </w:p>
        </w:tc>
        <w:tc>
          <w:tcPr>
            <w:tcW w:w="600" w:type="pct"/>
            <w:vAlign w:val="center"/>
          </w:tcPr>
          <w:p w14:paraId="2B083A0A">
            <w:pPr>
              <w:pStyle w:val="143"/>
              <w:rPr>
                <w:rFonts w:hint="eastAsia"/>
                <w:lang w:val="en-US" w:eastAsia="zh-CN"/>
              </w:rPr>
            </w:pPr>
            <w:r>
              <w:rPr>
                <w:rFonts w:hint="eastAsia"/>
                <w:lang w:val="en-US" w:eastAsia="zh-CN"/>
              </w:rPr>
              <w:t>1.017115</w:t>
            </w:r>
          </w:p>
        </w:tc>
        <w:tc>
          <w:tcPr>
            <w:tcW w:w="583" w:type="pct"/>
            <w:vAlign w:val="center"/>
          </w:tcPr>
          <w:p w14:paraId="75A7499A">
            <w:pPr>
              <w:pStyle w:val="143"/>
              <w:rPr>
                <w:rFonts w:hint="eastAsia"/>
                <w:lang w:val="en-US" w:eastAsia="zh-CN"/>
              </w:rPr>
            </w:pPr>
            <w:r>
              <w:rPr>
                <w:rFonts w:hint="eastAsia"/>
                <w:lang w:val="en-US" w:eastAsia="zh-CN"/>
              </w:rPr>
              <w:t>0.23</w:t>
            </w:r>
          </w:p>
        </w:tc>
        <w:tc>
          <w:tcPr>
            <w:tcW w:w="583" w:type="pct"/>
            <w:vAlign w:val="center"/>
          </w:tcPr>
          <w:p w14:paraId="2DBF8D16">
            <w:pPr>
              <w:pStyle w:val="143"/>
              <w:rPr>
                <w:rFonts w:hint="eastAsia"/>
                <w:lang w:val="en-US" w:eastAsia="zh-CN"/>
              </w:rPr>
            </w:pPr>
            <w:r>
              <w:rPr>
                <w:rFonts w:hint="eastAsia"/>
                <w:lang w:val="en-US" w:eastAsia="zh-CN"/>
              </w:rPr>
              <w:t>1.9358</w:t>
            </w:r>
          </w:p>
        </w:tc>
        <w:tc>
          <w:tcPr>
            <w:tcW w:w="585" w:type="pct"/>
            <w:vAlign w:val="center"/>
          </w:tcPr>
          <w:p w14:paraId="28944D73">
            <w:pPr>
              <w:pStyle w:val="143"/>
              <w:rPr>
                <w:rFonts w:hint="eastAsia"/>
                <w:lang w:val="en-US" w:eastAsia="zh-CN"/>
              </w:rPr>
            </w:pPr>
            <w:r>
              <w:rPr>
                <w:rFonts w:hint="eastAsia"/>
                <w:lang w:val="en-US" w:eastAsia="zh-CN"/>
              </w:rPr>
              <w:t>0.39</w:t>
            </w:r>
          </w:p>
        </w:tc>
        <w:tc>
          <w:tcPr>
            <w:tcW w:w="600" w:type="pct"/>
            <w:vAlign w:val="center"/>
          </w:tcPr>
          <w:p w14:paraId="5C6C010E">
            <w:pPr>
              <w:pStyle w:val="143"/>
              <w:rPr>
                <w:rFonts w:hint="eastAsia"/>
                <w:lang w:val="en-US" w:eastAsia="zh-CN"/>
              </w:rPr>
            </w:pPr>
            <w:r>
              <w:rPr>
                <w:rFonts w:hint="eastAsia"/>
                <w:lang w:val="en-US" w:eastAsia="zh-CN"/>
              </w:rPr>
              <w:t>12.66473</w:t>
            </w:r>
          </w:p>
        </w:tc>
        <w:tc>
          <w:tcPr>
            <w:tcW w:w="592" w:type="pct"/>
            <w:vAlign w:val="center"/>
          </w:tcPr>
          <w:p w14:paraId="087A59F5">
            <w:pPr>
              <w:pStyle w:val="143"/>
              <w:rPr>
                <w:rFonts w:hint="eastAsia"/>
                <w:lang w:val="en-US" w:eastAsia="zh-CN"/>
              </w:rPr>
            </w:pPr>
            <w:r>
              <w:rPr>
                <w:rFonts w:hint="eastAsia"/>
                <w:lang w:val="en-US" w:eastAsia="zh-CN"/>
              </w:rPr>
              <w:t>5.07</w:t>
            </w:r>
          </w:p>
        </w:tc>
      </w:tr>
      <w:tr w14:paraId="29DCAF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646E7735">
            <w:pPr>
              <w:pStyle w:val="143"/>
              <w:rPr>
                <w:color w:val="000000" w:themeColor="text1"/>
                <w14:textFill>
                  <w14:solidFill>
                    <w14:schemeClr w14:val="tx1"/>
                  </w14:solidFill>
                </w14:textFill>
              </w:rPr>
            </w:pPr>
            <w:r>
              <w:rPr>
                <w:color w:val="000000" w:themeColor="text1"/>
                <w14:textFill>
                  <w14:solidFill>
                    <w14:schemeClr w14:val="tx1"/>
                  </w14:solidFill>
                </w14:textFill>
              </w:rPr>
              <w:t>300</w:t>
            </w:r>
          </w:p>
        </w:tc>
        <w:tc>
          <w:tcPr>
            <w:tcW w:w="600" w:type="pct"/>
            <w:vAlign w:val="center"/>
          </w:tcPr>
          <w:p w14:paraId="697046AA">
            <w:pPr>
              <w:pStyle w:val="143"/>
              <w:rPr>
                <w:rFonts w:hint="eastAsia"/>
                <w:lang w:val="en-US" w:eastAsia="zh-CN"/>
              </w:rPr>
            </w:pPr>
            <w:r>
              <w:rPr>
                <w:rFonts w:hint="eastAsia"/>
                <w:lang w:val="en-US" w:eastAsia="zh-CN"/>
              </w:rPr>
              <w:t>1.283085</w:t>
            </w:r>
          </w:p>
        </w:tc>
        <w:tc>
          <w:tcPr>
            <w:tcW w:w="583" w:type="pct"/>
            <w:vAlign w:val="center"/>
          </w:tcPr>
          <w:p w14:paraId="1353C618">
            <w:pPr>
              <w:pStyle w:val="143"/>
              <w:rPr>
                <w:rFonts w:hint="eastAsia"/>
                <w:lang w:val="en-US" w:eastAsia="zh-CN"/>
              </w:rPr>
            </w:pPr>
            <w:r>
              <w:rPr>
                <w:rFonts w:hint="eastAsia"/>
                <w:lang w:val="en-US" w:eastAsia="zh-CN"/>
              </w:rPr>
              <w:t>0.29</w:t>
            </w:r>
          </w:p>
        </w:tc>
        <w:tc>
          <w:tcPr>
            <w:tcW w:w="583" w:type="pct"/>
            <w:vAlign w:val="center"/>
          </w:tcPr>
          <w:p w14:paraId="0FE3547F">
            <w:pPr>
              <w:pStyle w:val="143"/>
              <w:rPr>
                <w:rFonts w:hint="eastAsia"/>
                <w:lang w:val="en-US" w:eastAsia="zh-CN"/>
              </w:rPr>
            </w:pPr>
            <w:r>
              <w:rPr>
                <w:rFonts w:hint="eastAsia"/>
                <w:lang w:val="en-US" w:eastAsia="zh-CN"/>
              </w:rPr>
              <w:t>2.442</w:t>
            </w:r>
          </w:p>
        </w:tc>
        <w:tc>
          <w:tcPr>
            <w:tcW w:w="585" w:type="pct"/>
            <w:vAlign w:val="center"/>
          </w:tcPr>
          <w:p w14:paraId="1F2D5472">
            <w:pPr>
              <w:pStyle w:val="143"/>
              <w:rPr>
                <w:rFonts w:hint="eastAsia"/>
                <w:lang w:val="en-US" w:eastAsia="zh-CN"/>
              </w:rPr>
            </w:pPr>
            <w:r>
              <w:rPr>
                <w:rFonts w:hint="eastAsia"/>
                <w:lang w:val="en-US" w:eastAsia="zh-CN"/>
              </w:rPr>
              <w:t>0.49</w:t>
            </w:r>
          </w:p>
        </w:tc>
        <w:tc>
          <w:tcPr>
            <w:tcW w:w="600" w:type="pct"/>
            <w:vAlign w:val="center"/>
          </w:tcPr>
          <w:p w14:paraId="290D57C2">
            <w:pPr>
              <w:pStyle w:val="143"/>
              <w:rPr>
                <w:rFonts w:hint="eastAsia"/>
                <w:lang w:val="en-US" w:eastAsia="zh-CN"/>
              </w:rPr>
            </w:pPr>
            <w:r>
              <w:rPr>
                <w:rFonts w:hint="eastAsia"/>
                <w:lang w:val="en-US" w:eastAsia="zh-CN"/>
              </w:rPr>
              <w:t>15.97647</w:t>
            </w:r>
          </w:p>
        </w:tc>
        <w:tc>
          <w:tcPr>
            <w:tcW w:w="592" w:type="pct"/>
            <w:vAlign w:val="center"/>
          </w:tcPr>
          <w:p w14:paraId="3703674B">
            <w:pPr>
              <w:pStyle w:val="143"/>
              <w:rPr>
                <w:rFonts w:hint="eastAsia"/>
                <w:lang w:val="en-US" w:eastAsia="zh-CN"/>
              </w:rPr>
            </w:pPr>
            <w:r>
              <w:rPr>
                <w:rFonts w:hint="eastAsia"/>
                <w:lang w:val="en-US" w:eastAsia="zh-CN"/>
              </w:rPr>
              <w:t>6.39</w:t>
            </w:r>
          </w:p>
        </w:tc>
      </w:tr>
      <w:tr w14:paraId="584099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508D4A84">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318</w:t>
            </w:r>
          </w:p>
        </w:tc>
        <w:tc>
          <w:tcPr>
            <w:tcW w:w="600" w:type="pct"/>
            <w:vAlign w:val="center"/>
          </w:tcPr>
          <w:p w14:paraId="59494F0C">
            <w:pPr>
              <w:pStyle w:val="143"/>
              <w:rPr>
                <w:rFonts w:hint="eastAsia"/>
                <w:lang w:val="en-US" w:eastAsia="zh-CN"/>
              </w:rPr>
            </w:pPr>
            <w:r>
              <w:rPr>
                <w:rFonts w:hint="eastAsia"/>
                <w:lang w:val="en-US" w:eastAsia="zh-CN"/>
              </w:rPr>
              <w:t>1.28692</w:t>
            </w:r>
          </w:p>
        </w:tc>
        <w:tc>
          <w:tcPr>
            <w:tcW w:w="583" w:type="pct"/>
            <w:vAlign w:val="center"/>
          </w:tcPr>
          <w:p w14:paraId="06E7F594">
            <w:pPr>
              <w:pStyle w:val="143"/>
              <w:rPr>
                <w:rFonts w:hint="eastAsia"/>
                <w:lang w:val="en-US" w:eastAsia="zh-CN"/>
              </w:rPr>
            </w:pPr>
            <w:r>
              <w:rPr>
                <w:rFonts w:hint="eastAsia"/>
                <w:lang w:val="en-US" w:eastAsia="zh-CN"/>
              </w:rPr>
              <w:t>0.29</w:t>
            </w:r>
          </w:p>
        </w:tc>
        <w:tc>
          <w:tcPr>
            <w:tcW w:w="583" w:type="pct"/>
            <w:vAlign w:val="center"/>
          </w:tcPr>
          <w:p w14:paraId="0A72E5CA">
            <w:pPr>
              <w:pStyle w:val="143"/>
              <w:rPr>
                <w:rFonts w:hint="eastAsia"/>
                <w:lang w:val="en-US" w:eastAsia="zh-CN"/>
              </w:rPr>
            </w:pPr>
            <w:r>
              <w:rPr>
                <w:rFonts w:hint="eastAsia"/>
                <w:lang w:val="en-US" w:eastAsia="zh-CN"/>
              </w:rPr>
              <w:t>2.4493</w:t>
            </w:r>
          </w:p>
        </w:tc>
        <w:tc>
          <w:tcPr>
            <w:tcW w:w="585" w:type="pct"/>
            <w:vAlign w:val="center"/>
          </w:tcPr>
          <w:p w14:paraId="46BDF652">
            <w:pPr>
              <w:pStyle w:val="143"/>
              <w:rPr>
                <w:rFonts w:hint="eastAsia"/>
                <w:lang w:val="en-US" w:eastAsia="zh-CN"/>
              </w:rPr>
            </w:pPr>
            <w:r>
              <w:rPr>
                <w:rFonts w:hint="eastAsia"/>
                <w:lang w:val="en-US" w:eastAsia="zh-CN"/>
              </w:rPr>
              <w:t>0.49</w:t>
            </w:r>
          </w:p>
        </w:tc>
        <w:tc>
          <w:tcPr>
            <w:tcW w:w="600" w:type="pct"/>
            <w:vAlign w:val="center"/>
          </w:tcPr>
          <w:p w14:paraId="79F41B33">
            <w:pPr>
              <w:pStyle w:val="143"/>
              <w:rPr>
                <w:rFonts w:hint="eastAsia"/>
                <w:lang w:val="en-US" w:eastAsia="zh-CN"/>
              </w:rPr>
            </w:pPr>
            <w:r>
              <w:rPr>
                <w:rFonts w:hint="eastAsia"/>
                <w:lang w:val="en-US" w:eastAsia="zh-CN"/>
              </w:rPr>
              <w:t>16.02423</w:t>
            </w:r>
          </w:p>
        </w:tc>
        <w:tc>
          <w:tcPr>
            <w:tcW w:w="592" w:type="pct"/>
            <w:vAlign w:val="center"/>
          </w:tcPr>
          <w:p w14:paraId="64B1E4F1">
            <w:pPr>
              <w:pStyle w:val="143"/>
              <w:rPr>
                <w:rFonts w:hint="eastAsia"/>
                <w:lang w:val="en-US" w:eastAsia="zh-CN"/>
              </w:rPr>
            </w:pPr>
            <w:r>
              <w:rPr>
                <w:rFonts w:hint="eastAsia"/>
                <w:lang w:val="en-US" w:eastAsia="zh-CN"/>
              </w:rPr>
              <w:t>6.41</w:t>
            </w:r>
          </w:p>
        </w:tc>
      </w:tr>
      <w:tr w14:paraId="79F5FF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1236A815">
            <w:pPr>
              <w:pStyle w:val="143"/>
              <w:rPr>
                <w:color w:val="000000" w:themeColor="text1"/>
                <w14:textFill>
                  <w14:solidFill>
                    <w14:schemeClr w14:val="tx1"/>
                  </w14:solidFill>
                </w14:textFill>
              </w:rPr>
            </w:pPr>
            <w:r>
              <w:rPr>
                <w:color w:val="000000" w:themeColor="text1"/>
                <w14:textFill>
                  <w14:solidFill>
                    <w14:schemeClr w14:val="tx1"/>
                  </w14:solidFill>
                </w14:textFill>
              </w:rPr>
              <w:t>500</w:t>
            </w:r>
          </w:p>
        </w:tc>
        <w:tc>
          <w:tcPr>
            <w:tcW w:w="600" w:type="pct"/>
            <w:vAlign w:val="center"/>
          </w:tcPr>
          <w:p w14:paraId="6BAC19CA">
            <w:pPr>
              <w:pStyle w:val="143"/>
              <w:rPr>
                <w:rFonts w:hint="eastAsia"/>
                <w:lang w:val="en-US" w:eastAsia="zh-CN"/>
              </w:rPr>
            </w:pPr>
            <w:r>
              <w:rPr>
                <w:rFonts w:hint="eastAsia"/>
                <w:lang w:val="en-US" w:eastAsia="zh-CN"/>
              </w:rPr>
              <w:t>1.097453</w:t>
            </w:r>
          </w:p>
        </w:tc>
        <w:tc>
          <w:tcPr>
            <w:tcW w:w="583" w:type="pct"/>
            <w:vAlign w:val="center"/>
          </w:tcPr>
          <w:p w14:paraId="44663C9D">
            <w:pPr>
              <w:pStyle w:val="143"/>
              <w:rPr>
                <w:rFonts w:hint="eastAsia"/>
                <w:lang w:val="en-US" w:eastAsia="zh-CN"/>
              </w:rPr>
            </w:pPr>
            <w:r>
              <w:rPr>
                <w:rFonts w:hint="eastAsia"/>
                <w:lang w:val="en-US" w:eastAsia="zh-CN"/>
              </w:rPr>
              <w:t>0.24</w:t>
            </w:r>
          </w:p>
        </w:tc>
        <w:tc>
          <w:tcPr>
            <w:tcW w:w="583" w:type="pct"/>
            <w:vAlign w:val="center"/>
          </w:tcPr>
          <w:p w14:paraId="213031F9">
            <w:pPr>
              <w:pStyle w:val="143"/>
              <w:rPr>
                <w:rFonts w:hint="eastAsia"/>
                <w:lang w:val="en-US" w:eastAsia="zh-CN"/>
              </w:rPr>
            </w:pPr>
            <w:r>
              <w:rPr>
                <w:rFonts w:hint="eastAsia"/>
                <w:lang w:val="en-US" w:eastAsia="zh-CN"/>
              </w:rPr>
              <w:t>2.0887</w:t>
            </w:r>
          </w:p>
        </w:tc>
        <w:tc>
          <w:tcPr>
            <w:tcW w:w="585" w:type="pct"/>
            <w:vAlign w:val="center"/>
          </w:tcPr>
          <w:p w14:paraId="50F9D641">
            <w:pPr>
              <w:pStyle w:val="143"/>
              <w:rPr>
                <w:rFonts w:hint="eastAsia"/>
                <w:lang w:val="en-US" w:eastAsia="zh-CN"/>
              </w:rPr>
            </w:pPr>
            <w:r>
              <w:rPr>
                <w:rFonts w:hint="eastAsia"/>
                <w:lang w:val="en-US" w:eastAsia="zh-CN"/>
              </w:rPr>
              <w:t>0.42</w:t>
            </w:r>
          </w:p>
        </w:tc>
        <w:tc>
          <w:tcPr>
            <w:tcW w:w="600" w:type="pct"/>
            <w:vAlign w:val="center"/>
          </w:tcPr>
          <w:p w14:paraId="1B9D4951">
            <w:pPr>
              <w:pStyle w:val="143"/>
              <w:rPr>
                <w:rFonts w:hint="eastAsia"/>
                <w:lang w:val="en-US" w:eastAsia="zh-CN"/>
              </w:rPr>
            </w:pPr>
            <w:r>
              <w:rPr>
                <w:rFonts w:hint="eastAsia"/>
                <w:lang w:val="en-US" w:eastAsia="zh-CN"/>
              </w:rPr>
              <w:t>13.66506</w:t>
            </w:r>
          </w:p>
        </w:tc>
        <w:tc>
          <w:tcPr>
            <w:tcW w:w="592" w:type="pct"/>
            <w:vAlign w:val="center"/>
          </w:tcPr>
          <w:p w14:paraId="12170D02">
            <w:pPr>
              <w:pStyle w:val="143"/>
              <w:rPr>
                <w:rFonts w:hint="eastAsia"/>
                <w:lang w:val="en-US" w:eastAsia="zh-CN"/>
              </w:rPr>
            </w:pPr>
            <w:r>
              <w:rPr>
                <w:rFonts w:hint="eastAsia"/>
                <w:lang w:val="en-US" w:eastAsia="zh-CN"/>
              </w:rPr>
              <w:t>5.47</w:t>
            </w:r>
          </w:p>
        </w:tc>
      </w:tr>
      <w:tr w14:paraId="61248B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6D449C15">
            <w:pPr>
              <w:pStyle w:val="143"/>
              <w:rPr>
                <w:color w:val="000000" w:themeColor="text1"/>
                <w14:textFill>
                  <w14:solidFill>
                    <w14:schemeClr w14:val="tx1"/>
                  </w14:solidFill>
                </w14:textFill>
              </w:rPr>
            </w:pPr>
            <w:r>
              <w:rPr>
                <w:color w:val="000000" w:themeColor="text1"/>
                <w14:textFill>
                  <w14:solidFill>
                    <w14:schemeClr w14:val="tx1"/>
                  </w14:solidFill>
                </w14:textFill>
              </w:rPr>
              <w:t>1000</w:t>
            </w:r>
          </w:p>
        </w:tc>
        <w:tc>
          <w:tcPr>
            <w:tcW w:w="600" w:type="pct"/>
            <w:vAlign w:val="center"/>
          </w:tcPr>
          <w:p w14:paraId="3100435C">
            <w:pPr>
              <w:pStyle w:val="143"/>
              <w:rPr>
                <w:rFonts w:hint="eastAsia"/>
                <w:lang w:val="en-US" w:eastAsia="zh-CN"/>
              </w:rPr>
            </w:pPr>
            <w:r>
              <w:rPr>
                <w:rFonts w:hint="eastAsia"/>
                <w:lang w:val="en-US" w:eastAsia="zh-CN"/>
              </w:rPr>
              <w:t>0.662349</w:t>
            </w:r>
          </w:p>
        </w:tc>
        <w:tc>
          <w:tcPr>
            <w:tcW w:w="583" w:type="pct"/>
            <w:vAlign w:val="center"/>
          </w:tcPr>
          <w:p w14:paraId="7224E4D4">
            <w:pPr>
              <w:pStyle w:val="143"/>
              <w:rPr>
                <w:rFonts w:hint="eastAsia"/>
                <w:lang w:val="en-US" w:eastAsia="zh-CN"/>
              </w:rPr>
            </w:pPr>
            <w:r>
              <w:rPr>
                <w:rFonts w:hint="eastAsia"/>
                <w:lang w:val="en-US" w:eastAsia="zh-CN"/>
              </w:rPr>
              <w:t>0.15</w:t>
            </w:r>
          </w:p>
        </w:tc>
        <w:tc>
          <w:tcPr>
            <w:tcW w:w="583" w:type="pct"/>
            <w:vAlign w:val="center"/>
          </w:tcPr>
          <w:p w14:paraId="0C6B9301">
            <w:pPr>
              <w:pStyle w:val="143"/>
              <w:rPr>
                <w:rFonts w:hint="eastAsia"/>
                <w:lang w:val="en-US" w:eastAsia="zh-CN"/>
              </w:rPr>
            </w:pPr>
            <w:r>
              <w:rPr>
                <w:rFonts w:hint="eastAsia"/>
                <w:lang w:val="en-US" w:eastAsia="zh-CN"/>
              </w:rPr>
              <w:t>1.2606</w:t>
            </w:r>
          </w:p>
        </w:tc>
        <w:tc>
          <w:tcPr>
            <w:tcW w:w="585" w:type="pct"/>
            <w:vAlign w:val="center"/>
          </w:tcPr>
          <w:p w14:paraId="15F335C1">
            <w:pPr>
              <w:pStyle w:val="143"/>
              <w:rPr>
                <w:rFonts w:hint="eastAsia"/>
                <w:lang w:val="en-US" w:eastAsia="zh-CN"/>
              </w:rPr>
            </w:pPr>
            <w:r>
              <w:rPr>
                <w:rFonts w:hint="eastAsia"/>
                <w:lang w:val="en-US" w:eastAsia="zh-CN"/>
              </w:rPr>
              <w:t>0.25</w:t>
            </w:r>
          </w:p>
        </w:tc>
        <w:tc>
          <w:tcPr>
            <w:tcW w:w="600" w:type="pct"/>
            <w:vAlign w:val="center"/>
          </w:tcPr>
          <w:p w14:paraId="2E61DCEB">
            <w:pPr>
              <w:pStyle w:val="143"/>
              <w:rPr>
                <w:rFonts w:hint="eastAsia"/>
                <w:lang w:val="en-US" w:eastAsia="zh-CN"/>
              </w:rPr>
            </w:pPr>
            <w:r>
              <w:rPr>
                <w:rFonts w:hint="eastAsia"/>
                <w:lang w:val="en-US" w:eastAsia="zh-CN"/>
              </w:rPr>
              <w:t>8.247316</w:t>
            </w:r>
          </w:p>
        </w:tc>
        <w:tc>
          <w:tcPr>
            <w:tcW w:w="592" w:type="pct"/>
            <w:vAlign w:val="center"/>
          </w:tcPr>
          <w:p w14:paraId="46D94493">
            <w:pPr>
              <w:pStyle w:val="143"/>
              <w:rPr>
                <w:rFonts w:hint="eastAsia"/>
                <w:lang w:val="en-US" w:eastAsia="zh-CN"/>
              </w:rPr>
            </w:pPr>
            <w:r>
              <w:rPr>
                <w:rFonts w:hint="eastAsia"/>
                <w:lang w:val="en-US" w:eastAsia="zh-CN"/>
              </w:rPr>
              <w:t>3.3</w:t>
            </w:r>
          </w:p>
        </w:tc>
      </w:tr>
      <w:tr w14:paraId="52EA5C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1FE21BA5">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w:t>
            </w:r>
            <w:r>
              <w:rPr>
                <w:color w:val="000000" w:themeColor="text1"/>
                <w:lang w:eastAsia="zh-CN"/>
                <w14:textFill>
                  <w14:solidFill>
                    <w14:schemeClr w14:val="tx1"/>
                  </w14:solidFill>
                </w14:textFill>
              </w:rPr>
              <w:t>500</w:t>
            </w:r>
          </w:p>
        </w:tc>
        <w:tc>
          <w:tcPr>
            <w:tcW w:w="600" w:type="pct"/>
            <w:vAlign w:val="center"/>
          </w:tcPr>
          <w:p w14:paraId="2AB13DE1">
            <w:pPr>
              <w:pStyle w:val="143"/>
              <w:rPr>
                <w:rFonts w:hint="eastAsia"/>
                <w:lang w:val="en-US" w:eastAsia="zh-CN"/>
              </w:rPr>
            </w:pPr>
            <w:r>
              <w:rPr>
                <w:rFonts w:hint="eastAsia"/>
                <w:lang w:val="en-US" w:eastAsia="zh-CN"/>
              </w:rPr>
              <w:t>0.551537</w:t>
            </w:r>
          </w:p>
        </w:tc>
        <w:tc>
          <w:tcPr>
            <w:tcW w:w="583" w:type="pct"/>
            <w:vAlign w:val="center"/>
          </w:tcPr>
          <w:p w14:paraId="6C9FB7A7">
            <w:pPr>
              <w:pStyle w:val="143"/>
              <w:rPr>
                <w:rFonts w:hint="eastAsia"/>
                <w:lang w:val="en-US" w:eastAsia="zh-CN"/>
              </w:rPr>
            </w:pPr>
            <w:r>
              <w:rPr>
                <w:rFonts w:hint="eastAsia"/>
                <w:lang w:val="en-US" w:eastAsia="zh-CN"/>
              </w:rPr>
              <w:t>0.12</w:t>
            </w:r>
          </w:p>
        </w:tc>
        <w:tc>
          <w:tcPr>
            <w:tcW w:w="583" w:type="pct"/>
            <w:vAlign w:val="center"/>
          </w:tcPr>
          <w:p w14:paraId="4655767B">
            <w:pPr>
              <w:pStyle w:val="143"/>
              <w:rPr>
                <w:rFonts w:hint="eastAsia"/>
                <w:lang w:val="en-US" w:eastAsia="zh-CN"/>
              </w:rPr>
            </w:pPr>
            <w:r>
              <w:rPr>
                <w:rFonts w:hint="eastAsia"/>
                <w:lang w:val="en-US" w:eastAsia="zh-CN"/>
              </w:rPr>
              <w:t>1.0497</w:t>
            </w:r>
          </w:p>
        </w:tc>
        <w:tc>
          <w:tcPr>
            <w:tcW w:w="585" w:type="pct"/>
            <w:vAlign w:val="center"/>
          </w:tcPr>
          <w:p w14:paraId="57AF2D6A">
            <w:pPr>
              <w:pStyle w:val="143"/>
              <w:rPr>
                <w:rFonts w:hint="eastAsia"/>
                <w:lang w:val="en-US" w:eastAsia="zh-CN"/>
              </w:rPr>
            </w:pPr>
            <w:r>
              <w:rPr>
                <w:rFonts w:hint="eastAsia"/>
                <w:lang w:val="en-US" w:eastAsia="zh-CN"/>
              </w:rPr>
              <w:t>0.21</w:t>
            </w:r>
          </w:p>
        </w:tc>
        <w:tc>
          <w:tcPr>
            <w:tcW w:w="600" w:type="pct"/>
            <w:vAlign w:val="center"/>
          </w:tcPr>
          <w:p w14:paraId="766E2873">
            <w:pPr>
              <w:pStyle w:val="143"/>
              <w:rPr>
                <w:rFonts w:hint="eastAsia"/>
                <w:lang w:val="en-US" w:eastAsia="zh-CN"/>
              </w:rPr>
            </w:pPr>
            <w:r>
              <w:rPr>
                <w:rFonts w:hint="eastAsia"/>
                <w:lang w:val="en-US" w:eastAsia="zh-CN"/>
              </w:rPr>
              <w:t>6.867529</w:t>
            </w:r>
          </w:p>
        </w:tc>
        <w:tc>
          <w:tcPr>
            <w:tcW w:w="592" w:type="pct"/>
            <w:vAlign w:val="center"/>
          </w:tcPr>
          <w:p w14:paraId="7B12C806">
            <w:pPr>
              <w:pStyle w:val="143"/>
              <w:rPr>
                <w:rFonts w:hint="eastAsia"/>
                <w:lang w:val="en-US" w:eastAsia="zh-CN"/>
              </w:rPr>
            </w:pPr>
            <w:r>
              <w:rPr>
                <w:rFonts w:hint="eastAsia"/>
                <w:lang w:val="en-US" w:eastAsia="zh-CN"/>
              </w:rPr>
              <w:t>2.75</w:t>
            </w:r>
          </w:p>
        </w:tc>
      </w:tr>
      <w:tr w14:paraId="700906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54" w:type="pct"/>
            <w:shd w:val="clear" w:color="auto" w:fill="auto"/>
            <w:vAlign w:val="center"/>
          </w:tcPr>
          <w:p w14:paraId="51FF0465">
            <w:pPr>
              <w:pStyle w:val="143"/>
              <w:rPr>
                <w:color w:val="000000" w:themeColor="text1"/>
                <w14:textFill>
                  <w14:solidFill>
                    <w14:schemeClr w14:val="tx1"/>
                  </w14:solidFill>
                </w14:textFill>
              </w:rPr>
            </w:pPr>
            <w:r>
              <w:rPr>
                <w:color w:val="000000" w:themeColor="text1"/>
                <w14:textFill>
                  <w14:solidFill>
                    <w14:schemeClr w14:val="tx1"/>
                  </w14:solidFill>
                </w14:textFill>
              </w:rPr>
              <w:t>2000</w:t>
            </w:r>
          </w:p>
        </w:tc>
        <w:tc>
          <w:tcPr>
            <w:tcW w:w="600" w:type="pct"/>
            <w:vAlign w:val="center"/>
          </w:tcPr>
          <w:p w14:paraId="5A979AC9">
            <w:pPr>
              <w:pStyle w:val="143"/>
              <w:rPr>
                <w:rFonts w:hint="eastAsia"/>
                <w:lang w:val="en-US" w:eastAsia="zh-CN"/>
              </w:rPr>
            </w:pPr>
            <w:r>
              <w:rPr>
                <w:rFonts w:hint="eastAsia"/>
                <w:lang w:val="en-US" w:eastAsia="zh-CN"/>
              </w:rPr>
              <w:t>0.477337</w:t>
            </w:r>
          </w:p>
        </w:tc>
        <w:tc>
          <w:tcPr>
            <w:tcW w:w="583" w:type="pct"/>
            <w:vAlign w:val="center"/>
          </w:tcPr>
          <w:p w14:paraId="051A00BE">
            <w:pPr>
              <w:pStyle w:val="143"/>
              <w:rPr>
                <w:rFonts w:hint="eastAsia"/>
                <w:lang w:val="en-US" w:eastAsia="zh-CN"/>
              </w:rPr>
            </w:pPr>
            <w:r>
              <w:rPr>
                <w:rFonts w:hint="eastAsia"/>
                <w:lang w:val="en-US" w:eastAsia="zh-CN"/>
              </w:rPr>
              <w:t>0.11</w:t>
            </w:r>
          </w:p>
        </w:tc>
        <w:tc>
          <w:tcPr>
            <w:tcW w:w="583" w:type="pct"/>
            <w:vAlign w:val="center"/>
          </w:tcPr>
          <w:p w14:paraId="519B25D4">
            <w:pPr>
              <w:pStyle w:val="143"/>
              <w:rPr>
                <w:rFonts w:hint="eastAsia"/>
                <w:lang w:val="en-US" w:eastAsia="zh-CN"/>
              </w:rPr>
            </w:pPr>
            <w:r>
              <w:rPr>
                <w:rFonts w:hint="eastAsia"/>
                <w:lang w:val="en-US" w:eastAsia="zh-CN"/>
              </w:rPr>
              <w:t>0.90848</w:t>
            </w:r>
          </w:p>
        </w:tc>
        <w:tc>
          <w:tcPr>
            <w:tcW w:w="585" w:type="pct"/>
            <w:vAlign w:val="center"/>
          </w:tcPr>
          <w:p w14:paraId="480727AF">
            <w:pPr>
              <w:pStyle w:val="143"/>
              <w:rPr>
                <w:rFonts w:hint="eastAsia"/>
                <w:lang w:val="en-US" w:eastAsia="zh-CN"/>
              </w:rPr>
            </w:pPr>
            <w:r>
              <w:rPr>
                <w:rFonts w:hint="eastAsia"/>
                <w:lang w:val="en-US" w:eastAsia="zh-CN"/>
              </w:rPr>
              <w:t>0.18</w:t>
            </w:r>
          </w:p>
        </w:tc>
        <w:tc>
          <w:tcPr>
            <w:tcW w:w="600" w:type="pct"/>
            <w:vAlign w:val="center"/>
          </w:tcPr>
          <w:p w14:paraId="558A2D1B">
            <w:pPr>
              <w:pStyle w:val="143"/>
              <w:rPr>
                <w:rFonts w:hint="eastAsia"/>
                <w:lang w:val="en-US" w:eastAsia="zh-CN"/>
              </w:rPr>
            </w:pPr>
            <w:r>
              <w:rPr>
                <w:rFonts w:hint="eastAsia"/>
                <w:lang w:val="en-US" w:eastAsia="zh-CN"/>
              </w:rPr>
              <w:t>5.943615</w:t>
            </w:r>
          </w:p>
        </w:tc>
        <w:tc>
          <w:tcPr>
            <w:tcW w:w="592" w:type="pct"/>
            <w:vAlign w:val="center"/>
          </w:tcPr>
          <w:p w14:paraId="66AD6BCF">
            <w:pPr>
              <w:pStyle w:val="143"/>
              <w:rPr>
                <w:rFonts w:hint="eastAsia"/>
                <w:lang w:val="en-US" w:eastAsia="zh-CN"/>
              </w:rPr>
            </w:pPr>
            <w:r>
              <w:rPr>
                <w:rFonts w:hint="eastAsia"/>
                <w:lang w:val="en-US" w:eastAsia="zh-CN"/>
              </w:rPr>
              <w:t>2.38</w:t>
            </w:r>
          </w:p>
        </w:tc>
      </w:tr>
      <w:tr w14:paraId="5AFE4B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25496E1A">
            <w:pPr>
              <w:pStyle w:val="143"/>
              <w:rPr>
                <w:color w:val="000000" w:themeColor="text1"/>
                <w14:textFill>
                  <w14:solidFill>
                    <w14:schemeClr w14:val="tx1"/>
                  </w14:solidFill>
                </w14:textFill>
              </w:rPr>
            </w:pPr>
            <w:r>
              <w:rPr>
                <w:color w:val="000000" w:themeColor="text1"/>
                <w14:textFill>
                  <w14:solidFill>
                    <w14:schemeClr w14:val="tx1"/>
                  </w14:solidFill>
                </w14:textFill>
              </w:rPr>
              <w:t>2500</w:t>
            </w:r>
          </w:p>
        </w:tc>
        <w:tc>
          <w:tcPr>
            <w:tcW w:w="600" w:type="pct"/>
            <w:vAlign w:val="center"/>
          </w:tcPr>
          <w:p w14:paraId="6068B978">
            <w:pPr>
              <w:pStyle w:val="143"/>
              <w:rPr>
                <w:rFonts w:hint="eastAsia"/>
                <w:lang w:val="en-US" w:eastAsia="zh-CN"/>
              </w:rPr>
            </w:pPr>
            <w:r>
              <w:rPr>
                <w:rFonts w:hint="eastAsia"/>
                <w:lang w:val="en-US" w:eastAsia="zh-CN"/>
              </w:rPr>
              <w:t>0.404524</w:t>
            </w:r>
          </w:p>
        </w:tc>
        <w:tc>
          <w:tcPr>
            <w:tcW w:w="583" w:type="pct"/>
            <w:vAlign w:val="center"/>
          </w:tcPr>
          <w:p w14:paraId="2CA02B41">
            <w:pPr>
              <w:pStyle w:val="143"/>
              <w:rPr>
                <w:rFonts w:hint="eastAsia"/>
                <w:lang w:val="en-US" w:eastAsia="zh-CN"/>
              </w:rPr>
            </w:pPr>
            <w:r>
              <w:rPr>
                <w:rFonts w:hint="eastAsia"/>
                <w:lang w:val="en-US" w:eastAsia="zh-CN"/>
              </w:rPr>
              <w:t>0.09</w:t>
            </w:r>
          </w:p>
        </w:tc>
        <w:tc>
          <w:tcPr>
            <w:tcW w:w="583" w:type="pct"/>
            <w:vAlign w:val="center"/>
          </w:tcPr>
          <w:p w14:paraId="17A81D5B">
            <w:pPr>
              <w:pStyle w:val="143"/>
              <w:rPr>
                <w:rFonts w:hint="eastAsia"/>
                <w:lang w:val="en-US" w:eastAsia="zh-CN"/>
              </w:rPr>
            </w:pPr>
            <w:r>
              <w:rPr>
                <w:rFonts w:hint="eastAsia"/>
                <w:lang w:val="en-US" w:eastAsia="zh-CN"/>
              </w:rPr>
              <w:t>0.7699</w:t>
            </w:r>
          </w:p>
        </w:tc>
        <w:tc>
          <w:tcPr>
            <w:tcW w:w="585" w:type="pct"/>
            <w:vAlign w:val="center"/>
          </w:tcPr>
          <w:p w14:paraId="277ADD23">
            <w:pPr>
              <w:pStyle w:val="143"/>
              <w:rPr>
                <w:rFonts w:hint="eastAsia"/>
                <w:lang w:val="en-US" w:eastAsia="zh-CN"/>
              </w:rPr>
            </w:pPr>
            <w:r>
              <w:rPr>
                <w:rFonts w:hint="eastAsia"/>
                <w:lang w:val="en-US" w:eastAsia="zh-CN"/>
              </w:rPr>
              <w:t>0.15</w:t>
            </w:r>
          </w:p>
        </w:tc>
        <w:tc>
          <w:tcPr>
            <w:tcW w:w="600" w:type="pct"/>
            <w:vAlign w:val="center"/>
          </w:tcPr>
          <w:p w14:paraId="2F826095">
            <w:pPr>
              <w:pStyle w:val="143"/>
              <w:rPr>
                <w:rFonts w:hint="eastAsia"/>
                <w:lang w:val="en-US" w:eastAsia="zh-CN"/>
              </w:rPr>
            </w:pPr>
            <w:r>
              <w:rPr>
                <w:rFonts w:hint="eastAsia"/>
                <w:lang w:val="en-US" w:eastAsia="zh-CN"/>
              </w:rPr>
              <w:t>5.036973</w:t>
            </w:r>
          </w:p>
        </w:tc>
        <w:tc>
          <w:tcPr>
            <w:tcW w:w="592" w:type="pct"/>
            <w:vAlign w:val="center"/>
          </w:tcPr>
          <w:p w14:paraId="78FB2EE5">
            <w:pPr>
              <w:pStyle w:val="143"/>
              <w:rPr>
                <w:rFonts w:hint="eastAsia"/>
                <w:lang w:val="en-US" w:eastAsia="zh-CN"/>
              </w:rPr>
            </w:pPr>
            <w:r>
              <w:rPr>
                <w:rFonts w:hint="eastAsia"/>
                <w:lang w:val="en-US" w:eastAsia="zh-CN"/>
              </w:rPr>
              <w:t>2.01</w:t>
            </w:r>
          </w:p>
        </w:tc>
      </w:tr>
      <w:tr w14:paraId="6B79C9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54" w:type="pct"/>
            <w:shd w:val="clear" w:color="auto" w:fill="auto"/>
            <w:vAlign w:val="center"/>
          </w:tcPr>
          <w:p w14:paraId="689AC38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下风向最大质量浓度及占标率/%</w:t>
            </w:r>
          </w:p>
        </w:tc>
        <w:tc>
          <w:tcPr>
            <w:tcW w:w="600" w:type="pct"/>
            <w:vAlign w:val="center"/>
          </w:tcPr>
          <w:p w14:paraId="315576DF">
            <w:pPr>
              <w:pStyle w:val="143"/>
              <w:ind w:firstLine="0" w:firstLineChars="0"/>
              <w:rPr>
                <w:snapToGrid w:val="0"/>
                <w:color w:val="000000" w:themeColor="text1"/>
                <w:lang w:eastAsia="zh-CN"/>
                <w14:textFill>
                  <w14:solidFill>
                    <w14:schemeClr w14:val="tx1"/>
                  </w14:solidFill>
                </w14:textFill>
              </w:rPr>
            </w:pPr>
            <w:r>
              <w:rPr>
                <w:rFonts w:hint="eastAsia"/>
                <w:lang w:val="en-US" w:eastAsia="zh-CN"/>
              </w:rPr>
              <w:t>1.28692</w:t>
            </w:r>
          </w:p>
        </w:tc>
        <w:tc>
          <w:tcPr>
            <w:tcW w:w="583" w:type="pct"/>
            <w:vAlign w:val="center"/>
          </w:tcPr>
          <w:p w14:paraId="36BE10B8">
            <w:pPr>
              <w:pStyle w:val="143"/>
              <w:ind w:firstLine="0" w:firstLineChars="0"/>
              <w:rPr>
                <w:rFonts w:hint="eastAsia"/>
                <w:snapToGrid w:val="0"/>
                <w:color w:val="000000" w:themeColor="text1"/>
                <w:lang w:eastAsia="zh-CN"/>
                <w14:textFill>
                  <w14:solidFill>
                    <w14:schemeClr w14:val="tx1"/>
                  </w14:solidFill>
                </w14:textFill>
              </w:rPr>
            </w:pPr>
            <w:r>
              <w:rPr>
                <w:rFonts w:hint="eastAsia"/>
                <w:lang w:val="en-US" w:eastAsia="zh-CN"/>
              </w:rPr>
              <w:t>0.29</w:t>
            </w:r>
          </w:p>
        </w:tc>
        <w:tc>
          <w:tcPr>
            <w:tcW w:w="583" w:type="pct"/>
            <w:vAlign w:val="center"/>
          </w:tcPr>
          <w:p w14:paraId="3494362A">
            <w:pPr>
              <w:pStyle w:val="143"/>
              <w:ind w:firstLine="0" w:firstLineChars="0"/>
              <w:rPr>
                <w:rFonts w:hint="eastAsia"/>
                <w:snapToGrid w:val="0"/>
                <w:color w:val="000000" w:themeColor="text1"/>
                <w:lang w:eastAsia="zh-CN"/>
                <w14:textFill>
                  <w14:solidFill>
                    <w14:schemeClr w14:val="tx1"/>
                  </w14:solidFill>
                </w14:textFill>
              </w:rPr>
            </w:pPr>
            <w:r>
              <w:rPr>
                <w:rFonts w:hint="eastAsia"/>
                <w:lang w:val="en-US" w:eastAsia="zh-CN"/>
              </w:rPr>
              <w:t>2.4493</w:t>
            </w:r>
          </w:p>
        </w:tc>
        <w:tc>
          <w:tcPr>
            <w:tcW w:w="585" w:type="pct"/>
            <w:vAlign w:val="center"/>
          </w:tcPr>
          <w:p w14:paraId="34EEC280">
            <w:pPr>
              <w:pStyle w:val="143"/>
              <w:ind w:firstLine="0" w:firstLineChars="0"/>
              <w:rPr>
                <w:rFonts w:hint="eastAsia"/>
                <w:snapToGrid w:val="0"/>
                <w:color w:val="000000" w:themeColor="text1"/>
                <w:lang w:eastAsia="zh-CN"/>
                <w14:textFill>
                  <w14:solidFill>
                    <w14:schemeClr w14:val="tx1"/>
                  </w14:solidFill>
                </w14:textFill>
              </w:rPr>
            </w:pPr>
            <w:r>
              <w:rPr>
                <w:rFonts w:hint="eastAsia"/>
                <w:lang w:val="en-US" w:eastAsia="zh-CN"/>
              </w:rPr>
              <w:t>0.49</w:t>
            </w:r>
          </w:p>
        </w:tc>
        <w:tc>
          <w:tcPr>
            <w:tcW w:w="600" w:type="pct"/>
            <w:vAlign w:val="center"/>
          </w:tcPr>
          <w:p w14:paraId="46A868CA">
            <w:pPr>
              <w:pStyle w:val="143"/>
              <w:ind w:firstLine="0" w:firstLineChars="0"/>
              <w:rPr>
                <w:rFonts w:hint="eastAsia"/>
                <w:snapToGrid w:val="0"/>
                <w:color w:val="000000" w:themeColor="text1"/>
                <w:lang w:eastAsia="zh-CN"/>
                <w14:textFill>
                  <w14:solidFill>
                    <w14:schemeClr w14:val="tx1"/>
                  </w14:solidFill>
                </w14:textFill>
              </w:rPr>
            </w:pPr>
            <w:r>
              <w:rPr>
                <w:rFonts w:hint="eastAsia"/>
                <w:lang w:val="en-US" w:eastAsia="zh-CN"/>
              </w:rPr>
              <w:t>16.02423</w:t>
            </w:r>
          </w:p>
        </w:tc>
        <w:tc>
          <w:tcPr>
            <w:tcW w:w="592" w:type="pct"/>
            <w:vAlign w:val="center"/>
          </w:tcPr>
          <w:p w14:paraId="41881F20">
            <w:pPr>
              <w:pStyle w:val="143"/>
              <w:ind w:firstLine="0" w:firstLineChars="0"/>
              <w:rPr>
                <w:rFonts w:hint="eastAsia"/>
                <w:snapToGrid w:val="0"/>
                <w:color w:val="000000" w:themeColor="text1"/>
                <w:lang w:eastAsia="zh-CN"/>
                <w14:textFill>
                  <w14:solidFill>
                    <w14:schemeClr w14:val="tx1"/>
                  </w14:solidFill>
                </w14:textFill>
              </w:rPr>
            </w:pPr>
            <w:r>
              <w:rPr>
                <w:rFonts w:hint="eastAsia"/>
                <w:lang w:val="en-US" w:eastAsia="zh-CN"/>
              </w:rPr>
              <w:t>6.41</w:t>
            </w:r>
          </w:p>
        </w:tc>
      </w:tr>
      <w:tr w14:paraId="2A38FE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54" w:type="pct"/>
            <w:shd w:val="clear" w:color="auto" w:fill="auto"/>
            <w:vAlign w:val="center"/>
          </w:tcPr>
          <w:p w14:paraId="3A38ABB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最大浓度落地点（m）</w:t>
            </w:r>
          </w:p>
        </w:tc>
        <w:tc>
          <w:tcPr>
            <w:tcW w:w="3545" w:type="pct"/>
            <w:gridSpan w:val="6"/>
            <w:vAlign w:val="center"/>
          </w:tcPr>
          <w:p w14:paraId="22F40CF7">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318</w:t>
            </w:r>
          </w:p>
        </w:tc>
      </w:tr>
      <w:tr w14:paraId="655943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 w:hRule="atLeast"/>
          <w:jc w:val="center"/>
        </w:trPr>
        <w:tc>
          <w:tcPr>
            <w:tcW w:w="1454" w:type="pct"/>
            <w:shd w:val="clear" w:color="auto" w:fill="auto"/>
            <w:vAlign w:val="center"/>
          </w:tcPr>
          <w:p w14:paraId="678F318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评价等级</w:t>
            </w:r>
          </w:p>
        </w:tc>
        <w:tc>
          <w:tcPr>
            <w:tcW w:w="1183" w:type="pct"/>
            <w:gridSpan w:val="2"/>
            <w:vAlign w:val="center"/>
          </w:tcPr>
          <w:p w14:paraId="0689FA0D">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三</w:t>
            </w:r>
            <w:r>
              <w:rPr>
                <w:snapToGrid w:val="0"/>
                <w:color w:val="000000" w:themeColor="text1"/>
                <w:lang w:val="en-US"/>
                <w14:textFill>
                  <w14:solidFill>
                    <w14:schemeClr w14:val="tx1"/>
                  </w14:solidFill>
                </w14:textFill>
              </w:rPr>
              <w:t>级</w:t>
            </w:r>
          </w:p>
        </w:tc>
        <w:tc>
          <w:tcPr>
            <w:tcW w:w="1168" w:type="pct"/>
            <w:gridSpan w:val="2"/>
            <w:vAlign w:val="center"/>
          </w:tcPr>
          <w:p w14:paraId="764A82AF">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三</w:t>
            </w:r>
            <w:r>
              <w:rPr>
                <w:snapToGrid w:val="0"/>
                <w:color w:val="000000" w:themeColor="text1"/>
                <w:lang w:val="en-US"/>
                <w14:textFill>
                  <w14:solidFill>
                    <w14:schemeClr w14:val="tx1"/>
                  </w14:solidFill>
                </w14:textFill>
              </w:rPr>
              <w:t>级</w:t>
            </w:r>
          </w:p>
        </w:tc>
        <w:tc>
          <w:tcPr>
            <w:tcW w:w="1192" w:type="pct"/>
            <w:gridSpan w:val="2"/>
            <w:vAlign w:val="center"/>
          </w:tcPr>
          <w:p w14:paraId="71F270F7">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二</w:t>
            </w:r>
            <w:r>
              <w:rPr>
                <w:snapToGrid w:val="0"/>
                <w:color w:val="000000" w:themeColor="text1"/>
                <w:lang w:val="en-US"/>
                <w14:textFill>
                  <w14:solidFill>
                    <w14:schemeClr w14:val="tx1"/>
                  </w14:solidFill>
                </w14:textFill>
              </w:rPr>
              <w:t>级</w:t>
            </w:r>
          </w:p>
        </w:tc>
      </w:tr>
      <w:bookmarkEnd w:id="51"/>
    </w:tbl>
    <w:p w14:paraId="1E660A72">
      <w:pPr>
        <w:pStyle w:val="206"/>
        <w:rPr>
          <w:snapToGrid w:val="0"/>
          <w:color w:val="000000" w:themeColor="text1"/>
          <w:highlight w:val="none"/>
          <w14:textFill>
            <w14:solidFill>
              <w14:schemeClr w14:val="tx1"/>
            </w14:solidFill>
          </w14:textFill>
        </w:rPr>
      </w:pPr>
      <w:r>
        <w:rPr>
          <w:snapToGrid w:val="0"/>
          <w:color w:val="000000" w:themeColor="text1"/>
          <w:highlight w:val="none"/>
          <w14:textFill>
            <w14:solidFill>
              <w14:schemeClr w14:val="tx1"/>
            </w14:solidFill>
          </w14:textFill>
        </w:rPr>
        <w:t>表2-5-</w:t>
      </w:r>
      <w:r>
        <w:rPr>
          <w:rFonts w:hint="eastAsia"/>
          <w:snapToGrid w:val="0"/>
          <w:color w:val="000000" w:themeColor="text1"/>
          <w:highlight w:val="none"/>
          <w:lang w:val="en-US" w:eastAsia="zh-CN"/>
          <w14:textFill>
            <w14:solidFill>
              <w14:schemeClr w14:val="tx1"/>
            </w14:solidFill>
          </w14:textFill>
        </w:rPr>
        <w:t>9</w:t>
      </w:r>
      <w:r>
        <w:rPr>
          <w:snapToGrid w:val="0"/>
          <w:color w:val="000000" w:themeColor="text1"/>
          <w:highlight w:val="none"/>
          <w14:textFill>
            <w14:solidFill>
              <w14:schemeClr w14:val="tx1"/>
            </w14:solidFill>
          </w14:textFill>
        </w:rPr>
        <w:t xml:space="preserve"> 本项目主要污染物最大浓度及浓度占标率（点源）</w:t>
      </w:r>
    </w:p>
    <w:tbl>
      <w:tblPr>
        <w:tblStyle w:val="49"/>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615"/>
        <w:gridCol w:w="3062"/>
        <w:gridCol w:w="3278"/>
      </w:tblGrid>
      <w:tr w14:paraId="119063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vMerge w:val="restart"/>
            <w:shd w:val="clear" w:color="auto" w:fill="auto"/>
            <w:vAlign w:val="center"/>
          </w:tcPr>
          <w:p w14:paraId="4DD0F7D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下风向距离/m</w:t>
            </w:r>
          </w:p>
        </w:tc>
        <w:tc>
          <w:tcPr>
            <w:tcW w:w="2271" w:type="pct"/>
            <w:gridSpan w:val="2"/>
            <w:vAlign w:val="center"/>
          </w:tcPr>
          <w:p w14:paraId="342361E3">
            <w:pPr>
              <w:pStyle w:val="143"/>
              <w:rPr>
                <w:rFonts w:hint="eastAsia" w:eastAsia="宋体"/>
                <w:snapToGrid w:val="0"/>
                <w:color w:val="000000" w:themeColor="text1"/>
                <w:lang w:eastAsia="zh-CN"/>
                <w14:textFill>
                  <w14:solidFill>
                    <w14:schemeClr w14:val="tx1"/>
                  </w14:solidFill>
                </w14:textFill>
              </w:rPr>
            </w:pPr>
            <w:r>
              <w:rPr>
                <w:snapToGrid w:val="0"/>
                <w:color w:val="000000" w:themeColor="text1"/>
                <w14:textFill>
                  <w14:solidFill>
                    <w14:schemeClr w14:val="tx1"/>
                  </w14:solidFill>
                </w14:textFill>
              </w:rPr>
              <w:t>排气筒DA00</w:t>
            </w:r>
            <w:r>
              <w:rPr>
                <w:rFonts w:hint="eastAsia"/>
                <w:snapToGrid w:val="0"/>
                <w:color w:val="000000" w:themeColor="text1"/>
                <w:lang w:val="en-US" w:eastAsia="zh-CN"/>
                <w14:textFill>
                  <w14:solidFill>
                    <w14:schemeClr w14:val="tx1"/>
                  </w14:solidFill>
                </w14:textFill>
              </w:rPr>
              <w:t>3</w:t>
            </w:r>
          </w:p>
        </w:tc>
      </w:tr>
      <w:tr w14:paraId="645149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728" w:type="pct"/>
            <w:vMerge w:val="continue"/>
            <w:shd w:val="clear" w:color="auto" w:fill="auto"/>
            <w:vAlign w:val="center"/>
          </w:tcPr>
          <w:p w14:paraId="364069D8">
            <w:pPr>
              <w:pStyle w:val="143"/>
              <w:rPr>
                <w:snapToGrid w:val="0"/>
                <w:color w:val="000000" w:themeColor="text1"/>
                <w14:textFill>
                  <w14:solidFill>
                    <w14:schemeClr w14:val="tx1"/>
                  </w14:solidFill>
                </w14:textFill>
              </w:rPr>
            </w:pPr>
          </w:p>
        </w:tc>
        <w:tc>
          <w:tcPr>
            <w:tcW w:w="2271" w:type="pct"/>
            <w:gridSpan w:val="2"/>
            <w:vAlign w:val="center"/>
          </w:tcPr>
          <w:p w14:paraId="06BCF31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PM</w:t>
            </w:r>
            <w:r>
              <w:rPr>
                <w:snapToGrid w:val="0"/>
                <w:color w:val="000000" w:themeColor="text1"/>
                <w:vertAlign w:val="subscript"/>
                <w14:textFill>
                  <w14:solidFill>
                    <w14:schemeClr w14:val="tx1"/>
                  </w14:solidFill>
                </w14:textFill>
              </w:rPr>
              <w:t>10</w:t>
            </w:r>
          </w:p>
        </w:tc>
      </w:tr>
      <w:tr w14:paraId="1E733F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vMerge w:val="continue"/>
            <w:shd w:val="clear" w:color="auto" w:fill="auto"/>
            <w:vAlign w:val="center"/>
          </w:tcPr>
          <w:p w14:paraId="62D46FCE">
            <w:pPr>
              <w:pStyle w:val="143"/>
              <w:rPr>
                <w:snapToGrid w:val="0"/>
                <w:color w:val="000000" w:themeColor="text1"/>
                <w14:textFill>
                  <w14:solidFill>
                    <w14:schemeClr w14:val="tx1"/>
                  </w14:solidFill>
                </w14:textFill>
              </w:rPr>
            </w:pPr>
          </w:p>
        </w:tc>
        <w:tc>
          <w:tcPr>
            <w:tcW w:w="1097" w:type="pct"/>
            <w:vAlign w:val="center"/>
          </w:tcPr>
          <w:p w14:paraId="5112438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1174" w:type="pct"/>
            <w:shd w:val="clear" w:color="auto" w:fill="auto"/>
            <w:vAlign w:val="center"/>
          </w:tcPr>
          <w:p w14:paraId="185DC22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r>
      <w:tr w14:paraId="142E46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shd w:val="clear" w:color="auto" w:fill="auto"/>
            <w:vAlign w:val="center"/>
          </w:tcPr>
          <w:p w14:paraId="3A18F329">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5</w:t>
            </w:r>
          </w:p>
        </w:tc>
        <w:tc>
          <w:tcPr>
            <w:tcW w:w="3062" w:type="dxa"/>
            <w:vAlign w:val="center"/>
          </w:tcPr>
          <w:p w14:paraId="75430B5B">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0.015195</w:t>
            </w:r>
          </w:p>
        </w:tc>
        <w:tc>
          <w:tcPr>
            <w:tcW w:w="3278" w:type="dxa"/>
            <w:shd w:val="clear" w:color="auto" w:fill="auto"/>
            <w:vAlign w:val="center"/>
          </w:tcPr>
          <w:p w14:paraId="24ADB8EA">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r>
      <w:tr w14:paraId="44C659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shd w:val="clear" w:color="auto" w:fill="auto"/>
            <w:vAlign w:val="center"/>
          </w:tcPr>
          <w:p w14:paraId="5BEEA057">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0</w:t>
            </w:r>
          </w:p>
        </w:tc>
        <w:tc>
          <w:tcPr>
            <w:tcW w:w="3062" w:type="dxa"/>
            <w:vAlign w:val="center"/>
          </w:tcPr>
          <w:p w14:paraId="6949B7A4">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0.14441</w:t>
            </w:r>
          </w:p>
        </w:tc>
        <w:tc>
          <w:tcPr>
            <w:tcW w:w="3278" w:type="dxa"/>
            <w:shd w:val="clear" w:color="auto" w:fill="auto"/>
            <w:vAlign w:val="center"/>
          </w:tcPr>
          <w:p w14:paraId="1D69A35A">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0.03</w:t>
            </w:r>
          </w:p>
        </w:tc>
      </w:tr>
      <w:tr w14:paraId="0FE93F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615" w:type="dxa"/>
            <w:shd w:val="clear" w:color="auto" w:fill="auto"/>
            <w:vAlign w:val="center"/>
          </w:tcPr>
          <w:p w14:paraId="4C6E1936">
            <w:pPr>
              <w:pStyle w:val="143"/>
              <w:ind w:firstLine="0" w:firstLineChars="0"/>
              <w:rPr>
                <w:rFonts w:hint="default" w:eastAsia="宋体"/>
                <w:color w:val="000000" w:themeColor="text1"/>
                <w:lang w:val="en-US" w:eastAsia="zh-CN"/>
                <w14:textFill>
                  <w14:solidFill>
                    <w14:schemeClr w14:val="tx1"/>
                  </w14:solidFill>
                </w14:textFill>
              </w:rPr>
            </w:pPr>
            <w:r>
              <w:rPr>
                <w:color w:val="000000" w:themeColor="text1"/>
                <w14:textFill>
                  <w14:solidFill>
                    <w14:schemeClr w14:val="tx1"/>
                  </w14:solidFill>
                </w14:textFill>
              </w:rPr>
              <w:t>100</w:t>
            </w:r>
          </w:p>
        </w:tc>
        <w:tc>
          <w:tcPr>
            <w:tcW w:w="3062" w:type="dxa"/>
            <w:vAlign w:val="center"/>
          </w:tcPr>
          <w:p w14:paraId="78198940">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0.21568</w:t>
            </w:r>
          </w:p>
        </w:tc>
        <w:tc>
          <w:tcPr>
            <w:tcW w:w="3278" w:type="dxa"/>
            <w:shd w:val="clear" w:color="auto" w:fill="auto"/>
            <w:vAlign w:val="center"/>
          </w:tcPr>
          <w:p w14:paraId="5F30C54B">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0.05</w:t>
            </w:r>
          </w:p>
        </w:tc>
      </w:tr>
      <w:tr w14:paraId="5AFFE9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615" w:type="dxa"/>
            <w:shd w:val="clear" w:color="auto" w:fill="auto"/>
            <w:vAlign w:val="center"/>
          </w:tcPr>
          <w:p w14:paraId="5CD33557">
            <w:pPr>
              <w:pStyle w:val="143"/>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200</w:t>
            </w:r>
          </w:p>
        </w:tc>
        <w:tc>
          <w:tcPr>
            <w:tcW w:w="3062" w:type="dxa"/>
            <w:vAlign w:val="center"/>
          </w:tcPr>
          <w:p w14:paraId="35F92858">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0.22406</w:t>
            </w:r>
          </w:p>
        </w:tc>
        <w:tc>
          <w:tcPr>
            <w:tcW w:w="3278" w:type="dxa"/>
            <w:shd w:val="clear" w:color="auto" w:fill="auto"/>
            <w:vAlign w:val="center"/>
          </w:tcPr>
          <w:p w14:paraId="1AD8141B">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0.05</w:t>
            </w:r>
          </w:p>
        </w:tc>
      </w:tr>
      <w:tr w14:paraId="1CB5B7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615" w:type="dxa"/>
            <w:shd w:val="clear" w:color="auto" w:fill="auto"/>
            <w:vAlign w:val="center"/>
          </w:tcPr>
          <w:p w14:paraId="519F8E2F">
            <w:pPr>
              <w:pStyle w:val="143"/>
              <w:ind w:firstLine="0" w:firstLineChars="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210</w:t>
            </w:r>
          </w:p>
        </w:tc>
        <w:tc>
          <w:tcPr>
            <w:tcW w:w="3062" w:type="dxa"/>
            <w:vAlign w:val="center"/>
          </w:tcPr>
          <w:p w14:paraId="6AB029AE">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0.2248</w:t>
            </w:r>
          </w:p>
        </w:tc>
        <w:tc>
          <w:tcPr>
            <w:tcW w:w="3278" w:type="dxa"/>
            <w:shd w:val="clear" w:color="auto" w:fill="auto"/>
            <w:vAlign w:val="center"/>
          </w:tcPr>
          <w:p w14:paraId="2A028460">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0.05</w:t>
            </w:r>
          </w:p>
        </w:tc>
      </w:tr>
      <w:tr w14:paraId="7EC025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615" w:type="dxa"/>
            <w:shd w:val="clear" w:color="auto" w:fill="auto"/>
            <w:vAlign w:val="center"/>
          </w:tcPr>
          <w:p w14:paraId="3DCEAE0D">
            <w:pPr>
              <w:pStyle w:val="143"/>
              <w:ind w:firstLine="0" w:firstLineChars="0"/>
              <w:rPr>
                <w:rFonts w:hint="default" w:eastAsia="宋体"/>
                <w:color w:val="000000" w:themeColor="text1"/>
                <w:lang w:val="en-US" w:eastAsia="zh-CN"/>
                <w14:textFill>
                  <w14:solidFill>
                    <w14:schemeClr w14:val="tx1"/>
                  </w14:solidFill>
                </w14:textFill>
              </w:rPr>
            </w:pPr>
            <w:r>
              <w:rPr>
                <w:color w:val="000000" w:themeColor="text1"/>
                <w14:textFill>
                  <w14:solidFill>
                    <w14:schemeClr w14:val="tx1"/>
                  </w14:solidFill>
                </w14:textFill>
              </w:rPr>
              <w:t>300</w:t>
            </w:r>
          </w:p>
        </w:tc>
        <w:tc>
          <w:tcPr>
            <w:tcW w:w="3062" w:type="dxa"/>
            <w:vAlign w:val="center"/>
          </w:tcPr>
          <w:p w14:paraId="0EA952DE">
            <w:pPr>
              <w:pStyle w:val="143"/>
              <w:ind w:firstLine="0" w:firstLineChars="0"/>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0.1971</w:t>
            </w:r>
          </w:p>
        </w:tc>
        <w:tc>
          <w:tcPr>
            <w:tcW w:w="3278" w:type="dxa"/>
            <w:shd w:val="clear" w:color="auto" w:fill="auto"/>
            <w:vAlign w:val="center"/>
          </w:tcPr>
          <w:p w14:paraId="0C56A8E5">
            <w:pPr>
              <w:pStyle w:val="143"/>
              <w:ind w:firstLine="0" w:firstLineChars="0"/>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0.04</w:t>
            </w:r>
          </w:p>
        </w:tc>
      </w:tr>
      <w:tr w14:paraId="585ED4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shd w:val="clear" w:color="auto" w:fill="auto"/>
            <w:vAlign w:val="center"/>
          </w:tcPr>
          <w:p w14:paraId="4C1A55D9">
            <w:pPr>
              <w:pStyle w:val="143"/>
              <w:rPr>
                <w:color w:val="000000" w:themeColor="text1"/>
                <w14:textFill>
                  <w14:solidFill>
                    <w14:schemeClr w14:val="tx1"/>
                  </w14:solidFill>
                </w14:textFill>
              </w:rPr>
            </w:pPr>
            <w:r>
              <w:rPr>
                <w:color w:val="000000" w:themeColor="text1"/>
                <w14:textFill>
                  <w14:solidFill>
                    <w14:schemeClr w14:val="tx1"/>
                  </w14:solidFill>
                </w14:textFill>
              </w:rPr>
              <w:t>500</w:t>
            </w:r>
          </w:p>
        </w:tc>
        <w:tc>
          <w:tcPr>
            <w:tcW w:w="3062" w:type="dxa"/>
            <w:vAlign w:val="center"/>
          </w:tcPr>
          <w:p w14:paraId="56C85870">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0.16443</w:t>
            </w:r>
          </w:p>
        </w:tc>
        <w:tc>
          <w:tcPr>
            <w:tcW w:w="3278" w:type="dxa"/>
            <w:shd w:val="clear" w:color="auto" w:fill="auto"/>
            <w:vAlign w:val="center"/>
          </w:tcPr>
          <w:p w14:paraId="0E9F3C37">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0.04</w:t>
            </w:r>
          </w:p>
        </w:tc>
      </w:tr>
      <w:tr w14:paraId="5EE79D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shd w:val="clear" w:color="auto" w:fill="auto"/>
            <w:vAlign w:val="center"/>
          </w:tcPr>
          <w:p w14:paraId="5B54BB59">
            <w:pPr>
              <w:pStyle w:val="143"/>
              <w:rPr>
                <w:color w:val="000000" w:themeColor="text1"/>
                <w14:textFill>
                  <w14:solidFill>
                    <w14:schemeClr w14:val="tx1"/>
                  </w14:solidFill>
                </w14:textFill>
              </w:rPr>
            </w:pPr>
            <w:r>
              <w:rPr>
                <w:color w:val="000000" w:themeColor="text1"/>
                <w14:textFill>
                  <w14:solidFill>
                    <w14:schemeClr w14:val="tx1"/>
                  </w14:solidFill>
                </w14:textFill>
              </w:rPr>
              <w:t>1000</w:t>
            </w:r>
          </w:p>
        </w:tc>
        <w:tc>
          <w:tcPr>
            <w:tcW w:w="3062" w:type="dxa"/>
            <w:vAlign w:val="center"/>
          </w:tcPr>
          <w:p w14:paraId="1AC6671D">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0.10167</w:t>
            </w:r>
          </w:p>
        </w:tc>
        <w:tc>
          <w:tcPr>
            <w:tcW w:w="3278" w:type="dxa"/>
            <w:shd w:val="clear" w:color="auto" w:fill="auto"/>
            <w:vAlign w:val="center"/>
          </w:tcPr>
          <w:p w14:paraId="6E86EC6B">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w:t>
            </w:r>
          </w:p>
        </w:tc>
      </w:tr>
      <w:tr w14:paraId="63DE08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shd w:val="clear" w:color="auto" w:fill="auto"/>
            <w:vAlign w:val="center"/>
          </w:tcPr>
          <w:p w14:paraId="48E7CF80">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w:t>
            </w:r>
            <w:r>
              <w:rPr>
                <w:color w:val="000000" w:themeColor="text1"/>
                <w:lang w:eastAsia="zh-CN"/>
                <w14:textFill>
                  <w14:solidFill>
                    <w14:schemeClr w14:val="tx1"/>
                  </w14:solidFill>
                </w14:textFill>
              </w:rPr>
              <w:t>500</w:t>
            </w:r>
          </w:p>
        </w:tc>
        <w:tc>
          <w:tcPr>
            <w:tcW w:w="3062" w:type="dxa"/>
            <w:vAlign w:val="center"/>
          </w:tcPr>
          <w:p w14:paraId="09793A97">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0.066806</w:t>
            </w:r>
          </w:p>
        </w:tc>
        <w:tc>
          <w:tcPr>
            <w:tcW w:w="3278" w:type="dxa"/>
            <w:shd w:val="clear" w:color="auto" w:fill="auto"/>
            <w:vAlign w:val="center"/>
          </w:tcPr>
          <w:p w14:paraId="5A6BE42C">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w:t>
            </w:r>
          </w:p>
        </w:tc>
      </w:tr>
      <w:tr w14:paraId="680165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28" w:type="pct"/>
            <w:shd w:val="clear" w:color="auto" w:fill="auto"/>
            <w:vAlign w:val="center"/>
          </w:tcPr>
          <w:p w14:paraId="48572DBB">
            <w:pPr>
              <w:pStyle w:val="143"/>
              <w:rPr>
                <w:color w:val="000000" w:themeColor="text1"/>
                <w14:textFill>
                  <w14:solidFill>
                    <w14:schemeClr w14:val="tx1"/>
                  </w14:solidFill>
                </w14:textFill>
              </w:rPr>
            </w:pPr>
            <w:r>
              <w:rPr>
                <w:color w:val="000000" w:themeColor="text1"/>
                <w14:textFill>
                  <w14:solidFill>
                    <w14:schemeClr w14:val="tx1"/>
                  </w14:solidFill>
                </w14:textFill>
              </w:rPr>
              <w:t>2000</w:t>
            </w:r>
          </w:p>
        </w:tc>
        <w:tc>
          <w:tcPr>
            <w:tcW w:w="3062" w:type="dxa"/>
            <w:vAlign w:val="center"/>
          </w:tcPr>
          <w:p w14:paraId="08DB21D5">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0.058286</w:t>
            </w:r>
          </w:p>
        </w:tc>
        <w:tc>
          <w:tcPr>
            <w:tcW w:w="3278" w:type="dxa"/>
            <w:shd w:val="clear" w:color="auto" w:fill="auto"/>
            <w:vAlign w:val="center"/>
          </w:tcPr>
          <w:p w14:paraId="31F2814C">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w:t>
            </w:r>
          </w:p>
        </w:tc>
      </w:tr>
      <w:tr w14:paraId="68845B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shd w:val="clear" w:color="auto" w:fill="auto"/>
            <w:vAlign w:val="center"/>
          </w:tcPr>
          <w:p w14:paraId="1DA34BC1">
            <w:pPr>
              <w:pStyle w:val="143"/>
              <w:rPr>
                <w:color w:val="000000" w:themeColor="text1"/>
                <w14:textFill>
                  <w14:solidFill>
                    <w14:schemeClr w14:val="tx1"/>
                  </w14:solidFill>
                </w14:textFill>
              </w:rPr>
            </w:pPr>
            <w:r>
              <w:rPr>
                <w:color w:val="000000" w:themeColor="text1"/>
                <w14:textFill>
                  <w14:solidFill>
                    <w14:schemeClr w14:val="tx1"/>
                  </w14:solidFill>
                </w14:textFill>
              </w:rPr>
              <w:t>2500</w:t>
            </w:r>
          </w:p>
        </w:tc>
        <w:tc>
          <w:tcPr>
            <w:tcW w:w="3062" w:type="dxa"/>
            <w:vAlign w:val="center"/>
          </w:tcPr>
          <w:p w14:paraId="05557AB9">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0.052133</w:t>
            </w:r>
          </w:p>
        </w:tc>
        <w:tc>
          <w:tcPr>
            <w:tcW w:w="3278" w:type="dxa"/>
            <w:shd w:val="clear" w:color="auto" w:fill="auto"/>
            <w:vAlign w:val="center"/>
          </w:tcPr>
          <w:p w14:paraId="3CDFFEB3">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w:t>
            </w:r>
          </w:p>
        </w:tc>
      </w:tr>
      <w:tr w14:paraId="507EFD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728" w:type="pct"/>
            <w:shd w:val="clear" w:color="auto" w:fill="auto"/>
            <w:vAlign w:val="center"/>
          </w:tcPr>
          <w:p w14:paraId="3F98BDF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下风向最大质量浓度及占标率/%</w:t>
            </w:r>
          </w:p>
        </w:tc>
        <w:tc>
          <w:tcPr>
            <w:tcW w:w="3062" w:type="dxa"/>
            <w:vAlign w:val="center"/>
          </w:tcPr>
          <w:p w14:paraId="6186A6E6">
            <w:pPr>
              <w:pStyle w:val="143"/>
              <w:ind w:firstLine="0" w:firstLineChars="0"/>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0.2248</w:t>
            </w:r>
          </w:p>
        </w:tc>
        <w:tc>
          <w:tcPr>
            <w:tcW w:w="3278" w:type="dxa"/>
            <w:shd w:val="clear" w:color="auto" w:fill="auto"/>
            <w:vAlign w:val="center"/>
          </w:tcPr>
          <w:p w14:paraId="644D8EC9">
            <w:pPr>
              <w:pStyle w:val="143"/>
              <w:ind w:firstLine="0" w:firstLineChars="0"/>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0.05</w:t>
            </w:r>
          </w:p>
        </w:tc>
      </w:tr>
      <w:tr w14:paraId="6091BB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8" w:type="pct"/>
            <w:shd w:val="clear" w:color="auto" w:fill="auto"/>
            <w:vAlign w:val="center"/>
          </w:tcPr>
          <w:p w14:paraId="3ED4446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最大浓度落地点（m）</w:t>
            </w:r>
          </w:p>
        </w:tc>
        <w:tc>
          <w:tcPr>
            <w:tcW w:w="2271" w:type="pct"/>
            <w:gridSpan w:val="2"/>
            <w:vAlign w:val="center"/>
          </w:tcPr>
          <w:p w14:paraId="438CAB1D">
            <w:pPr>
              <w:pStyle w:val="143"/>
              <w:ind w:firstLine="0" w:firstLineChars="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210</w:t>
            </w:r>
          </w:p>
        </w:tc>
      </w:tr>
      <w:tr w14:paraId="07499A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 w:hRule="atLeast"/>
          <w:jc w:val="center"/>
        </w:trPr>
        <w:tc>
          <w:tcPr>
            <w:tcW w:w="2728" w:type="pct"/>
            <w:shd w:val="clear" w:color="auto" w:fill="auto"/>
            <w:vAlign w:val="center"/>
          </w:tcPr>
          <w:p w14:paraId="69C3DA2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评价等级</w:t>
            </w:r>
          </w:p>
        </w:tc>
        <w:tc>
          <w:tcPr>
            <w:tcW w:w="2271" w:type="pct"/>
            <w:gridSpan w:val="2"/>
            <w:vAlign w:val="center"/>
          </w:tcPr>
          <w:p w14:paraId="7D383409">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二级</w:t>
            </w:r>
          </w:p>
        </w:tc>
      </w:tr>
    </w:tbl>
    <w:p w14:paraId="2C8AF3CE">
      <w:pPr>
        <w:pStyle w:val="206"/>
        <w:rPr>
          <w:snapToGrid w:val="0"/>
          <w:color w:val="000000" w:themeColor="text1"/>
          <w:highlight w:val="none"/>
          <w14:textFill>
            <w14:solidFill>
              <w14:schemeClr w14:val="tx1"/>
            </w14:solidFill>
          </w14:textFill>
        </w:rPr>
      </w:pPr>
      <w:r>
        <w:rPr>
          <w:snapToGrid w:val="0"/>
          <w:color w:val="000000" w:themeColor="text1"/>
          <w:highlight w:val="none"/>
          <w14:textFill>
            <w14:solidFill>
              <w14:schemeClr w14:val="tx1"/>
            </w14:solidFill>
          </w14:textFill>
        </w:rPr>
        <w:t>表2-5-</w:t>
      </w:r>
      <w:r>
        <w:rPr>
          <w:rFonts w:hint="eastAsia"/>
          <w:snapToGrid w:val="0"/>
          <w:color w:val="000000" w:themeColor="text1"/>
          <w:highlight w:val="none"/>
          <w:lang w:val="en-US" w:eastAsia="zh-CN"/>
          <w14:textFill>
            <w14:solidFill>
              <w14:schemeClr w14:val="tx1"/>
            </w14:solidFill>
          </w14:textFill>
        </w:rPr>
        <w:t>10</w:t>
      </w:r>
      <w:r>
        <w:rPr>
          <w:snapToGrid w:val="0"/>
          <w:color w:val="000000" w:themeColor="text1"/>
          <w:highlight w:val="none"/>
          <w14:textFill>
            <w14:solidFill>
              <w14:schemeClr w14:val="tx1"/>
            </w14:solidFill>
          </w14:textFill>
        </w:rPr>
        <w:t xml:space="preserve"> 本项目主要污染物最大浓度及浓度占标率（</w:t>
      </w:r>
      <w:r>
        <w:rPr>
          <w:rFonts w:hint="eastAsia"/>
          <w:snapToGrid w:val="0"/>
          <w:color w:val="000000" w:themeColor="text1"/>
          <w:highlight w:val="none"/>
          <w14:textFill>
            <w14:solidFill>
              <w14:schemeClr w14:val="tx1"/>
            </w14:solidFill>
          </w14:textFill>
        </w:rPr>
        <w:t>火炬</w:t>
      </w:r>
      <w:r>
        <w:rPr>
          <w:snapToGrid w:val="0"/>
          <w:color w:val="000000" w:themeColor="text1"/>
          <w:highlight w:val="none"/>
          <w14:textFill>
            <w14:solidFill>
              <w14:schemeClr w14:val="tx1"/>
            </w14:solidFill>
          </w14:textFill>
        </w:rPr>
        <w:t>源）</w:t>
      </w:r>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624"/>
        <w:gridCol w:w="2124"/>
        <w:gridCol w:w="1957"/>
        <w:gridCol w:w="1809"/>
        <w:gridCol w:w="1619"/>
        <w:gridCol w:w="2141"/>
        <w:gridCol w:w="1684"/>
      </w:tblGrid>
      <w:tr w14:paraId="15D626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vMerge w:val="restart"/>
            <w:shd w:val="clear" w:color="auto" w:fill="auto"/>
            <w:vAlign w:val="center"/>
          </w:tcPr>
          <w:p w14:paraId="69B7E1A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下风向距离/m</w:t>
            </w:r>
          </w:p>
        </w:tc>
        <w:tc>
          <w:tcPr>
            <w:tcW w:w="4060" w:type="pct"/>
            <w:gridSpan w:val="6"/>
            <w:shd w:val="clear" w:color="auto" w:fill="auto"/>
            <w:vAlign w:val="center"/>
          </w:tcPr>
          <w:p w14:paraId="4E57B56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火炬F1</w:t>
            </w:r>
          </w:p>
        </w:tc>
      </w:tr>
      <w:tr w14:paraId="45E0AB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940" w:type="pct"/>
            <w:vMerge w:val="continue"/>
            <w:shd w:val="clear" w:color="auto" w:fill="auto"/>
            <w:vAlign w:val="center"/>
          </w:tcPr>
          <w:p w14:paraId="5391C0AB">
            <w:pPr>
              <w:pStyle w:val="143"/>
              <w:rPr>
                <w:snapToGrid w:val="0"/>
                <w:color w:val="000000" w:themeColor="text1"/>
                <w14:textFill>
                  <w14:solidFill>
                    <w14:schemeClr w14:val="tx1"/>
                  </w14:solidFill>
                </w14:textFill>
              </w:rPr>
            </w:pPr>
          </w:p>
        </w:tc>
        <w:tc>
          <w:tcPr>
            <w:tcW w:w="1462" w:type="pct"/>
            <w:gridSpan w:val="2"/>
            <w:shd w:val="clear" w:color="auto" w:fill="auto"/>
            <w:vAlign w:val="center"/>
          </w:tcPr>
          <w:p w14:paraId="19994AF9">
            <w:pPr>
              <w:pStyle w:val="143"/>
              <w:rPr>
                <w:snapToGrid w:val="0"/>
                <w:color w:val="000000" w:themeColor="text1"/>
                <w:vertAlign w:val="subscript"/>
                <w14:textFill>
                  <w14:solidFill>
                    <w14:schemeClr w14:val="tx1"/>
                  </w14:solidFill>
                </w14:textFill>
              </w:rPr>
            </w:pPr>
            <w:r>
              <w:rPr>
                <w:snapToGrid w:val="0"/>
                <w:color w:val="000000" w:themeColor="text1"/>
                <w14:textFill>
                  <w14:solidFill>
                    <w14:schemeClr w14:val="tx1"/>
                  </w14:solidFill>
                </w14:textFill>
              </w:rPr>
              <w:t>PM</w:t>
            </w:r>
            <w:r>
              <w:rPr>
                <w:snapToGrid w:val="0"/>
                <w:color w:val="000000" w:themeColor="text1"/>
                <w:vertAlign w:val="subscript"/>
                <w14:textFill>
                  <w14:solidFill>
                    <w14:schemeClr w14:val="tx1"/>
                  </w14:solidFill>
                </w14:textFill>
              </w:rPr>
              <w:t>10</w:t>
            </w:r>
          </w:p>
        </w:tc>
        <w:tc>
          <w:tcPr>
            <w:tcW w:w="1228" w:type="pct"/>
            <w:gridSpan w:val="2"/>
            <w:shd w:val="clear" w:color="auto" w:fill="auto"/>
            <w:vAlign w:val="center"/>
          </w:tcPr>
          <w:p w14:paraId="28DDE6AF">
            <w:pPr>
              <w:pStyle w:val="143"/>
              <w:rPr>
                <w:snapToGrid w:val="0"/>
                <w:color w:val="000000" w:themeColor="text1"/>
                <w:vertAlign w:val="subscript"/>
                <w14:textFill>
                  <w14:solidFill>
                    <w14:schemeClr w14:val="tx1"/>
                  </w14:solidFill>
                </w14:textFill>
              </w:rPr>
            </w:pPr>
            <w:r>
              <w:rPr>
                <w:snapToGrid w:val="0"/>
                <w:color w:val="000000" w:themeColor="text1"/>
                <w14:textFill>
                  <w14:solidFill>
                    <w14:schemeClr w14:val="tx1"/>
                  </w14:solidFill>
                </w14:textFill>
              </w:rPr>
              <w:t>SO</w:t>
            </w:r>
            <w:r>
              <w:rPr>
                <w:snapToGrid w:val="0"/>
                <w:color w:val="000000" w:themeColor="text1"/>
                <w:vertAlign w:val="subscript"/>
                <w14:textFill>
                  <w14:solidFill>
                    <w14:schemeClr w14:val="tx1"/>
                  </w14:solidFill>
                </w14:textFill>
              </w:rPr>
              <w:t>2</w:t>
            </w:r>
          </w:p>
        </w:tc>
        <w:tc>
          <w:tcPr>
            <w:tcW w:w="1370" w:type="pct"/>
            <w:gridSpan w:val="2"/>
            <w:vAlign w:val="center"/>
          </w:tcPr>
          <w:p w14:paraId="63E79233">
            <w:pPr>
              <w:pStyle w:val="143"/>
              <w:rPr>
                <w:snapToGrid w:val="0"/>
                <w:color w:val="000000" w:themeColor="text1"/>
                <w:vertAlign w:val="subscript"/>
                <w14:textFill>
                  <w14:solidFill>
                    <w14:schemeClr w14:val="tx1"/>
                  </w14:solidFill>
                </w14:textFill>
              </w:rPr>
            </w:pPr>
            <w:r>
              <w:rPr>
                <w:snapToGrid w:val="0"/>
                <w:color w:val="000000" w:themeColor="text1"/>
                <w14:textFill>
                  <w14:solidFill>
                    <w14:schemeClr w14:val="tx1"/>
                  </w14:solidFill>
                </w14:textFill>
              </w:rPr>
              <w:t>NO</w:t>
            </w:r>
            <w:r>
              <w:rPr>
                <w:snapToGrid w:val="0"/>
                <w:color w:val="000000" w:themeColor="text1"/>
                <w:vertAlign w:val="subscript"/>
                <w14:textFill>
                  <w14:solidFill>
                    <w14:schemeClr w14:val="tx1"/>
                  </w14:solidFill>
                </w14:textFill>
              </w:rPr>
              <w:t>X</w:t>
            </w:r>
          </w:p>
        </w:tc>
      </w:tr>
      <w:tr w14:paraId="2B1E41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vMerge w:val="continue"/>
            <w:shd w:val="clear" w:color="auto" w:fill="auto"/>
            <w:vAlign w:val="center"/>
          </w:tcPr>
          <w:p w14:paraId="571D934B">
            <w:pPr>
              <w:pStyle w:val="143"/>
              <w:rPr>
                <w:snapToGrid w:val="0"/>
                <w:color w:val="000000" w:themeColor="text1"/>
                <w14:textFill>
                  <w14:solidFill>
                    <w14:schemeClr w14:val="tx1"/>
                  </w14:solidFill>
                </w14:textFill>
              </w:rPr>
            </w:pPr>
          </w:p>
        </w:tc>
        <w:tc>
          <w:tcPr>
            <w:tcW w:w="761" w:type="pct"/>
            <w:shd w:val="clear" w:color="auto" w:fill="auto"/>
            <w:vAlign w:val="center"/>
          </w:tcPr>
          <w:p w14:paraId="24A8998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701" w:type="pct"/>
            <w:shd w:val="clear" w:color="auto" w:fill="auto"/>
            <w:vAlign w:val="center"/>
          </w:tcPr>
          <w:p w14:paraId="7315F45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c>
          <w:tcPr>
            <w:tcW w:w="648" w:type="pct"/>
            <w:shd w:val="clear" w:color="auto" w:fill="auto"/>
            <w:vAlign w:val="center"/>
          </w:tcPr>
          <w:p w14:paraId="2C4B2E2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580" w:type="pct"/>
            <w:shd w:val="clear" w:color="auto" w:fill="auto"/>
            <w:vAlign w:val="center"/>
          </w:tcPr>
          <w:p w14:paraId="5B358C5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c>
          <w:tcPr>
            <w:tcW w:w="767" w:type="pct"/>
            <w:vAlign w:val="center"/>
          </w:tcPr>
          <w:p w14:paraId="3054E19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603" w:type="pct"/>
            <w:vAlign w:val="center"/>
          </w:tcPr>
          <w:p w14:paraId="435EE90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r>
      <w:tr w14:paraId="554F8B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42B5606F">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5</w:t>
            </w:r>
          </w:p>
        </w:tc>
        <w:tc>
          <w:tcPr>
            <w:tcW w:w="2124" w:type="dxa"/>
            <w:shd w:val="clear" w:color="auto" w:fill="auto"/>
            <w:vAlign w:val="center"/>
          </w:tcPr>
          <w:p w14:paraId="43416D2C">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0.086777</w:t>
            </w:r>
          </w:p>
        </w:tc>
        <w:tc>
          <w:tcPr>
            <w:tcW w:w="1957" w:type="dxa"/>
            <w:shd w:val="clear" w:color="auto" w:fill="auto"/>
            <w:vAlign w:val="center"/>
          </w:tcPr>
          <w:p w14:paraId="40060B93">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w:t>
            </w:r>
          </w:p>
        </w:tc>
        <w:tc>
          <w:tcPr>
            <w:tcW w:w="1809" w:type="dxa"/>
            <w:shd w:val="clear" w:color="auto" w:fill="auto"/>
            <w:vAlign w:val="center"/>
          </w:tcPr>
          <w:p w14:paraId="42F6D108">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0.014234</w:t>
            </w:r>
          </w:p>
        </w:tc>
        <w:tc>
          <w:tcPr>
            <w:tcW w:w="1619" w:type="dxa"/>
            <w:shd w:val="clear" w:color="auto" w:fill="auto"/>
            <w:vAlign w:val="center"/>
          </w:tcPr>
          <w:p w14:paraId="11BDF674">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3FA46BC0">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0.571857</w:t>
            </w:r>
          </w:p>
        </w:tc>
        <w:tc>
          <w:tcPr>
            <w:tcW w:w="1684" w:type="dxa"/>
            <w:vAlign w:val="center"/>
          </w:tcPr>
          <w:p w14:paraId="21C673A7">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0.23</w:t>
            </w:r>
          </w:p>
        </w:tc>
      </w:tr>
      <w:tr w14:paraId="02DC98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67A40865">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0</w:t>
            </w:r>
          </w:p>
        </w:tc>
        <w:tc>
          <w:tcPr>
            <w:tcW w:w="2124" w:type="dxa"/>
            <w:shd w:val="clear" w:color="auto" w:fill="auto"/>
            <w:vAlign w:val="center"/>
          </w:tcPr>
          <w:p w14:paraId="1AE2EEF3">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0.13978</w:t>
            </w:r>
          </w:p>
        </w:tc>
        <w:tc>
          <w:tcPr>
            <w:tcW w:w="1957" w:type="dxa"/>
            <w:shd w:val="clear" w:color="auto" w:fill="auto"/>
            <w:vAlign w:val="center"/>
          </w:tcPr>
          <w:p w14:paraId="0EF5951B">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0.03</w:t>
            </w:r>
          </w:p>
        </w:tc>
        <w:tc>
          <w:tcPr>
            <w:tcW w:w="1809" w:type="dxa"/>
            <w:shd w:val="clear" w:color="auto" w:fill="auto"/>
            <w:vAlign w:val="center"/>
          </w:tcPr>
          <w:p w14:paraId="7E65E274">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0.022928</w:t>
            </w:r>
          </w:p>
        </w:tc>
        <w:tc>
          <w:tcPr>
            <w:tcW w:w="1619" w:type="dxa"/>
            <w:shd w:val="clear" w:color="auto" w:fill="auto"/>
            <w:vAlign w:val="center"/>
          </w:tcPr>
          <w:p w14:paraId="25AD7E71">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0BD88A19">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0.921143</w:t>
            </w:r>
          </w:p>
        </w:tc>
        <w:tc>
          <w:tcPr>
            <w:tcW w:w="1684" w:type="dxa"/>
            <w:vAlign w:val="center"/>
          </w:tcPr>
          <w:p w14:paraId="0D369AC8">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0.37</w:t>
            </w:r>
          </w:p>
        </w:tc>
      </w:tr>
      <w:tr w14:paraId="27E525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63E21913">
            <w:pPr>
              <w:pStyle w:val="143"/>
              <w:rPr>
                <w:color w:val="000000" w:themeColor="text1"/>
                <w14:textFill>
                  <w14:solidFill>
                    <w14:schemeClr w14:val="tx1"/>
                  </w14:solidFill>
                </w14:textFill>
              </w:rPr>
            </w:pPr>
            <w:r>
              <w:rPr>
                <w:color w:val="000000" w:themeColor="text1"/>
                <w14:textFill>
                  <w14:solidFill>
                    <w14:schemeClr w14:val="tx1"/>
                  </w14:solidFill>
                </w14:textFill>
              </w:rPr>
              <w:t>100</w:t>
            </w:r>
          </w:p>
        </w:tc>
        <w:tc>
          <w:tcPr>
            <w:tcW w:w="2124" w:type="dxa"/>
            <w:shd w:val="clear" w:color="auto" w:fill="auto"/>
            <w:vAlign w:val="center"/>
          </w:tcPr>
          <w:p w14:paraId="73E8DB39">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0.130075</w:t>
            </w:r>
          </w:p>
        </w:tc>
        <w:tc>
          <w:tcPr>
            <w:tcW w:w="1957" w:type="dxa"/>
            <w:shd w:val="clear" w:color="auto" w:fill="auto"/>
            <w:vAlign w:val="center"/>
          </w:tcPr>
          <w:p w14:paraId="472F0B13">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0.03</w:t>
            </w:r>
          </w:p>
        </w:tc>
        <w:tc>
          <w:tcPr>
            <w:tcW w:w="1809" w:type="dxa"/>
            <w:shd w:val="clear" w:color="auto" w:fill="auto"/>
            <w:vAlign w:val="center"/>
          </w:tcPr>
          <w:p w14:paraId="72C8AAFF">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0.021336</w:t>
            </w:r>
          </w:p>
        </w:tc>
        <w:tc>
          <w:tcPr>
            <w:tcW w:w="1619" w:type="dxa"/>
            <w:shd w:val="clear" w:color="auto" w:fill="auto"/>
            <w:vAlign w:val="center"/>
          </w:tcPr>
          <w:p w14:paraId="1754E356">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2EA226E5">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0.857183</w:t>
            </w:r>
          </w:p>
        </w:tc>
        <w:tc>
          <w:tcPr>
            <w:tcW w:w="1684" w:type="dxa"/>
            <w:vAlign w:val="center"/>
          </w:tcPr>
          <w:p w14:paraId="1DBAF211">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0.34</w:t>
            </w:r>
          </w:p>
        </w:tc>
      </w:tr>
      <w:tr w14:paraId="6518E8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472FFFC4">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154</w:t>
            </w:r>
          </w:p>
        </w:tc>
        <w:tc>
          <w:tcPr>
            <w:tcW w:w="2124" w:type="dxa"/>
            <w:shd w:val="clear" w:color="auto" w:fill="auto"/>
            <w:vAlign w:val="center"/>
          </w:tcPr>
          <w:p w14:paraId="76DFE31B">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0.156467</w:t>
            </w:r>
          </w:p>
        </w:tc>
        <w:tc>
          <w:tcPr>
            <w:tcW w:w="1957" w:type="dxa"/>
            <w:shd w:val="clear" w:color="auto" w:fill="auto"/>
            <w:vAlign w:val="center"/>
          </w:tcPr>
          <w:p w14:paraId="1855318F">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0.03</w:t>
            </w:r>
          </w:p>
        </w:tc>
        <w:tc>
          <w:tcPr>
            <w:tcW w:w="1809" w:type="dxa"/>
            <w:shd w:val="clear" w:color="auto" w:fill="auto"/>
            <w:vAlign w:val="center"/>
          </w:tcPr>
          <w:p w14:paraId="7C7AB05B">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0.025665</w:t>
            </w:r>
          </w:p>
        </w:tc>
        <w:tc>
          <w:tcPr>
            <w:tcW w:w="1619" w:type="dxa"/>
            <w:shd w:val="clear" w:color="auto" w:fill="auto"/>
            <w:vAlign w:val="center"/>
          </w:tcPr>
          <w:p w14:paraId="610171AD">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w:t>
            </w:r>
          </w:p>
        </w:tc>
        <w:tc>
          <w:tcPr>
            <w:tcW w:w="2141" w:type="dxa"/>
            <w:vAlign w:val="center"/>
          </w:tcPr>
          <w:p w14:paraId="6F12A83F">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1.031103</w:t>
            </w:r>
          </w:p>
        </w:tc>
        <w:tc>
          <w:tcPr>
            <w:tcW w:w="1684" w:type="dxa"/>
            <w:vAlign w:val="center"/>
          </w:tcPr>
          <w:p w14:paraId="0283A167">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0.41</w:t>
            </w:r>
          </w:p>
        </w:tc>
      </w:tr>
      <w:tr w14:paraId="7E0714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1CE08453">
            <w:pPr>
              <w:pStyle w:val="143"/>
              <w:rPr>
                <w:color w:val="000000" w:themeColor="text1"/>
                <w14:textFill>
                  <w14:solidFill>
                    <w14:schemeClr w14:val="tx1"/>
                  </w14:solidFill>
                </w14:textFill>
              </w:rPr>
            </w:pPr>
            <w:r>
              <w:rPr>
                <w:color w:val="000000" w:themeColor="text1"/>
                <w14:textFill>
                  <w14:solidFill>
                    <w14:schemeClr w14:val="tx1"/>
                  </w14:solidFill>
                </w14:textFill>
              </w:rPr>
              <w:t>200</w:t>
            </w:r>
          </w:p>
        </w:tc>
        <w:tc>
          <w:tcPr>
            <w:tcW w:w="2124" w:type="dxa"/>
            <w:shd w:val="clear" w:color="auto" w:fill="auto"/>
            <w:vAlign w:val="center"/>
          </w:tcPr>
          <w:p w14:paraId="6C4135E6">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0.146279</w:t>
            </w:r>
          </w:p>
        </w:tc>
        <w:tc>
          <w:tcPr>
            <w:tcW w:w="1957" w:type="dxa"/>
            <w:shd w:val="clear" w:color="auto" w:fill="auto"/>
            <w:vAlign w:val="center"/>
          </w:tcPr>
          <w:p w14:paraId="1CBD98EA">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0.03</w:t>
            </w:r>
          </w:p>
        </w:tc>
        <w:tc>
          <w:tcPr>
            <w:tcW w:w="1809" w:type="dxa"/>
            <w:shd w:val="clear" w:color="auto" w:fill="auto"/>
            <w:vAlign w:val="center"/>
          </w:tcPr>
          <w:p w14:paraId="30A01343">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0.023994</w:t>
            </w:r>
          </w:p>
        </w:tc>
        <w:tc>
          <w:tcPr>
            <w:tcW w:w="1619" w:type="dxa"/>
            <w:shd w:val="clear" w:color="auto" w:fill="auto"/>
            <w:vAlign w:val="center"/>
          </w:tcPr>
          <w:p w14:paraId="080FCB68">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60FB14FE">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0.96397</w:t>
            </w:r>
          </w:p>
        </w:tc>
        <w:tc>
          <w:tcPr>
            <w:tcW w:w="1684" w:type="dxa"/>
            <w:vAlign w:val="center"/>
          </w:tcPr>
          <w:p w14:paraId="1B6147AA">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0.39</w:t>
            </w:r>
          </w:p>
        </w:tc>
      </w:tr>
      <w:tr w14:paraId="4EE1D2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709B375B">
            <w:pPr>
              <w:pStyle w:val="143"/>
              <w:rPr>
                <w:color w:val="000000" w:themeColor="text1"/>
                <w14:textFill>
                  <w14:solidFill>
                    <w14:schemeClr w14:val="tx1"/>
                  </w14:solidFill>
                </w14:textFill>
              </w:rPr>
            </w:pPr>
            <w:r>
              <w:rPr>
                <w:color w:val="000000" w:themeColor="text1"/>
                <w14:textFill>
                  <w14:solidFill>
                    <w14:schemeClr w14:val="tx1"/>
                  </w14:solidFill>
                </w14:textFill>
              </w:rPr>
              <w:t>300</w:t>
            </w:r>
          </w:p>
        </w:tc>
        <w:tc>
          <w:tcPr>
            <w:tcW w:w="2124" w:type="dxa"/>
            <w:shd w:val="clear" w:color="auto" w:fill="auto"/>
            <w:vAlign w:val="center"/>
          </w:tcPr>
          <w:p w14:paraId="0DA79F77">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0.113297</w:t>
            </w:r>
          </w:p>
        </w:tc>
        <w:tc>
          <w:tcPr>
            <w:tcW w:w="1957" w:type="dxa"/>
            <w:shd w:val="clear" w:color="auto" w:fill="auto"/>
            <w:vAlign w:val="center"/>
          </w:tcPr>
          <w:p w14:paraId="729D4004">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0.03</w:t>
            </w:r>
          </w:p>
        </w:tc>
        <w:tc>
          <w:tcPr>
            <w:tcW w:w="1809" w:type="dxa"/>
            <w:shd w:val="clear" w:color="auto" w:fill="auto"/>
            <w:vAlign w:val="center"/>
          </w:tcPr>
          <w:p w14:paraId="15ADC49A">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0.018584</w:t>
            </w:r>
          </w:p>
        </w:tc>
        <w:tc>
          <w:tcPr>
            <w:tcW w:w="1619" w:type="dxa"/>
            <w:shd w:val="clear" w:color="auto" w:fill="auto"/>
            <w:vAlign w:val="center"/>
          </w:tcPr>
          <w:p w14:paraId="465C1832">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5618FE3E">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0.746621</w:t>
            </w:r>
          </w:p>
        </w:tc>
        <w:tc>
          <w:tcPr>
            <w:tcW w:w="1684" w:type="dxa"/>
            <w:vAlign w:val="center"/>
          </w:tcPr>
          <w:p w14:paraId="17DE86B0">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0.3</w:t>
            </w:r>
          </w:p>
        </w:tc>
      </w:tr>
      <w:tr w14:paraId="6ACB3F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48581390">
            <w:pPr>
              <w:pStyle w:val="143"/>
              <w:rPr>
                <w:color w:val="000000" w:themeColor="text1"/>
                <w14:textFill>
                  <w14:solidFill>
                    <w14:schemeClr w14:val="tx1"/>
                  </w14:solidFill>
                </w14:textFill>
              </w:rPr>
            </w:pPr>
            <w:r>
              <w:rPr>
                <w:color w:val="000000" w:themeColor="text1"/>
                <w14:textFill>
                  <w14:solidFill>
                    <w14:schemeClr w14:val="tx1"/>
                  </w14:solidFill>
                </w14:textFill>
              </w:rPr>
              <w:t>500</w:t>
            </w:r>
          </w:p>
        </w:tc>
        <w:tc>
          <w:tcPr>
            <w:tcW w:w="2124" w:type="dxa"/>
            <w:shd w:val="clear" w:color="auto" w:fill="auto"/>
            <w:vAlign w:val="center"/>
          </w:tcPr>
          <w:p w14:paraId="75F3640F">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0.078261</w:t>
            </w:r>
          </w:p>
        </w:tc>
        <w:tc>
          <w:tcPr>
            <w:tcW w:w="1957" w:type="dxa"/>
            <w:shd w:val="clear" w:color="auto" w:fill="auto"/>
            <w:vAlign w:val="center"/>
          </w:tcPr>
          <w:p w14:paraId="1552911B">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w:t>
            </w:r>
          </w:p>
        </w:tc>
        <w:tc>
          <w:tcPr>
            <w:tcW w:w="1809" w:type="dxa"/>
            <w:shd w:val="clear" w:color="auto" w:fill="auto"/>
            <w:vAlign w:val="center"/>
          </w:tcPr>
          <w:p w14:paraId="1B9583D0">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0.012837</w:t>
            </w:r>
          </w:p>
        </w:tc>
        <w:tc>
          <w:tcPr>
            <w:tcW w:w="1619" w:type="dxa"/>
            <w:shd w:val="clear" w:color="auto" w:fill="auto"/>
            <w:vAlign w:val="center"/>
          </w:tcPr>
          <w:p w14:paraId="51EE9595">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48ED58DC">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0.515732</w:t>
            </w:r>
          </w:p>
        </w:tc>
        <w:tc>
          <w:tcPr>
            <w:tcW w:w="1684" w:type="dxa"/>
            <w:vAlign w:val="center"/>
          </w:tcPr>
          <w:p w14:paraId="5476C0B2">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0.21</w:t>
            </w:r>
          </w:p>
        </w:tc>
      </w:tr>
      <w:tr w14:paraId="69AADB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1242E136">
            <w:pPr>
              <w:pStyle w:val="143"/>
              <w:rPr>
                <w:color w:val="000000" w:themeColor="text1"/>
                <w14:textFill>
                  <w14:solidFill>
                    <w14:schemeClr w14:val="tx1"/>
                  </w14:solidFill>
                </w14:textFill>
              </w:rPr>
            </w:pPr>
            <w:r>
              <w:rPr>
                <w:color w:val="000000" w:themeColor="text1"/>
                <w14:textFill>
                  <w14:solidFill>
                    <w14:schemeClr w14:val="tx1"/>
                  </w14:solidFill>
                </w14:textFill>
              </w:rPr>
              <w:t>1000</w:t>
            </w:r>
          </w:p>
        </w:tc>
        <w:tc>
          <w:tcPr>
            <w:tcW w:w="2124" w:type="dxa"/>
            <w:shd w:val="clear" w:color="auto" w:fill="auto"/>
            <w:vAlign w:val="center"/>
          </w:tcPr>
          <w:p w14:paraId="2AC69BE0">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0.051337</w:t>
            </w:r>
          </w:p>
        </w:tc>
        <w:tc>
          <w:tcPr>
            <w:tcW w:w="1957" w:type="dxa"/>
            <w:shd w:val="clear" w:color="auto" w:fill="auto"/>
            <w:vAlign w:val="center"/>
          </w:tcPr>
          <w:p w14:paraId="2056B040">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w:t>
            </w:r>
          </w:p>
        </w:tc>
        <w:tc>
          <w:tcPr>
            <w:tcW w:w="1809" w:type="dxa"/>
            <w:shd w:val="clear" w:color="auto" w:fill="auto"/>
            <w:vAlign w:val="center"/>
          </w:tcPr>
          <w:p w14:paraId="38B452DA">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0.008421</w:t>
            </w:r>
          </w:p>
        </w:tc>
        <w:tc>
          <w:tcPr>
            <w:tcW w:w="1619" w:type="dxa"/>
            <w:shd w:val="clear" w:color="auto" w:fill="auto"/>
            <w:vAlign w:val="center"/>
          </w:tcPr>
          <w:p w14:paraId="78DB5999">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12092BB6">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0.338305</w:t>
            </w:r>
          </w:p>
        </w:tc>
        <w:tc>
          <w:tcPr>
            <w:tcW w:w="1684" w:type="dxa"/>
            <w:vAlign w:val="center"/>
          </w:tcPr>
          <w:p w14:paraId="04DE929A">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0.14</w:t>
            </w:r>
          </w:p>
        </w:tc>
      </w:tr>
      <w:tr w14:paraId="425BF8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3BA5B10E">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w:t>
            </w:r>
            <w:r>
              <w:rPr>
                <w:color w:val="000000" w:themeColor="text1"/>
                <w:lang w:eastAsia="zh-CN"/>
                <w14:textFill>
                  <w14:solidFill>
                    <w14:schemeClr w14:val="tx1"/>
                  </w14:solidFill>
                </w14:textFill>
              </w:rPr>
              <w:t>500</w:t>
            </w:r>
          </w:p>
        </w:tc>
        <w:tc>
          <w:tcPr>
            <w:tcW w:w="2124" w:type="dxa"/>
            <w:shd w:val="clear" w:color="auto" w:fill="auto"/>
            <w:vAlign w:val="center"/>
          </w:tcPr>
          <w:p w14:paraId="5E863176">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0.041851</w:t>
            </w:r>
          </w:p>
        </w:tc>
        <w:tc>
          <w:tcPr>
            <w:tcW w:w="1957" w:type="dxa"/>
            <w:shd w:val="clear" w:color="auto" w:fill="auto"/>
            <w:vAlign w:val="center"/>
          </w:tcPr>
          <w:p w14:paraId="5D2471BA">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w:t>
            </w:r>
          </w:p>
        </w:tc>
        <w:tc>
          <w:tcPr>
            <w:tcW w:w="1809" w:type="dxa"/>
            <w:shd w:val="clear" w:color="auto" w:fill="auto"/>
            <w:vAlign w:val="center"/>
          </w:tcPr>
          <w:p w14:paraId="5A2BE20E">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0.006865</w:t>
            </w:r>
          </w:p>
        </w:tc>
        <w:tc>
          <w:tcPr>
            <w:tcW w:w="1619" w:type="dxa"/>
            <w:shd w:val="clear" w:color="auto" w:fill="auto"/>
            <w:vAlign w:val="center"/>
          </w:tcPr>
          <w:p w14:paraId="608C2C18">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7C847BF7">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0.275792</w:t>
            </w:r>
          </w:p>
        </w:tc>
        <w:tc>
          <w:tcPr>
            <w:tcW w:w="1684" w:type="dxa"/>
            <w:vAlign w:val="center"/>
          </w:tcPr>
          <w:p w14:paraId="0194BE7A">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0.11</w:t>
            </w:r>
          </w:p>
        </w:tc>
      </w:tr>
      <w:tr w14:paraId="5D4130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5AA97CF7">
            <w:pPr>
              <w:pStyle w:val="143"/>
              <w:rPr>
                <w:color w:val="000000" w:themeColor="text1"/>
                <w14:textFill>
                  <w14:solidFill>
                    <w14:schemeClr w14:val="tx1"/>
                  </w14:solidFill>
                </w14:textFill>
              </w:rPr>
            </w:pPr>
            <w:r>
              <w:rPr>
                <w:color w:val="000000" w:themeColor="text1"/>
                <w14:textFill>
                  <w14:solidFill>
                    <w14:schemeClr w14:val="tx1"/>
                  </w14:solidFill>
                </w14:textFill>
              </w:rPr>
              <w:t>2000</w:t>
            </w:r>
          </w:p>
        </w:tc>
        <w:tc>
          <w:tcPr>
            <w:tcW w:w="2124" w:type="dxa"/>
            <w:shd w:val="clear" w:color="auto" w:fill="auto"/>
            <w:vAlign w:val="center"/>
          </w:tcPr>
          <w:p w14:paraId="332BE659">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0.035391</w:t>
            </w:r>
          </w:p>
        </w:tc>
        <w:tc>
          <w:tcPr>
            <w:tcW w:w="1957" w:type="dxa"/>
            <w:shd w:val="clear" w:color="auto" w:fill="auto"/>
            <w:vAlign w:val="center"/>
          </w:tcPr>
          <w:p w14:paraId="3630BD46">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w:t>
            </w:r>
          </w:p>
        </w:tc>
        <w:tc>
          <w:tcPr>
            <w:tcW w:w="1809" w:type="dxa"/>
            <w:shd w:val="clear" w:color="auto" w:fill="auto"/>
            <w:vAlign w:val="center"/>
          </w:tcPr>
          <w:p w14:paraId="06D9F136">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0.005805</w:t>
            </w:r>
          </w:p>
        </w:tc>
        <w:tc>
          <w:tcPr>
            <w:tcW w:w="1619" w:type="dxa"/>
            <w:shd w:val="clear" w:color="auto" w:fill="auto"/>
            <w:vAlign w:val="center"/>
          </w:tcPr>
          <w:p w14:paraId="720762BB">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20639007">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0.233223</w:t>
            </w:r>
          </w:p>
        </w:tc>
        <w:tc>
          <w:tcPr>
            <w:tcW w:w="1684" w:type="dxa"/>
            <w:vAlign w:val="center"/>
          </w:tcPr>
          <w:p w14:paraId="26992C32">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0.09</w:t>
            </w:r>
          </w:p>
        </w:tc>
      </w:tr>
      <w:tr w14:paraId="5C5D03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28FC58B1">
            <w:pPr>
              <w:pStyle w:val="143"/>
              <w:rPr>
                <w:color w:val="000000" w:themeColor="text1"/>
                <w14:textFill>
                  <w14:solidFill>
                    <w14:schemeClr w14:val="tx1"/>
                  </w14:solidFill>
                </w14:textFill>
              </w:rPr>
            </w:pPr>
            <w:r>
              <w:rPr>
                <w:color w:val="000000" w:themeColor="text1"/>
                <w14:textFill>
                  <w14:solidFill>
                    <w14:schemeClr w14:val="tx1"/>
                  </w14:solidFill>
                </w14:textFill>
              </w:rPr>
              <w:t>2500</w:t>
            </w:r>
          </w:p>
        </w:tc>
        <w:tc>
          <w:tcPr>
            <w:tcW w:w="2124" w:type="dxa"/>
            <w:shd w:val="clear" w:color="auto" w:fill="auto"/>
            <w:vAlign w:val="center"/>
          </w:tcPr>
          <w:p w14:paraId="73E33FEF">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0.030094</w:t>
            </w:r>
          </w:p>
        </w:tc>
        <w:tc>
          <w:tcPr>
            <w:tcW w:w="1957" w:type="dxa"/>
            <w:shd w:val="clear" w:color="auto" w:fill="auto"/>
            <w:vAlign w:val="center"/>
          </w:tcPr>
          <w:p w14:paraId="7018B885">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w:t>
            </w:r>
          </w:p>
        </w:tc>
        <w:tc>
          <w:tcPr>
            <w:tcW w:w="1809" w:type="dxa"/>
            <w:shd w:val="clear" w:color="auto" w:fill="auto"/>
            <w:vAlign w:val="center"/>
          </w:tcPr>
          <w:p w14:paraId="7F6BBA87">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0.004936</w:t>
            </w:r>
          </w:p>
        </w:tc>
        <w:tc>
          <w:tcPr>
            <w:tcW w:w="1619" w:type="dxa"/>
            <w:shd w:val="clear" w:color="auto" w:fill="auto"/>
            <w:vAlign w:val="center"/>
          </w:tcPr>
          <w:p w14:paraId="62DFC2C1">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w:t>
            </w:r>
          </w:p>
        </w:tc>
        <w:tc>
          <w:tcPr>
            <w:tcW w:w="2141" w:type="dxa"/>
            <w:vAlign w:val="center"/>
          </w:tcPr>
          <w:p w14:paraId="3D3F4DBD">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0.198318</w:t>
            </w:r>
          </w:p>
        </w:tc>
        <w:tc>
          <w:tcPr>
            <w:tcW w:w="1684" w:type="dxa"/>
            <w:vAlign w:val="center"/>
          </w:tcPr>
          <w:p w14:paraId="40962D84">
            <w:pPr>
              <w:pStyle w:val="143"/>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0.08</w:t>
            </w:r>
          </w:p>
        </w:tc>
      </w:tr>
      <w:tr w14:paraId="660FFE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940" w:type="pct"/>
            <w:shd w:val="clear" w:color="auto" w:fill="auto"/>
            <w:vAlign w:val="center"/>
          </w:tcPr>
          <w:p w14:paraId="7755C0A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下风向最大质量浓度及占标率/%</w:t>
            </w:r>
          </w:p>
        </w:tc>
        <w:tc>
          <w:tcPr>
            <w:tcW w:w="2124" w:type="dxa"/>
            <w:shd w:val="clear" w:color="auto" w:fill="auto"/>
            <w:vAlign w:val="center"/>
          </w:tcPr>
          <w:p w14:paraId="2FCD7CCC">
            <w:pPr>
              <w:pStyle w:val="143"/>
              <w:rPr>
                <w:rFonts w:hint="eastAsia"/>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0.156467</w:t>
            </w:r>
          </w:p>
        </w:tc>
        <w:tc>
          <w:tcPr>
            <w:tcW w:w="1957" w:type="dxa"/>
            <w:shd w:val="clear" w:color="auto" w:fill="auto"/>
            <w:vAlign w:val="center"/>
          </w:tcPr>
          <w:p w14:paraId="793970C1">
            <w:pPr>
              <w:pStyle w:val="143"/>
              <w:rPr>
                <w:rFonts w:hint="eastAsia"/>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0.03</w:t>
            </w:r>
          </w:p>
        </w:tc>
        <w:tc>
          <w:tcPr>
            <w:tcW w:w="1809" w:type="dxa"/>
            <w:shd w:val="clear" w:color="auto" w:fill="auto"/>
            <w:vAlign w:val="center"/>
          </w:tcPr>
          <w:p w14:paraId="2BA7835E">
            <w:pPr>
              <w:pStyle w:val="143"/>
              <w:rPr>
                <w:rFonts w:hint="eastAsia"/>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0.025665</w:t>
            </w:r>
          </w:p>
        </w:tc>
        <w:tc>
          <w:tcPr>
            <w:tcW w:w="1619" w:type="dxa"/>
            <w:shd w:val="clear" w:color="auto" w:fill="auto"/>
            <w:vAlign w:val="center"/>
          </w:tcPr>
          <w:p w14:paraId="54676C50">
            <w:pPr>
              <w:pStyle w:val="143"/>
              <w:rPr>
                <w:rFonts w:hint="eastAsia"/>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0.01</w:t>
            </w:r>
          </w:p>
        </w:tc>
        <w:tc>
          <w:tcPr>
            <w:tcW w:w="2141" w:type="dxa"/>
            <w:vAlign w:val="center"/>
          </w:tcPr>
          <w:p w14:paraId="1EB317A0">
            <w:pPr>
              <w:pStyle w:val="143"/>
              <w:rPr>
                <w:rFonts w:hint="eastAsia"/>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1.031103</w:t>
            </w:r>
          </w:p>
        </w:tc>
        <w:tc>
          <w:tcPr>
            <w:tcW w:w="1684" w:type="dxa"/>
            <w:vAlign w:val="center"/>
          </w:tcPr>
          <w:p w14:paraId="579E1171">
            <w:pPr>
              <w:pStyle w:val="143"/>
              <w:rPr>
                <w:rFonts w:hint="eastAsia"/>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0.41</w:t>
            </w:r>
          </w:p>
        </w:tc>
      </w:tr>
      <w:tr w14:paraId="1C328F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40" w:type="pct"/>
            <w:shd w:val="clear" w:color="auto" w:fill="auto"/>
            <w:vAlign w:val="center"/>
          </w:tcPr>
          <w:p w14:paraId="0E9DCEE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最大浓度落地点（m）</w:t>
            </w:r>
          </w:p>
        </w:tc>
        <w:tc>
          <w:tcPr>
            <w:tcW w:w="4060" w:type="pct"/>
            <w:gridSpan w:val="6"/>
            <w:shd w:val="clear" w:color="auto" w:fill="auto"/>
            <w:vAlign w:val="center"/>
          </w:tcPr>
          <w:p w14:paraId="5716AE8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154</w:t>
            </w:r>
          </w:p>
        </w:tc>
      </w:tr>
      <w:tr w14:paraId="6ED237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 w:hRule="atLeast"/>
          <w:jc w:val="center"/>
        </w:trPr>
        <w:tc>
          <w:tcPr>
            <w:tcW w:w="940" w:type="pct"/>
            <w:shd w:val="clear" w:color="auto" w:fill="auto"/>
            <w:vAlign w:val="center"/>
          </w:tcPr>
          <w:p w14:paraId="5AC9DA8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评价等级</w:t>
            </w:r>
          </w:p>
        </w:tc>
        <w:tc>
          <w:tcPr>
            <w:tcW w:w="1462" w:type="pct"/>
            <w:gridSpan w:val="2"/>
            <w:shd w:val="clear" w:color="auto" w:fill="auto"/>
            <w:vAlign w:val="center"/>
          </w:tcPr>
          <w:p w14:paraId="0CD1918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三级</w:t>
            </w:r>
          </w:p>
        </w:tc>
        <w:tc>
          <w:tcPr>
            <w:tcW w:w="1228" w:type="pct"/>
            <w:gridSpan w:val="2"/>
            <w:shd w:val="clear" w:color="auto" w:fill="auto"/>
            <w:vAlign w:val="center"/>
          </w:tcPr>
          <w:p w14:paraId="5EC81CF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三级</w:t>
            </w:r>
          </w:p>
        </w:tc>
        <w:tc>
          <w:tcPr>
            <w:tcW w:w="1370" w:type="pct"/>
            <w:gridSpan w:val="2"/>
            <w:vAlign w:val="center"/>
          </w:tcPr>
          <w:p w14:paraId="3E0C096C">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三</w:t>
            </w:r>
            <w:r>
              <w:rPr>
                <w:snapToGrid w:val="0"/>
                <w:color w:val="000000" w:themeColor="text1"/>
                <w14:textFill>
                  <w14:solidFill>
                    <w14:schemeClr w14:val="tx1"/>
                  </w14:solidFill>
                </w14:textFill>
              </w:rPr>
              <w:t>级</w:t>
            </w:r>
          </w:p>
        </w:tc>
      </w:tr>
    </w:tbl>
    <w:p w14:paraId="11BA06BA">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表2-5-</w:t>
      </w:r>
      <w:r>
        <w:rPr>
          <w:rFonts w:hint="eastAsia"/>
          <w:snapToGrid w:val="0"/>
          <w:color w:val="000000" w:themeColor="text1"/>
          <w:lang w:val="en-US" w:eastAsia="zh-CN"/>
          <w14:textFill>
            <w14:solidFill>
              <w14:schemeClr w14:val="tx1"/>
            </w14:solidFill>
          </w14:textFill>
        </w:rPr>
        <w:t>11</w:t>
      </w:r>
      <w:r>
        <w:rPr>
          <w:snapToGrid w:val="0"/>
          <w:color w:val="000000" w:themeColor="text1"/>
          <w14:textFill>
            <w14:solidFill>
              <w14:schemeClr w14:val="tx1"/>
            </w14:solidFill>
          </w14:textFill>
        </w:rPr>
        <w:t xml:space="preserve"> 本项目主要污染物最大浓度及浓度占标率（面源）</w:t>
      </w:r>
    </w:p>
    <w:tbl>
      <w:tblPr>
        <w:tblStyle w:val="49"/>
        <w:tblW w:w="492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2631"/>
        <w:gridCol w:w="2634"/>
        <w:gridCol w:w="3321"/>
        <w:gridCol w:w="2516"/>
      </w:tblGrid>
      <w:tr w14:paraId="436281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vMerge w:val="restart"/>
            <w:shd w:val="clear" w:color="auto" w:fill="auto"/>
            <w:vAlign w:val="center"/>
          </w:tcPr>
          <w:p w14:paraId="28A0DB1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下风向距离/m</w:t>
            </w:r>
          </w:p>
        </w:tc>
        <w:tc>
          <w:tcPr>
            <w:tcW w:w="4038" w:type="pct"/>
            <w:gridSpan w:val="4"/>
            <w:shd w:val="clear" w:color="auto" w:fill="auto"/>
            <w:vAlign w:val="center"/>
          </w:tcPr>
          <w:p w14:paraId="3E030E07">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污水处理站</w:t>
            </w:r>
          </w:p>
        </w:tc>
      </w:tr>
      <w:tr w14:paraId="008368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961" w:type="pct"/>
            <w:vMerge w:val="continue"/>
            <w:shd w:val="clear" w:color="auto" w:fill="auto"/>
            <w:vAlign w:val="center"/>
          </w:tcPr>
          <w:p w14:paraId="351E708E">
            <w:pPr>
              <w:pStyle w:val="143"/>
              <w:rPr>
                <w:snapToGrid w:val="0"/>
                <w:color w:val="000000" w:themeColor="text1"/>
                <w14:textFill>
                  <w14:solidFill>
                    <w14:schemeClr w14:val="tx1"/>
                  </w14:solidFill>
                </w14:textFill>
              </w:rPr>
            </w:pPr>
          </w:p>
        </w:tc>
        <w:tc>
          <w:tcPr>
            <w:tcW w:w="1915" w:type="pct"/>
            <w:gridSpan w:val="2"/>
            <w:shd w:val="clear" w:color="auto" w:fill="auto"/>
            <w:vAlign w:val="center"/>
          </w:tcPr>
          <w:p w14:paraId="6BD0D82B">
            <w:pPr>
              <w:pStyle w:val="143"/>
              <w:rPr>
                <w:snapToGrid w:val="0"/>
                <w:color w:val="000000" w:themeColor="text1"/>
                <w:vertAlign w:val="subscript"/>
                <w14:textFill>
                  <w14:solidFill>
                    <w14:schemeClr w14:val="tx1"/>
                  </w14:solidFill>
                </w14:textFill>
              </w:rPr>
            </w:pPr>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p>
        </w:tc>
        <w:tc>
          <w:tcPr>
            <w:tcW w:w="2123" w:type="pct"/>
            <w:gridSpan w:val="2"/>
            <w:shd w:val="clear" w:color="auto" w:fill="auto"/>
            <w:vAlign w:val="center"/>
          </w:tcPr>
          <w:p w14:paraId="4601C8A1">
            <w:pPr>
              <w:pStyle w:val="143"/>
              <w:rPr>
                <w:snapToGrid w:val="0"/>
                <w:color w:val="000000" w:themeColor="text1"/>
                <w:vertAlign w:val="subscript"/>
                <w14:textFill>
                  <w14:solidFill>
                    <w14:schemeClr w14:val="tx1"/>
                  </w14:solidFill>
                </w14:textFill>
              </w:rPr>
            </w:pP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p>
        </w:tc>
      </w:tr>
      <w:tr w14:paraId="05BE33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961" w:type="pct"/>
            <w:vMerge w:val="continue"/>
            <w:shd w:val="clear" w:color="auto" w:fill="auto"/>
            <w:vAlign w:val="center"/>
          </w:tcPr>
          <w:p w14:paraId="4C4F79A9">
            <w:pPr>
              <w:pStyle w:val="143"/>
              <w:rPr>
                <w:snapToGrid w:val="0"/>
                <w:color w:val="000000" w:themeColor="text1"/>
                <w14:textFill>
                  <w14:solidFill>
                    <w14:schemeClr w14:val="tx1"/>
                  </w14:solidFill>
                </w14:textFill>
              </w:rPr>
            </w:pPr>
          </w:p>
        </w:tc>
        <w:tc>
          <w:tcPr>
            <w:tcW w:w="957" w:type="pct"/>
            <w:shd w:val="clear" w:color="auto" w:fill="auto"/>
            <w:vAlign w:val="center"/>
          </w:tcPr>
          <w:p w14:paraId="1FFB335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957" w:type="pct"/>
            <w:shd w:val="clear" w:color="auto" w:fill="auto"/>
            <w:vAlign w:val="center"/>
          </w:tcPr>
          <w:p w14:paraId="02EC977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c>
          <w:tcPr>
            <w:tcW w:w="1208" w:type="pct"/>
            <w:shd w:val="clear" w:color="auto" w:fill="auto"/>
            <w:vAlign w:val="center"/>
          </w:tcPr>
          <w:p w14:paraId="497AD54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914" w:type="pct"/>
            <w:shd w:val="clear" w:color="auto" w:fill="auto"/>
            <w:vAlign w:val="center"/>
          </w:tcPr>
          <w:p w14:paraId="08547E4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r>
      <w:tr w14:paraId="7A1ECC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61" w:type="pct"/>
            <w:shd w:val="clear" w:color="auto" w:fill="auto"/>
            <w:vAlign w:val="center"/>
          </w:tcPr>
          <w:p w14:paraId="66443BC8">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10</w:t>
            </w:r>
          </w:p>
        </w:tc>
        <w:tc>
          <w:tcPr>
            <w:tcW w:w="957" w:type="pct"/>
            <w:shd w:val="clear" w:color="auto" w:fill="auto"/>
            <w:vAlign w:val="center"/>
          </w:tcPr>
          <w:p w14:paraId="62B64D55">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6.2286</w:t>
            </w:r>
          </w:p>
        </w:tc>
        <w:tc>
          <w:tcPr>
            <w:tcW w:w="957" w:type="pct"/>
            <w:shd w:val="clear" w:color="auto" w:fill="auto"/>
            <w:vAlign w:val="center"/>
          </w:tcPr>
          <w:p w14:paraId="06C1A261">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3.11</w:t>
            </w:r>
          </w:p>
        </w:tc>
        <w:tc>
          <w:tcPr>
            <w:tcW w:w="1208" w:type="pct"/>
            <w:shd w:val="clear" w:color="auto" w:fill="auto"/>
            <w:vAlign w:val="center"/>
          </w:tcPr>
          <w:p w14:paraId="4D7F1750">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0.245031</w:t>
            </w:r>
          </w:p>
        </w:tc>
        <w:tc>
          <w:tcPr>
            <w:tcW w:w="914" w:type="pct"/>
            <w:shd w:val="clear" w:color="auto" w:fill="auto"/>
            <w:vAlign w:val="center"/>
          </w:tcPr>
          <w:p w14:paraId="1FAE3B1F">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2.45</w:t>
            </w:r>
          </w:p>
        </w:tc>
      </w:tr>
      <w:tr w14:paraId="257480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961" w:type="pct"/>
            <w:shd w:val="clear" w:color="auto" w:fill="auto"/>
            <w:vAlign w:val="center"/>
          </w:tcPr>
          <w:p w14:paraId="7037939E">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24</w:t>
            </w:r>
          </w:p>
        </w:tc>
        <w:tc>
          <w:tcPr>
            <w:tcW w:w="957" w:type="pct"/>
            <w:shd w:val="clear" w:color="auto" w:fill="auto"/>
            <w:vAlign w:val="center"/>
          </w:tcPr>
          <w:p w14:paraId="31DC0ABA">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7.6979</w:t>
            </w:r>
          </w:p>
        </w:tc>
        <w:tc>
          <w:tcPr>
            <w:tcW w:w="957" w:type="pct"/>
            <w:shd w:val="clear" w:color="auto" w:fill="auto"/>
            <w:vAlign w:val="center"/>
          </w:tcPr>
          <w:p w14:paraId="60804CC6">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3.85</w:t>
            </w:r>
          </w:p>
        </w:tc>
        <w:tc>
          <w:tcPr>
            <w:tcW w:w="1208" w:type="pct"/>
            <w:shd w:val="clear" w:color="auto" w:fill="auto"/>
            <w:vAlign w:val="center"/>
          </w:tcPr>
          <w:p w14:paraId="36DC515A">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0.302833</w:t>
            </w:r>
          </w:p>
        </w:tc>
        <w:tc>
          <w:tcPr>
            <w:tcW w:w="914" w:type="pct"/>
            <w:shd w:val="clear" w:color="auto" w:fill="auto"/>
            <w:vAlign w:val="center"/>
          </w:tcPr>
          <w:p w14:paraId="7AACF541">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3.03</w:t>
            </w:r>
          </w:p>
        </w:tc>
      </w:tr>
      <w:tr w14:paraId="05479D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2B86B3EA">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957" w:type="pct"/>
            <w:shd w:val="clear" w:color="auto" w:fill="auto"/>
            <w:vAlign w:val="center"/>
          </w:tcPr>
          <w:p w14:paraId="76C63778">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7.6815</w:t>
            </w:r>
          </w:p>
        </w:tc>
        <w:tc>
          <w:tcPr>
            <w:tcW w:w="957" w:type="pct"/>
            <w:shd w:val="clear" w:color="auto" w:fill="auto"/>
            <w:vAlign w:val="center"/>
          </w:tcPr>
          <w:p w14:paraId="6F92FEBA">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3.84</w:t>
            </w:r>
          </w:p>
        </w:tc>
        <w:tc>
          <w:tcPr>
            <w:tcW w:w="1208" w:type="pct"/>
            <w:shd w:val="clear" w:color="auto" w:fill="auto"/>
            <w:vAlign w:val="center"/>
          </w:tcPr>
          <w:p w14:paraId="51B35A6D">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0.302187</w:t>
            </w:r>
          </w:p>
        </w:tc>
        <w:tc>
          <w:tcPr>
            <w:tcW w:w="914" w:type="pct"/>
            <w:shd w:val="clear" w:color="auto" w:fill="auto"/>
            <w:vAlign w:val="center"/>
          </w:tcPr>
          <w:p w14:paraId="20E9D73C">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3.02</w:t>
            </w:r>
          </w:p>
        </w:tc>
      </w:tr>
      <w:tr w14:paraId="296F36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37A8A3E6">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5</w:t>
            </w:r>
            <w:r>
              <w:rPr>
                <w:snapToGrid w:val="0"/>
                <w:color w:val="000000" w:themeColor="text1"/>
                <w:lang w:eastAsia="zh-CN"/>
                <w14:textFill>
                  <w14:solidFill>
                    <w14:schemeClr w14:val="tx1"/>
                  </w14:solidFill>
                </w14:textFill>
              </w:rPr>
              <w:t>0</w:t>
            </w:r>
          </w:p>
        </w:tc>
        <w:tc>
          <w:tcPr>
            <w:tcW w:w="957" w:type="pct"/>
            <w:shd w:val="clear" w:color="auto" w:fill="auto"/>
            <w:vAlign w:val="center"/>
          </w:tcPr>
          <w:p w14:paraId="5BA477E8">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4.6915</w:t>
            </w:r>
          </w:p>
        </w:tc>
        <w:tc>
          <w:tcPr>
            <w:tcW w:w="957" w:type="pct"/>
            <w:shd w:val="clear" w:color="auto" w:fill="auto"/>
            <w:vAlign w:val="center"/>
          </w:tcPr>
          <w:p w14:paraId="4F98F8D0">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2.35</w:t>
            </w:r>
          </w:p>
        </w:tc>
        <w:tc>
          <w:tcPr>
            <w:tcW w:w="1208" w:type="pct"/>
            <w:shd w:val="clear" w:color="auto" w:fill="auto"/>
            <w:vAlign w:val="center"/>
          </w:tcPr>
          <w:p w14:paraId="3A8E353B">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0.184562</w:t>
            </w:r>
          </w:p>
        </w:tc>
        <w:tc>
          <w:tcPr>
            <w:tcW w:w="914" w:type="pct"/>
            <w:shd w:val="clear" w:color="auto" w:fill="auto"/>
            <w:vAlign w:val="center"/>
          </w:tcPr>
          <w:p w14:paraId="7C9CE0F6">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1.85</w:t>
            </w:r>
          </w:p>
        </w:tc>
      </w:tr>
      <w:tr w14:paraId="11B8AF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6CB777B1">
            <w:pPr>
              <w:pStyle w:val="143"/>
              <w:rPr>
                <w:color w:val="000000" w:themeColor="text1"/>
                <w14:textFill>
                  <w14:solidFill>
                    <w14:schemeClr w14:val="tx1"/>
                  </w14:solidFill>
                </w14:textFill>
              </w:rPr>
            </w:pPr>
            <w:r>
              <w:rPr>
                <w:color w:val="000000" w:themeColor="text1"/>
                <w14:textFill>
                  <w14:solidFill>
                    <w14:schemeClr w14:val="tx1"/>
                  </w14:solidFill>
                </w14:textFill>
              </w:rPr>
              <w:t>100</w:t>
            </w:r>
          </w:p>
        </w:tc>
        <w:tc>
          <w:tcPr>
            <w:tcW w:w="957" w:type="pct"/>
            <w:shd w:val="clear" w:color="auto" w:fill="auto"/>
            <w:vAlign w:val="center"/>
          </w:tcPr>
          <w:p w14:paraId="5577A255">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3.6302</w:t>
            </w:r>
          </w:p>
        </w:tc>
        <w:tc>
          <w:tcPr>
            <w:tcW w:w="957" w:type="pct"/>
            <w:shd w:val="clear" w:color="auto" w:fill="auto"/>
            <w:vAlign w:val="center"/>
          </w:tcPr>
          <w:p w14:paraId="699B7968">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1.82</w:t>
            </w:r>
          </w:p>
        </w:tc>
        <w:tc>
          <w:tcPr>
            <w:tcW w:w="1208" w:type="pct"/>
            <w:shd w:val="clear" w:color="auto" w:fill="auto"/>
            <w:vAlign w:val="center"/>
          </w:tcPr>
          <w:p w14:paraId="0C8D8584">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0.142811</w:t>
            </w:r>
          </w:p>
        </w:tc>
        <w:tc>
          <w:tcPr>
            <w:tcW w:w="914" w:type="pct"/>
            <w:shd w:val="clear" w:color="auto" w:fill="auto"/>
            <w:vAlign w:val="center"/>
          </w:tcPr>
          <w:p w14:paraId="2C47E0A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1.43</w:t>
            </w:r>
          </w:p>
        </w:tc>
      </w:tr>
      <w:tr w14:paraId="072738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7533D338">
            <w:pPr>
              <w:pStyle w:val="143"/>
              <w:rPr>
                <w:color w:val="000000" w:themeColor="text1"/>
                <w14:textFill>
                  <w14:solidFill>
                    <w14:schemeClr w14:val="tx1"/>
                  </w14:solidFill>
                </w14:textFill>
              </w:rPr>
            </w:pPr>
            <w:r>
              <w:rPr>
                <w:color w:val="000000" w:themeColor="text1"/>
                <w14:textFill>
                  <w14:solidFill>
                    <w14:schemeClr w14:val="tx1"/>
                  </w14:solidFill>
                </w14:textFill>
              </w:rPr>
              <w:t>200</w:t>
            </w:r>
          </w:p>
        </w:tc>
        <w:tc>
          <w:tcPr>
            <w:tcW w:w="957" w:type="pct"/>
            <w:shd w:val="clear" w:color="auto" w:fill="auto"/>
            <w:vAlign w:val="center"/>
          </w:tcPr>
          <w:p w14:paraId="603B0D1E">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2.9945</w:t>
            </w:r>
          </w:p>
        </w:tc>
        <w:tc>
          <w:tcPr>
            <w:tcW w:w="957" w:type="pct"/>
            <w:shd w:val="clear" w:color="auto" w:fill="auto"/>
            <w:vAlign w:val="center"/>
          </w:tcPr>
          <w:p w14:paraId="547328D0">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1.5</w:t>
            </w:r>
          </w:p>
        </w:tc>
        <w:tc>
          <w:tcPr>
            <w:tcW w:w="1208" w:type="pct"/>
            <w:shd w:val="clear" w:color="auto" w:fill="auto"/>
            <w:vAlign w:val="center"/>
          </w:tcPr>
          <w:p w14:paraId="60F1A97F">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0.117803</w:t>
            </w:r>
          </w:p>
        </w:tc>
        <w:tc>
          <w:tcPr>
            <w:tcW w:w="914" w:type="pct"/>
            <w:shd w:val="clear" w:color="auto" w:fill="auto"/>
            <w:vAlign w:val="center"/>
          </w:tcPr>
          <w:p w14:paraId="32006998">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1.18</w:t>
            </w:r>
          </w:p>
        </w:tc>
      </w:tr>
      <w:tr w14:paraId="7D0D37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06AB0E67">
            <w:pPr>
              <w:pStyle w:val="143"/>
              <w:rPr>
                <w:color w:val="000000" w:themeColor="text1"/>
                <w14:textFill>
                  <w14:solidFill>
                    <w14:schemeClr w14:val="tx1"/>
                  </w14:solidFill>
                </w14:textFill>
              </w:rPr>
            </w:pPr>
            <w:r>
              <w:rPr>
                <w:color w:val="000000" w:themeColor="text1"/>
                <w14:textFill>
                  <w14:solidFill>
                    <w14:schemeClr w14:val="tx1"/>
                  </w14:solidFill>
                </w14:textFill>
              </w:rPr>
              <w:t>300</w:t>
            </w:r>
          </w:p>
        </w:tc>
        <w:tc>
          <w:tcPr>
            <w:tcW w:w="957" w:type="pct"/>
            <w:shd w:val="clear" w:color="auto" w:fill="auto"/>
            <w:vAlign w:val="center"/>
          </w:tcPr>
          <w:p w14:paraId="6B543020">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2.5542</w:t>
            </w:r>
          </w:p>
        </w:tc>
        <w:tc>
          <w:tcPr>
            <w:tcW w:w="957" w:type="pct"/>
            <w:shd w:val="clear" w:color="auto" w:fill="auto"/>
            <w:vAlign w:val="center"/>
          </w:tcPr>
          <w:p w14:paraId="17C729FF">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1.28</w:t>
            </w:r>
          </w:p>
        </w:tc>
        <w:tc>
          <w:tcPr>
            <w:tcW w:w="1208" w:type="pct"/>
            <w:shd w:val="clear" w:color="auto" w:fill="auto"/>
            <w:vAlign w:val="center"/>
          </w:tcPr>
          <w:p w14:paraId="4EA2E48B">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0.100481</w:t>
            </w:r>
          </w:p>
        </w:tc>
        <w:tc>
          <w:tcPr>
            <w:tcW w:w="914" w:type="pct"/>
            <w:shd w:val="clear" w:color="auto" w:fill="auto"/>
            <w:vAlign w:val="center"/>
          </w:tcPr>
          <w:p w14:paraId="5A267838">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1.00</w:t>
            </w:r>
          </w:p>
        </w:tc>
      </w:tr>
      <w:tr w14:paraId="0154F0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7F241DCD">
            <w:pPr>
              <w:pStyle w:val="143"/>
              <w:rPr>
                <w:color w:val="000000" w:themeColor="text1"/>
                <w14:textFill>
                  <w14:solidFill>
                    <w14:schemeClr w14:val="tx1"/>
                  </w14:solidFill>
                </w14:textFill>
              </w:rPr>
            </w:pPr>
            <w:r>
              <w:rPr>
                <w:color w:val="000000" w:themeColor="text1"/>
                <w14:textFill>
                  <w14:solidFill>
                    <w14:schemeClr w14:val="tx1"/>
                  </w14:solidFill>
                </w14:textFill>
              </w:rPr>
              <w:t>500</w:t>
            </w:r>
          </w:p>
        </w:tc>
        <w:tc>
          <w:tcPr>
            <w:tcW w:w="957" w:type="pct"/>
            <w:shd w:val="clear" w:color="auto" w:fill="auto"/>
            <w:vAlign w:val="center"/>
          </w:tcPr>
          <w:p w14:paraId="2798347D">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1.928</w:t>
            </w:r>
          </w:p>
        </w:tc>
        <w:tc>
          <w:tcPr>
            <w:tcW w:w="957" w:type="pct"/>
            <w:shd w:val="clear" w:color="auto" w:fill="auto"/>
            <w:vAlign w:val="center"/>
          </w:tcPr>
          <w:p w14:paraId="1522725C">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0.96</w:t>
            </w:r>
          </w:p>
        </w:tc>
        <w:tc>
          <w:tcPr>
            <w:tcW w:w="1208" w:type="pct"/>
            <w:shd w:val="clear" w:color="auto" w:fill="auto"/>
            <w:vAlign w:val="center"/>
          </w:tcPr>
          <w:p w14:paraId="6589E9D1">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0.075847</w:t>
            </w:r>
          </w:p>
        </w:tc>
        <w:tc>
          <w:tcPr>
            <w:tcW w:w="914" w:type="pct"/>
            <w:shd w:val="clear" w:color="auto" w:fill="auto"/>
            <w:vAlign w:val="center"/>
          </w:tcPr>
          <w:p w14:paraId="76DBF22E">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0.76</w:t>
            </w:r>
          </w:p>
        </w:tc>
      </w:tr>
      <w:tr w14:paraId="68F2E0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328A48B1">
            <w:pPr>
              <w:pStyle w:val="143"/>
              <w:rPr>
                <w:color w:val="000000" w:themeColor="text1"/>
                <w14:textFill>
                  <w14:solidFill>
                    <w14:schemeClr w14:val="tx1"/>
                  </w14:solidFill>
                </w14:textFill>
              </w:rPr>
            </w:pPr>
            <w:r>
              <w:rPr>
                <w:color w:val="000000" w:themeColor="text1"/>
                <w14:textFill>
                  <w14:solidFill>
                    <w14:schemeClr w14:val="tx1"/>
                  </w14:solidFill>
                </w14:textFill>
              </w:rPr>
              <w:t>1000</w:t>
            </w:r>
          </w:p>
        </w:tc>
        <w:tc>
          <w:tcPr>
            <w:tcW w:w="957" w:type="pct"/>
            <w:shd w:val="clear" w:color="auto" w:fill="auto"/>
            <w:vAlign w:val="center"/>
          </w:tcPr>
          <w:p w14:paraId="7E136E96">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1.1573</w:t>
            </w:r>
          </w:p>
        </w:tc>
        <w:tc>
          <w:tcPr>
            <w:tcW w:w="957" w:type="pct"/>
            <w:shd w:val="clear" w:color="auto" w:fill="auto"/>
            <w:vAlign w:val="center"/>
          </w:tcPr>
          <w:p w14:paraId="4A86765A">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0.58</w:t>
            </w:r>
          </w:p>
        </w:tc>
        <w:tc>
          <w:tcPr>
            <w:tcW w:w="1208" w:type="pct"/>
            <w:shd w:val="clear" w:color="auto" w:fill="auto"/>
            <w:vAlign w:val="center"/>
          </w:tcPr>
          <w:p w14:paraId="237734B0">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0.045528</w:t>
            </w:r>
          </w:p>
        </w:tc>
        <w:tc>
          <w:tcPr>
            <w:tcW w:w="914" w:type="pct"/>
            <w:shd w:val="clear" w:color="auto" w:fill="auto"/>
            <w:vAlign w:val="center"/>
          </w:tcPr>
          <w:p w14:paraId="2F2CFD2F">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0.46</w:t>
            </w:r>
          </w:p>
        </w:tc>
      </w:tr>
      <w:tr w14:paraId="244ED4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11D3CF4B">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w:t>
            </w:r>
            <w:r>
              <w:rPr>
                <w:color w:val="000000" w:themeColor="text1"/>
                <w:lang w:eastAsia="zh-CN"/>
                <w14:textFill>
                  <w14:solidFill>
                    <w14:schemeClr w14:val="tx1"/>
                  </w14:solidFill>
                </w14:textFill>
              </w:rPr>
              <w:t>500</w:t>
            </w:r>
          </w:p>
        </w:tc>
        <w:tc>
          <w:tcPr>
            <w:tcW w:w="957" w:type="pct"/>
            <w:shd w:val="clear" w:color="auto" w:fill="auto"/>
            <w:vAlign w:val="center"/>
          </w:tcPr>
          <w:p w14:paraId="05C43449">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0.81546</w:t>
            </w:r>
          </w:p>
        </w:tc>
        <w:tc>
          <w:tcPr>
            <w:tcW w:w="957" w:type="pct"/>
            <w:shd w:val="clear" w:color="auto" w:fill="auto"/>
            <w:vAlign w:val="center"/>
          </w:tcPr>
          <w:p w14:paraId="5316854C">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0.41</w:t>
            </w:r>
          </w:p>
        </w:tc>
        <w:tc>
          <w:tcPr>
            <w:tcW w:w="1208" w:type="pct"/>
            <w:shd w:val="clear" w:color="auto" w:fill="auto"/>
            <w:vAlign w:val="center"/>
          </w:tcPr>
          <w:p w14:paraId="220497F7">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0.03208</w:t>
            </w:r>
          </w:p>
        </w:tc>
        <w:tc>
          <w:tcPr>
            <w:tcW w:w="914" w:type="pct"/>
            <w:shd w:val="clear" w:color="auto" w:fill="auto"/>
            <w:vAlign w:val="center"/>
          </w:tcPr>
          <w:p w14:paraId="2546B307">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0.32</w:t>
            </w:r>
          </w:p>
        </w:tc>
      </w:tr>
      <w:tr w14:paraId="00CDDA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48AB7255">
            <w:pPr>
              <w:pStyle w:val="143"/>
              <w:rPr>
                <w:color w:val="000000" w:themeColor="text1"/>
                <w14:textFill>
                  <w14:solidFill>
                    <w14:schemeClr w14:val="tx1"/>
                  </w14:solidFill>
                </w14:textFill>
              </w:rPr>
            </w:pPr>
            <w:r>
              <w:rPr>
                <w:color w:val="000000" w:themeColor="text1"/>
                <w14:textFill>
                  <w14:solidFill>
                    <w14:schemeClr w14:val="tx1"/>
                  </w14:solidFill>
                </w14:textFill>
              </w:rPr>
              <w:t>2000</w:t>
            </w:r>
          </w:p>
        </w:tc>
        <w:tc>
          <w:tcPr>
            <w:tcW w:w="957" w:type="pct"/>
            <w:shd w:val="clear" w:color="auto" w:fill="auto"/>
            <w:vAlign w:val="center"/>
          </w:tcPr>
          <w:p w14:paraId="744E1459">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0.66567</w:t>
            </w:r>
          </w:p>
        </w:tc>
        <w:tc>
          <w:tcPr>
            <w:tcW w:w="957" w:type="pct"/>
            <w:shd w:val="clear" w:color="auto" w:fill="auto"/>
            <w:vAlign w:val="center"/>
          </w:tcPr>
          <w:p w14:paraId="726F82A1">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0.33</w:t>
            </w:r>
          </w:p>
        </w:tc>
        <w:tc>
          <w:tcPr>
            <w:tcW w:w="1208" w:type="pct"/>
            <w:shd w:val="clear" w:color="auto" w:fill="auto"/>
            <w:vAlign w:val="center"/>
          </w:tcPr>
          <w:p w14:paraId="3AF354B2">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0.026187</w:t>
            </w:r>
          </w:p>
        </w:tc>
        <w:tc>
          <w:tcPr>
            <w:tcW w:w="914" w:type="pct"/>
            <w:shd w:val="clear" w:color="auto" w:fill="auto"/>
            <w:vAlign w:val="center"/>
          </w:tcPr>
          <w:p w14:paraId="24051465">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0.26</w:t>
            </w:r>
          </w:p>
        </w:tc>
      </w:tr>
      <w:tr w14:paraId="7114F0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7438F7C5">
            <w:pPr>
              <w:pStyle w:val="143"/>
              <w:rPr>
                <w:color w:val="000000" w:themeColor="text1"/>
                <w14:textFill>
                  <w14:solidFill>
                    <w14:schemeClr w14:val="tx1"/>
                  </w14:solidFill>
                </w14:textFill>
              </w:rPr>
            </w:pPr>
            <w:r>
              <w:rPr>
                <w:color w:val="000000" w:themeColor="text1"/>
                <w14:textFill>
                  <w14:solidFill>
                    <w14:schemeClr w14:val="tx1"/>
                  </w14:solidFill>
                </w14:textFill>
              </w:rPr>
              <w:t>2500</w:t>
            </w:r>
          </w:p>
        </w:tc>
        <w:tc>
          <w:tcPr>
            <w:tcW w:w="957" w:type="pct"/>
            <w:shd w:val="clear" w:color="auto" w:fill="auto"/>
            <w:vAlign w:val="center"/>
          </w:tcPr>
          <w:p w14:paraId="48863C93">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0.55805</w:t>
            </w:r>
          </w:p>
        </w:tc>
        <w:tc>
          <w:tcPr>
            <w:tcW w:w="957" w:type="pct"/>
            <w:shd w:val="clear" w:color="auto" w:fill="auto"/>
            <w:vAlign w:val="center"/>
          </w:tcPr>
          <w:p w14:paraId="60CEAA18">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0.28</w:t>
            </w:r>
          </w:p>
        </w:tc>
        <w:tc>
          <w:tcPr>
            <w:tcW w:w="1208" w:type="pct"/>
            <w:shd w:val="clear" w:color="auto" w:fill="auto"/>
            <w:vAlign w:val="center"/>
          </w:tcPr>
          <w:p w14:paraId="73603AA0">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0.021953</w:t>
            </w:r>
          </w:p>
        </w:tc>
        <w:tc>
          <w:tcPr>
            <w:tcW w:w="914" w:type="pct"/>
            <w:shd w:val="clear" w:color="auto" w:fill="auto"/>
            <w:vAlign w:val="center"/>
          </w:tcPr>
          <w:p w14:paraId="4DB5F925">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0.22</w:t>
            </w:r>
          </w:p>
        </w:tc>
      </w:tr>
      <w:tr w14:paraId="17112A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961" w:type="pct"/>
            <w:shd w:val="clear" w:color="auto" w:fill="auto"/>
            <w:vAlign w:val="center"/>
          </w:tcPr>
          <w:p w14:paraId="4B4D45E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下风向最大质量浓度及占标率/%</w:t>
            </w:r>
          </w:p>
        </w:tc>
        <w:tc>
          <w:tcPr>
            <w:tcW w:w="2631" w:type="dxa"/>
            <w:shd w:val="clear" w:color="auto" w:fill="auto"/>
            <w:vAlign w:val="center"/>
          </w:tcPr>
          <w:p w14:paraId="6E80A5C8">
            <w:pPr>
              <w:pStyle w:val="143"/>
              <w:ind w:firstLine="0" w:firstLineChars="0"/>
              <w:rPr>
                <w:snapToGrid w:val="0"/>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7.6979</w:t>
            </w:r>
          </w:p>
        </w:tc>
        <w:tc>
          <w:tcPr>
            <w:tcW w:w="2634" w:type="dxa"/>
            <w:shd w:val="clear" w:color="auto" w:fill="auto"/>
            <w:vAlign w:val="center"/>
          </w:tcPr>
          <w:p w14:paraId="5864E031">
            <w:pPr>
              <w:pStyle w:val="143"/>
              <w:ind w:firstLine="0" w:firstLineChars="0"/>
              <w:rPr>
                <w:snapToGrid w:val="0"/>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3.85</w:t>
            </w:r>
          </w:p>
        </w:tc>
        <w:tc>
          <w:tcPr>
            <w:tcW w:w="3321" w:type="dxa"/>
            <w:shd w:val="clear" w:color="auto" w:fill="auto"/>
            <w:vAlign w:val="center"/>
          </w:tcPr>
          <w:p w14:paraId="30F99F6E">
            <w:pPr>
              <w:pStyle w:val="143"/>
              <w:ind w:firstLine="0" w:firstLineChars="0"/>
              <w:rPr>
                <w:snapToGrid w:val="0"/>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0.302833</w:t>
            </w:r>
          </w:p>
        </w:tc>
        <w:tc>
          <w:tcPr>
            <w:tcW w:w="2516" w:type="dxa"/>
            <w:shd w:val="clear" w:color="auto" w:fill="auto"/>
            <w:vAlign w:val="center"/>
          </w:tcPr>
          <w:p w14:paraId="7365FA74">
            <w:pPr>
              <w:pStyle w:val="143"/>
              <w:ind w:firstLine="0" w:firstLineChars="0"/>
              <w:rPr>
                <w:snapToGrid w:val="0"/>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3.03</w:t>
            </w:r>
          </w:p>
        </w:tc>
      </w:tr>
      <w:tr w14:paraId="2A28D8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14:paraId="088F896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最大浓度落地点（m）</w:t>
            </w:r>
          </w:p>
        </w:tc>
        <w:tc>
          <w:tcPr>
            <w:tcW w:w="4038" w:type="pct"/>
            <w:gridSpan w:val="4"/>
            <w:shd w:val="clear" w:color="auto" w:fill="auto"/>
            <w:vAlign w:val="center"/>
          </w:tcPr>
          <w:p w14:paraId="0596592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24</w:t>
            </w:r>
          </w:p>
        </w:tc>
      </w:tr>
      <w:tr w14:paraId="1A2929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 w:hRule="atLeast"/>
          <w:jc w:val="center"/>
        </w:trPr>
        <w:tc>
          <w:tcPr>
            <w:tcW w:w="961" w:type="pct"/>
            <w:shd w:val="clear" w:color="auto" w:fill="auto"/>
            <w:vAlign w:val="center"/>
          </w:tcPr>
          <w:p w14:paraId="7C121DB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评价等级</w:t>
            </w:r>
          </w:p>
        </w:tc>
        <w:tc>
          <w:tcPr>
            <w:tcW w:w="1915" w:type="pct"/>
            <w:gridSpan w:val="2"/>
            <w:shd w:val="clear" w:color="auto" w:fill="auto"/>
            <w:vAlign w:val="center"/>
          </w:tcPr>
          <w:p w14:paraId="5E0AEF3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二</w:t>
            </w:r>
            <w:r>
              <w:rPr>
                <w:snapToGrid w:val="0"/>
                <w:color w:val="000000" w:themeColor="text1"/>
                <w14:textFill>
                  <w14:solidFill>
                    <w14:schemeClr w14:val="tx1"/>
                  </w14:solidFill>
                </w14:textFill>
              </w:rPr>
              <w:t>级</w:t>
            </w:r>
          </w:p>
        </w:tc>
        <w:tc>
          <w:tcPr>
            <w:tcW w:w="2123" w:type="pct"/>
            <w:gridSpan w:val="2"/>
            <w:shd w:val="clear" w:color="auto" w:fill="auto"/>
            <w:vAlign w:val="center"/>
          </w:tcPr>
          <w:p w14:paraId="6488D771">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二</w:t>
            </w:r>
            <w:r>
              <w:rPr>
                <w:snapToGrid w:val="0"/>
                <w:color w:val="000000" w:themeColor="text1"/>
                <w14:textFill>
                  <w14:solidFill>
                    <w14:schemeClr w14:val="tx1"/>
                  </w14:solidFill>
                </w14:textFill>
              </w:rPr>
              <w:t>级</w:t>
            </w:r>
          </w:p>
        </w:tc>
      </w:tr>
    </w:tbl>
    <w:p w14:paraId="2E3BD18F">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表2-5-</w:t>
      </w:r>
      <w:r>
        <w:rPr>
          <w:rFonts w:hint="eastAsia"/>
          <w:snapToGrid w:val="0"/>
          <w:color w:val="000000" w:themeColor="text1"/>
          <w:lang w:val="en-US" w:eastAsia="zh-CN"/>
          <w14:textFill>
            <w14:solidFill>
              <w14:schemeClr w14:val="tx1"/>
            </w14:solidFill>
          </w14:textFill>
        </w:rPr>
        <w:t>12</w:t>
      </w:r>
      <w:r>
        <w:rPr>
          <w:snapToGrid w:val="0"/>
          <w:color w:val="000000" w:themeColor="text1"/>
          <w14:textFill>
            <w14:solidFill>
              <w14:schemeClr w14:val="tx1"/>
            </w14:solidFill>
          </w14:textFill>
        </w:rPr>
        <w:t xml:space="preserve"> 本项目主要污染物最大浓度及浓度占标率（面源）</w:t>
      </w:r>
    </w:p>
    <w:tbl>
      <w:tblPr>
        <w:tblStyle w:val="49"/>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43"/>
        <w:gridCol w:w="3409"/>
        <w:gridCol w:w="3503"/>
      </w:tblGrid>
      <w:tr w14:paraId="0AB881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vMerge w:val="restart"/>
            <w:shd w:val="clear" w:color="auto" w:fill="auto"/>
            <w:vAlign w:val="center"/>
          </w:tcPr>
          <w:p w14:paraId="1AD7400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下风向距离/m</w:t>
            </w:r>
          </w:p>
        </w:tc>
        <w:tc>
          <w:tcPr>
            <w:tcW w:w="2476" w:type="pct"/>
            <w:gridSpan w:val="2"/>
            <w:shd w:val="clear" w:color="auto" w:fill="auto"/>
            <w:vAlign w:val="center"/>
          </w:tcPr>
          <w:p w14:paraId="291B017C">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原料处理</w:t>
            </w:r>
          </w:p>
        </w:tc>
      </w:tr>
      <w:tr w14:paraId="76C155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2523" w:type="pct"/>
            <w:vMerge w:val="continue"/>
            <w:shd w:val="clear" w:color="auto" w:fill="auto"/>
            <w:vAlign w:val="center"/>
          </w:tcPr>
          <w:p w14:paraId="49913268">
            <w:pPr>
              <w:pStyle w:val="143"/>
              <w:rPr>
                <w:snapToGrid w:val="0"/>
                <w:color w:val="000000" w:themeColor="text1"/>
                <w14:textFill>
                  <w14:solidFill>
                    <w14:schemeClr w14:val="tx1"/>
                  </w14:solidFill>
                </w14:textFill>
              </w:rPr>
            </w:pPr>
          </w:p>
        </w:tc>
        <w:tc>
          <w:tcPr>
            <w:tcW w:w="2476" w:type="pct"/>
            <w:gridSpan w:val="2"/>
            <w:shd w:val="clear" w:color="auto" w:fill="auto"/>
            <w:vAlign w:val="center"/>
          </w:tcPr>
          <w:p w14:paraId="7A72D330">
            <w:pPr>
              <w:pStyle w:val="143"/>
              <w:rPr>
                <w:rFonts w:hint="eastAsia" w:eastAsia="宋体"/>
                <w:snapToGrid w:val="0"/>
                <w:color w:val="000000" w:themeColor="text1"/>
                <w:vertAlign w:val="subscript"/>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TSP</w:t>
            </w:r>
          </w:p>
        </w:tc>
      </w:tr>
      <w:tr w14:paraId="72B813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2523" w:type="pct"/>
            <w:vMerge w:val="continue"/>
            <w:shd w:val="clear" w:color="auto" w:fill="auto"/>
            <w:vAlign w:val="center"/>
          </w:tcPr>
          <w:p w14:paraId="7A125B88">
            <w:pPr>
              <w:pStyle w:val="143"/>
              <w:rPr>
                <w:snapToGrid w:val="0"/>
                <w:color w:val="000000" w:themeColor="text1"/>
                <w14:textFill>
                  <w14:solidFill>
                    <w14:schemeClr w14:val="tx1"/>
                  </w14:solidFill>
                </w14:textFill>
              </w:rPr>
            </w:pPr>
          </w:p>
        </w:tc>
        <w:tc>
          <w:tcPr>
            <w:tcW w:w="1221" w:type="pct"/>
            <w:shd w:val="clear" w:color="auto" w:fill="auto"/>
            <w:vAlign w:val="center"/>
          </w:tcPr>
          <w:p w14:paraId="4CDBA06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预测质量浓度/μg/m</w:t>
            </w:r>
            <w:r>
              <w:rPr>
                <w:snapToGrid w:val="0"/>
                <w:color w:val="000000" w:themeColor="text1"/>
                <w:vertAlign w:val="superscript"/>
                <w14:textFill>
                  <w14:solidFill>
                    <w14:schemeClr w14:val="tx1"/>
                  </w14:solidFill>
                </w14:textFill>
              </w:rPr>
              <w:t>3</w:t>
            </w:r>
          </w:p>
        </w:tc>
        <w:tc>
          <w:tcPr>
            <w:tcW w:w="1255" w:type="pct"/>
            <w:shd w:val="clear" w:color="auto" w:fill="auto"/>
            <w:vAlign w:val="center"/>
          </w:tcPr>
          <w:p w14:paraId="5B3846F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占标率/%</w:t>
            </w:r>
          </w:p>
        </w:tc>
      </w:tr>
      <w:tr w14:paraId="14AC34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23" w:type="pct"/>
            <w:shd w:val="clear" w:color="auto" w:fill="auto"/>
            <w:vAlign w:val="center"/>
          </w:tcPr>
          <w:p w14:paraId="589DCA4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10</w:t>
            </w:r>
          </w:p>
        </w:tc>
        <w:tc>
          <w:tcPr>
            <w:tcW w:w="1221" w:type="pct"/>
            <w:shd w:val="clear" w:color="auto" w:fill="auto"/>
            <w:vAlign w:val="center"/>
          </w:tcPr>
          <w:p w14:paraId="5A54EC1D">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0.004403</w:t>
            </w:r>
          </w:p>
        </w:tc>
        <w:tc>
          <w:tcPr>
            <w:tcW w:w="1255" w:type="pct"/>
            <w:shd w:val="clear" w:color="auto" w:fill="auto"/>
            <w:vAlign w:val="center"/>
          </w:tcPr>
          <w:p w14:paraId="39581A10">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0.49</w:t>
            </w:r>
          </w:p>
        </w:tc>
      </w:tr>
      <w:tr w14:paraId="23273A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1FBAA1E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1221" w:type="pct"/>
            <w:shd w:val="clear" w:color="auto" w:fill="auto"/>
            <w:vAlign w:val="center"/>
          </w:tcPr>
          <w:p w14:paraId="77F0D27A">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0.004859</w:t>
            </w:r>
          </w:p>
        </w:tc>
        <w:tc>
          <w:tcPr>
            <w:tcW w:w="1255" w:type="pct"/>
            <w:shd w:val="clear" w:color="auto" w:fill="auto"/>
            <w:vAlign w:val="center"/>
          </w:tcPr>
          <w:p w14:paraId="54376ABF">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0.54</w:t>
            </w:r>
          </w:p>
        </w:tc>
      </w:tr>
      <w:tr w14:paraId="403BFD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0911E476">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5</w:t>
            </w:r>
            <w:r>
              <w:rPr>
                <w:snapToGrid w:val="0"/>
                <w:color w:val="000000" w:themeColor="text1"/>
                <w:lang w:eastAsia="zh-CN"/>
                <w14:textFill>
                  <w14:solidFill>
                    <w14:schemeClr w14:val="tx1"/>
                  </w14:solidFill>
                </w14:textFill>
              </w:rPr>
              <w:t>0</w:t>
            </w:r>
          </w:p>
        </w:tc>
        <w:tc>
          <w:tcPr>
            <w:tcW w:w="1221" w:type="pct"/>
            <w:shd w:val="clear" w:color="auto" w:fill="auto"/>
            <w:vAlign w:val="center"/>
          </w:tcPr>
          <w:p w14:paraId="39DE2328">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0.005951</w:t>
            </w:r>
          </w:p>
        </w:tc>
        <w:tc>
          <w:tcPr>
            <w:tcW w:w="1255" w:type="pct"/>
            <w:shd w:val="clear" w:color="auto" w:fill="auto"/>
            <w:vAlign w:val="center"/>
          </w:tcPr>
          <w:p w14:paraId="5A807FB5">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0.66</w:t>
            </w:r>
          </w:p>
        </w:tc>
      </w:tr>
      <w:tr w14:paraId="099ABB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2BA22E9A">
            <w:pPr>
              <w:pStyle w:val="143"/>
              <w:rPr>
                <w:color w:val="000000" w:themeColor="text1"/>
                <w14:textFill>
                  <w14:solidFill>
                    <w14:schemeClr w14:val="tx1"/>
                  </w14:solidFill>
                </w14:textFill>
              </w:rPr>
            </w:pPr>
            <w:r>
              <w:rPr>
                <w:color w:val="000000" w:themeColor="text1"/>
                <w14:textFill>
                  <w14:solidFill>
                    <w14:schemeClr w14:val="tx1"/>
                  </w14:solidFill>
                </w14:textFill>
              </w:rPr>
              <w:t>100</w:t>
            </w:r>
          </w:p>
        </w:tc>
        <w:tc>
          <w:tcPr>
            <w:tcW w:w="1221" w:type="pct"/>
            <w:shd w:val="clear" w:color="auto" w:fill="auto"/>
            <w:vAlign w:val="center"/>
          </w:tcPr>
          <w:p w14:paraId="6B7E4814">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0.007544</w:t>
            </w:r>
          </w:p>
        </w:tc>
        <w:tc>
          <w:tcPr>
            <w:tcW w:w="1255" w:type="pct"/>
            <w:shd w:val="clear" w:color="auto" w:fill="auto"/>
            <w:vAlign w:val="center"/>
          </w:tcPr>
          <w:p w14:paraId="4BCCBFA9">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0.84</w:t>
            </w:r>
          </w:p>
        </w:tc>
      </w:tr>
      <w:tr w14:paraId="7990E3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4CA38F85">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119</w:t>
            </w:r>
          </w:p>
        </w:tc>
        <w:tc>
          <w:tcPr>
            <w:tcW w:w="1221" w:type="pct"/>
            <w:shd w:val="clear" w:color="auto" w:fill="auto"/>
            <w:vAlign w:val="center"/>
          </w:tcPr>
          <w:p w14:paraId="59C5AF35">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0.007652</w:t>
            </w:r>
          </w:p>
        </w:tc>
        <w:tc>
          <w:tcPr>
            <w:tcW w:w="1255" w:type="pct"/>
            <w:shd w:val="clear" w:color="auto" w:fill="auto"/>
            <w:vAlign w:val="center"/>
          </w:tcPr>
          <w:p w14:paraId="700AB435">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0.85</w:t>
            </w:r>
          </w:p>
        </w:tc>
      </w:tr>
      <w:tr w14:paraId="7FA902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23" w:type="pct"/>
            <w:shd w:val="clear" w:color="auto" w:fill="auto"/>
            <w:vAlign w:val="center"/>
          </w:tcPr>
          <w:p w14:paraId="353C9C85">
            <w:pPr>
              <w:pStyle w:val="143"/>
              <w:rPr>
                <w:color w:val="000000" w:themeColor="text1"/>
                <w14:textFill>
                  <w14:solidFill>
                    <w14:schemeClr w14:val="tx1"/>
                  </w14:solidFill>
                </w14:textFill>
              </w:rPr>
            </w:pPr>
            <w:r>
              <w:rPr>
                <w:color w:val="000000" w:themeColor="text1"/>
                <w14:textFill>
                  <w14:solidFill>
                    <w14:schemeClr w14:val="tx1"/>
                  </w14:solidFill>
                </w14:textFill>
              </w:rPr>
              <w:t>200</w:t>
            </w:r>
          </w:p>
        </w:tc>
        <w:tc>
          <w:tcPr>
            <w:tcW w:w="1221" w:type="pct"/>
            <w:shd w:val="clear" w:color="auto" w:fill="auto"/>
            <w:vAlign w:val="center"/>
          </w:tcPr>
          <w:p w14:paraId="3D346777">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0.005802</w:t>
            </w:r>
          </w:p>
        </w:tc>
        <w:tc>
          <w:tcPr>
            <w:tcW w:w="1255" w:type="pct"/>
            <w:shd w:val="clear" w:color="auto" w:fill="auto"/>
            <w:vAlign w:val="center"/>
          </w:tcPr>
          <w:p w14:paraId="182151C5">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0.64</w:t>
            </w:r>
          </w:p>
        </w:tc>
      </w:tr>
      <w:tr w14:paraId="78D78F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156ADFE6">
            <w:pPr>
              <w:pStyle w:val="143"/>
              <w:rPr>
                <w:color w:val="000000" w:themeColor="text1"/>
                <w14:textFill>
                  <w14:solidFill>
                    <w14:schemeClr w14:val="tx1"/>
                  </w14:solidFill>
                </w14:textFill>
              </w:rPr>
            </w:pPr>
            <w:r>
              <w:rPr>
                <w:color w:val="000000" w:themeColor="text1"/>
                <w14:textFill>
                  <w14:solidFill>
                    <w14:schemeClr w14:val="tx1"/>
                  </w14:solidFill>
                </w14:textFill>
              </w:rPr>
              <w:t>300</w:t>
            </w:r>
          </w:p>
        </w:tc>
        <w:tc>
          <w:tcPr>
            <w:tcW w:w="1221" w:type="pct"/>
            <w:shd w:val="clear" w:color="auto" w:fill="auto"/>
            <w:vAlign w:val="center"/>
          </w:tcPr>
          <w:p w14:paraId="06167779">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0.004264</w:t>
            </w:r>
          </w:p>
        </w:tc>
        <w:tc>
          <w:tcPr>
            <w:tcW w:w="1255" w:type="pct"/>
            <w:shd w:val="clear" w:color="auto" w:fill="auto"/>
            <w:vAlign w:val="center"/>
          </w:tcPr>
          <w:p w14:paraId="68936D74">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0.47</w:t>
            </w:r>
          </w:p>
        </w:tc>
      </w:tr>
      <w:tr w14:paraId="148D8A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2C37E33D">
            <w:pPr>
              <w:pStyle w:val="143"/>
              <w:rPr>
                <w:color w:val="000000" w:themeColor="text1"/>
                <w14:textFill>
                  <w14:solidFill>
                    <w14:schemeClr w14:val="tx1"/>
                  </w14:solidFill>
                </w14:textFill>
              </w:rPr>
            </w:pPr>
            <w:r>
              <w:rPr>
                <w:color w:val="000000" w:themeColor="text1"/>
                <w14:textFill>
                  <w14:solidFill>
                    <w14:schemeClr w14:val="tx1"/>
                  </w14:solidFill>
                </w14:textFill>
              </w:rPr>
              <w:t>500</w:t>
            </w:r>
          </w:p>
        </w:tc>
        <w:tc>
          <w:tcPr>
            <w:tcW w:w="1221" w:type="pct"/>
            <w:shd w:val="clear" w:color="auto" w:fill="auto"/>
            <w:vAlign w:val="center"/>
          </w:tcPr>
          <w:p w14:paraId="6065F5EA">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0.002968</w:t>
            </w:r>
          </w:p>
        </w:tc>
        <w:tc>
          <w:tcPr>
            <w:tcW w:w="1255" w:type="pct"/>
            <w:shd w:val="clear" w:color="auto" w:fill="auto"/>
            <w:vAlign w:val="center"/>
          </w:tcPr>
          <w:p w14:paraId="67A1224F">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0.33</w:t>
            </w:r>
          </w:p>
        </w:tc>
      </w:tr>
      <w:tr w14:paraId="4B1704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53449022">
            <w:pPr>
              <w:pStyle w:val="143"/>
              <w:rPr>
                <w:color w:val="000000" w:themeColor="text1"/>
                <w14:textFill>
                  <w14:solidFill>
                    <w14:schemeClr w14:val="tx1"/>
                  </w14:solidFill>
                </w14:textFill>
              </w:rPr>
            </w:pPr>
            <w:r>
              <w:rPr>
                <w:color w:val="000000" w:themeColor="text1"/>
                <w14:textFill>
                  <w14:solidFill>
                    <w14:schemeClr w14:val="tx1"/>
                  </w14:solidFill>
                </w14:textFill>
              </w:rPr>
              <w:t>1000</w:t>
            </w:r>
          </w:p>
        </w:tc>
        <w:tc>
          <w:tcPr>
            <w:tcW w:w="1221" w:type="pct"/>
            <w:shd w:val="clear" w:color="auto" w:fill="auto"/>
            <w:vAlign w:val="center"/>
          </w:tcPr>
          <w:p w14:paraId="291FA1DB">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0.001811</w:t>
            </w:r>
          </w:p>
        </w:tc>
        <w:tc>
          <w:tcPr>
            <w:tcW w:w="1255" w:type="pct"/>
            <w:shd w:val="clear" w:color="auto" w:fill="auto"/>
            <w:vAlign w:val="center"/>
          </w:tcPr>
          <w:p w14:paraId="55F1A097">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0.20</w:t>
            </w:r>
          </w:p>
        </w:tc>
      </w:tr>
      <w:tr w14:paraId="0F3F57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490BB85C">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w:t>
            </w:r>
            <w:r>
              <w:rPr>
                <w:color w:val="000000" w:themeColor="text1"/>
                <w:lang w:eastAsia="zh-CN"/>
                <w14:textFill>
                  <w14:solidFill>
                    <w14:schemeClr w14:val="tx1"/>
                  </w14:solidFill>
                </w14:textFill>
              </w:rPr>
              <w:t>500</w:t>
            </w:r>
          </w:p>
        </w:tc>
        <w:tc>
          <w:tcPr>
            <w:tcW w:w="1221" w:type="pct"/>
            <w:shd w:val="clear" w:color="auto" w:fill="auto"/>
            <w:vAlign w:val="center"/>
          </w:tcPr>
          <w:p w14:paraId="45AF3254">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0.001359</w:t>
            </w:r>
          </w:p>
        </w:tc>
        <w:tc>
          <w:tcPr>
            <w:tcW w:w="1255" w:type="pct"/>
            <w:shd w:val="clear" w:color="auto" w:fill="auto"/>
            <w:vAlign w:val="center"/>
          </w:tcPr>
          <w:p w14:paraId="52060A81">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0.15</w:t>
            </w:r>
          </w:p>
        </w:tc>
      </w:tr>
      <w:tr w14:paraId="0EA253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6936F93E">
            <w:pPr>
              <w:pStyle w:val="143"/>
              <w:rPr>
                <w:color w:val="000000" w:themeColor="text1"/>
                <w14:textFill>
                  <w14:solidFill>
                    <w14:schemeClr w14:val="tx1"/>
                  </w14:solidFill>
                </w14:textFill>
              </w:rPr>
            </w:pPr>
            <w:r>
              <w:rPr>
                <w:color w:val="000000" w:themeColor="text1"/>
                <w14:textFill>
                  <w14:solidFill>
                    <w14:schemeClr w14:val="tx1"/>
                  </w14:solidFill>
                </w14:textFill>
              </w:rPr>
              <w:t>2000</w:t>
            </w:r>
          </w:p>
        </w:tc>
        <w:tc>
          <w:tcPr>
            <w:tcW w:w="1221" w:type="pct"/>
            <w:shd w:val="clear" w:color="auto" w:fill="auto"/>
            <w:vAlign w:val="center"/>
          </w:tcPr>
          <w:p w14:paraId="2D8C26CF">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0.00111</w:t>
            </w:r>
          </w:p>
        </w:tc>
        <w:tc>
          <w:tcPr>
            <w:tcW w:w="1255" w:type="pct"/>
            <w:shd w:val="clear" w:color="auto" w:fill="auto"/>
            <w:vAlign w:val="center"/>
          </w:tcPr>
          <w:p w14:paraId="1A20AE45">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0.12</w:t>
            </w:r>
          </w:p>
        </w:tc>
      </w:tr>
      <w:tr w14:paraId="6727BC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23" w:type="pct"/>
            <w:shd w:val="clear" w:color="auto" w:fill="auto"/>
            <w:vAlign w:val="center"/>
          </w:tcPr>
          <w:p w14:paraId="50E7A07B">
            <w:pPr>
              <w:pStyle w:val="143"/>
              <w:rPr>
                <w:color w:val="000000" w:themeColor="text1"/>
                <w14:textFill>
                  <w14:solidFill>
                    <w14:schemeClr w14:val="tx1"/>
                  </w14:solidFill>
                </w14:textFill>
              </w:rPr>
            </w:pPr>
            <w:r>
              <w:rPr>
                <w:color w:val="000000" w:themeColor="text1"/>
                <w14:textFill>
                  <w14:solidFill>
                    <w14:schemeClr w14:val="tx1"/>
                  </w14:solidFill>
                </w14:textFill>
              </w:rPr>
              <w:t>2500</w:t>
            </w:r>
          </w:p>
        </w:tc>
        <w:tc>
          <w:tcPr>
            <w:tcW w:w="1221" w:type="pct"/>
            <w:shd w:val="clear" w:color="auto" w:fill="auto"/>
            <w:vAlign w:val="center"/>
          </w:tcPr>
          <w:p w14:paraId="49033656">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0.000948</w:t>
            </w:r>
          </w:p>
        </w:tc>
        <w:tc>
          <w:tcPr>
            <w:tcW w:w="1255" w:type="pct"/>
            <w:shd w:val="clear" w:color="auto" w:fill="auto"/>
            <w:vAlign w:val="center"/>
          </w:tcPr>
          <w:p w14:paraId="79AE361D">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0.11</w:t>
            </w:r>
          </w:p>
        </w:tc>
      </w:tr>
      <w:tr w14:paraId="462EC2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523" w:type="pct"/>
            <w:shd w:val="clear" w:color="auto" w:fill="auto"/>
            <w:vAlign w:val="center"/>
          </w:tcPr>
          <w:p w14:paraId="41EE819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下风向最大质量浓度及占标率/%</w:t>
            </w:r>
          </w:p>
        </w:tc>
        <w:tc>
          <w:tcPr>
            <w:tcW w:w="1221" w:type="pct"/>
            <w:shd w:val="clear" w:color="auto" w:fill="auto"/>
            <w:vAlign w:val="center"/>
          </w:tcPr>
          <w:p w14:paraId="2AC0D65C">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0.007652</w:t>
            </w:r>
          </w:p>
        </w:tc>
        <w:tc>
          <w:tcPr>
            <w:tcW w:w="1255" w:type="pct"/>
            <w:shd w:val="clear" w:color="auto" w:fill="auto"/>
            <w:vAlign w:val="center"/>
          </w:tcPr>
          <w:p w14:paraId="7D51091C">
            <w:pPr>
              <w:pStyle w:val="143"/>
              <w:ind w:firstLine="0" w:firstLineChars="0"/>
              <w:rPr>
                <w:snapToGrid w:val="0"/>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0.85</w:t>
            </w:r>
          </w:p>
        </w:tc>
      </w:tr>
      <w:tr w14:paraId="1ADD2B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523" w:type="pct"/>
            <w:shd w:val="clear" w:color="auto" w:fill="auto"/>
            <w:vAlign w:val="center"/>
          </w:tcPr>
          <w:p w14:paraId="6D76BB4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最大浓度落地点（m）</w:t>
            </w:r>
          </w:p>
        </w:tc>
        <w:tc>
          <w:tcPr>
            <w:tcW w:w="2476" w:type="pct"/>
            <w:gridSpan w:val="2"/>
            <w:shd w:val="clear" w:color="auto" w:fill="auto"/>
            <w:vAlign w:val="center"/>
          </w:tcPr>
          <w:p w14:paraId="45B3293E">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119</w:t>
            </w:r>
          </w:p>
        </w:tc>
      </w:tr>
      <w:tr w14:paraId="2D5373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 w:hRule="atLeast"/>
          <w:jc w:val="center"/>
        </w:trPr>
        <w:tc>
          <w:tcPr>
            <w:tcW w:w="2523" w:type="pct"/>
            <w:shd w:val="clear" w:color="auto" w:fill="auto"/>
            <w:vAlign w:val="center"/>
          </w:tcPr>
          <w:p w14:paraId="786BE7EA">
            <w:pPr>
              <w:pStyle w:val="143"/>
              <w:jc w:val="center"/>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评价等级</w:t>
            </w:r>
          </w:p>
        </w:tc>
        <w:tc>
          <w:tcPr>
            <w:tcW w:w="2476" w:type="pct"/>
            <w:gridSpan w:val="2"/>
            <w:shd w:val="clear" w:color="auto" w:fill="auto"/>
            <w:vAlign w:val="center"/>
          </w:tcPr>
          <w:p w14:paraId="7D4832D0">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二</w:t>
            </w:r>
            <w:r>
              <w:rPr>
                <w:snapToGrid w:val="0"/>
                <w:color w:val="000000" w:themeColor="text1"/>
                <w14:textFill>
                  <w14:solidFill>
                    <w14:schemeClr w14:val="tx1"/>
                  </w14:solidFill>
                </w14:textFill>
              </w:rPr>
              <w:t>级</w:t>
            </w:r>
          </w:p>
        </w:tc>
      </w:tr>
    </w:tbl>
    <w:p w14:paraId="63626589">
      <w:pPr>
        <w:pStyle w:val="143"/>
        <w:rPr>
          <w:snapToGrid w:val="0"/>
          <w:color w:val="000000" w:themeColor="text1"/>
          <w14:textFill>
            <w14:solidFill>
              <w14:schemeClr w14:val="tx1"/>
            </w14:solidFill>
          </w14:textFill>
        </w:rPr>
      </w:pPr>
    </w:p>
    <w:p w14:paraId="0A491554">
      <w:pPr>
        <w:pStyle w:val="143"/>
        <w:rPr>
          <w:snapToGrid w:val="0"/>
          <w:color w:val="000000" w:themeColor="text1"/>
          <w14:textFill>
            <w14:solidFill>
              <w14:schemeClr w14:val="tx1"/>
            </w14:solidFill>
          </w14:textFill>
        </w:rPr>
      </w:pPr>
    </w:p>
    <w:p w14:paraId="66BC0836">
      <w:pPr>
        <w:pStyle w:val="143"/>
        <w:rPr>
          <w:snapToGrid w:val="0"/>
          <w:color w:val="000000" w:themeColor="text1"/>
          <w14:textFill>
            <w14:solidFill>
              <w14:schemeClr w14:val="tx1"/>
            </w14:solidFill>
          </w14:textFill>
        </w:rPr>
      </w:pPr>
    </w:p>
    <w:p w14:paraId="41C5CD43">
      <w:pPr>
        <w:pStyle w:val="143"/>
        <w:rPr>
          <w:snapToGrid w:val="0"/>
          <w:color w:val="000000" w:themeColor="text1"/>
          <w14:textFill>
            <w14:solidFill>
              <w14:schemeClr w14:val="tx1"/>
            </w14:solidFill>
          </w14:textFill>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26" w:charSpace="0"/>
        </w:sectPr>
      </w:pPr>
    </w:p>
    <w:p w14:paraId="7FF64FE1">
      <w:pPr>
        <w:pStyle w:val="85"/>
        <w:rPr>
          <w:snapToGrid w:val="0"/>
          <w:color w:val="000000" w:themeColor="text1"/>
          <w14:textFill>
            <w14:solidFill>
              <w14:schemeClr w14:val="tx1"/>
            </w14:solidFill>
          </w14:textFill>
        </w:rPr>
      </w:pPr>
      <w:r>
        <w:rPr>
          <w:snapToGrid w:val="0"/>
          <w:color w:val="000000" w:themeColor="text1"/>
          <w:kern w:val="0"/>
          <w:szCs w:val="24"/>
          <w14:textFill>
            <w14:solidFill>
              <w14:schemeClr w14:val="tx1"/>
            </w14:solidFill>
          </w14:textFill>
        </w:rPr>
        <w:t>由估算模式计算结果可知，本项目排放污染物</w:t>
      </w:r>
      <w:r>
        <w:rPr>
          <w:rFonts w:hint="eastAsia" w:eastAsia="仿宋_GB2312"/>
          <w:color w:val="000000" w:themeColor="text1"/>
          <w:szCs w:val="24"/>
          <w:lang w:val="zh-CN"/>
          <w14:textFill>
            <w14:solidFill>
              <w14:schemeClr w14:val="tx1"/>
            </w14:solidFill>
          </w14:textFill>
        </w:rPr>
        <w:t>的</w:t>
      </w:r>
      <w:r>
        <w:rPr>
          <w:snapToGrid w:val="0"/>
          <w:color w:val="000000" w:themeColor="text1"/>
          <w:kern w:val="0"/>
          <w:szCs w:val="24"/>
          <w14:textFill>
            <w14:solidFill>
              <w14:schemeClr w14:val="tx1"/>
            </w14:solidFill>
          </w14:textFill>
        </w:rPr>
        <w:t>最大地面</w:t>
      </w:r>
      <w:r>
        <w:rPr>
          <w:rFonts w:hint="eastAsia"/>
          <w:snapToGrid w:val="0"/>
          <w:color w:val="000000" w:themeColor="text1"/>
          <w:kern w:val="0"/>
          <w:szCs w:val="24"/>
          <w14:textFill>
            <w14:solidFill>
              <w14:schemeClr w14:val="tx1"/>
            </w14:solidFill>
          </w14:textFill>
        </w:rPr>
        <w:t>空气质量</w:t>
      </w:r>
      <w:r>
        <w:rPr>
          <w:snapToGrid w:val="0"/>
          <w:color w:val="000000" w:themeColor="text1"/>
          <w:kern w:val="0"/>
          <w:szCs w:val="24"/>
          <w14:textFill>
            <w14:solidFill>
              <w14:schemeClr w14:val="tx1"/>
            </w14:solidFill>
          </w14:textFill>
        </w:rPr>
        <w:t>浓度占标率</w:t>
      </w:r>
      <w:r>
        <w:rPr>
          <w:snapToGrid w:val="0"/>
          <w:color w:val="000000" w:themeColor="text1"/>
          <w:kern w:val="0"/>
          <w:szCs w:val="24"/>
          <w:lang w:val="zh-CN" w:eastAsia="zh-CN"/>
          <w14:textFill>
            <w14:solidFill>
              <w14:schemeClr w14:val="tx1"/>
            </w14:solidFill>
          </w14:textFill>
        </w:rPr>
        <w:t>P</w:t>
      </w:r>
      <w:r>
        <w:rPr>
          <w:snapToGrid w:val="0"/>
          <w:color w:val="000000" w:themeColor="text1"/>
          <w:kern w:val="0"/>
          <w:szCs w:val="24"/>
          <w:vertAlign w:val="subscript"/>
          <w:lang w:val="zh-CN" w:eastAsia="zh-CN"/>
          <w14:textFill>
            <w14:solidFill>
              <w14:schemeClr w14:val="tx1"/>
            </w14:solidFill>
          </w14:textFill>
        </w:rPr>
        <w:t>max</w:t>
      </w:r>
      <w:r>
        <w:rPr>
          <w:rFonts w:hint="eastAsia"/>
          <w:snapToGrid w:val="0"/>
          <w:color w:val="000000" w:themeColor="text1"/>
          <w:kern w:val="0"/>
          <w:szCs w:val="24"/>
          <w:lang w:val="en-US" w:eastAsia="zh-CN"/>
          <w14:textFill>
            <w14:solidFill>
              <w14:schemeClr w14:val="tx1"/>
            </w14:solidFill>
          </w14:textFill>
        </w:rPr>
        <w:t>=6.41%，</w:t>
      </w:r>
      <w:r>
        <w:rPr>
          <w:snapToGrid w:val="0"/>
          <w:color w:val="000000" w:themeColor="text1"/>
          <w:kern w:val="0"/>
          <w:szCs w:val="24"/>
          <w:lang w:val="zh-CN" w:eastAsia="zh-CN"/>
          <w14:textFill>
            <w14:solidFill>
              <w14:schemeClr w14:val="tx1"/>
            </w14:solidFill>
          </w14:textFill>
        </w:rPr>
        <w:t>P</w:t>
      </w:r>
      <w:r>
        <w:rPr>
          <w:snapToGrid w:val="0"/>
          <w:color w:val="000000" w:themeColor="text1"/>
          <w:kern w:val="0"/>
          <w:szCs w:val="24"/>
          <w:vertAlign w:val="subscript"/>
          <w:lang w:val="zh-CN" w:eastAsia="zh-CN"/>
          <w14:textFill>
            <w14:solidFill>
              <w14:schemeClr w14:val="tx1"/>
            </w14:solidFill>
          </w14:textFill>
        </w:rPr>
        <w:t>max</w:t>
      </w:r>
      <w:r>
        <w:rPr>
          <w:rFonts w:hint="eastAsia"/>
          <w:snapToGrid w:val="0"/>
          <w:color w:val="000000" w:themeColor="text1"/>
          <w:kern w:val="0"/>
          <w:szCs w:val="24"/>
          <w:lang w:val="zh-CN"/>
          <w14:textFill>
            <w14:solidFill>
              <w14:schemeClr w14:val="tx1"/>
            </w14:solidFill>
          </w14:textFill>
        </w:rPr>
        <w:t>＜</w:t>
      </w:r>
      <w:r>
        <w:rPr>
          <w:snapToGrid w:val="0"/>
          <w:color w:val="000000" w:themeColor="text1"/>
          <w:kern w:val="0"/>
          <w:szCs w:val="24"/>
          <w:lang w:val="zh-CN" w:eastAsia="zh-CN"/>
          <w14:textFill>
            <w14:solidFill>
              <w14:schemeClr w14:val="tx1"/>
            </w14:solidFill>
          </w14:textFill>
        </w:rPr>
        <w:t>10%</w:t>
      </w:r>
      <w:r>
        <w:rPr>
          <w:rFonts w:hint="eastAsia"/>
          <w:snapToGrid w:val="0"/>
          <w:color w:val="000000" w:themeColor="text1"/>
          <w:kern w:val="0"/>
          <w:szCs w:val="24"/>
          <w:lang w:val="zh-CN"/>
          <w14:textFill>
            <w14:solidFill>
              <w14:schemeClr w14:val="tx1"/>
            </w14:solidFill>
          </w14:textFill>
        </w:rPr>
        <w:t>且≥</w:t>
      </w:r>
      <w:r>
        <w:rPr>
          <w:rFonts w:hint="eastAsia"/>
          <w:snapToGrid w:val="0"/>
          <w:color w:val="000000" w:themeColor="text1"/>
          <w:kern w:val="0"/>
          <w:szCs w:val="24"/>
          <w14:textFill>
            <w14:solidFill>
              <w14:schemeClr w14:val="tx1"/>
            </w14:solidFill>
          </w14:textFill>
        </w:rPr>
        <w:t>1%</w:t>
      </w:r>
      <w:r>
        <w:rPr>
          <w:snapToGrid w:val="0"/>
          <w:color w:val="000000" w:themeColor="text1"/>
          <w:kern w:val="0"/>
          <w:szCs w:val="24"/>
          <w14:textFill>
            <w14:solidFill>
              <w14:schemeClr w14:val="tx1"/>
            </w14:solidFill>
          </w14:textFill>
        </w:rPr>
        <w:t>。因此，本项目大气环境影响评价等级为</w:t>
      </w:r>
      <w:r>
        <w:rPr>
          <w:rFonts w:hint="eastAsia"/>
          <w:snapToGrid w:val="0"/>
          <w:color w:val="000000" w:themeColor="text1"/>
          <w14:textFill>
            <w14:solidFill>
              <w14:schemeClr w14:val="tx1"/>
            </w14:solidFill>
          </w14:textFill>
        </w:rPr>
        <w:t>二</w:t>
      </w:r>
      <w:r>
        <w:rPr>
          <w:snapToGrid w:val="0"/>
          <w:color w:val="000000" w:themeColor="text1"/>
          <w14:textFill>
            <w14:solidFill>
              <w14:schemeClr w14:val="tx1"/>
            </w14:solidFill>
          </w14:textFill>
        </w:rPr>
        <w:t>级。</w:t>
      </w:r>
    </w:p>
    <w:p w14:paraId="25070CC7">
      <w:pPr>
        <w:pStyle w:val="6"/>
        <w:rPr>
          <w:snapToGrid w:val="0"/>
          <w:color w:val="000000" w:themeColor="text1"/>
          <w14:textFill>
            <w14:solidFill>
              <w14:schemeClr w14:val="tx1"/>
            </w14:solidFill>
          </w14:textFill>
        </w:rPr>
      </w:pPr>
      <w:bookmarkStart w:id="52" w:name="_Toc31468"/>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5.2</w:t>
      </w:r>
      <w:r>
        <w:rPr>
          <w:rFonts w:hint="eastAsia"/>
          <w:snapToGrid w:val="0"/>
          <w:color w:val="000000" w:themeColor="text1"/>
          <w14:textFill>
            <w14:solidFill>
              <w14:schemeClr w14:val="tx1"/>
            </w14:solidFill>
          </w14:textFill>
        </w:rPr>
        <w:t>地表水</w:t>
      </w:r>
      <w:bookmarkEnd w:id="52"/>
    </w:p>
    <w:p w14:paraId="75B2F20C">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 xml:space="preserve">根据《环境影响评价技术导则 </w:t>
      </w:r>
      <w:r>
        <w:rPr>
          <w:rFonts w:hint="eastAsia"/>
          <w:snapToGrid w:val="0"/>
          <w:color w:val="000000" w:themeColor="text1"/>
          <w14:textFill>
            <w14:solidFill>
              <w14:schemeClr w14:val="tx1"/>
            </w14:solidFill>
          </w14:textFill>
        </w:rPr>
        <w:t>地表水环境</w:t>
      </w:r>
      <w:r>
        <w:rPr>
          <w:snapToGrid w:val="0"/>
          <w:color w:val="000000" w:themeColor="text1"/>
          <w14:textFill>
            <w14:solidFill>
              <w14:schemeClr w14:val="tx1"/>
            </w14:solidFill>
          </w14:textFill>
        </w:rPr>
        <w:t>》（HJ2.3-2018）中的有关规定，将</w:t>
      </w:r>
      <w:r>
        <w:rPr>
          <w:rFonts w:hint="eastAsia"/>
          <w:snapToGrid w:val="0"/>
          <w:color w:val="000000" w:themeColor="text1"/>
          <w14:textFill>
            <w14:solidFill>
              <w14:schemeClr w14:val="tx1"/>
            </w14:solidFill>
          </w14:textFill>
        </w:rPr>
        <w:t>地表水环境</w:t>
      </w:r>
      <w:r>
        <w:rPr>
          <w:snapToGrid w:val="0"/>
          <w:color w:val="000000" w:themeColor="text1"/>
          <w14:textFill>
            <w14:solidFill>
              <w14:schemeClr w14:val="tx1"/>
            </w14:solidFill>
          </w14:textFill>
        </w:rPr>
        <w:t>影响评价工作等级分为一级、二级、三级</w:t>
      </w:r>
      <w:r>
        <w:rPr>
          <w:rFonts w:hint="eastAsia"/>
          <w:snapToGrid w:val="0"/>
          <w:color w:val="000000" w:themeColor="text1"/>
          <w14:textFill>
            <w14:solidFill>
              <w14:schemeClr w14:val="tx1"/>
            </w14:solidFill>
          </w14:textFill>
        </w:rPr>
        <w:t>A、三级B</w:t>
      </w:r>
      <w:r>
        <w:rPr>
          <w:snapToGrid w:val="0"/>
          <w:color w:val="000000" w:themeColor="text1"/>
          <w14:textFill>
            <w14:solidFill>
              <w14:schemeClr w14:val="tx1"/>
            </w14:solidFill>
          </w14:textFill>
        </w:rPr>
        <w:t>，划分依据见表2-5-1</w:t>
      </w:r>
      <w:r>
        <w:rPr>
          <w:rFonts w:hint="eastAsia"/>
          <w:snapToGrid w:val="0"/>
          <w:color w:val="000000" w:themeColor="text1"/>
          <w:lang w:val="en-US" w:eastAsia="zh-CN"/>
          <w14:textFill>
            <w14:solidFill>
              <w14:schemeClr w14:val="tx1"/>
            </w14:solidFill>
          </w14:textFill>
        </w:rPr>
        <w:t>3</w:t>
      </w:r>
      <w:r>
        <w:rPr>
          <w:snapToGrid w:val="0"/>
          <w:color w:val="000000" w:themeColor="text1"/>
          <w14:textFill>
            <w14:solidFill>
              <w14:schemeClr w14:val="tx1"/>
            </w14:solidFill>
          </w14:textFill>
        </w:rPr>
        <w:t>。</w:t>
      </w:r>
    </w:p>
    <w:p w14:paraId="6999FEAD">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表2-5-1</w:t>
      </w:r>
      <w:r>
        <w:rPr>
          <w:rFonts w:hint="eastAsia"/>
          <w:snapToGrid w:val="0"/>
          <w:color w:val="000000" w:themeColor="text1"/>
          <w:lang w:val="en-US" w:eastAsia="zh-CN"/>
          <w14:textFill>
            <w14:solidFill>
              <w14:schemeClr w14:val="tx1"/>
            </w14:solidFill>
          </w14:textFill>
        </w:rPr>
        <w:t>3</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地表水</w:t>
      </w:r>
      <w:r>
        <w:rPr>
          <w:snapToGrid w:val="0"/>
          <w:color w:val="000000" w:themeColor="text1"/>
          <w14:textFill>
            <w14:solidFill>
              <w14:schemeClr w14:val="tx1"/>
            </w14:solidFill>
          </w14:textFill>
        </w:rPr>
        <w:t>评价等级确定表</w:t>
      </w:r>
    </w:p>
    <w:tbl>
      <w:tblPr>
        <w:tblStyle w:val="49"/>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842"/>
        <w:gridCol w:w="2268"/>
        <w:gridCol w:w="4196"/>
      </w:tblGrid>
      <w:tr w14:paraId="3E77D66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1109" w:type="pct"/>
            <w:vMerge w:val="restart"/>
            <w:vAlign w:val="center"/>
          </w:tcPr>
          <w:p w14:paraId="54B55620">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评价等级</w:t>
            </w:r>
          </w:p>
        </w:tc>
        <w:tc>
          <w:tcPr>
            <w:tcW w:w="3891" w:type="pct"/>
            <w:gridSpan w:val="2"/>
          </w:tcPr>
          <w:p w14:paraId="1DBB88B2">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判定依据</w:t>
            </w:r>
          </w:p>
        </w:tc>
      </w:tr>
      <w:tr w14:paraId="29F068C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1109" w:type="pct"/>
            <w:vMerge w:val="continue"/>
            <w:vAlign w:val="center"/>
          </w:tcPr>
          <w:p w14:paraId="3370A108">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365" w:type="pct"/>
            <w:vAlign w:val="center"/>
          </w:tcPr>
          <w:p w14:paraId="17EB4C2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排放方式</w:t>
            </w:r>
          </w:p>
        </w:tc>
        <w:tc>
          <w:tcPr>
            <w:tcW w:w="2526" w:type="pct"/>
            <w:vAlign w:val="center"/>
          </w:tcPr>
          <w:p w14:paraId="039772C5">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废水排放量Q</w:t>
            </w:r>
            <w:r>
              <w:rPr>
                <w:snapToGrid w:val="0"/>
                <w:color w:val="000000" w:themeColor="text1"/>
                <w:kern w:val="0"/>
                <w:sz w:val="21"/>
                <w:lang w:val="zh-CN"/>
                <w14:textFill>
                  <w14:solidFill>
                    <w14:schemeClr w14:val="tx1"/>
                  </w14:solidFill>
                </w14:textFill>
              </w:rPr>
              <w:t>/</w:t>
            </w:r>
            <w:r>
              <w:rPr>
                <w:rFonts w:hint="eastAsia"/>
                <w:snapToGrid w:val="0"/>
                <w:color w:val="000000" w:themeColor="text1"/>
                <w:kern w:val="0"/>
                <w:sz w:val="21"/>
                <w:lang w:val="zh-CN"/>
                <w14:textFill>
                  <w14:solidFill>
                    <w14:schemeClr w14:val="tx1"/>
                  </w14:solidFill>
                </w14:textFill>
              </w:rPr>
              <w:t>（m</w:t>
            </w:r>
            <w:r>
              <w:rPr>
                <w:snapToGrid w:val="0"/>
                <w:color w:val="000000" w:themeColor="text1"/>
                <w:kern w:val="0"/>
                <w:sz w:val="21"/>
                <w:vertAlign w:val="superscript"/>
                <w:lang w:val="zh-CN"/>
                <w14:textFill>
                  <w14:solidFill>
                    <w14:schemeClr w14:val="tx1"/>
                  </w14:solidFill>
                </w14:textFill>
              </w:rPr>
              <w:t>3</w:t>
            </w:r>
            <w:r>
              <w:rPr>
                <w:snapToGrid w:val="0"/>
                <w:color w:val="000000" w:themeColor="text1"/>
                <w:kern w:val="0"/>
                <w:sz w:val="21"/>
                <w:lang w:val="zh-CN"/>
                <w14:textFill>
                  <w14:solidFill>
                    <w14:schemeClr w14:val="tx1"/>
                  </w14:solidFill>
                </w14:textFill>
              </w:rPr>
              <w:t>/d</w:t>
            </w:r>
            <w:r>
              <w:rPr>
                <w:rFonts w:hint="eastAsia"/>
                <w:snapToGrid w:val="0"/>
                <w:color w:val="000000" w:themeColor="text1"/>
                <w:kern w:val="0"/>
                <w:sz w:val="21"/>
                <w:lang w:val="zh-CN"/>
                <w14:textFill>
                  <w14:solidFill>
                    <w14:schemeClr w14:val="tx1"/>
                  </w14:solidFill>
                </w14:textFill>
              </w:rPr>
              <w:t>）；</w:t>
            </w:r>
          </w:p>
          <w:p w14:paraId="02DE6C61">
            <w:pPr>
              <w:adjustRightInd/>
              <w:snapToGrid/>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水污染物当量数W</w:t>
            </w:r>
            <w:r>
              <w:rPr>
                <w:snapToGrid w:val="0"/>
                <w:color w:val="000000" w:themeColor="text1"/>
                <w:kern w:val="0"/>
                <w:sz w:val="21"/>
                <w:lang w:val="zh-CN"/>
                <w14:textFill>
                  <w14:solidFill>
                    <w14:schemeClr w14:val="tx1"/>
                  </w14:solidFill>
                </w14:textFill>
              </w:rPr>
              <w:t>/</w:t>
            </w:r>
            <w:r>
              <w:rPr>
                <w:rFonts w:hint="eastAsia"/>
                <w:snapToGrid w:val="0"/>
                <w:color w:val="000000" w:themeColor="text1"/>
                <w:kern w:val="0"/>
                <w:sz w:val="21"/>
                <w:lang w:val="zh-CN"/>
                <w14:textFill>
                  <w14:solidFill>
                    <w14:schemeClr w14:val="tx1"/>
                  </w14:solidFill>
                </w14:textFill>
              </w:rPr>
              <w:t>（无量纲）</w:t>
            </w:r>
          </w:p>
        </w:tc>
      </w:tr>
      <w:tr w14:paraId="5DF74C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41" w:hRule="atLeast"/>
          <w:jc w:val="center"/>
        </w:trPr>
        <w:tc>
          <w:tcPr>
            <w:tcW w:w="1109" w:type="pct"/>
            <w:vAlign w:val="center"/>
          </w:tcPr>
          <w:p w14:paraId="06EF91B4">
            <w:pPr>
              <w:spacing w:line="240" w:lineRule="auto"/>
              <w:ind w:firstLine="0" w:firstLineChars="0"/>
              <w:jc w:val="center"/>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一级</w:t>
            </w:r>
          </w:p>
        </w:tc>
        <w:tc>
          <w:tcPr>
            <w:tcW w:w="1365" w:type="pct"/>
            <w:vAlign w:val="center"/>
          </w:tcPr>
          <w:p w14:paraId="5A018DF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直接排放</w:t>
            </w:r>
          </w:p>
        </w:tc>
        <w:tc>
          <w:tcPr>
            <w:tcW w:w="2526" w:type="pct"/>
            <w:vAlign w:val="center"/>
          </w:tcPr>
          <w:p w14:paraId="2FB56BD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Q≥2</w:t>
            </w:r>
            <w:r>
              <w:rPr>
                <w:snapToGrid w:val="0"/>
                <w:color w:val="000000" w:themeColor="text1"/>
                <w:kern w:val="0"/>
                <w:sz w:val="21"/>
                <w:lang w:val="zh-CN"/>
                <w14:textFill>
                  <w14:solidFill>
                    <w14:schemeClr w14:val="tx1"/>
                  </w14:solidFill>
                </w14:textFill>
              </w:rPr>
              <w:t>0000</w:t>
            </w:r>
            <w:r>
              <w:rPr>
                <w:rFonts w:hint="eastAsia"/>
                <w:snapToGrid w:val="0"/>
                <w:color w:val="000000" w:themeColor="text1"/>
                <w:kern w:val="0"/>
                <w:sz w:val="21"/>
                <w:lang w:val="zh-CN"/>
                <w14:textFill>
                  <w14:solidFill>
                    <w14:schemeClr w14:val="tx1"/>
                  </w14:solidFill>
                </w14:textFill>
              </w:rPr>
              <w:t>或W≥</w:t>
            </w:r>
            <w:r>
              <w:rPr>
                <w:snapToGrid w:val="0"/>
                <w:color w:val="000000" w:themeColor="text1"/>
                <w:kern w:val="0"/>
                <w:sz w:val="21"/>
                <w:lang w:val="zh-CN"/>
                <w14:textFill>
                  <w14:solidFill>
                    <w14:schemeClr w14:val="tx1"/>
                  </w14:solidFill>
                </w14:textFill>
              </w:rPr>
              <w:t>600000</w:t>
            </w:r>
          </w:p>
        </w:tc>
      </w:tr>
      <w:tr w14:paraId="3C14E7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09" w:type="pct"/>
            <w:vAlign w:val="center"/>
          </w:tcPr>
          <w:p w14:paraId="733647EF">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二级</w:t>
            </w:r>
          </w:p>
        </w:tc>
        <w:tc>
          <w:tcPr>
            <w:tcW w:w="1365" w:type="pct"/>
            <w:vAlign w:val="center"/>
          </w:tcPr>
          <w:p w14:paraId="7E29BEA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直接排放</w:t>
            </w:r>
          </w:p>
        </w:tc>
        <w:tc>
          <w:tcPr>
            <w:tcW w:w="2526" w:type="pct"/>
            <w:vAlign w:val="center"/>
          </w:tcPr>
          <w:p w14:paraId="04729D9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其他</w:t>
            </w:r>
          </w:p>
        </w:tc>
      </w:tr>
      <w:tr w14:paraId="163E2C2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1109" w:type="pct"/>
            <w:vAlign w:val="center"/>
          </w:tcPr>
          <w:p w14:paraId="0901E91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三级</w:t>
            </w:r>
            <w:r>
              <w:rPr>
                <w:rFonts w:hint="eastAsia"/>
                <w:snapToGrid w:val="0"/>
                <w:color w:val="000000" w:themeColor="text1"/>
                <w14:textFill>
                  <w14:solidFill>
                    <w14:schemeClr w14:val="tx1"/>
                  </w14:solidFill>
                </w14:textFill>
              </w:rPr>
              <w:t>A</w:t>
            </w:r>
          </w:p>
        </w:tc>
        <w:tc>
          <w:tcPr>
            <w:tcW w:w="1365" w:type="pct"/>
            <w:vAlign w:val="center"/>
          </w:tcPr>
          <w:p w14:paraId="52419A1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直接排放</w:t>
            </w:r>
          </w:p>
        </w:tc>
        <w:tc>
          <w:tcPr>
            <w:tcW w:w="2526" w:type="pct"/>
            <w:vAlign w:val="center"/>
          </w:tcPr>
          <w:p w14:paraId="295753F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Q＜2</w:t>
            </w:r>
            <w:r>
              <w:rPr>
                <w:snapToGrid w:val="0"/>
                <w:color w:val="000000" w:themeColor="text1"/>
                <w14:textFill>
                  <w14:solidFill>
                    <w14:schemeClr w14:val="tx1"/>
                  </w14:solidFill>
                </w14:textFill>
              </w:rPr>
              <w:t>00</w:t>
            </w:r>
            <w:r>
              <w:rPr>
                <w:rFonts w:hint="eastAsia"/>
                <w:snapToGrid w:val="0"/>
                <w:color w:val="000000" w:themeColor="text1"/>
                <w14:textFill>
                  <w14:solidFill>
                    <w14:schemeClr w14:val="tx1"/>
                  </w14:solidFill>
                </w14:textFill>
              </w:rPr>
              <w:t>或W＜</w:t>
            </w:r>
            <w:r>
              <w:rPr>
                <w:snapToGrid w:val="0"/>
                <w:color w:val="000000" w:themeColor="text1"/>
                <w14:textFill>
                  <w14:solidFill>
                    <w14:schemeClr w14:val="tx1"/>
                  </w14:solidFill>
                </w14:textFill>
              </w:rPr>
              <w:t>6000</w:t>
            </w:r>
          </w:p>
        </w:tc>
      </w:tr>
      <w:tr w14:paraId="16B531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1109" w:type="pct"/>
            <w:vAlign w:val="center"/>
          </w:tcPr>
          <w:p w14:paraId="21E737D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三级B</w:t>
            </w:r>
          </w:p>
        </w:tc>
        <w:tc>
          <w:tcPr>
            <w:tcW w:w="1365" w:type="pct"/>
            <w:vAlign w:val="center"/>
          </w:tcPr>
          <w:p w14:paraId="3E5729AC">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间接排放</w:t>
            </w:r>
          </w:p>
        </w:tc>
        <w:tc>
          <w:tcPr>
            <w:tcW w:w="2526" w:type="pct"/>
            <w:vAlign w:val="center"/>
          </w:tcPr>
          <w:p w14:paraId="30E68626">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p>
        </w:tc>
      </w:tr>
    </w:tbl>
    <w:p w14:paraId="715715A0">
      <w:pPr>
        <w:pStyle w:val="85"/>
        <w:rPr>
          <w:color w:val="000000" w:themeColor="text1"/>
          <w14:textFill>
            <w14:solidFill>
              <w14:schemeClr w14:val="tx1"/>
            </w14:solidFill>
          </w14:textFill>
        </w:rPr>
      </w:pPr>
      <w:r>
        <w:rPr>
          <w:snapToGrid w:val="0"/>
          <w:color w:val="000000" w:themeColor="text1"/>
          <w:kern w:val="0"/>
          <w14:textFill>
            <w14:solidFill>
              <w14:schemeClr w14:val="tx1"/>
            </w14:solidFill>
          </w14:textFill>
        </w:rPr>
        <w:t>本项目废水由新建</w:t>
      </w:r>
      <w:r>
        <w:rPr>
          <w:rFonts w:hint="eastAsia"/>
          <w:snapToGrid w:val="0"/>
          <w:color w:val="000000" w:themeColor="text1"/>
          <w:kern w:val="0"/>
          <w14:textFill>
            <w14:solidFill>
              <w14:schemeClr w14:val="tx1"/>
            </w14:solidFill>
          </w14:textFill>
        </w:rPr>
        <w:t>的处理能力为</w:t>
      </w:r>
      <w:r>
        <w:rPr>
          <w:rFonts w:hint="eastAsia"/>
          <w:snapToGrid w:val="0"/>
          <w:color w:val="000000" w:themeColor="text1"/>
          <w:kern w:val="0"/>
          <w:lang w:val="en-US" w:eastAsia="zh-CN"/>
          <w14:textFill>
            <w14:solidFill>
              <w14:schemeClr w14:val="tx1"/>
            </w14:solidFill>
          </w14:textFill>
        </w:rPr>
        <w:t>2</w:t>
      </w:r>
      <w:r>
        <w:rPr>
          <w:snapToGrid w:val="0"/>
          <w:color w:val="000000" w:themeColor="text1"/>
          <w:kern w:val="0"/>
          <w14:textFill>
            <w14:solidFill>
              <w14:schemeClr w14:val="tx1"/>
            </w14:solidFill>
          </w14:textFill>
        </w:rPr>
        <w:t>00m</w:t>
      </w:r>
      <w:r>
        <w:rPr>
          <w:snapToGrid w:val="0"/>
          <w:color w:val="000000" w:themeColor="text1"/>
          <w:kern w:val="0"/>
          <w:vertAlign w:val="superscript"/>
          <w14:textFill>
            <w14:solidFill>
              <w14:schemeClr w14:val="tx1"/>
            </w14:solidFill>
          </w14:textFill>
        </w:rPr>
        <w:t>3</w:t>
      </w:r>
      <w:r>
        <w:rPr>
          <w:snapToGrid w:val="0"/>
          <w:color w:val="000000" w:themeColor="text1"/>
          <w:kern w:val="0"/>
          <w14:textFill>
            <w14:solidFill>
              <w14:schemeClr w14:val="tx1"/>
            </w14:solidFill>
          </w14:textFill>
        </w:rPr>
        <w:t>/d</w:t>
      </w:r>
      <w:r>
        <w:rPr>
          <w:rFonts w:hint="eastAsia"/>
          <w:snapToGrid w:val="0"/>
          <w:color w:val="000000" w:themeColor="text1"/>
          <w:kern w:val="0"/>
          <w14:textFill>
            <w14:solidFill>
              <w14:schemeClr w14:val="tx1"/>
            </w14:solidFill>
          </w14:textFill>
        </w:rPr>
        <w:t>的</w:t>
      </w:r>
      <w:r>
        <w:rPr>
          <w:snapToGrid w:val="0"/>
          <w:color w:val="000000" w:themeColor="text1"/>
          <w:kern w:val="0"/>
          <w14:textFill>
            <w14:solidFill>
              <w14:schemeClr w14:val="tx1"/>
            </w14:solidFill>
          </w14:textFill>
        </w:rPr>
        <w:t>污水处理站处理满足《</w:t>
      </w:r>
      <w:r>
        <w:rPr>
          <w:rFonts w:hint="eastAsia"/>
          <w:snapToGrid w:val="0"/>
          <w:color w:val="000000" w:themeColor="text1"/>
          <w:kern w:val="0"/>
          <w:lang w:eastAsia="zh-CN"/>
          <w14:textFill>
            <w14:solidFill>
              <w14:schemeClr w14:val="tx1"/>
            </w14:solidFill>
          </w14:textFill>
        </w:rPr>
        <w:t>酒类制造业水污染物排放标准</w:t>
      </w:r>
      <w:r>
        <w:rPr>
          <w:snapToGrid w:val="0"/>
          <w:color w:val="000000" w:themeColor="text1"/>
          <w:kern w:val="0"/>
          <w14:textFill>
            <w14:solidFill>
              <w14:schemeClr w14:val="tx1"/>
            </w14:solidFill>
          </w14:textFill>
        </w:rPr>
        <w:t>》（</w:t>
      </w:r>
      <w:r>
        <w:rPr>
          <w:rFonts w:hint="eastAsia"/>
          <w:snapToGrid w:val="0"/>
          <w:color w:val="000000" w:themeColor="text1"/>
          <w:kern w:val="0"/>
          <w:lang w:eastAsia="zh-CN"/>
          <w14:textFill>
            <w14:solidFill>
              <w14:schemeClr w14:val="tx1"/>
            </w14:solidFill>
          </w14:textFill>
        </w:rPr>
        <w:t>GB19821-2025</w:t>
      </w:r>
      <w:r>
        <w:rPr>
          <w:snapToGrid w:val="0"/>
          <w:color w:val="000000" w:themeColor="text1"/>
          <w:kern w:val="0"/>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snapToGrid w:val="0"/>
          <w:color w:val="000000" w:themeColor="text1"/>
          <w:kern w:val="0"/>
          <w14:textFill>
            <w14:solidFill>
              <w14:schemeClr w14:val="tx1"/>
            </w14:solidFill>
          </w14:textFill>
        </w:rPr>
        <w:t>及</w:t>
      </w:r>
      <w:r>
        <w:rPr>
          <w:rFonts w:hint="eastAsia"/>
          <w:snapToGrid w:val="0"/>
          <w:color w:val="000000" w:themeColor="text1"/>
          <w:kern w:val="0"/>
          <w:lang w:eastAsia="zh-CN"/>
          <w14:textFill>
            <w14:solidFill>
              <w14:schemeClr w14:val="tx1"/>
            </w14:solidFill>
          </w14:textFill>
        </w:rPr>
        <w:t>桦南县城镇污水处理厂</w:t>
      </w:r>
      <w:r>
        <w:rPr>
          <w:snapToGrid w:val="0"/>
          <w:color w:val="000000" w:themeColor="text1"/>
          <w:kern w:val="0"/>
          <w14:textFill>
            <w14:solidFill>
              <w14:schemeClr w14:val="tx1"/>
            </w14:solidFill>
          </w14:textFill>
        </w:rPr>
        <w:t>进水指标后进入</w:t>
      </w:r>
      <w:r>
        <w:rPr>
          <w:rFonts w:hint="eastAsia"/>
          <w:snapToGrid w:val="0"/>
          <w:color w:val="000000" w:themeColor="text1"/>
          <w:kern w:val="0"/>
          <w:lang w:val="en-US" w:eastAsia="zh-CN"/>
          <w14:textFill>
            <w14:solidFill>
              <w14:schemeClr w14:val="tx1"/>
            </w14:solidFill>
          </w14:textFill>
        </w:rPr>
        <w:t>园区</w:t>
      </w:r>
      <w:r>
        <w:rPr>
          <w:snapToGrid w:val="0"/>
          <w:color w:val="000000" w:themeColor="text1"/>
          <w:kern w:val="0"/>
          <w:lang w:val="en-US"/>
          <w14:textFill>
            <w14:solidFill>
              <w14:schemeClr w14:val="tx1"/>
            </w14:solidFill>
          </w14:textFill>
        </w:rPr>
        <w:t>污水管网，排入</w:t>
      </w:r>
      <w:r>
        <w:rPr>
          <w:rFonts w:hint="eastAsia"/>
          <w:snapToGrid w:val="0"/>
          <w:color w:val="000000" w:themeColor="text1"/>
          <w:kern w:val="0"/>
          <w:lang w:val="en-US" w:eastAsia="zh-CN"/>
          <w14:textFill>
            <w14:solidFill>
              <w14:schemeClr w14:val="tx1"/>
            </w14:solidFill>
          </w14:textFill>
        </w:rPr>
        <w:t>桦南县城镇污水处理厂</w:t>
      </w:r>
      <w:r>
        <w:rPr>
          <w:snapToGrid w:val="0"/>
          <w:color w:val="000000" w:themeColor="text1"/>
          <w:kern w:val="0"/>
          <w:lang w:val="en-US"/>
          <w14:textFill>
            <w14:solidFill>
              <w14:schemeClr w14:val="tx1"/>
            </w14:solidFill>
          </w14:textFill>
        </w:rPr>
        <w:t>统一处理，废水</w:t>
      </w:r>
      <w:r>
        <w:rPr>
          <w:rFonts w:hint="eastAsia"/>
          <w:snapToGrid w:val="0"/>
          <w:color w:val="000000" w:themeColor="text1"/>
          <w:kern w:val="0"/>
          <w:lang w:val="en-US"/>
          <w14:textFill>
            <w14:solidFill>
              <w14:schemeClr w14:val="tx1"/>
            </w14:solidFill>
          </w14:textFill>
        </w:rPr>
        <w:t>达到《城镇污水处理厂污染物排放标准》（GB 18918-2002）及修改单中的一级A标准</w:t>
      </w:r>
      <w:r>
        <w:rPr>
          <w:rFonts w:hint="eastAsia"/>
          <w:snapToGrid w:val="0"/>
          <w:color w:val="000000" w:themeColor="text1"/>
          <w:kern w:val="0"/>
          <w:lang w:val="en-US" w:eastAsia="zh-CN"/>
          <w14:textFill>
            <w14:solidFill>
              <w14:schemeClr w14:val="tx1"/>
            </w14:solidFill>
          </w14:textFill>
        </w:rPr>
        <w:t>要求排入八虎力河，最终汇入倭肯河</w:t>
      </w:r>
      <w:r>
        <w:rPr>
          <w:rFonts w:hint="eastAsia"/>
          <w:snapToGrid w:val="0"/>
          <w:color w:val="000000" w:themeColor="text1"/>
          <w:kern w:val="0"/>
          <w:lang w:val="en-US"/>
          <w14:textFill>
            <w14:solidFill>
              <w14:schemeClr w14:val="tx1"/>
            </w14:solidFill>
          </w14:textFill>
        </w:rPr>
        <w:t>。</w:t>
      </w:r>
    </w:p>
    <w:p w14:paraId="03F2D1EA">
      <w:pPr>
        <w:pStyle w:val="85"/>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根据《环境影响评价技术导则 地表水环境》（HJ2.3-2018），本项目评价等级为三级B，可不进行水环境影响预测。主要评价内容包括：a）水污染控制和水环境影响减缓措施有效性评价；b）依托污水处理措施的环境可行性评价。</w:t>
      </w:r>
    </w:p>
    <w:p w14:paraId="156BB396">
      <w:pPr>
        <w:pStyle w:val="6"/>
        <w:rPr>
          <w:snapToGrid w:val="0"/>
          <w:color w:val="000000" w:themeColor="text1"/>
          <w14:textFill>
            <w14:solidFill>
              <w14:schemeClr w14:val="tx1"/>
            </w14:solidFill>
          </w14:textFill>
        </w:rPr>
      </w:pPr>
      <w:bookmarkStart w:id="53" w:name="_Toc14066"/>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5.3</w:t>
      </w:r>
      <w:r>
        <w:rPr>
          <w:rFonts w:hint="eastAsia"/>
          <w:snapToGrid w:val="0"/>
          <w:color w:val="000000" w:themeColor="text1"/>
          <w14:textFill>
            <w14:solidFill>
              <w14:schemeClr w14:val="tx1"/>
            </w14:solidFill>
          </w14:textFill>
        </w:rPr>
        <w:t>地下水</w:t>
      </w:r>
      <w:bookmarkEnd w:id="53"/>
    </w:p>
    <w:p w14:paraId="5FD53019">
      <w:pPr>
        <w:pStyle w:val="85"/>
        <w:rPr>
          <w:snapToGrid w:val="0"/>
          <w:color w:val="000000" w:themeColor="text1"/>
          <w14:textFill>
            <w14:solidFill>
              <w14:schemeClr w14:val="tx1"/>
            </w14:solidFill>
          </w14:textFill>
        </w:rPr>
      </w:pPr>
      <w:bookmarkStart w:id="54" w:name="_Toc307292226"/>
      <w:r>
        <w:rPr>
          <w:rFonts w:hint="eastAsia"/>
          <w:snapToGrid w:val="0"/>
          <w:color w:val="000000" w:themeColor="text1"/>
          <w14:textFill>
            <w14:solidFill>
              <w14:schemeClr w14:val="tx1"/>
            </w14:solidFill>
          </w14:textFill>
        </w:rPr>
        <w:t>根据《环境影响评价技术导则</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地下水环境》（</w:t>
      </w:r>
      <w:r>
        <w:rPr>
          <w:snapToGrid w:val="0"/>
          <w:color w:val="000000" w:themeColor="text1"/>
          <w14:textFill>
            <w14:solidFill>
              <w14:schemeClr w14:val="tx1"/>
            </w14:solidFill>
          </w14:textFill>
        </w:rPr>
        <w:t>HJ610-2016</w:t>
      </w:r>
      <w:r>
        <w:rPr>
          <w:rFonts w:hint="eastAsia"/>
          <w:snapToGrid w:val="0"/>
          <w:color w:val="000000" w:themeColor="text1"/>
          <w14:textFill>
            <w14:solidFill>
              <w14:schemeClr w14:val="tx1"/>
            </w14:solidFill>
          </w14:textFill>
        </w:rPr>
        <w:t>），评价工作等级的划分应依据建设项目行业分类和地下水环境敏感程度分级进行判定。</w:t>
      </w:r>
    </w:p>
    <w:p w14:paraId="0EBEC46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1</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本项目为酒精饮料及酒类制造有发酵工艺的，根据《环境影响评价技术导则 地下水环境》（HJ610-2016）附录A的规定，本项目属于附录A中105 项―酒精饮料及酒类制造中的―有发酵工艺的项目，属于Ⅲ类建设项目，所以本项目需开展地下水环境评价工作。</w:t>
      </w:r>
    </w:p>
    <w:p w14:paraId="597D58B3">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2</w:t>
      </w:r>
      <w:r>
        <w:rPr>
          <w:rFonts w:hint="eastAsia"/>
          <w:snapToGrid w:val="0"/>
          <w:color w:val="000000" w:themeColor="text1"/>
          <w:kern w:val="0"/>
          <w14:textFill>
            <w14:solidFill>
              <w14:schemeClr w14:val="tx1"/>
            </w14:solidFill>
          </w14:textFill>
        </w:rPr>
        <w:t>）建设项目场地的地下水环境敏感程度可分为敏感、较敏感、不敏感三级，分级原则见下。</w:t>
      </w:r>
    </w:p>
    <w:p w14:paraId="38C0A744">
      <w:pPr>
        <w:pStyle w:val="206"/>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表2-</w:t>
      </w:r>
      <w:r>
        <w:rPr>
          <w:snapToGrid w:val="0"/>
          <w:color w:val="000000" w:themeColor="text1"/>
          <w14:textFill>
            <w14:solidFill>
              <w14:schemeClr w14:val="tx1"/>
            </w14:solidFill>
          </w14:textFill>
        </w:rPr>
        <w:t>5-1</w:t>
      </w:r>
      <w:r>
        <w:rPr>
          <w:rFonts w:hint="eastAsia"/>
          <w:snapToGrid w:val="0"/>
          <w:color w:val="000000" w:themeColor="text1"/>
          <w:lang w:val="en-US" w:eastAsia="zh-CN"/>
          <w14:textFill>
            <w14:solidFill>
              <w14:schemeClr w14:val="tx1"/>
            </w14:solidFill>
          </w14:textFill>
        </w:rPr>
        <w:t>4</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地下水环境敏感程度分级</w:t>
      </w:r>
    </w:p>
    <w:tbl>
      <w:tblPr>
        <w:tblStyle w:val="38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1"/>
        <w:gridCol w:w="7371"/>
      </w:tblGrid>
      <w:tr w14:paraId="2741EA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dxa"/>
            <w:vAlign w:val="center"/>
          </w:tcPr>
          <w:p w14:paraId="51DDA62E">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敏感程度</w:t>
            </w:r>
          </w:p>
        </w:tc>
        <w:tc>
          <w:tcPr>
            <w:tcW w:w="7371" w:type="dxa"/>
            <w:vAlign w:val="center"/>
          </w:tcPr>
          <w:p w14:paraId="3F3D21AE">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地下水环境敏感特征</w:t>
            </w:r>
          </w:p>
        </w:tc>
      </w:tr>
      <w:tr w14:paraId="2E8586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dxa"/>
            <w:vAlign w:val="center"/>
          </w:tcPr>
          <w:p w14:paraId="26CB25C0">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敏感</w:t>
            </w:r>
          </w:p>
        </w:tc>
        <w:tc>
          <w:tcPr>
            <w:tcW w:w="7371" w:type="dxa"/>
            <w:vAlign w:val="center"/>
          </w:tcPr>
          <w:p w14:paraId="5A73FB88">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14:paraId="6B9634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dxa"/>
            <w:vAlign w:val="center"/>
          </w:tcPr>
          <w:p w14:paraId="5393D32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较敏感</w:t>
            </w:r>
          </w:p>
        </w:tc>
        <w:tc>
          <w:tcPr>
            <w:tcW w:w="7371" w:type="dxa"/>
            <w:vAlign w:val="center"/>
          </w:tcPr>
          <w:p w14:paraId="69187D92">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集中式饮用水水源（包括已建成的在用、备用、应急水源，在建和规划的饮用水水源）准保护区以外的补给径流区；未划定准保护区的集中式饮用水水源，其保护区以外的补给径流区；分散式饮用水水源地；特殊地下水资源（如矿泉水、温泉等）保护区以外的分布区等其他未列入上述敏感分级的环境敏感区</w:t>
            </w:r>
            <w:r>
              <w:rPr>
                <w:rFonts w:hint="eastAsia"/>
                <w:snapToGrid w:val="0"/>
                <w:color w:val="000000" w:themeColor="text1"/>
                <w:kern w:val="0"/>
                <w:vertAlign w:val="superscript"/>
                <w14:textFill>
                  <w14:solidFill>
                    <w14:schemeClr w14:val="tx1"/>
                  </w14:solidFill>
                </w14:textFill>
              </w:rPr>
              <w:t>a</w:t>
            </w:r>
            <w:r>
              <w:rPr>
                <w:rFonts w:hint="eastAsia"/>
                <w:snapToGrid w:val="0"/>
                <w:color w:val="000000" w:themeColor="text1"/>
                <w:kern w:val="0"/>
                <w14:textFill>
                  <w14:solidFill>
                    <w14:schemeClr w14:val="tx1"/>
                  </w14:solidFill>
                </w14:textFill>
              </w:rPr>
              <w:t>。</w:t>
            </w:r>
          </w:p>
        </w:tc>
      </w:tr>
      <w:tr w14:paraId="2CE233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dxa"/>
            <w:vAlign w:val="center"/>
          </w:tcPr>
          <w:p w14:paraId="7C60C416">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不敏感</w:t>
            </w:r>
          </w:p>
        </w:tc>
        <w:tc>
          <w:tcPr>
            <w:tcW w:w="7371" w:type="dxa"/>
            <w:vAlign w:val="center"/>
          </w:tcPr>
          <w:p w14:paraId="274F6BAA">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上述地区之外的其它地区。</w:t>
            </w:r>
          </w:p>
        </w:tc>
      </w:tr>
      <w:tr w14:paraId="1EB05E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222" w:type="dxa"/>
            <w:gridSpan w:val="2"/>
            <w:vAlign w:val="center"/>
          </w:tcPr>
          <w:p w14:paraId="7CD8A7F5">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注：</w:t>
            </w:r>
            <w:r>
              <w:rPr>
                <w:snapToGrid w:val="0"/>
                <w:color w:val="000000" w:themeColor="text1"/>
                <w:kern w:val="0"/>
                <w14:textFill>
                  <w14:solidFill>
                    <w14:schemeClr w14:val="tx1"/>
                  </w14:solidFill>
                </w14:textFill>
              </w:rPr>
              <w:t>a“</w:t>
            </w:r>
            <w:r>
              <w:rPr>
                <w:rFonts w:hint="eastAsia"/>
                <w:snapToGrid w:val="0"/>
                <w:color w:val="000000" w:themeColor="text1"/>
                <w:kern w:val="0"/>
                <w14:textFill>
                  <w14:solidFill>
                    <w14:schemeClr w14:val="tx1"/>
                  </w14:solidFill>
                </w14:textFill>
              </w:rPr>
              <w:t>环境敏感区</w:t>
            </w:r>
            <w:r>
              <w:rPr>
                <w:snapToGrid w:val="0"/>
                <w:color w:val="000000" w:themeColor="text1"/>
                <w:kern w:val="0"/>
                <w14:textFill>
                  <w14:solidFill>
                    <w14:schemeClr w14:val="tx1"/>
                  </w14:solidFill>
                </w14:textFill>
              </w:rPr>
              <w:t>”</w:t>
            </w:r>
            <w:r>
              <w:rPr>
                <w:rFonts w:hint="eastAsia"/>
                <w:snapToGrid w:val="0"/>
                <w:color w:val="000000" w:themeColor="text1"/>
                <w:kern w:val="0"/>
                <w14:textFill>
                  <w14:solidFill>
                    <w14:schemeClr w14:val="tx1"/>
                  </w14:solidFill>
                </w14:textFill>
              </w:rPr>
              <w:t>是指《建设项目环境影响评价分类管理目录》中所界定的涉及地下水的环境敏感区。</w:t>
            </w:r>
          </w:p>
        </w:tc>
      </w:tr>
    </w:tbl>
    <w:p w14:paraId="0097E571">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both"/>
        <w:textAlignment w:val="auto"/>
        <w:rPr>
          <w:rFonts w:hint="default" w:ascii="Times New Roman" w:hAnsi="Times New Roman" w:eastAsia="宋体" w:cs="Times New Roman"/>
          <w:b w:val="0"/>
          <w:bCs/>
          <w:color w:val="auto"/>
          <w:kern w:val="0"/>
          <w:szCs w:val="20"/>
          <w:highlight w:val="none"/>
          <w:lang w:val="en-US" w:eastAsia="zh-CN"/>
        </w:rPr>
      </w:pPr>
      <w:bookmarkStart w:id="55" w:name="_Hlk522455748"/>
      <w:r>
        <w:rPr>
          <w:rFonts w:hint="eastAsia" w:cs="Times New Roman"/>
          <w:b w:val="0"/>
          <w:bCs/>
          <w:color w:val="auto"/>
          <w:kern w:val="0"/>
          <w:szCs w:val="20"/>
          <w:highlight w:val="none"/>
          <w:lang w:val="en-US" w:eastAsia="zh-CN"/>
        </w:rPr>
        <w:t>一、</w:t>
      </w:r>
      <w:r>
        <w:rPr>
          <w:rFonts w:hint="eastAsia" w:ascii="Times New Roman" w:hAnsi="Times New Roman" w:eastAsia="宋体" w:cs="Times New Roman"/>
          <w:b w:val="0"/>
          <w:bCs/>
          <w:color w:val="auto"/>
          <w:kern w:val="0"/>
          <w:szCs w:val="20"/>
          <w:highlight w:val="none"/>
          <w:lang w:val="en-US" w:eastAsia="zh-CN"/>
        </w:rPr>
        <w:t>桦</w:t>
      </w:r>
      <w:r>
        <w:rPr>
          <w:rFonts w:hint="eastAsia" w:eastAsia="宋体" w:cs="Times New Roman"/>
          <w:b w:val="0"/>
          <w:bCs/>
          <w:color w:val="auto"/>
          <w:kern w:val="0"/>
          <w:szCs w:val="20"/>
          <w:highlight w:val="none"/>
          <w:lang w:val="en-US" w:eastAsia="zh-CN"/>
        </w:rPr>
        <w:t>南</w:t>
      </w:r>
      <w:r>
        <w:rPr>
          <w:rFonts w:hint="eastAsia" w:ascii="Times New Roman" w:hAnsi="Times New Roman" w:eastAsia="宋体" w:cs="Times New Roman"/>
          <w:b w:val="0"/>
          <w:bCs/>
          <w:color w:val="auto"/>
          <w:kern w:val="0"/>
          <w:szCs w:val="20"/>
          <w:highlight w:val="none"/>
          <w:lang w:val="en-US" w:eastAsia="zh-CN"/>
        </w:rPr>
        <w:t>县饮用水水源</w:t>
      </w:r>
      <w:r>
        <w:rPr>
          <w:rFonts w:hint="eastAsia" w:cs="Times New Roman"/>
          <w:b w:val="0"/>
          <w:bCs/>
          <w:color w:val="auto"/>
          <w:kern w:val="0"/>
          <w:szCs w:val="20"/>
          <w:highlight w:val="none"/>
          <w:lang w:val="en-US" w:eastAsia="zh-CN"/>
        </w:rPr>
        <w:t>保护区</w:t>
      </w:r>
      <w:r>
        <w:rPr>
          <w:rFonts w:hint="eastAsia" w:ascii="Times New Roman" w:hAnsi="Times New Roman" w:eastAsia="宋体" w:cs="Times New Roman"/>
          <w:b w:val="0"/>
          <w:bCs/>
          <w:color w:val="auto"/>
          <w:kern w:val="0"/>
          <w:szCs w:val="20"/>
          <w:highlight w:val="none"/>
          <w:lang w:val="en-US" w:eastAsia="zh-CN"/>
        </w:rPr>
        <w:t>信息及与本项目位置关系</w:t>
      </w:r>
      <w:r>
        <w:rPr>
          <w:rFonts w:hint="eastAsia" w:eastAsia="宋体" w:cs="Times New Roman"/>
          <w:b w:val="0"/>
          <w:bCs/>
          <w:color w:val="auto"/>
          <w:kern w:val="0"/>
          <w:szCs w:val="20"/>
          <w:highlight w:val="none"/>
          <w:lang w:val="en-US" w:eastAsia="zh-CN"/>
        </w:rPr>
        <w:t>如下：</w:t>
      </w:r>
    </w:p>
    <w:p w14:paraId="5E29C5FC">
      <w:pPr>
        <w:adjustRightInd/>
        <w:snapToGrid/>
        <w:spacing w:line="500" w:lineRule="exact"/>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w:t>
      </w:r>
      <w:r>
        <w:rPr>
          <w:rFonts w:hint="eastAsia" w:ascii="Times New Roman" w:hAnsi="Times New Roman" w:eastAsia="宋体" w:cs="Times New Roman"/>
          <w:b w:val="0"/>
          <w:bCs/>
          <w:color w:val="auto"/>
          <w:kern w:val="0"/>
          <w:szCs w:val="20"/>
          <w:highlight w:val="none"/>
          <w:lang w:val="en-US" w:eastAsia="zh-CN"/>
        </w:rPr>
        <w:t>桦</w:t>
      </w:r>
      <w:r>
        <w:rPr>
          <w:rFonts w:hint="eastAsia" w:eastAsia="宋体" w:cs="Times New Roman"/>
          <w:b w:val="0"/>
          <w:bCs/>
          <w:color w:val="auto"/>
          <w:kern w:val="0"/>
          <w:szCs w:val="20"/>
          <w:highlight w:val="none"/>
          <w:lang w:val="en-US" w:eastAsia="zh-CN"/>
        </w:rPr>
        <w:t>南</w:t>
      </w:r>
      <w:r>
        <w:rPr>
          <w:rFonts w:hint="eastAsia" w:ascii="Times New Roman" w:hAnsi="Times New Roman" w:eastAsia="宋体" w:cs="Times New Roman"/>
          <w:b w:val="0"/>
          <w:bCs/>
          <w:color w:val="auto"/>
          <w:kern w:val="0"/>
          <w:szCs w:val="20"/>
          <w:highlight w:val="none"/>
          <w:lang w:val="en-US" w:eastAsia="zh-CN"/>
        </w:rPr>
        <w:t>县饮用水水源</w:t>
      </w:r>
      <w:r>
        <w:rPr>
          <w:rFonts w:hint="eastAsia" w:cs="Times New Roman"/>
          <w:b w:val="0"/>
          <w:bCs/>
          <w:color w:val="auto"/>
          <w:kern w:val="0"/>
          <w:szCs w:val="20"/>
          <w:highlight w:val="none"/>
          <w:lang w:val="en-US" w:eastAsia="zh-CN"/>
        </w:rPr>
        <w:t>保护区</w:t>
      </w:r>
      <w:r>
        <w:rPr>
          <w:rFonts w:hint="eastAsia"/>
          <w:snapToGrid w:val="0"/>
          <w:color w:val="000000" w:themeColor="text1"/>
          <w:lang w:val="en-US" w:eastAsia="zh-CN"/>
          <w14:textFill>
            <w14:solidFill>
              <w14:schemeClr w14:val="tx1"/>
            </w14:solidFill>
          </w14:textFill>
        </w:rPr>
        <w:t>位置及设立时间</w:t>
      </w:r>
    </w:p>
    <w:p w14:paraId="046F3A07">
      <w:pPr>
        <w:adjustRightInd/>
        <w:snapToGrid/>
        <w:spacing w:line="500" w:lineRule="exact"/>
        <w:rPr>
          <w:rFonts w:hint="eastAsia"/>
          <w:snapToGrid w:val="0"/>
          <w:color w:val="000000" w:themeColor="text1"/>
          <w:lang w:val="en-US" w:eastAsia="zh-CN"/>
          <w14:textFill>
            <w14:solidFill>
              <w14:schemeClr w14:val="tx1"/>
            </w14:solidFill>
          </w14:textFill>
        </w:rPr>
      </w:pPr>
      <w:r>
        <w:rPr>
          <w:rFonts w:hint="eastAsia" w:ascii="Times New Roman" w:hAnsi="Times New Roman" w:eastAsia="宋体" w:cs="Times New Roman"/>
          <w:b w:val="0"/>
          <w:bCs/>
          <w:color w:val="auto"/>
          <w:kern w:val="0"/>
          <w:szCs w:val="20"/>
          <w:highlight w:val="none"/>
          <w:lang w:val="en-US" w:eastAsia="zh-CN"/>
        </w:rPr>
        <w:t>桦</w:t>
      </w:r>
      <w:r>
        <w:rPr>
          <w:rFonts w:hint="eastAsia" w:eastAsia="宋体" w:cs="Times New Roman"/>
          <w:b w:val="0"/>
          <w:bCs/>
          <w:color w:val="auto"/>
          <w:kern w:val="0"/>
          <w:szCs w:val="20"/>
          <w:highlight w:val="none"/>
          <w:lang w:val="en-US" w:eastAsia="zh-CN"/>
        </w:rPr>
        <w:t>南</w:t>
      </w:r>
      <w:r>
        <w:rPr>
          <w:rFonts w:hint="eastAsia" w:ascii="Times New Roman" w:hAnsi="Times New Roman" w:eastAsia="宋体" w:cs="Times New Roman"/>
          <w:b w:val="0"/>
          <w:bCs/>
          <w:color w:val="auto"/>
          <w:kern w:val="0"/>
          <w:szCs w:val="20"/>
          <w:highlight w:val="none"/>
          <w:lang w:val="en-US" w:eastAsia="zh-CN"/>
        </w:rPr>
        <w:t>县饮用水水源</w:t>
      </w:r>
      <w:r>
        <w:rPr>
          <w:rFonts w:hint="eastAsia" w:cs="Times New Roman"/>
          <w:b w:val="0"/>
          <w:bCs/>
          <w:color w:val="auto"/>
          <w:kern w:val="0"/>
          <w:szCs w:val="20"/>
          <w:highlight w:val="none"/>
          <w:lang w:val="en-US" w:eastAsia="zh-CN"/>
        </w:rPr>
        <w:t>保护区</w:t>
      </w:r>
      <w:r>
        <w:rPr>
          <w:rFonts w:hint="eastAsia"/>
          <w:snapToGrid w:val="0"/>
          <w:color w:val="000000" w:themeColor="text1"/>
          <w:lang w:val="en-US" w:eastAsia="zh-CN"/>
          <w14:textFill>
            <w14:solidFill>
              <w14:schemeClr w14:val="tx1"/>
            </w14:solidFill>
          </w14:textFill>
        </w:rPr>
        <w:t>由八口井组成，分别为N1、N2、N3、N4、S1、S2、S3、S4，N1、N2、S1、S2位于宏利村，N3、N4、S3、S4位于双利村。</w:t>
      </w:r>
      <w:r>
        <w:rPr>
          <w:rFonts w:hint="eastAsia" w:ascii="Times New Roman" w:hAnsi="Times New Roman" w:eastAsia="宋体" w:cs="Times New Roman"/>
          <w:b w:val="0"/>
          <w:bCs/>
          <w:color w:val="auto"/>
          <w:kern w:val="0"/>
          <w:szCs w:val="20"/>
          <w:highlight w:val="none"/>
          <w:lang w:val="en-US" w:eastAsia="zh-CN"/>
        </w:rPr>
        <w:t>桦</w:t>
      </w:r>
      <w:r>
        <w:rPr>
          <w:rFonts w:hint="eastAsia" w:eastAsia="宋体" w:cs="Times New Roman"/>
          <w:b w:val="0"/>
          <w:bCs/>
          <w:color w:val="auto"/>
          <w:kern w:val="0"/>
          <w:szCs w:val="20"/>
          <w:highlight w:val="none"/>
          <w:lang w:val="en-US" w:eastAsia="zh-CN"/>
        </w:rPr>
        <w:t>南</w:t>
      </w:r>
      <w:r>
        <w:rPr>
          <w:rFonts w:hint="eastAsia" w:ascii="Times New Roman" w:hAnsi="Times New Roman" w:eastAsia="宋体" w:cs="Times New Roman"/>
          <w:b w:val="0"/>
          <w:bCs/>
          <w:color w:val="auto"/>
          <w:kern w:val="0"/>
          <w:szCs w:val="20"/>
          <w:highlight w:val="none"/>
          <w:lang w:val="en-US" w:eastAsia="zh-CN"/>
        </w:rPr>
        <w:t>县饮用水水源</w:t>
      </w:r>
      <w:r>
        <w:rPr>
          <w:rFonts w:hint="eastAsia" w:cs="Times New Roman"/>
          <w:b w:val="0"/>
          <w:bCs/>
          <w:color w:val="auto"/>
          <w:kern w:val="0"/>
          <w:szCs w:val="20"/>
          <w:highlight w:val="none"/>
          <w:lang w:val="en-US" w:eastAsia="zh-CN"/>
        </w:rPr>
        <w:t>保护区</w:t>
      </w:r>
      <w:r>
        <w:rPr>
          <w:rFonts w:ascii="Times New Roman" w:eastAsia="宋体"/>
          <w:kern w:val="2"/>
        </w:rPr>
        <w:t>于2011</w:t>
      </w:r>
      <w:r>
        <w:rPr>
          <w:rFonts w:hint="eastAsia" w:ascii="Times New Roman" w:eastAsia="宋体"/>
          <w:kern w:val="2"/>
        </w:rPr>
        <w:t>年</w:t>
      </w:r>
      <w:r>
        <w:rPr>
          <w:rFonts w:hint="eastAsia" w:ascii="Times New Roman" w:eastAsia="宋体"/>
          <w:kern w:val="2"/>
          <w:lang w:val="en-US" w:eastAsia="zh-CN"/>
        </w:rPr>
        <w:t>9</w:t>
      </w:r>
      <w:r>
        <w:rPr>
          <w:rFonts w:hint="eastAsia" w:ascii="Times New Roman" w:eastAsia="宋体"/>
          <w:kern w:val="2"/>
        </w:rPr>
        <w:t>月</w:t>
      </w:r>
      <w:r>
        <w:rPr>
          <w:rFonts w:hint="eastAsia" w:ascii="Times New Roman" w:eastAsia="宋体"/>
          <w:kern w:val="2"/>
          <w:lang w:val="en-US" w:eastAsia="zh-CN"/>
        </w:rPr>
        <w:t>13</w:t>
      </w:r>
      <w:r>
        <w:rPr>
          <w:rFonts w:hint="eastAsia" w:ascii="Times New Roman" w:eastAsia="宋体"/>
          <w:kern w:val="2"/>
        </w:rPr>
        <w:t>日</w:t>
      </w:r>
      <w:r>
        <w:rPr>
          <w:rFonts w:ascii="Times New Roman" w:eastAsia="宋体"/>
          <w:kern w:val="2"/>
        </w:rPr>
        <w:t>由黑龙江省人民政府《黑龙江省人民政府</w:t>
      </w:r>
      <w:r>
        <w:rPr>
          <w:rFonts w:hint="eastAsia" w:ascii="Times New Roman" w:eastAsia="宋体"/>
          <w:kern w:val="2"/>
        </w:rPr>
        <w:t>关于佳木斯市及所辖县(市)饮用水水源保护区范围的批复</w:t>
      </w:r>
      <w:r>
        <w:rPr>
          <w:rFonts w:ascii="Times New Roman" w:eastAsia="宋体"/>
          <w:kern w:val="2"/>
        </w:rPr>
        <w:t>》（黑政函〔2011〕</w:t>
      </w:r>
      <w:r>
        <w:rPr>
          <w:rFonts w:hint="eastAsia" w:ascii="Times New Roman" w:eastAsia="宋体"/>
          <w:kern w:val="2"/>
          <w:lang w:val="en-US" w:eastAsia="zh-CN"/>
        </w:rPr>
        <w:t>113</w:t>
      </w:r>
      <w:r>
        <w:rPr>
          <w:rFonts w:ascii="Times New Roman" w:eastAsia="宋体"/>
          <w:kern w:val="2"/>
        </w:rPr>
        <w:t>号）审批。</w:t>
      </w:r>
    </w:p>
    <w:p w14:paraId="6C95CB42">
      <w:pPr>
        <w:numPr>
          <w:ilvl w:val="0"/>
          <w:numId w:val="5"/>
        </w:numPr>
        <w:adjustRightInd/>
        <w:snapToGrid/>
        <w:spacing w:line="500" w:lineRule="exact"/>
        <w:rPr>
          <w:rFonts w:ascii="Times New Roman" w:eastAsia="宋体"/>
          <w:kern w:val="2"/>
        </w:rPr>
      </w:pPr>
      <w:r>
        <w:rPr>
          <w:rFonts w:ascii="Times New Roman" w:eastAsia="宋体"/>
          <w:kern w:val="2"/>
        </w:rPr>
        <w:t>保护区划分范围</w:t>
      </w:r>
    </w:p>
    <w:p w14:paraId="1BB698FE">
      <w:pPr>
        <w:numPr>
          <w:numId w:val="0"/>
        </w:numPr>
        <w:adjustRightInd/>
        <w:snapToGrid/>
        <w:spacing w:line="500" w:lineRule="exact"/>
        <w:ind w:firstLine="480" w:firstLineChars="20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一级保护区：分别以N1、N2、N3、N4、S1、S2、S3、S4为中心，30米为半径的圆形区域划定为各井的一级保护区，,一级保护区面积共计0.022616平方公里。</w:t>
      </w:r>
    </w:p>
    <w:p w14:paraId="210B9B2A">
      <w:pPr>
        <w:adjustRightInd/>
        <w:snapToGrid/>
        <w:spacing w:line="500" w:lineRule="exact"/>
        <w:ind w:left="0" w:leftChars="0" w:firstLine="0" w:firstLineChars="0"/>
        <w:jc w:val="center"/>
        <w:rPr>
          <w:rFonts w:hint="default" w:ascii="Times New Roman" w:hAnsi="Times New Roman" w:eastAsia="黑体" w:cstheme="minorBidi"/>
          <w:snapToGrid w:val="0"/>
          <w:color w:val="000000" w:themeColor="text1"/>
          <w:kern w:val="2"/>
          <w:sz w:val="24"/>
          <w:szCs w:val="22"/>
          <w:lang w:val="en-US" w:eastAsia="zh-CN" w:bidi="ar-SA"/>
          <w14:textFill>
            <w14:solidFill>
              <w14:schemeClr w14:val="tx1"/>
            </w14:solidFill>
          </w14:textFill>
        </w:rPr>
      </w:pPr>
      <w:r>
        <w:rPr>
          <w:rFonts w:hint="eastAsia" w:ascii="Times New Roman" w:hAnsi="Times New Roman" w:eastAsia="黑体" w:cstheme="minorBidi"/>
          <w:snapToGrid w:val="0"/>
          <w:color w:val="000000" w:themeColor="text1"/>
          <w:kern w:val="2"/>
          <w:sz w:val="24"/>
          <w:szCs w:val="22"/>
          <w:lang w:val="zh-CN" w:eastAsia="zh-CN" w:bidi="ar-SA"/>
          <w14:textFill>
            <w14:solidFill>
              <w14:schemeClr w14:val="tx1"/>
            </w14:solidFill>
          </w14:textFill>
        </w:rPr>
        <w:t>表2-5-1</w:t>
      </w:r>
      <w:r>
        <w:rPr>
          <w:rFonts w:hint="eastAsia" w:eastAsia="黑体" w:cstheme="minorBidi"/>
          <w:snapToGrid w:val="0"/>
          <w:color w:val="000000" w:themeColor="text1"/>
          <w:kern w:val="2"/>
          <w:sz w:val="24"/>
          <w:szCs w:val="22"/>
          <w:lang w:val="en-US" w:eastAsia="zh-CN" w:bidi="ar-SA"/>
          <w14:textFill>
            <w14:solidFill>
              <w14:schemeClr w14:val="tx1"/>
            </w14:solidFill>
          </w14:textFill>
        </w:rPr>
        <w:t>5</w:t>
      </w:r>
      <w:r>
        <w:rPr>
          <w:rFonts w:hint="eastAsia" w:ascii="Times New Roman" w:hAnsi="Times New Roman" w:eastAsia="黑体" w:cstheme="minorBidi"/>
          <w:snapToGrid w:val="0"/>
          <w:color w:val="000000" w:themeColor="text1"/>
          <w:kern w:val="2"/>
          <w:sz w:val="24"/>
          <w:szCs w:val="22"/>
          <w:lang w:val="en-US" w:eastAsia="zh-CN" w:bidi="ar-SA"/>
          <w14:textFill>
            <w14:solidFill>
              <w14:schemeClr w14:val="tx1"/>
            </w14:solidFill>
          </w14:textFill>
        </w:rPr>
        <w:t xml:space="preserve"> 桦南县饮用水地下水水源地保护区一级保护区</w:t>
      </w:r>
    </w:p>
    <w:tbl>
      <w:tblPr>
        <w:tblStyle w:val="50"/>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29"/>
        <w:gridCol w:w="1692"/>
        <w:gridCol w:w="1657"/>
        <w:gridCol w:w="2152"/>
        <w:gridCol w:w="868"/>
        <w:gridCol w:w="1005"/>
      </w:tblGrid>
      <w:tr w14:paraId="0F6990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092DB0CB">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位置</w:t>
            </w:r>
          </w:p>
          <w:p w14:paraId="5F62F8E5">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井号</w:t>
            </w:r>
          </w:p>
        </w:tc>
        <w:tc>
          <w:tcPr>
            <w:tcW w:w="1071" w:type="pct"/>
            <w:tcBorders>
              <w:tl2br w:val="nil"/>
              <w:tr2bl w:val="nil"/>
            </w:tcBorders>
            <w:noWrap w:val="0"/>
            <w:vAlign w:val="center"/>
          </w:tcPr>
          <w:p w14:paraId="3784A6DD">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中心纬度</w:t>
            </w:r>
          </w:p>
        </w:tc>
        <w:tc>
          <w:tcPr>
            <w:tcW w:w="912" w:type="pct"/>
            <w:tcBorders>
              <w:tl2br w:val="nil"/>
              <w:tr2bl w:val="nil"/>
            </w:tcBorders>
            <w:noWrap w:val="0"/>
            <w:vAlign w:val="center"/>
          </w:tcPr>
          <w:p w14:paraId="71CE89FA">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中心经度</w:t>
            </w:r>
          </w:p>
        </w:tc>
        <w:tc>
          <w:tcPr>
            <w:tcW w:w="1348" w:type="pct"/>
            <w:tcBorders>
              <w:tl2br w:val="nil"/>
              <w:tr2bl w:val="nil"/>
            </w:tcBorders>
            <w:noWrap w:val="0"/>
            <w:vAlign w:val="center"/>
          </w:tcPr>
          <w:p w14:paraId="3E552A36">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保护区</w:t>
            </w:r>
          </w:p>
        </w:tc>
        <w:tc>
          <w:tcPr>
            <w:tcW w:w="495" w:type="pct"/>
            <w:tcBorders>
              <w:tl2br w:val="nil"/>
              <w:tr2bl w:val="nil"/>
            </w:tcBorders>
            <w:noWrap w:val="0"/>
            <w:vAlign w:val="center"/>
          </w:tcPr>
          <w:p w14:paraId="1DD235E8">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面积</w:t>
            </w:r>
          </w:p>
          <w:p w14:paraId="2F19A74A">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vertAlign w:val="superscript"/>
                <w14:textFill>
                  <w14:solidFill>
                    <w14:schemeClr w14:val="tx1"/>
                  </w14:solidFill>
                </w14:textFill>
              </w:rPr>
              <w:t>2</w:t>
            </w:r>
            <w:r>
              <w:rPr>
                <w:rFonts w:hint="eastAsia"/>
                <w:snapToGrid w:val="0"/>
                <w:color w:val="000000" w:themeColor="text1"/>
                <w:kern w:val="0"/>
                <w14:textFill>
                  <w14:solidFill>
                    <w14:schemeClr w14:val="tx1"/>
                  </w14:solidFill>
                </w14:textFill>
              </w:rPr>
              <w:t>）</w:t>
            </w:r>
          </w:p>
        </w:tc>
        <w:tc>
          <w:tcPr>
            <w:tcW w:w="558" w:type="pct"/>
            <w:tcBorders>
              <w:tl2br w:val="nil"/>
              <w:tr2bl w:val="nil"/>
            </w:tcBorders>
            <w:noWrap w:val="0"/>
            <w:vAlign w:val="center"/>
          </w:tcPr>
          <w:p w14:paraId="0DCE1EA5">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共计（</w:t>
            </w:r>
            <w:r>
              <w:rPr>
                <w:rFonts w:hint="eastAsia"/>
                <w:snapToGrid w:val="0"/>
                <w:color w:val="000000" w:themeColor="text1"/>
                <w:kern w:val="0"/>
                <w:lang w:val="en-US" w:eastAsia="zh-CN"/>
                <w14:textFill>
                  <w14:solidFill>
                    <w14:schemeClr w14:val="tx1"/>
                  </w14:solidFill>
                </w14:textFill>
              </w:rPr>
              <w:t>k</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vertAlign w:val="superscript"/>
                <w14:textFill>
                  <w14:solidFill>
                    <w14:schemeClr w14:val="tx1"/>
                  </w14:solidFill>
                </w14:textFill>
              </w:rPr>
              <w:t>2</w:t>
            </w:r>
            <w:r>
              <w:rPr>
                <w:rFonts w:hint="eastAsia"/>
                <w:snapToGrid w:val="0"/>
                <w:color w:val="000000" w:themeColor="text1"/>
                <w:kern w:val="0"/>
                <w14:textFill>
                  <w14:solidFill>
                    <w14:schemeClr w14:val="tx1"/>
                  </w14:solidFill>
                </w14:textFill>
              </w:rPr>
              <w:t>）</w:t>
            </w:r>
          </w:p>
        </w:tc>
      </w:tr>
      <w:tr w14:paraId="735C3C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0C68A398">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N1</w:t>
            </w:r>
          </w:p>
        </w:tc>
        <w:tc>
          <w:tcPr>
            <w:tcW w:w="1071" w:type="pct"/>
            <w:tcBorders>
              <w:tl2br w:val="nil"/>
              <w:tr2bl w:val="nil"/>
            </w:tcBorders>
            <w:noWrap w:val="0"/>
            <w:vAlign w:val="center"/>
          </w:tcPr>
          <w:p w14:paraId="11393EA5">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N46°15.281′</w:t>
            </w:r>
          </w:p>
        </w:tc>
        <w:tc>
          <w:tcPr>
            <w:tcW w:w="912" w:type="pct"/>
            <w:tcBorders>
              <w:tl2br w:val="nil"/>
              <w:tr2bl w:val="nil"/>
            </w:tcBorders>
            <w:noWrap w:val="0"/>
            <w:vAlign w:val="center"/>
          </w:tcPr>
          <w:p w14:paraId="3B515BBD">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E130°30.924′</w:t>
            </w:r>
          </w:p>
        </w:tc>
        <w:tc>
          <w:tcPr>
            <w:tcW w:w="1348" w:type="pct"/>
            <w:tcBorders>
              <w:tl2br w:val="nil"/>
              <w:tr2bl w:val="nil"/>
            </w:tcBorders>
            <w:noWrap w:val="0"/>
            <w:vAlign w:val="center"/>
          </w:tcPr>
          <w:p w14:paraId="4225347A">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半径30m的圆形区域</w:t>
            </w:r>
          </w:p>
        </w:tc>
        <w:tc>
          <w:tcPr>
            <w:tcW w:w="495" w:type="pct"/>
            <w:tcBorders>
              <w:tl2br w:val="nil"/>
              <w:tr2bl w:val="nil"/>
            </w:tcBorders>
            <w:noWrap w:val="0"/>
            <w:vAlign w:val="center"/>
          </w:tcPr>
          <w:p w14:paraId="652C3912">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2827</w:t>
            </w:r>
          </w:p>
        </w:tc>
        <w:tc>
          <w:tcPr>
            <w:tcW w:w="558" w:type="pct"/>
            <w:vMerge w:val="restart"/>
            <w:tcBorders>
              <w:tl2br w:val="nil"/>
              <w:tr2bl w:val="nil"/>
            </w:tcBorders>
            <w:noWrap w:val="0"/>
            <w:vAlign w:val="center"/>
          </w:tcPr>
          <w:p w14:paraId="2032BF9C">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0.022616</w:t>
            </w:r>
          </w:p>
        </w:tc>
      </w:tr>
      <w:tr w14:paraId="65C57F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29C8ABEE">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N2</w:t>
            </w:r>
          </w:p>
        </w:tc>
        <w:tc>
          <w:tcPr>
            <w:tcW w:w="1071" w:type="pct"/>
            <w:tcBorders>
              <w:tl2br w:val="nil"/>
              <w:tr2bl w:val="nil"/>
            </w:tcBorders>
            <w:noWrap w:val="0"/>
            <w:vAlign w:val="center"/>
          </w:tcPr>
          <w:p w14:paraId="0463871B">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N46°15.226′</w:t>
            </w:r>
          </w:p>
        </w:tc>
        <w:tc>
          <w:tcPr>
            <w:tcW w:w="912" w:type="pct"/>
            <w:tcBorders>
              <w:tl2br w:val="nil"/>
              <w:tr2bl w:val="nil"/>
            </w:tcBorders>
            <w:noWrap w:val="0"/>
            <w:vAlign w:val="center"/>
          </w:tcPr>
          <w:p w14:paraId="0FA24330">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E130°30.375′</w:t>
            </w:r>
          </w:p>
        </w:tc>
        <w:tc>
          <w:tcPr>
            <w:tcW w:w="1348" w:type="pct"/>
            <w:tcBorders>
              <w:tl2br w:val="nil"/>
              <w:tr2bl w:val="nil"/>
            </w:tcBorders>
            <w:noWrap w:val="0"/>
            <w:vAlign w:val="center"/>
          </w:tcPr>
          <w:p w14:paraId="5D1D8FC2">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半径30m的圆形区域</w:t>
            </w:r>
          </w:p>
        </w:tc>
        <w:tc>
          <w:tcPr>
            <w:tcW w:w="495" w:type="pct"/>
            <w:tcBorders>
              <w:tl2br w:val="nil"/>
              <w:tr2bl w:val="nil"/>
            </w:tcBorders>
            <w:noWrap w:val="0"/>
            <w:vAlign w:val="center"/>
          </w:tcPr>
          <w:p w14:paraId="67351D7D">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2827</w:t>
            </w:r>
          </w:p>
        </w:tc>
        <w:tc>
          <w:tcPr>
            <w:tcW w:w="558" w:type="pct"/>
            <w:vMerge w:val="continue"/>
            <w:tcBorders>
              <w:tl2br w:val="nil"/>
              <w:tr2bl w:val="nil"/>
            </w:tcBorders>
            <w:noWrap w:val="0"/>
            <w:vAlign w:val="center"/>
          </w:tcPr>
          <w:p w14:paraId="5E0C6AF4">
            <w:pPr>
              <w:jc w:val="center"/>
              <w:rPr>
                <w:rFonts w:hint="eastAsia"/>
              </w:rPr>
            </w:pPr>
          </w:p>
        </w:tc>
      </w:tr>
      <w:tr w14:paraId="674760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2DF5FC72">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N3</w:t>
            </w:r>
          </w:p>
        </w:tc>
        <w:tc>
          <w:tcPr>
            <w:tcW w:w="1071" w:type="pct"/>
            <w:tcBorders>
              <w:tl2br w:val="nil"/>
              <w:tr2bl w:val="nil"/>
            </w:tcBorders>
            <w:noWrap w:val="0"/>
            <w:vAlign w:val="center"/>
          </w:tcPr>
          <w:p w14:paraId="0C396BBF">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N46°15.147′</w:t>
            </w:r>
          </w:p>
        </w:tc>
        <w:tc>
          <w:tcPr>
            <w:tcW w:w="912" w:type="pct"/>
            <w:tcBorders>
              <w:tl2br w:val="nil"/>
              <w:tr2bl w:val="nil"/>
            </w:tcBorders>
            <w:noWrap w:val="0"/>
            <w:vAlign w:val="center"/>
          </w:tcPr>
          <w:p w14:paraId="43528346">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E130°29.911′</w:t>
            </w:r>
          </w:p>
        </w:tc>
        <w:tc>
          <w:tcPr>
            <w:tcW w:w="1348" w:type="pct"/>
            <w:tcBorders>
              <w:tl2br w:val="nil"/>
              <w:tr2bl w:val="nil"/>
            </w:tcBorders>
            <w:noWrap w:val="0"/>
            <w:vAlign w:val="center"/>
          </w:tcPr>
          <w:p w14:paraId="3A5C8E09">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半径30m的圆形区域</w:t>
            </w:r>
          </w:p>
        </w:tc>
        <w:tc>
          <w:tcPr>
            <w:tcW w:w="495" w:type="pct"/>
            <w:tcBorders>
              <w:tl2br w:val="nil"/>
              <w:tr2bl w:val="nil"/>
            </w:tcBorders>
            <w:noWrap w:val="0"/>
            <w:vAlign w:val="center"/>
          </w:tcPr>
          <w:p w14:paraId="2FD8C6D0">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2827</w:t>
            </w:r>
          </w:p>
        </w:tc>
        <w:tc>
          <w:tcPr>
            <w:tcW w:w="558" w:type="pct"/>
            <w:vMerge w:val="continue"/>
            <w:tcBorders>
              <w:tl2br w:val="nil"/>
              <w:tr2bl w:val="nil"/>
            </w:tcBorders>
            <w:noWrap w:val="0"/>
            <w:vAlign w:val="center"/>
          </w:tcPr>
          <w:p w14:paraId="4D01B505">
            <w:pPr>
              <w:jc w:val="center"/>
              <w:rPr>
                <w:rFonts w:hint="eastAsia"/>
              </w:rPr>
            </w:pPr>
          </w:p>
        </w:tc>
      </w:tr>
      <w:tr w14:paraId="13DEC8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4DB314F5">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w:t>
            </w:r>
          </w:p>
        </w:tc>
        <w:tc>
          <w:tcPr>
            <w:tcW w:w="1071" w:type="pct"/>
            <w:tcBorders>
              <w:tl2br w:val="nil"/>
              <w:tr2bl w:val="nil"/>
            </w:tcBorders>
            <w:noWrap w:val="0"/>
            <w:vAlign w:val="center"/>
          </w:tcPr>
          <w:p w14:paraId="1EE9B4CA">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N46°15.062′</w:t>
            </w:r>
          </w:p>
        </w:tc>
        <w:tc>
          <w:tcPr>
            <w:tcW w:w="912" w:type="pct"/>
            <w:tcBorders>
              <w:tl2br w:val="nil"/>
              <w:tr2bl w:val="nil"/>
            </w:tcBorders>
            <w:noWrap w:val="0"/>
            <w:vAlign w:val="center"/>
          </w:tcPr>
          <w:p w14:paraId="0748FBCA">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E130°29.456′</w:t>
            </w:r>
          </w:p>
        </w:tc>
        <w:tc>
          <w:tcPr>
            <w:tcW w:w="1348" w:type="pct"/>
            <w:tcBorders>
              <w:tl2br w:val="nil"/>
              <w:tr2bl w:val="nil"/>
            </w:tcBorders>
            <w:noWrap w:val="0"/>
            <w:vAlign w:val="center"/>
          </w:tcPr>
          <w:p w14:paraId="4782207C">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半径30m的圆形区域</w:t>
            </w:r>
          </w:p>
        </w:tc>
        <w:tc>
          <w:tcPr>
            <w:tcW w:w="495" w:type="pct"/>
            <w:tcBorders>
              <w:tl2br w:val="nil"/>
              <w:tr2bl w:val="nil"/>
            </w:tcBorders>
            <w:noWrap w:val="0"/>
            <w:vAlign w:val="center"/>
          </w:tcPr>
          <w:p w14:paraId="73F0753E">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2827</w:t>
            </w:r>
          </w:p>
        </w:tc>
        <w:tc>
          <w:tcPr>
            <w:tcW w:w="558" w:type="pct"/>
            <w:vMerge w:val="continue"/>
            <w:tcBorders>
              <w:tl2br w:val="nil"/>
              <w:tr2bl w:val="nil"/>
            </w:tcBorders>
            <w:noWrap w:val="0"/>
            <w:vAlign w:val="center"/>
          </w:tcPr>
          <w:p w14:paraId="28083813">
            <w:pPr>
              <w:jc w:val="center"/>
              <w:rPr>
                <w:rFonts w:hint="eastAsia"/>
              </w:rPr>
            </w:pPr>
          </w:p>
        </w:tc>
      </w:tr>
      <w:tr w14:paraId="3492C4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4712C48B">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S1</w:t>
            </w:r>
          </w:p>
        </w:tc>
        <w:tc>
          <w:tcPr>
            <w:tcW w:w="1071" w:type="pct"/>
            <w:tcBorders>
              <w:tl2br w:val="nil"/>
              <w:tr2bl w:val="nil"/>
            </w:tcBorders>
            <w:noWrap w:val="0"/>
            <w:vAlign w:val="center"/>
          </w:tcPr>
          <w:p w14:paraId="29A225F0">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N46°14.935′</w:t>
            </w:r>
          </w:p>
        </w:tc>
        <w:tc>
          <w:tcPr>
            <w:tcW w:w="912" w:type="pct"/>
            <w:tcBorders>
              <w:tl2br w:val="nil"/>
              <w:tr2bl w:val="nil"/>
            </w:tcBorders>
            <w:noWrap w:val="0"/>
            <w:vAlign w:val="center"/>
          </w:tcPr>
          <w:p w14:paraId="247238BB">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E130°30.997′</w:t>
            </w:r>
          </w:p>
        </w:tc>
        <w:tc>
          <w:tcPr>
            <w:tcW w:w="1348" w:type="pct"/>
            <w:tcBorders>
              <w:tl2br w:val="nil"/>
              <w:tr2bl w:val="nil"/>
            </w:tcBorders>
            <w:noWrap w:val="0"/>
            <w:vAlign w:val="center"/>
          </w:tcPr>
          <w:p w14:paraId="0A7F9A51">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半径30m的圆形区域</w:t>
            </w:r>
          </w:p>
        </w:tc>
        <w:tc>
          <w:tcPr>
            <w:tcW w:w="495" w:type="pct"/>
            <w:tcBorders>
              <w:tl2br w:val="nil"/>
              <w:tr2bl w:val="nil"/>
            </w:tcBorders>
            <w:noWrap w:val="0"/>
            <w:vAlign w:val="center"/>
          </w:tcPr>
          <w:p w14:paraId="2CF0BA8C">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2827</w:t>
            </w:r>
          </w:p>
        </w:tc>
        <w:tc>
          <w:tcPr>
            <w:tcW w:w="558" w:type="pct"/>
            <w:vMerge w:val="continue"/>
            <w:tcBorders>
              <w:tl2br w:val="nil"/>
              <w:tr2bl w:val="nil"/>
            </w:tcBorders>
            <w:noWrap w:val="0"/>
            <w:vAlign w:val="center"/>
          </w:tcPr>
          <w:p w14:paraId="1193D62D">
            <w:pPr>
              <w:jc w:val="center"/>
              <w:rPr>
                <w:rFonts w:hint="eastAsia"/>
              </w:rPr>
            </w:pPr>
          </w:p>
        </w:tc>
      </w:tr>
      <w:tr w14:paraId="72C889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47F2C470">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S2</w:t>
            </w:r>
          </w:p>
        </w:tc>
        <w:tc>
          <w:tcPr>
            <w:tcW w:w="1071" w:type="pct"/>
            <w:tcBorders>
              <w:tl2br w:val="nil"/>
              <w:tr2bl w:val="nil"/>
            </w:tcBorders>
            <w:noWrap w:val="0"/>
            <w:vAlign w:val="center"/>
          </w:tcPr>
          <w:p w14:paraId="58DB44CD">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N46°14.878′</w:t>
            </w:r>
          </w:p>
        </w:tc>
        <w:tc>
          <w:tcPr>
            <w:tcW w:w="912" w:type="pct"/>
            <w:tcBorders>
              <w:tl2br w:val="nil"/>
              <w:tr2bl w:val="nil"/>
            </w:tcBorders>
            <w:noWrap w:val="0"/>
            <w:vAlign w:val="center"/>
          </w:tcPr>
          <w:p w14:paraId="143E7AD8">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E130°30.447′</w:t>
            </w:r>
          </w:p>
        </w:tc>
        <w:tc>
          <w:tcPr>
            <w:tcW w:w="1348" w:type="pct"/>
            <w:tcBorders>
              <w:tl2br w:val="nil"/>
              <w:tr2bl w:val="nil"/>
            </w:tcBorders>
            <w:noWrap w:val="0"/>
            <w:vAlign w:val="center"/>
          </w:tcPr>
          <w:p w14:paraId="0C017310">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半径30m的圆形区域</w:t>
            </w:r>
          </w:p>
        </w:tc>
        <w:tc>
          <w:tcPr>
            <w:tcW w:w="495" w:type="pct"/>
            <w:tcBorders>
              <w:tl2br w:val="nil"/>
              <w:tr2bl w:val="nil"/>
            </w:tcBorders>
            <w:noWrap w:val="0"/>
            <w:vAlign w:val="center"/>
          </w:tcPr>
          <w:p w14:paraId="354A062E">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2827</w:t>
            </w:r>
          </w:p>
        </w:tc>
        <w:tc>
          <w:tcPr>
            <w:tcW w:w="558" w:type="pct"/>
            <w:vMerge w:val="continue"/>
            <w:tcBorders>
              <w:tl2br w:val="nil"/>
              <w:tr2bl w:val="nil"/>
            </w:tcBorders>
            <w:noWrap w:val="0"/>
            <w:vAlign w:val="center"/>
          </w:tcPr>
          <w:p w14:paraId="105D85C8">
            <w:pPr>
              <w:jc w:val="center"/>
              <w:rPr>
                <w:rFonts w:hint="eastAsia"/>
              </w:rPr>
            </w:pPr>
          </w:p>
        </w:tc>
      </w:tr>
      <w:tr w14:paraId="137ED1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46C00273">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S3</w:t>
            </w:r>
          </w:p>
        </w:tc>
        <w:tc>
          <w:tcPr>
            <w:tcW w:w="1071" w:type="pct"/>
            <w:tcBorders>
              <w:tl2br w:val="nil"/>
              <w:tr2bl w:val="nil"/>
            </w:tcBorders>
            <w:noWrap w:val="0"/>
            <w:vAlign w:val="center"/>
          </w:tcPr>
          <w:p w14:paraId="34235CDF">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N46°14.804′</w:t>
            </w:r>
          </w:p>
        </w:tc>
        <w:tc>
          <w:tcPr>
            <w:tcW w:w="912" w:type="pct"/>
            <w:tcBorders>
              <w:tl2br w:val="nil"/>
              <w:tr2bl w:val="nil"/>
            </w:tcBorders>
            <w:noWrap w:val="0"/>
            <w:vAlign w:val="center"/>
          </w:tcPr>
          <w:p w14:paraId="433856D1">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E130°29.998′</w:t>
            </w:r>
          </w:p>
        </w:tc>
        <w:tc>
          <w:tcPr>
            <w:tcW w:w="1348" w:type="pct"/>
            <w:tcBorders>
              <w:tl2br w:val="nil"/>
              <w:tr2bl w:val="nil"/>
            </w:tcBorders>
            <w:noWrap w:val="0"/>
            <w:vAlign w:val="center"/>
          </w:tcPr>
          <w:p w14:paraId="56BACDF7">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半径30m的圆形区域</w:t>
            </w:r>
          </w:p>
        </w:tc>
        <w:tc>
          <w:tcPr>
            <w:tcW w:w="495" w:type="pct"/>
            <w:tcBorders>
              <w:tl2br w:val="nil"/>
              <w:tr2bl w:val="nil"/>
            </w:tcBorders>
            <w:noWrap w:val="0"/>
            <w:vAlign w:val="center"/>
          </w:tcPr>
          <w:p w14:paraId="6F507203">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2827</w:t>
            </w:r>
          </w:p>
        </w:tc>
        <w:tc>
          <w:tcPr>
            <w:tcW w:w="558" w:type="pct"/>
            <w:vMerge w:val="continue"/>
            <w:tcBorders>
              <w:tl2br w:val="nil"/>
              <w:tr2bl w:val="nil"/>
            </w:tcBorders>
            <w:noWrap w:val="0"/>
            <w:vAlign w:val="center"/>
          </w:tcPr>
          <w:p w14:paraId="0DC274CE">
            <w:pPr>
              <w:jc w:val="center"/>
              <w:rPr>
                <w:rFonts w:hint="eastAsia"/>
              </w:rPr>
            </w:pPr>
          </w:p>
        </w:tc>
      </w:tr>
      <w:tr w14:paraId="4E20A2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12" w:type="pct"/>
            <w:tcBorders>
              <w:tl2br w:val="nil"/>
              <w:tr2bl w:val="nil"/>
            </w:tcBorders>
            <w:noWrap w:val="0"/>
            <w:vAlign w:val="center"/>
          </w:tcPr>
          <w:p w14:paraId="148E8364">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S4</w:t>
            </w:r>
          </w:p>
        </w:tc>
        <w:tc>
          <w:tcPr>
            <w:tcW w:w="1071" w:type="pct"/>
            <w:tcBorders>
              <w:tl2br w:val="nil"/>
              <w:tr2bl w:val="nil"/>
            </w:tcBorders>
            <w:noWrap w:val="0"/>
            <w:vAlign w:val="center"/>
          </w:tcPr>
          <w:p w14:paraId="55E67966">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N46°14.731′</w:t>
            </w:r>
          </w:p>
        </w:tc>
        <w:tc>
          <w:tcPr>
            <w:tcW w:w="912" w:type="pct"/>
            <w:tcBorders>
              <w:tl2br w:val="nil"/>
              <w:tr2bl w:val="nil"/>
            </w:tcBorders>
            <w:noWrap w:val="0"/>
            <w:vAlign w:val="center"/>
          </w:tcPr>
          <w:p w14:paraId="332AB505">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E130°29.551′</w:t>
            </w:r>
          </w:p>
        </w:tc>
        <w:tc>
          <w:tcPr>
            <w:tcW w:w="1348" w:type="pct"/>
            <w:tcBorders>
              <w:tl2br w:val="nil"/>
              <w:tr2bl w:val="nil"/>
            </w:tcBorders>
            <w:noWrap w:val="0"/>
            <w:vAlign w:val="center"/>
          </w:tcPr>
          <w:p w14:paraId="54AB40A2">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半径30m的圆形区域</w:t>
            </w:r>
          </w:p>
        </w:tc>
        <w:tc>
          <w:tcPr>
            <w:tcW w:w="495" w:type="pct"/>
            <w:tcBorders>
              <w:tl2br w:val="nil"/>
              <w:tr2bl w:val="nil"/>
            </w:tcBorders>
            <w:noWrap w:val="0"/>
            <w:vAlign w:val="center"/>
          </w:tcPr>
          <w:p w14:paraId="4DEB5E78">
            <w:pPr>
              <w:pStyle w:val="143"/>
              <w:jc w:val="center"/>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2827</w:t>
            </w:r>
          </w:p>
        </w:tc>
        <w:tc>
          <w:tcPr>
            <w:tcW w:w="558" w:type="pct"/>
            <w:vMerge w:val="continue"/>
            <w:tcBorders>
              <w:tl2br w:val="nil"/>
              <w:tr2bl w:val="nil"/>
            </w:tcBorders>
            <w:noWrap w:val="0"/>
            <w:vAlign w:val="center"/>
          </w:tcPr>
          <w:p w14:paraId="370A908A">
            <w:pPr>
              <w:jc w:val="center"/>
              <w:rPr>
                <w:rFonts w:hint="eastAsia"/>
              </w:rPr>
            </w:pPr>
          </w:p>
        </w:tc>
      </w:tr>
    </w:tbl>
    <w:p w14:paraId="1E74CC16">
      <w:pPr>
        <w:adjustRightInd/>
        <w:snapToGrid/>
        <w:spacing w:line="360" w:lineRule="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二级保护区：不设二级保护区。</w:t>
      </w:r>
    </w:p>
    <w:p w14:paraId="79E685CC">
      <w:pPr>
        <w:adjustRightInd/>
        <w:snapToGrid/>
        <w:spacing w:line="360" w:lineRule="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准保护区：在饮用水水源地的补给区设立准保护区，即在水源地北侧八虎力河高漫滩及部分一级阶地区设立准保护区，陆域红线范围为A1-A13，准保护区东侧边界为201国道，即201国道与八虎力河交汇点（A1）至201国道与永福村东侧电力线交点（A2）；南侧边界为永福村东侧电力线至拐点（A3）后沿永福村南侧至其西侧小路，后沿小路向西经小路拐点A4、A5、A6、A7、A8、A9至十字路口（A10）；西侧边界为十字路口（A10）向北经小路拐点A11、A12至八虎力河（A13）；北侧边界为八虎力河（A13-A1）。准保护区陆域面积约3.69平方公里。</w:t>
      </w:r>
    </w:p>
    <w:p w14:paraId="6A270057">
      <w:pPr>
        <w:spacing w:line="360" w:lineRule="auto"/>
        <w:ind w:left="-2" w:leftChars="-1" w:firstLine="1"/>
        <w:jc w:val="left"/>
        <w:rPr>
          <w:rFonts w:hint="eastAsia"/>
          <w:sz w:val="24"/>
        </w:rPr>
      </w:pPr>
      <w:r>
        <w:rPr>
          <w:rFonts w:hint="eastAsia"/>
          <w:sz w:val="24"/>
          <w:lang w:eastAsia="zh-CN"/>
        </w:rPr>
        <w:t>（</w:t>
      </w:r>
      <w:r>
        <w:rPr>
          <w:rFonts w:hint="eastAsia"/>
          <w:sz w:val="24"/>
          <w:lang w:val="en-US" w:eastAsia="zh-CN"/>
        </w:rPr>
        <w:t>3</w:t>
      </w:r>
      <w:r>
        <w:rPr>
          <w:rFonts w:hint="eastAsia"/>
          <w:sz w:val="24"/>
          <w:lang w:eastAsia="zh-CN"/>
        </w:rPr>
        <w:t>）</w:t>
      </w:r>
      <w:r>
        <w:rPr>
          <w:rFonts w:ascii="Times New Roman" w:eastAsia="宋体"/>
          <w:kern w:val="2"/>
        </w:rPr>
        <w:t>本</w:t>
      </w:r>
      <w:r>
        <w:rPr>
          <w:rFonts w:hint="eastAsia" w:ascii="Times New Roman" w:eastAsia="宋体"/>
          <w:kern w:val="2"/>
          <w:lang w:val="en-US" w:eastAsia="zh-CN"/>
        </w:rPr>
        <w:t>项目</w:t>
      </w:r>
      <w:r>
        <w:rPr>
          <w:rFonts w:ascii="Times New Roman" w:eastAsia="宋体"/>
          <w:kern w:val="2"/>
        </w:rPr>
        <w:t>与饮用水源保护区区位关系</w:t>
      </w:r>
    </w:p>
    <w:p w14:paraId="2FADB3C6">
      <w:pPr>
        <w:ind w:left="-2" w:leftChars="-1" w:firstLine="1"/>
        <w:jc w:val="both"/>
        <w:rPr>
          <w:rFonts w:hint="default" w:eastAsia="宋体"/>
          <w:sz w:val="24"/>
          <w:lang w:val="en-US" w:eastAsia="zh-CN"/>
        </w:rPr>
      </w:pPr>
      <w:r>
        <w:rPr>
          <w:rFonts w:hint="eastAsia"/>
          <w:sz w:val="24"/>
        </w:rPr>
        <w:t>本项目</w:t>
      </w:r>
      <w:r>
        <w:rPr>
          <w:rFonts w:hint="eastAsia"/>
          <w:sz w:val="24"/>
          <w:lang w:val="en-US" w:eastAsia="zh-CN"/>
        </w:rPr>
        <w:t>位于</w:t>
      </w:r>
      <w:r>
        <w:rPr>
          <w:rFonts w:hint="eastAsia" w:ascii="Times New Roman" w:hAnsi="Times New Roman" w:eastAsia="宋体" w:cs="Times New Roman"/>
          <w:b w:val="0"/>
          <w:bCs/>
          <w:color w:val="auto"/>
          <w:kern w:val="0"/>
          <w:szCs w:val="20"/>
          <w:highlight w:val="none"/>
          <w:lang w:val="en-US" w:eastAsia="zh-CN"/>
        </w:rPr>
        <w:t>桦</w:t>
      </w:r>
      <w:r>
        <w:rPr>
          <w:rFonts w:hint="eastAsia" w:eastAsia="宋体" w:cs="Times New Roman"/>
          <w:b w:val="0"/>
          <w:bCs/>
          <w:color w:val="auto"/>
          <w:kern w:val="0"/>
          <w:szCs w:val="20"/>
          <w:highlight w:val="none"/>
          <w:lang w:val="en-US" w:eastAsia="zh-CN"/>
        </w:rPr>
        <w:t>南</w:t>
      </w:r>
      <w:r>
        <w:rPr>
          <w:rFonts w:hint="eastAsia" w:ascii="Times New Roman" w:hAnsi="Times New Roman" w:eastAsia="宋体" w:cs="Times New Roman"/>
          <w:b w:val="0"/>
          <w:bCs/>
          <w:color w:val="auto"/>
          <w:kern w:val="0"/>
          <w:szCs w:val="20"/>
          <w:highlight w:val="none"/>
          <w:lang w:val="en-US" w:eastAsia="zh-CN"/>
        </w:rPr>
        <w:t>县饮用水水源</w:t>
      </w:r>
      <w:r>
        <w:rPr>
          <w:rFonts w:hint="eastAsia" w:cs="Times New Roman"/>
          <w:b w:val="0"/>
          <w:bCs/>
          <w:color w:val="auto"/>
          <w:kern w:val="0"/>
          <w:szCs w:val="20"/>
          <w:highlight w:val="none"/>
          <w:lang w:val="en-US" w:eastAsia="zh-CN"/>
        </w:rPr>
        <w:t>保护区一级保护区东北</w:t>
      </w:r>
      <w:r>
        <w:rPr>
          <w:rFonts w:hint="eastAsia"/>
          <w:sz w:val="24"/>
        </w:rPr>
        <w:t>侧，距离最近</w:t>
      </w:r>
      <w:r>
        <w:rPr>
          <w:rFonts w:hint="eastAsia"/>
          <w:sz w:val="24"/>
          <w:lang w:val="en-US" w:eastAsia="zh-CN"/>
        </w:rPr>
        <w:t>一级保护区距离为4.12</w:t>
      </w:r>
      <w:r>
        <w:rPr>
          <w:rFonts w:hint="eastAsia"/>
          <w:sz w:val="24"/>
        </w:rPr>
        <w:t>km</w:t>
      </w:r>
      <w:r>
        <w:rPr>
          <w:rFonts w:hint="eastAsia"/>
          <w:sz w:val="24"/>
          <w:lang w:eastAsia="zh-CN"/>
        </w:rPr>
        <w:t>。</w:t>
      </w:r>
      <w:r>
        <w:rPr>
          <w:rFonts w:hint="eastAsia"/>
          <w:sz w:val="24"/>
        </w:rPr>
        <w:t>本项目</w:t>
      </w:r>
      <w:r>
        <w:rPr>
          <w:rFonts w:hint="eastAsia"/>
          <w:sz w:val="24"/>
          <w:lang w:val="en-US" w:eastAsia="zh-CN"/>
        </w:rPr>
        <w:t>位于</w:t>
      </w:r>
      <w:r>
        <w:rPr>
          <w:rFonts w:hint="eastAsia" w:ascii="Times New Roman" w:hAnsi="Times New Roman" w:eastAsia="宋体" w:cs="Times New Roman"/>
          <w:b w:val="0"/>
          <w:bCs/>
          <w:color w:val="auto"/>
          <w:kern w:val="0"/>
          <w:szCs w:val="20"/>
          <w:highlight w:val="none"/>
          <w:lang w:val="en-US" w:eastAsia="zh-CN"/>
        </w:rPr>
        <w:t>桦</w:t>
      </w:r>
      <w:r>
        <w:rPr>
          <w:rFonts w:hint="eastAsia" w:eastAsia="宋体" w:cs="Times New Roman"/>
          <w:b w:val="0"/>
          <w:bCs/>
          <w:color w:val="auto"/>
          <w:kern w:val="0"/>
          <w:szCs w:val="20"/>
          <w:highlight w:val="none"/>
          <w:lang w:val="en-US" w:eastAsia="zh-CN"/>
        </w:rPr>
        <w:t>南</w:t>
      </w:r>
      <w:r>
        <w:rPr>
          <w:rFonts w:hint="eastAsia" w:ascii="Times New Roman" w:hAnsi="Times New Roman" w:eastAsia="宋体" w:cs="Times New Roman"/>
          <w:b w:val="0"/>
          <w:bCs/>
          <w:color w:val="auto"/>
          <w:kern w:val="0"/>
          <w:szCs w:val="20"/>
          <w:highlight w:val="none"/>
          <w:lang w:val="en-US" w:eastAsia="zh-CN"/>
        </w:rPr>
        <w:t>县饮用水水源</w:t>
      </w:r>
      <w:r>
        <w:rPr>
          <w:rFonts w:hint="eastAsia" w:cs="Times New Roman"/>
          <w:b w:val="0"/>
          <w:bCs/>
          <w:color w:val="auto"/>
          <w:kern w:val="0"/>
          <w:szCs w:val="20"/>
          <w:highlight w:val="none"/>
          <w:lang w:val="en-US" w:eastAsia="zh-CN"/>
        </w:rPr>
        <w:t>保护区准保护区东</w:t>
      </w:r>
      <w:r>
        <w:rPr>
          <w:rFonts w:hint="eastAsia"/>
          <w:sz w:val="24"/>
        </w:rPr>
        <w:t>侧，</w:t>
      </w:r>
      <w:r>
        <w:rPr>
          <w:rFonts w:hint="eastAsia"/>
          <w:sz w:val="24"/>
          <w:lang w:val="en-US" w:eastAsia="zh-CN"/>
        </w:rPr>
        <w:t>距离</w:t>
      </w:r>
      <w:r>
        <w:rPr>
          <w:rFonts w:hint="eastAsia"/>
          <w:snapToGrid w:val="0"/>
          <w:color w:val="000000" w:themeColor="text1"/>
          <w:lang w:val="en-US" w:eastAsia="zh-CN"/>
          <w14:textFill>
            <w14:solidFill>
              <w14:schemeClr w14:val="tx1"/>
            </w14:solidFill>
          </w14:textFill>
        </w:rPr>
        <w:t>准保护区</w:t>
      </w:r>
      <w:r>
        <w:rPr>
          <w:rFonts w:hint="eastAsia"/>
          <w:sz w:val="24"/>
        </w:rPr>
        <w:t>最近</w:t>
      </w:r>
      <w:r>
        <w:rPr>
          <w:rFonts w:hint="eastAsia"/>
          <w:sz w:val="24"/>
          <w:lang w:val="en-US" w:eastAsia="zh-CN"/>
        </w:rPr>
        <w:t>距离为3.25km。</w:t>
      </w:r>
    </w:p>
    <w:p w14:paraId="47EAB2F3">
      <w:pPr>
        <w:ind w:left="-2" w:leftChars="-1" w:firstLine="1"/>
        <w:jc w:val="center"/>
        <w:rPr>
          <w:rFonts w:hint="eastAsia"/>
          <w:sz w:val="28"/>
          <w:szCs w:val="28"/>
        </w:rPr>
      </w:pPr>
    </w:p>
    <w:p w14:paraId="3AABCFFC">
      <w:pPr>
        <w:ind w:left="-2" w:leftChars="-1" w:firstLine="1"/>
        <w:jc w:val="center"/>
        <w:rPr>
          <w:rFonts w:hint="eastAsia"/>
          <w:sz w:val="28"/>
          <w:szCs w:val="28"/>
        </w:rPr>
      </w:pPr>
    </w:p>
    <w:p w14:paraId="188E96F7">
      <w:pPr>
        <w:ind w:left="-2" w:leftChars="-1" w:firstLine="1"/>
        <w:jc w:val="center"/>
        <w:rPr>
          <w:rFonts w:hint="eastAsia"/>
          <w:sz w:val="28"/>
          <w:szCs w:val="28"/>
        </w:rPr>
      </w:pPr>
    </w:p>
    <w:p w14:paraId="5C08BDD9">
      <w:pPr>
        <w:ind w:left="-2" w:leftChars="-1" w:firstLine="1"/>
        <w:jc w:val="center"/>
        <w:rPr>
          <w:rFonts w:hint="eastAsia"/>
          <w:sz w:val="28"/>
          <w:szCs w:val="28"/>
        </w:rPr>
      </w:pPr>
    </w:p>
    <w:p w14:paraId="0D64B5E2">
      <w:pPr>
        <w:ind w:left="-2" w:leftChars="-1" w:firstLine="1"/>
        <w:jc w:val="center"/>
        <w:rPr>
          <w:rFonts w:hint="eastAsia"/>
          <w:sz w:val="28"/>
          <w:szCs w:val="28"/>
        </w:rPr>
      </w:pPr>
    </w:p>
    <w:p w14:paraId="063D07D2">
      <w:pPr>
        <w:ind w:left="-2" w:leftChars="-1" w:firstLine="1"/>
        <w:jc w:val="center"/>
        <w:rPr>
          <w:rFonts w:hint="eastAsia"/>
          <w:sz w:val="28"/>
          <w:szCs w:val="28"/>
        </w:rPr>
      </w:pPr>
    </w:p>
    <w:p w14:paraId="4A3DC1C0">
      <w:pPr>
        <w:ind w:left="-2" w:leftChars="-1" w:firstLine="1"/>
        <w:jc w:val="center"/>
        <w:rPr>
          <w:rFonts w:hint="eastAsia"/>
          <w:sz w:val="28"/>
          <w:szCs w:val="28"/>
        </w:rPr>
      </w:pPr>
    </w:p>
    <w:p w14:paraId="53BC3AB5">
      <w:pPr>
        <w:ind w:left="-2" w:leftChars="-1" w:firstLine="1"/>
        <w:jc w:val="center"/>
        <w:rPr>
          <w:rFonts w:hint="eastAsia"/>
          <w:sz w:val="28"/>
          <w:szCs w:val="28"/>
        </w:rPr>
      </w:pPr>
    </w:p>
    <w:p w14:paraId="73B48F49">
      <w:pPr>
        <w:ind w:left="-2" w:leftChars="-1" w:firstLine="1"/>
        <w:jc w:val="center"/>
        <w:rPr>
          <w:rFonts w:hint="eastAsia"/>
          <w:sz w:val="28"/>
          <w:szCs w:val="28"/>
        </w:rPr>
      </w:pPr>
    </w:p>
    <w:p w14:paraId="49230301">
      <w:pPr>
        <w:ind w:left="-2" w:leftChars="-1" w:firstLine="1"/>
        <w:jc w:val="center"/>
        <w:rPr>
          <w:rFonts w:hint="eastAsia"/>
          <w:sz w:val="28"/>
          <w:szCs w:val="28"/>
        </w:rPr>
      </w:pPr>
    </w:p>
    <w:p w14:paraId="389BDB3C">
      <w:pPr>
        <w:ind w:left="-2" w:leftChars="-1" w:firstLine="1"/>
        <w:jc w:val="center"/>
        <w:rPr>
          <w:rFonts w:hint="eastAsia"/>
          <w:sz w:val="28"/>
          <w:szCs w:val="28"/>
        </w:rPr>
      </w:pPr>
    </w:p>
    <w:p w14:paraId="4990ED9A">
      <w:pPr>
        <w:ind w:left="-2" w:leftChars="-1" w:firstLine="1"/>
        <w:jc w:val="center"/>
        <w:rPr>
          <w:rFonts w:hint="eastAsia"/>
          <w:sz w:val="28"/>
          <w:szCs w:val="28"/>
        </w:rPr>
      </w:pPr>
    </w:p>
    <w:p w14:paraId="369F4321">
      <w:pPr>
        <w:ind w:left="-2" w:leftChars="-1" w:firstLine="1"/>
        <w:jc w:val="center"/>
        <w:rPr>
          <w:rFonts w:hint="eastAsia"/>
          <w:sz w:val="28"/>
          <w:szCs w:val="28"/>
        </w:rPr>
      </w:pPr>
    </w:p>
    <w:p w14:paraId="1BC1F66A">
      <w:pPr>
        <w:ind w:left="-2" w:leftChars="-1" w:firstLine="1"/>
        <w:jc w:val="center"/>
        <w:rPr>
          <w:rFonts w:hint="eastAsia"/>
          <w:sz w:val="24"/>
        </w:rPr>
      </w:pPr>
      <w:r>
        <w:rPr>
          <w:sz w:val="24"/>
        </w:rPr>
        <w:drawing>
          <wp:anchor distT="0" distB="0" distL="114300" distR="114300" simplePos="0" relativeHeight="251755520" behindDoc="0" locked="0" layoutInCell="1" allowOverlap="1">
            <wp:simplePos x="0" y="0"/>
            <wp:positionH relativeFrom="column">
              <wp:posOffset>11430</wp:posOffset>
            </wp:positionH>
            <wp:positionV relativeFrom="paragraph">
              <wp:posOffset>8255</wp:posOffset>
            </wp:positionV>
            <wp:extent cx="5308600" cy="6075680"/>
            <wp:effectExtent l="0" t="0" r="6350" b="1270"/>
            <wp:wrapNone/>
            <wp:docPr id="142" name="图片 37"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37" descr="NONAME"/>
                    <pic:cNvPicPr>
                      <a:picLocks noChangeAspect="1"/>
                    </pic:cNvPicPr>
                  </pic:nvPicPr>
                  <pic:blipFill>
                    <a:blip r:embed="rId32"/>
                    <a:srcRect l="7123" t="12949" r="53880" b="21016"/>
                    <a:stretch>
                      <a:fillRect/>
                    </a:stretch>
                  </pic:blipFill>
                  <pic:spPr>
                    <a:xfrm>
                      <a:off x="0" y="0"/>
                      <a:ext cx="5308600" cy="6075680"/>
                    </a:xfrm>
                    <a:prstGeom prst="rect">
                      <a:avLst/>
                    </a:prstGeom>
                    <a:noFill/>
                    <a:ln>
                      <a:noFill/>
                    </a:ln>
                  </pic:spPr>
                </pic:pic>
              </a:graphicData>
            </a:graphic>
          </wp:anchor>
        </w:drawing>
      </w:r>
    </w:p>
    <w:p w14:paraId="46AC9D62">
      <w:pPr>
        <w:ind w:left="-2" w:leftChars="-1" w:firstLine="1"/>
        <w:jc w:val="center"/>
        <w:rPr>
          <w:rFonts w:hint="eastAsia"/>
          <w:sz w:val="24"/>
        </w:rPr>
      </w:pPr>
    </w:p>
    <w:p w14:paraId="145D17D8">
      <w:pPr>
        <w:pStyle w:val="2"/>
        <w:rPr>
          <w:rFonts w:hint="eastAsia"/>
          <w:sz w:val="24"/>
        </w:rPr>
      </w:pPr>
    </w:p>
    <w:p w14:paraId="50D26505">
      <w:pPr>
        <w:rPr>
          <w:rFonts w:hint="eastAsia"/>
          <w:sz w:val="24"/>
        </w:rPr>
      </w:pPr>
    </w:p>
    <w:p w14:paraId="0EC4C478">
      <w:pPr>
        <w:pStyle w:val="2"/>
        <w:rPr>
          <w:rFonts w:hint="eastAsia"/>
          <w:sz w:val="24"/>
        </w:rPr>
      </w:pPr>
    </w:p>
    <w:p w14:paraId="52488EAD">
      <w:pPr>
        <w:rPr>
          <w:rFonts w:hint="eastAsia"/>
          <w:sz w:val="24"/>
        </w:rPr>
      </w:pPr>
    </w:p>
    <w:p w14:paraId="620198A5">
      <w:pPr>
        <w:pStyle w:val="2"/>
        <w:rPr>
          <w:rFonts w:hint="eastAsia"/>
          <w:sz w:val="24"/>
        </w:rPr>
      </w:pPr>
    </w:p>
    <w:p w14:paraId="7BF4BEE0">
      <w:pPr>
        <w:rPr>
          <w:rFonts w:hint="eastAsia"/>
          <w:sz w:val="24"/>
        </w:rPr>
      </w:pPr>
    </w:p>
    <w:p w14:paraId="06FE3411">
      <w:pPr>
        <w:pStyle w:val="2"/>
        <w:rPr>
          <w:rFonts w:hint="eastAsia"/>
          <w:sz w:val="24"/>
        </w:rPr>
      </w:pPr>
    </w:p>
    <w:p w14:paraId="26D39FD2">
      <w:pPr>
        <w:rPr>
          <w:rFonts w:hint="eastAsia"/>
          <w:sz w:val="24"/>
        </w:rPr>
      </w:pPr>
    </w:p>
    <w:p w14:paraId="40D4A630">
      <w:pPr>
        <w:pStyle w:val="2"/>
        <w:rPr>
          <w:rFonts w:hint="eastAsia"/>
          <w:sz w:val="24"/>
        </w:rPr>
      </w:pPr>
    </w:p>
    <w:p w14:paraId="4DFB6DFD">
      <w:pPr>
        <w:rPr>
          <w:rFonts w:hint="eastAsia"/>
          <w:sz w:val="24"/>
        </w:rPr>
      </w:pPr>
    </w:p>
    <w:p w14:paraId="731DC1C6">
      <w:pPr>
        <w:pStyle w:val="2"/>
        <w:rPr>
          <w:rFonts w:hint="eastAsia"/>
          <w:sz w:val="24"/>
        </w:rPr>
      </w:pPr>
    </w:p>
    <w:p w14:paraId="5C53AA41">
      <w:pPr>
        <w:rPr>
          <w:rFonts w:hint="eastAsia"/>
        </w:rPr>
      </w:pPr>
    </w:p>
    <w:p w14:paraId="4BC4C381">
      <w:pPr>
        <w:rPr>
          <w:rFonts w:hint="eastAsia"/>
          <w:sz w:val="24"/>
        </w:rPr>
      </w:pPr>
    </w:p>
    <w:p w14:paraId="0706CFFF">
      <w:pPr>
        <w:pStyle w:val="2"/>
        <w:rPr>
          <w:rFonts w:hint="eastAsia"/>
          <w:sz w:val="24"/>
        </w:rPr>
      </w:pPr>
    </w:p>
    <w:p w14:paraId="6A4715F0">
      <w:pPr>
        <w:rPr>
          <w:rFonts w:hint="eastAsia"/>
        </w:rPr>
      </w:pPr>
    </w:p>
    <w:p w14:paraId="00EEC93D">
      <w:pPr>
        <w:pStyle w:val="2"/>
        <w:rPr>
          <w:rFonts w:hint="eastAsia"/>
          <w:sz w:val="24"/>
        </w:rPr>
      </w:pPr>
    </w:p>
    <w:p w14:paraId="448E01E8">
      <w:pPr>
        <w:rPr>
          <w:rFonts w:hint="eastAsia"/>
          <w:sz w:val="24"/>
        </w:rPr>
      </w:pPr>
    </w:p>
    <w:p w14:paraId="6E74CBEE">
      <w:pPr>
        <w:pStyle w:val="2"/>
        <w:rPr>
          <w:rFonts w:hint="eastAsia"/>
          <w:sz w:val="24"/>
        </w:rPr>
      </w:pPr>
    </w:p>
    <w:p w14:paraId="0C793028">
      <w:pPr>
        <w:rPr>
          <w:rFonts w:hint="eastAsia"/>
          <w:sz w:val="24"/>
        </w:rPr>
      </w:pPr>
    </w:p>
    <w:p w14:paraId="7251B6D0">
      <w:pPr>
        <w:pStyle w:val="2"/>
        <w:rPr>
          <w:rFonts w:hint="eastAsia"/>
          <w:sz w:val="24"/>
        </w:rPr>
      </w:pPr>
    </w:p>
    <w:p w14:paraId="792B70BC">
      <w:pPr>
        <w:rPr>
          <w:rFonts w:hint="eastAsia"/>
          <w:sz w:val="24"/>
        </w:rPr>
      </w:pPr>
    </w:p>
    <w:p w14:paraId="70CB878B">
      <w:pPr>
        <w:pStyle w:val="2"/>
        <w:rPr>
          <w:rFonts w:hint="eastAsia"/>
        </w:rPr>
      </w:pPr>
    </w:p>
    <w:p w14:paraId="2D8A15CE">
      <w:pPr>
        <w:rPr>
          <w:rFonts w:hint="eastAsia"/>
        </w:rPr>
      </w:pPr>
    </w:p>
    <w:p w14:paraId="20CEF36D">
      <w:pPr>
        <w:pStyle w:val="2"/>
        <w:rPr>
          <w:rFonts w:hint="eastAsia"/>
        </w:rPr>
      </w:pPr>
    </w:p>
    <w:p w14:paraId="63B1D6D5">
      <w:pPr>
        <w:ind w:left="-2" w:leftChars="-1" w:firstLine="1"/>
        <w:jc w:val="center"/>
        <w:rPr>
          <w:rFonts w:hint="eastAsia"/>
          <w:b/>
          <w:sz w:val="24"/>
        </w:rPr>
      </w:pPr>
      <w:r>
        <w:rPr>
          <w:rFonts w:hint="eastAsia"/>
          <w:sz w:val="24"/>
        </w:rPr>
        <w:t xml:space="preserve"> </w:t>
      </w:r>
      <w:r>
        <w:rPr>
          <w:rFonts w:hint="eastAsia"/>
          <w:b/>
          <w:sz w:val="24"/>
        </w:rPr>
        <w:t>图</w:t>
      </w:r>
      <w:r>
        <w:rPr>
          <w:rFonts w:hint="eastAsia"/>
          <w:b/>
          <w:sz w:val="24"/>
          <w:lang w:val="en-US" w:eastAsia="zh-CN"/>
        </w:rPr>
        <w:t>2.5-1</w:t>
      </w:r>
      <w:r>
        <w:rPr>
          <w:rFonts w:hint="eastAsia"/>
          <w:b/>
          <w:sz w:val="24"/>
        </w:rPr>
        <w:t xml:space="preserve">   桦南县饮用水地下水水源地保护区划分略图</w:t>
      </w:r>
    </w:p>
    <w:p w14:paraId="1AA10ABC">
      <w:pPr>
        <w:adjustRightInd/>
        <w:snapToGrid/>
        <w:spacing w:line="360" w:lineRule="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二、隆胜村小四队屯</w:t>
      </w:r>
      <w:r>
        <w:rPr>
          <w:rFonts w:hint="eastAsia" w:ascii="宋体" w:hAnsi="宋体" w:eastAsia="宋体" w:cs="宋体"/>
          <w:color w:val="000000"/>
          <w:kern w:val="0"/>
          <w:sz w:val="24"/>
          <w:szCs w:val="24"/>
          <w:lang w:val="en-US" w:eastAsia="zh-CN" w:bidi="ar"/>
        </w:rPr>
        <w:t>分散式地下水饮用水水源</w:t>
      </w:r>
      <w:r>
        <w:rPr>
          <w:rFonts w:hint="eastAsia" w:ascii="宋体" w:hAnsi="宋体" w:cs="宋体"/>
          <w:color w:val="000000"/>
          <w:kern w:val="0"/>
          <w:sz w:val="24"/>
          <w:szCs w:val="24"/>
          <w:lang w:val="en-US" w:eastAsia="zh-CN" w:bidi="ar"/>
        </w:rPr>
        <w:t>井</w:t>
      </w:r>
      <w:r>
        <w:rPr>
          <w:rFonts w:hint="eastAsia"/>
          <w:snapToGrid w:val="0"/>
          <w:color w:val="000000" w:themeColor="text1"/>
          <w:lang w:val="en-US" w:eastAsia="zh-CN"/>
          <w14:textFill>
            <w14:solidFill>
              <w14:schemeClr w14:val="tx1"/>
            </w14:solidFill>
          </w14:textFill>
        </w:rPr>
        <w:t>与本项目位置关系如下：</w:t>
      </w:r>
    </w:p>
    <w:p w14:paraId="24B8D04C">
      <w:pPr>
        <w:keepNext w:val="0"/>
        <w:keepLines w:val="0"/>
        <w:widowControl/>
        <w:suppressLineNumbers w:val="0"/>
        <w:spacing w:line="360" w:lineRule="auto"/>
        <w:jc w:val="left"/>
      </w:pPr>
      <w:r>
        <w:rPr>
          <w:rFonts w:hint="eastAsia"/>
          <w:snapToGrid w:val="0"/>
          <w:color w:val="000000" w:themeColor="text1"/>
          <w:lang w:val="en-US" w:eastAsia="zh-CN"/>
          <w14:textFill>
            <w14:solidFill>
              <w14:schemeClr w14:val="tx1"/>
            </w14:solidFill>
          </w14:textFill>
        </w:rPr>
        <w:t>隆胜村小四队屯</w:t>
      </w:r>
      <w:r>
        <w:rPr>
          <w:rFonts w:hint="eastAsia" w:ascii="宋体" w:hAnsi="宋体" w:eastAsia="宋体" w:cs="宋体"/>
          <w:color w:val="000000"/>
          <w:kern w:val="0"/>
          <w:sz w:val="24"/>
          <w:szCs w:val="24"/>
          <w:lang w:val="en-US" w:eastAsia="zh-CN" w:bidi="ar"/>
        </w:rPr>
        <w:t>有一处分散式地下水饮用水水源</w:t>
      </w:r>
      <w:r>
        <w:rPr>
          <w:rFonts w:hint="eastAsia" w:ascii="宋体" w:hAnsi="宋体" w:cs="宋体"/>
          <w:color w:val="000000"/>
          <w:kern w:val="0"/>
          <w:sz w:val="24"/>
          <w:szCs w:val="24"/>
          <w:lang w:val="en-US" w:eastAsia="zh-CN" w:bidi="ar"/>
        </w:rPr>
        <w:t>井</w:t>
      </w: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E</w:t>
      </w: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130.58159510</w:t>
      </w: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N</w:t>
      </w: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46.27186357</w:t>
      </w:r>
      <w:r>
        <w:rPr>
          <w:rFonts w:hint="eastAsia" w:ascii="宋体" w:hAnsi="宋体" w:eastAsia="宋体" w:cs="宋体"/>
          <w:color w:val="000000"/>
          <w:kern w:val="0"/>
          <w:sz w:val="24"/>
          <w:szCs w:val="24"/>
          <w:lang w:val="en-US" w:eastAsia="zh-CN" w:bidi="ar"/>
        </w:rPr>
        <w:t>°）</w:t>
      </w:r>
      <w:r>
        <w:rPr>
          <w:rFonts w:hint="eastAsia" w:ascii="宋体" w:hAnsi="宋体" w:cs="宋体"/>
          <w:color w:val="000000"/>
          <w:kern w:val="0"/>
          <w:sz w:val="24"/>
          <w:szCs w:val="24"/>
          <w:lang w:val="en-US" w:eastAsia="zh-CN" w:bidi="ar"/>
        </w:rPr>
        <w:t>，井口</w:t>
      </w:r>
      <w:r>
        <w:rPr>
          <w:rFonts w:hint="eastAsia" w:ascii="宋体" w:hAnsi="宋体" w:eastAsia="宋体" w:cs="宋体"/>
          <w:color w:val="000000"/>
          <w:kern w:val="0"/>
          <w:sz w:val="24"/>
          <w:szCs w:val="24"/>
          <w:lang w:val="en-US" w:eastAsia="zh-CN" w:bidi="ar"/>
        </w:rPr>
        <w:t>50m</w:t>
      </w:r>
      <w:r>
        <w:rPr>
          <w:rFonts w:hint="eastAsia" w:ascii="宋体" w:hAnsi="宋体" w:cs="宋体"/>
          <w:color w:val="000000"/>
          <w:kern w:val="0"/>
          <w:sz w:val="24"/>
          <w:szCs w:val="24"/>
          <w:lang w:val="en-US" w:eastAsia="zh-CN" w:bidi="ar"/>
        </w:rPr>
        <w:t>范围内设置饮用水水源一级保护区，该水源井无</w:t>
      </w:r>
      <w:r>
        <w:rPr>
          <w:rFonts w:ascii="Times New Roman" w:eastAsia="宋体"/>
          <w:kern w:val="2"/>
        </w:rPr>
        <w:t>黑龙江省人民政府</w:t>
      </w:r>
      <w:r>
        <w:rPr>
          <w:rFonts w:hint="eastAsia"/>
          <w:kern w:val="2"/>
          <w:lang w:val="en-US" w:eastAsia="zh-CN"/>
        </w:rPr>
        <w:t>批复</w:t>
      </w:r>
      <w:r>
        <w:rPr>
          <w:rFonts w:hint="eastAsia" w:ascii="宋体" w:hAnsi="宋体" w:eastAsia="宋体" w:cs="宋体"/>
          <w:color w:val="000000"/>
          <w:kern w:val="0"/>
          <w:sz w:val="24"/>
          <w:szCs w:val="24"/>
          <w:lang w:val="en-US" w:eastAsia="zh-CN" w:bidi="ar"/>
        </w:rPr>
        <w:t>。</w:t>
      </w:r>
    </w:p>
    <w:p w14:paraId="5C45E093">
      <w:pPr>
        <w:spacing w:line="360" w:lineRule="auto"/>
        <w:ind w:left="-2" w:leftChars="-1" w:firstLine="1"/>
        <w:jc w:val="both"/>
        <w:rPr>
          <w:rFonts w:hint="default" w:eastAsia="宋体"/>
          <w:sz w:val="24"/>
          <w:lang w:val="en-US" w:eastAsia="zh-CN"/>
        </w:rPr>
      </w:pPr>
      <w:r>
        <w:rPr>
          <w:rFonts w:hint="eastAsia"/>
          <w:sz w:val="24"/>
        </w:rPr>
        <w:t>本项目</w:t>
      </w:r>
      <w:r>
        <w:rPr>
          <w:rFonts w:hint="eastAsia"/>
          <w:sz w:val="24"/>
          <w:lang w:val="en-US" w:eastAsia="zh-CN"/>
        </w:rPr>
        <w:t>位于</w:t>
      </w:r>
      <w:r>
        <w:rPr>
          <w:rFonts w:hint="eastAsia"/>
          <w:snapToGrid w:val="0"/>
          <w:color w:val="000000" w:themeColor="text1"/>
          <w:lang w:val="en-US" w:eastAsia="zh-CN"/>
          <w14:textFill>
            <w14:solidFill>
              <w14:schemeClr w14:val="tx1"/>
            </w14:solidFill>
          </w14:textFill>
        </w:rPr>
        <w:t>隆胜村小四队屯</w:t>
      </w:r>
      <w:r>
        <w:rPr>
          <w:rFonts w:hint="eastAsia" w:ascii="宋体" w:hAnsi="宋体" w:eastAsia="宋体" w:cs="宋体"/>
          <w:color w:val="000000"/>
          <w:kern w:val="0"/>
          <w:sz w:val="24"/>
          <w:szCs w:val="24"/>
          <w:lang w:val="en-US" w:eastAsia="zh-CN" w:bidi="ar"/>
        </w:rPr>
        <w:t>分散式地下水饮用水水源</w:t>
      </w:r>
      <w:r>
        <w:rPr>
          <w:rFonts w:hint="eastAsia" w:ascii="宋体" w:hAnsi="宋体" w:cs="宋体"/>
          <w:color w:val="000000"/>
          <w:kern w:val="0"/>
          <w:sz w:val="24"/>
          <w:szCs w:val="24"/>
          <w:lang w:val="en-US" w:eastAsia="zh-CN" w:bidi="ar"/>
        </w:rPr>
        <w:t>井</w:t>
      </w:r>
      <w:r>
        <w:rPr>
          <w:rFonts w:hint="eastAsia" w:cs="Times New Roman"/>
          <w:b w:val="0"/>
          <w:bCs/>
          <w:color w:val="auto"/>
          <w:kern w:val="0"/>
          <w:szCs w:val="20"/>
          <w:highlight w:val="none"/>
          <w:lang w:val="en-US" w:eastAsia="zh-CN"/>
        </w:rPr>
        <w:t>西南</w:t>
      </w:r>
      <w:r>
        <w:rPr>
          <w:rFonts w:hint="eastAsia"/>
          <w:sz w:val="24"/>
        </w:rPr>
        <w:t>侧，距离</w:t>
      </w:r>
      <w:r>
        <w:rPr>
          <w:rFonts w:hint="eastAsia"/>
          <w:sz w:val="24"/>
          <w:lang w:val="en-US" w:eastAsia="zh-CN"/>
        </w:rPr>
        <w:t>一级保护区距离为327</w:t>
      </w:r>
      <w:r>
        <w:rPr>
          <w:rFonts w:hint="eastAsia"/>
          <w:sz w:val="24"/>
        </w:rPr>
        <w:t>m</w:t>
      </w:r>
      <w:r>
        <w:rPr>
          <w:rFonts w:hint="eastAsia"/>
          <w:sz w:val="24"/>
          <w:lang w:eastAsia="zh-CN"/>
        </w:rPr>
        <w:t>。</w:t>
      </w:r>
    </w:p>
    <w:p w14:paraId="074A4363">
      <w:pPr>
        <w:adjustRightInd/>
        <w:snapToGrid/>
        <w:spacing w:line="360" w:lineRule="auto"/>
        <w:rPr>
          <w:rFonts w:hint="eastAsia"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14:textFill>
            <w14:solidFill>
              <w14:schemeClr w14:val="tx1"/>
            </w14:solidFill>
          </w14:textFill>
        </w:rPr>
        <w:t>（3）建设项目评价工作等级</w:t>
      </w:r>
    </w:p>
    <w:p w14:paraId="1009D825">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both"/>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根据《优化评价内容严控新增污染—&lt;环境影响评价技术导则 地下水环境&gt;解读》（梁鹏，环境保护部环境工程评估中心，2016.7），结合《饮用水水源保护区划分技术规范》，地下水敏感性判定依据如下：</w:t>
      </w:r>
    </w:p>
    <w:p w14:paraId="232B930E">
      <w:pPr>
        <w:adjustRightInd/>
        <w:snapToGrid/>
        <w:spacing w:line="500" w:lineRule="exact"/>
        <w:ind w:left="0" w:leftChars="0"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color w:val="auto"/>
          <w:highlight w:val="none"/>
        </w:rPr>
        <w:drawing>
          <wp:anchor distT="0" distB="0" distL="114300" distR="114300" simplePos="0" relativeHeight="251673600" behindDoc="0" locked="0" layoutInCell="1" allowOverlap="1">
            <wp:simplePos x="0" y="0"/>
            <wp:positionH relativeFrom="column">
              <wp:posOffset>147320</wp:posOffset>
            </wp:positionH>
            <wp:positionV relativeFrom="paragraph">
              <wp:posOffset>36195</wp:posOffset>
            </wp:positionV>
            <wp:extent cx="5179060" cy="2224405"/>
            <wp:effectExtent l="0" t="0" r="2540" b="4445"/>
            <wp:wrapNone/>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33"/>
                    <a:stretch>
                      <a:fillRect/>
                    </a:stretch>
                  </pic:blipFill>
                  <pic:spPr>
                    <a:xfrm>
                      <a:off x="0" y="0"/>
                      <a:ext cx="5179060" cy="2224405"/>
                    </a:xfrm>
                    <a:prstGeom prst="rect">
                      <a:avLst/>
                    </a:prstGeom>
                    <a:noFill/>
                    <a:ln>
                      <a:noFill/>
                    </a:ln>
                  </pic:spPr>
                </pic:pic>
              </a:graphicData>
            </a:graphic>
          </wp:anchor>
        </w:drawing>
      </w:r>
    </w:p>
    <w:p w14:paraId="5D27D788">
      <w:pPr>
        <w:adjustRightInd/>
        <w:snapToGrid/>
        <w:spacing w:line="500" w:lineRule="exact"/>
        <w:rPr>
          <w:rFonts w:hint="eastAsia" w:ascii="Times New Roman" w:hAnsi="Times New Roman" w:eastAsia="宋体"/>
          <w:snapToGrid w:val="0"/>
          <w:color w:val="000000" w:themeColor="text1"/>
          <w:lang w:val="en-US" w:eastAsia="zh-CN"/>
          <w14:textFill>
            <w14:solidFill>
              <w14:schemeClr w14:val="tx1"/>
            </w14:solidFill>
          </w14:textFill>
        </w:rPr>
      </w:pPr>
    </w:p>
    <w:p w14:paraId="71E8D50C">
      <w:pPr>
        <w:adjustRightInd/>
        <w:snapToGrid/>
        <w:spacing w:line="500" w:lineRule="exact"/>
        <w:rPr>
          <w:rFonts w:hint="eastAsia" w:ascii="Times New Roman" w:hAnsi="Times New Roman" w:eastAsia="宋体"/>
          <w:snapToGrid w:val="0"/>
          <w:color w:val="000000" w:themeColor="text1"/>
          <w:lang w:val="en-US" w:eastAsia="zh-CN"/>
          <w14:textFill>
            <w14:solidFill>
              <w14:schemeClr w14:val="tx1"/>
            </w14:solidFill>
          </w14:textFill>
        </w:rPr>
      </w:pPr>
    </w:p>
    <w:p w14:paraId="3018CA97">
      <w:pPr>
        <w:adjustRightInd/>
        <w:snapToGrid/>
        <w:spacing w:line="500" w:lineRule="exact"/>
        <w:rPr>
          <w:rFonts w:hint="eastAsia" w:ascii="Times New Roman" w:hAnsi="Times New Roman" w:eastAsia="宋体"/>
          <w:snapToGrid w:val="0"/>
          <w:color w:val="000000" w:themeColor="text1"/>
          <w:lang w:val="en-US" w:eastAsia="zh-CN"/>
          <w14:textFill>
            <w14:solidFill>
              <w14:schemeClr w14:val="tx1"/>
            </w14:solidFill>
          </w14:textFill>
        </w:rPr>
      </w:pPr>
    </w:p>
    <w:p w14:paraId="5B3ECF0C">
      <w:pPr>
        <w:adjustRightInd/>
        <w:snapToGrid/>
        <w:spacing w:line="500" w:lineRule="exact"/>
        <w:rPr>
          <w:rFonts w:hint="eastAsia" w:ascii="Times New Roman" w:hAnsi="Times New Roman" w:eastAsia="宋体"/>
          <w:snapToGrid w:val="0"/>
          <w:color w:val="000000" w:themeColor="text1"/>
          <w:lang w:val="en-US" w:eastAsia="zh-CN"/>
          <w14:textFill>
            <w14:solidFill>
              <w14:schemeClr w14:val="tx1"/>
            </w14:solidFill>
          </w14:textFill>
        </w:rPr>
      </w:pPr>
    </w:p>
    <w:p w14:paraId="0CD864D1">
      <w:pPr>
        <w:adjustRightInd/>
        <w:snapToGrid/>
        <w:spacing w:line="500" w:lineRule="exact"/>
        <w:rPr>
          <w:rFonts w:hint="eastAsia" w:ascii="Times New Roman" w:hAnsi="Times New Roman" w:eastAsia="宋体"/>
          <w:snapToGrid w:val="0"/>
          <w:color w:val="000000" w:themeColor="text1"/>
          <w:lang w:val="en-US" w:eastAsia="zh-CN"/>
          <w14:textFill>
            <w14:solidFill>
              <w14:schemeClr w14:val="tx1"/>
            </w14:solidFill>
          </w14:textFill>
        </w:rPr>
      </w:pPr>
    </w:p>
    <w:p w14:paraId="0CE5A647">
      <w:pPr>
        <w:adjustRightInd/>
        <w:snapToGrid/>
        <w:spacing w:line="500" w:lineRule="exact"/>
        <w:rPr>
          <w:rFonts w:hint="eastAsia" w:ascii="Times New Roman" w:hAnsi="Times New Roman" w:eastAsia="宋体"/>
          <w:snapToGrid w:val="0"/>
          <w:color w:val="000000" w:themeColor="text1"/>
          <w:lang w:val="en-US" w:eastAsia="zh-CN"/>
          <w14:textFill>
            <w14:solidFill>
              <w14:schemeClr w14:val="tx1"/>
            </w14:solidFill>
          </w14:textFill>
        </w:rPr>
      </w:pPr>
    </w:p>
    <w:p w14:paraId="27134011">
      <w:pPr>
        <w:snapToGrid w:val="0"/>
        <w:spacing w:line="500" w:lineRule="exact"/>
        <w:jc w:val="center"/>
        <w:rPr>
          <w:rFonts w:hint="eastAsia" w:ascii="Times New Roman" w:eastAsia="Times New Roman" w:cs="黑体"/>
          <w:b/>
          <w:color w:val="auto"/>
          <w:szCs w:val="28"/>
          <w:highlight w:val="none"/>
          <w:lang w:bidi="ar"/>
        </w:rPr>
      </w:pPr>
      <w:r>
        <w:rPr>
          <w:rFonts w:hint="eastAsia" w:ascii="Times New Roman" w:eastAsia="Times New Roman" w:cs="黑体"/>
          <w:b/>
          <w:color w:val="auto"/>
          <w:szCs w:val="28"/>
          <w:highlight w:val="none"/>
          <w:lang w:val="en-US" w:eastAsia="zh-CN" w:bidi="ar"/>
        </w:rPr>
        <w:t>图</w:t>
      </w:r>
      <w:r>
        <w:rPr>
          <w:rFonts w:hint="default" w:ascii="Times New Roman" w:eastAsia="Times New Roman" w:cs="黑体"/>
          <w:b/>
          <w:color w:val="auto"/>
          <w:szCs w:val="28"/>
          <w:highlight w:val="none"/>
          <w:lang w:val="en-US" w:eastAsia="zh-CN" w:bidi="ar"/>
        </w:rPr>
        <w:t>2.</w:t>
      </w:r>
      <w:r>
        <w:rPr>
          <w:rFonts w:hint="eastAsia" w:ascii="Times New Roman" w:eastAsia="Times New Roman" w:cs="黑体"/>
          <w:b/>
          <w:color w:val="auto"/>
          <w:szCs w:val="28"/>
          <w:highlight w:val="none"/>
          <w:lang w:val="en-US" w:eastAsia="zh-CN" w:bidi="ar"/>
        </w:rPr>
        <w:t>5</w:t>
      </w:r>
      <w:r>
        <w:rPr>
          <w:rFonts w:hint="default" w:ascii="Times New Roman" w:eastAsia="Times New Roman" w:cs="黑体"/>
          <w:b/>
          <w:color w:val="auto"/>
          <w:szCs w:val="28"/>
          <w:highlight w:val="none"/>
          <w:lang w:val="en-US" w:eastAsia="zh-CN" w:bidi="ar"/>
        </w:rPr>
        <w:t>-</w:t>
      </w:r>
      <w:r>
        <w:rPr>
          <w:rFonts w:hint="eastAsia" w:eastAsia="Times New Roman" w:cs="黑体"/>
          <w:b/>
          <w:color w:val="auto"/>
          <w:szCs w:val="28"/>
          <w:highlight w:val="none"/>
          <w:lang w:val="en-US" w:eastAsia="zh-CN" w:bidi="ar"/>
        </w:rPr>
        <w:t>2</w:t>
      </w:r>
      <w:r>
        <w:rPr>
          <w:rFonts w:hint="default" w:ascii="Times New Roman" w:eastAsia="Times New Roman" w:cs="黑体"/>
          <w:b/>
          <w:color w:val="auto"/>
          <w:szCs w:val="28"/>
          <w:highlight w:val="none"/>
          <w:lang w:val="en-US" w:eastAsia="zh-CN" w:bidi="ar"/>
        </w:rPr>
        <w:t xml:space="preserve"> </w:t>
      </w:r>
      <w:r>
        <w:rPr>
          <w:rFonts w:hint="eastAsia" w:ascii="Times New Roman" w:eastAsia="Times New Roman" w:cs="黑体"/>
          <w:b/>
          <w:color w:val="auto"/>
          <w:szCs w:val="28"/>
          <w:highlight w:val="none"/>
          <w:lang w:val="en-US" w:eastAsia="zh-CN" w:bidi="ar"/>
        </w:rPr>
        <w:t xml:space="preserve"> 地下水敏感性判定依据</w:t>
      </w:r>
    </w:p>
    <w:p w14:paraId="26C755D7">
      <w:pPr>
        <w:pStyle w:val="2"/>
        <w:keepNext w:val="0"/>
        <w:keepLines w:val="0"/>
        <w:pageBreakBefore w:val="0"/>
        <w:widowControl w:val="0"/>
        <w:kinsoku/>
        <w:wordWrap/>
        <w:overflowPunct/>
        <w:topLinePunct w:val="0"/>
        <w:autoSpaceDE w:val="0"/>
        <w:autoSpaceDN w:val="0"/>
        <w:bidi w:val="0"/>
        <w:adjustRightInd w:val="0"/>
        <w:snapToGrid w:val="0"/>
        <w:spacing w:line="500" w:lineRule="exact"/>
        <w:ind w:firstLine="480" w:firstLineChars="200"/>
        <w:jc w:val="both"/>
        <w:textAlignment w:val="auto"/>
        <w:rPr>
          <w:rFonts w:ascii="Times New Roman" w:hAnsi="Times New Roman"/>
          <w:b w:val="0"/>
          <w:bCs/>
          <w:color w:val="auto"/>
          <w:highlight w:val="none"/>
        </w:rPr>
      </w:pPr>
      <w:r>
        <w:rPr>
          <w:rFonts w:hint="eastAsia" w:ascii="Times New Roman" w:hAnsi="Times New Roman"/>
          <w:b w:val="0"/>
          <w:bCs/>
          <w:color w:val="auto"/>
          <w:highlight w:val="none"/>
          <w:lang w:val="en-US" w:eastAsia="zh-CN"/>
        </w:rPr>
        <w:t>由图2.5-3可知，集中式水源井二级保护区外扩</w:t>
      </w:r>
      <w:r>
        <w:rPr>
          <w:rFonts w:hint="default" w:ascii="Times New Roman" w:hAnsi="Times New Roman"/>
          <w:b w:val="0"/>
          <w:bCs/>
          <w:color w:val="auto"/>
          <w:highlight w:val="none"/>
          <w:lang w:val="en-US" w:eastAsia="zh-CN"/>
        </w:rPr>
        <w:t>2000</w:t>
      </w:r>
      <w:r>
        <w:rPr>
          <w:rFonts w:hint="eastAsia" w:ascii="Times New Roman" w:hAnsi="Times New Roman"/>
          <w:b w:val="0"/>
          <w:bCs/>
          <w:color w:val="auto"/>
          <w:highlight w:val="none"/>
          <w:lang w:val="en-US" w:eastAsia="zh-CN"/>
        </w:rPr>
        <w:t>天质点迁移距离范围作为敏感区，外扩</w:t>
      </w:r>
      <w:r>
        <w:rPr>
          <w:rFonts w:hint="default" w:ascii="Times New Roman" w:hAnsi="Times New Roman"/>
          <w:b w:val="0"/>
          <w:bCs/>
          <w:color w:val="auto"/>
          <w:highlight w:val="none"/>
          <w:lang w:val="en-US" w:eastAsia="zh-CN"/>
        </w:rPr>
        <w:t>2000</w:t>
      </w:r>
      <w:r>
        <w:rPr>
          <w:rFonts w:hint="eastAsia" w:ascii="Times New Roman" w:hAnsi="Times New Roman"/>
          <w:b w:val="0"/>
          <w:bCs/>
          <w:color w:val="auto"/>
          <w:highlight w:val="none"/>
          <w:lang w:val="en-US" w:eastAsia="zh-CN"/>
        </w:rPr>
        <w:t>天到</w:t>
      </w:r>
      <w:r>
        <w:rPr>
          <w:rFonts w:hint="default" w:ascii="Times New Roman" w:hAnsi="Times New Roman"/>
          <w:b w:val="0"/>
          <w:bCs/>
          <w:color w:val="auto"/>
          <w:highlight w:val="none"/>
          <w:lang w:val="en-US" w:eastAsia="zh-CN"/>
        </w:rPr>
        <w:t>5000</w:t>
      </w:r>
      <w:r>
        <w:rPr>
          <w:rFonts w:hint="eastAsia" w:ascii="Times New Roman" w:hAnsi="Times New Roman"/>
          <w:b w:val="0"/>
          <w:bCs/>
          <w:color w:val="auto"/>
          <w:highlight w:val="none"/>
          <w:lang w:val="en-US" w:eastAsia="zh-CN"/>
        </w:rPr>
        <w:t>天质点迁移距离范围作为较敏感区；分散式饮用水水源单井</w:t>
      </w:r>
      <w:r>
        <w:rPr>
          <w:rFonts w:hint="default" w:ascii="Times New Roman" w:hAnsi="Times New Roman"/>
          <w:b w:val="0"/>
          <w:bCs/>
          <w:color w:val="auto"/>
          <w:highlight w:val="none"/>
          <w:lang w:val="en-US" w:eastAsia="zh-CN"/>
        </w:rPr>
        <w:t>50m</w:t>
      </w:r>
      <w:r>
        <w:rPr>
          <w:rFonts w:hint="eastAsia" w:ascii="Times New Roman" w:hAnsi="Times New Roman"/>
          <w:b w:val="0"/>
          <w:bCs/>
          <w:color w:val="auto"/>
          <w:highlight w:val="none"/>
          <w:lang w:val="en-US" w:eastAsia="zh-CN"/>
        </w:rPr>
        <w:t>外扩</w:t>
      </w:r>
      <w:r>
        <w:rPr>
          <w:rFonts w:hint="default" w:ascii="Times New Roman" w:hAnsi="Times New Roman"/>
          <w:b w:val="0"/>
          <w:bCs/>
          <w:color w:val="auto"/>
          <w:highlight w:val="none"/>
          <w:lang w:val="en-US" w:eastAsia="zh-CN"/>
        </w:rPr>
        <w:t>2000</w:t>
      </w:r>
      <w:r>
        <w:rPr>
          <w:rFonts w:hint="eastAsia" w:ascii="Times New Roman" w:hAnsi="Times New Roman"/>
          <w:b w:val="0"/>
          <w:bCs/>
          <w:color w:val="auto"/>
          <w:highlight w:val="none"/>
          <w:lang w:val="en-US" w:eastAsia="zh-CN"/>
        </w:rPr>
        <w:t>天质点迁移距离范围作为较敏感区，不设置敏感区。</w:t>
      </w:r>
    </w:p>
    <w:p w14:paraId="45AAA10E">
      <w:pPr>
        <w:spacing w:line="500" w:lineRule="exact"/>
        <w:ind w:firstLine="480" w:firstLineChars="200"/>
        <w:rPr>
          <w:rFonts w:ascii="Times New Roman" w:hAnsi="Times New Roman" w:eastAsia="宋体"/>
          <w:color w:val="auto"/>
          <w:szCs w:val="24"/>
          <w:highlight w:val="none"/>
        </w:rPr>
      </w:pPr>
      <w:r>
        <w:rPr>
          <w:rFonts w:hint="eastAsia" w:ascii="Times New Roman" w:hAnsi="Times New Roman" w:eastAsia="宋体"/>
          <w:color w:val="auto"/>
          <w:szCs w:val="24"/>
          <w:highlight w:val="none"/>
          <w:lang w:val="en-US" w:eastAsia="zh-CN"/>
        </w:rPr>
        <w:t>本项目依据</w:t>
      </w:r>
      <w:r>
        <w:rPr>
          <w:rFonts w:ascii="Times New Roman" w:hAnsi="Times New Roman" w:eastAsia="宋体"/>
          <w:color w:val="auto"/>
          <w:szCs w:val="24"/>
          <w:highlight w:val="none"/>
        </w:rPr>
        <w:t>公式计算</w:t>
      </w:r>
      <w:r>
        <w:rPr>
          <w:rFonts w:hint="eastAsia" w:ascii="Times New Roman" w:hAnsi="Times New Roman" w:eastAsia="宋体"/>
          <w:color w:val="auto"/>
          <w:szCs w:val="24"/>
          <w:highlight w:val="none"/>
          <w:lang w:val="en-US" w:eastAsia="zh-CN"/>
        </w:rPr>
        <w:t>过程如下</w:t>
      </w:r>
      <w:r>
        <w:rPr>
          <w:rFonts w:ascii="Times New Roman" w:hAnsi="Times New Roman" w:eastAsia="宋体"/>
          <w:color w:val="auto"/>
          <w:szCs w:val="24"/>
          <w:highlight w:val="none"/>
        </w:rPr>
        <w:t>：</w:t>
      </w:r>
    </w:p>
    <w:p w14:paraId="4BB82B65">
      <w:pPr>
        <w:spacing w:line="500" w:lineRule="exact"/>
        <w:ind w:firstLine="480" w:firstLineChars="200"/>
        <w:rPr>
          <w:rFonts w:ascii="Times New Roman" w:hAnsi="Times New Roman" w:eastAsia="宋体"/>
          <w:color w:val="auto"/>
          <w:szCs w:val="24"/>
          <w:highlight w:val="none"/>
        </w:rPr>
      </w:pPr>
      <w:r>
        <w:rPr>
          <w:rFonts w:ascii="Times New Roman" w:hAnsi="Times New Roman" w:eastAsia="宋体"/>
          <w:color w:val="auto"/>
          <w:szCs w:val="24"/>
          <w:highlight w:val="none"/>
        </w:rPr>
        <w:t>L=a×K×I×T/n</w:t>
      </w:r>
      <w:r>
        <w:rPr>
          <w:rFonts w:ascii="Times New Roman" w:hAnsi="Times New Roman" w:eastAsia="宋体"/>
          <w:color w:val="auto"/>
          <w:szCs w:val="24"/>
          <w:highlight w:val="none"/>
          <w:vertAlign w:val="subscript"/>
        </w:rPr>
        <w:t>e</w:t>
      </w:r>
    </w:p>
    <w:p w14:paraId="32ED7B94">
      <w:pPr>
        <w:spacing w:line="500" w:lineRule="exact"/>
        <w:ind w:firstLine="480" w:firstLineChars="200"/>
        <w:rPr>
          <w:rFonts w:ascii="Times New Roman" w:hAnsi="Times New Roman" w:eastAsia="宋体"/>
          <w:color w:val="auto"/>
          <w:szCs w:val="24"/>
          <w:highlight w:val="none"/>
        </w:rPr>
      </w:pPr>
      <w:r>
        <w:rPr>
          <w:rFonts w:ascii="Times New Roman" w:hAnsi="Times New Roman" w:eastAsia="宋体"/>
          <w:color w:val="auto"/>
          <w:szCs w:val="24"/>
          <w:highlight w:val="none"/>
        </w:rPr>
        <w:t>L-水源地敏感性外扩范围，m；</w:t>
      </w:r>
    </w:p>
    <w:p w14:paraId="180FCBD7">
      <w:pPr>
        <w:spacing w:line="500" w:lineRule="exact"/>
        <w:ind w:firstLine="480" w:firstLineChars="200"/>
        <w:rPr>
          <w:rFonts w:ascii="Times New Roman" w:hAnsi="Times New Roman" w:eastAsia="宋体"/>
          <w:color w:val="auto"/>
          <w:szCs w:val="24"/>
          <w:highlight w:val="none"/>
        </w:rPr>
      </w:pPr>
      <w:r>
        <w:rPr>
          <w:rFonts w:ascii="Times New Roman" w:hAnsi="Times New Roman" w:eastAsia="宋体"/>
          <w:color w:val="auto"/>
          <w:szCs w:val="24"/>
          <w:highlight w:val="none"/>
        </w:rPr>
        <w:t>a-安全系数，a≥1，取2；</w:t>
      </w:r>
    </w:p>
    <w:p w14:paraId="2FF49657">
      <w:pPr>
        <w:spacing w:line="500" w:lineRule="exact"/>
        <w:ind w:firstLine="480" w:firstLineChars="200"/>
        <w:rPr>
          <w:rFonts w:ascii="Times New Roman" w:hAnsi="Times New Roman" w:eastAsia="宋体"/>
          <w:color w:val="auto"/>
          <w:szCs w:val="24"/>
          <w:highlight w:val="none"/>
        </w:rPr>
      </w:pPr>
      <w:r>
        <w:rPr>
          <w:rFonts w:ascii="Times New Roman" w:hAnsi="Times New Roman" w:eastAsia="宋体"/>
          <w:color w:val="auto"/>
          <w:szCs w:val="24"/>
          <w:highlight w:val="none"/>
        </w:rPr>
        <w:t>K-渗透系数，m/d；</w:t>
      </w:r>
    </w:p>
    <w:p w14:paraId="523E0847">
      <w:pPr>
        <w:spacing w:line="500" w:lineRule="exact"/>
        <w:ind w:firstLine="480" w:firstLineChars="200"/>
        <w:rPr>
          <w:rFonts w:ascii="Times New Roman" w:hAnsi="Times New Roman" w:eastAsia="宋体"/>
          <w:color w:val="auto"/>
          <w:szCs w:val="24"/>
          <w:highlight w:val="none"/>
        </w:rPr>
      </w:pPr>
      <w:r>
        <w:rPr>
          <w:rFonts w:ascii="Times New Roman" w:hAnsi="Times New Roman" w:eastAsia="宋体"/>
          <w:color w:val="auto"/>
          <w:szCs w:val="24"/>
          <w:highlight w:val="none"/>
        </w:rPr>
        <w:t>I-水力坡度，无量纲；</w:t>
      </w:r>
    </w:p>
    <w:p w14:paraId="77046E4E">
      <w:pPr>
        <w:spacing w:line="500" w:lineRule="exact"/>
        <w:ind w:firstLine="480" w:firstLineChars="200"/>
        <w:rPr>
          <w:rFonts w:ascii="Times New Roman" w:hAnsi="Times New Roman" w:eastAsia="宋体"/>
          <w:color w:val="auto"/>
          <w:szCs w:val="24"/>
          <w:highlight w:val="none"/>
        </w:rPr>
      </w:pPr>
      <w:r>
        <w:rPr>
          <w:rFonts w:ascii="Times New Roman" w:hAnsi="Times New Roman" w:eastAsia="宋体"/>
          <w:color w:val="auto"/>
          <w:szCs w:val="24"/>
          <w:highlight w:val="none"/>
        </w:rPr>
        <w:t>T-质点运移天数：</w:t>
      </w:r>
      <w:r>
        <w:rPr>
          <w:rFonts w:hint="eastAsia" w:ascii="Times New Roman" w:hAnsi="Times New Roman" w:eastAsia="宋体"/>
          <w:color w:val="auto"/>
          <w:szCs w:val="24"/>
          <w:highlight w:val="none"/>
          <w:lang w:val="en-US" w:eastAsia="zh-CN"/>
        </w:rPr>
        <w:t>单井分散式水源取以井口为中心，半径</w:t>
      </w:r>
      <w:r>
        <w:rPr>
          <w:rFonts w:hint="default" w:ascii="Times New Roman" w:hAnsi="Times New Roman" w:eastAsia="宋体"/>
          <w:color w:val="auto"/>
          <w:szCs w:val="24"/>
          <w:highlight w:val="none"/>
          <w:lang w:val="en-US" w:eastAsia="zh-CN"/>
        </w:rPr>
        <w:t>50m</w:t>
      </w:r>
      <w:r>
        <w:rPr>
          <w:rFonts w:hint="eastAsia" w:ascii="Times New Roman" w:hAnsi="Times New Roman" w:eastAsia="宋体"/>
          <w:color w:val="auto"/>
          <w:szCs w:val="24"/>
          <w:highlight w:val="none"/>
          <w:lang w:val="en-US" w:eastAsia="zh-CN"/>
        </w:rPr>
        <w:t>为界，外扩</w:t>
      </w:r>
      <w:r>
        <w:rPr>
          <w:rFonts w:hint="default" w:ascii="Times New Roman" w:hAnsi="Times New Roman" w:eastAsia="宋体"/>
          <w:color w:val="auto"/>
          <w:szCs w:val="24"/>
          <w:highlight w:val="none"/>
          <w:lang w:val="en-US" w:eastAsia="zh-CN"/>
        </w:rPr>
        <w:t>2000</w:t>
      </w:r>
      <w:r>
        <w:rPr>
          <w:rFonts w:hint="eastAsia" w:ascii="Times New Roman" w:hAnsi="Times New Roman" w:eastAsia="宋体"/>
          <w:color w:val="auto"/>
          <w:szCs w:val="24"/>
          <w:highlight w:val="none"/>
          <w:lang w:val="en-US" w:eastAsia="zh-CN"/>
        </w:rPr>
        <w:t>天的质点迁移距离范围作为较敏感区，不设敏感区；未划定准保护区的中小型集中式饮用水水源地以二级保护区边界为起点外扩</w:t>
      </w:r>
      <w:r>
        <w:rPr>
          <w:rFonts w:hint="default" w:ascii="Times New Roman" w:hAnsi="Times New Roman" w:eastAsia="宋体"/>
          <w:color w:val="auto"/>
          <w:szCs w:val="24"/>
          <w:highlight w:val="none"/>
          <w:lang w:val="en-US" w:eastAsia="zh-CN"/>
        </w:rPr>
        <w:t>2000</w:t>
      </w:r>
      <w:r>
        <w:rPr>
          <w:rFonts w:hint="eastAsia" w:ascii="Times New Roman" w:hAnsi="Times New Roman" w:eastAsia="宋体"/>
          <w:color w:val="auto"/>
          <w:szCs w:val="24"/>
          <w:highlight w:val="none"/>
          <w:lang w:val="en-US" w:eastAsia="zh-CN"/>
        </w:rPr>
        <w:t>天的质点迁移距离范围作为敏感区，以敏感区边界外扩</w:t>
      </w:r>
      <w:r>
        <w:rPr>
          <w:rFonts w:hint="default" w:ascii="Times New Roman" w:hAnsi="Times New Roman" w:eastAsia="宋体"/>
          <w:color w:val="auto"/>
          <w:szCs w:val="24"/>
          <w:highlight w:val="none"/>
          <w:lang w:val="en-US" w:eastAsia="zh-CN"/>
        </w:rPr>
        <w:t>3000</w:t>
      </w:r>
      <w:r>
        <w:rPr>
          <w:rFonts w:hint="eastAsia" w:ascii="Times New Roman" w:hAnsi="Times New Roman" w:eastAsia="宋体"/>
          <w:color w:val="auto"/>
          <w:szCs w:val="24"/>
          <w:highlight w:val="none"/>
          <w:lang w:val="en-US" w:eastAsia="zh-CN"/>
        </w:rPr>
        <w:t>天的质点迁移距离范围作为较敏感区。</w:t>
      </w:r>
    </w:p>
    <w:p w14:paraId="11A9C562">
      <w:pPr>
        <w:spacing w:line="500" w:lineRule="exact"/>
        <w:ind w:firstLine="480" w:firstLineChars="200"/>
        <w:rPr>
          <w:rFonts w:ascii="Times New Roman" w:hAnsi="Times New Roman" w:eastAsia="宋体"/>
          <w:color w:val="auto"/>
          <w:szCs w:val="24"/>
          <w:highlight w:val="none"/>
        </w:rPr>
      </w:pPr>
      <w:r>
        <w:rPr>
          <w:rFonts w:ascii="Times New Roman" w:hAnsi="Times New Roman" w:eastAsia="宋体"/>
          <w:color w:val="auto"/>
          <w:szCs w:val="24"/>
          <w:highlight w:val="none"/>
        </w:rPr>
        <w:t>n</w:t>
      </w:r>
      <w:r>
        <w:rPr>
          <w:rFonts w:ascii="Times New Roman" w:hAnsi="Times New Roman" w:eastAsia="宋体"/>
          <w:color w:val="auto"/>
          <w:szCs w:val="24"/>
          <w:highlight w:val="none"/>
          <w:vertAlign w:val="subscript"/>
        </w:rPr>
        <w:t>e</w:t>
      </w:r>
      <w:r>
        <w:rPr>
          <w:rFonts w:ascii="Times New Roman" w:hAnsi="Times New Roman" w:eastAsia="宋体"/>
          <w:color w:val="auto"/>
          <w:szCs w:val="24"/>
          <w:highlight w:val="none"/>
        </w:rPr>
        <w:t>-有效孔隙度，无量纲。</w:t>
      </w:r>
    </w:p>
    <w:p w14:paraId="22BD214A">
      <w:pPr>
        <w:pStyle w:val="2"/>
        <w:snapToGrid w:val="0"/>
        <w:spacing w:line="500" w:lineRule="exact"/>
        <w:ind w:firstLine="480" w:firstLineChars="200"/>
        <w:jc w:val="both"/>
        <w:rPr>
          <w:rFonts w:ascii="Times New Roman" w:hAnsi="Times New Roman"/>
          <w:b w:val="0"/>
          <w:bCs/>
          <w:color w:val="FF0000"/>
          <w:highlight w:val="none"/>
        </w:rPr>
      </w:pPr>
      <w:r>
        <w:rPr>
          <w:rFonts w:hint="eastAsia" w:ascii="Times New Roman" w:hAnsi="Times New Roman"/>
          <w:b w:val="0"/>
          <w:bCs/>
          <w:color w:val="auto"/>
          <w:highlight w:val="none"/>
          <w:lang w:val="en-US" w:eastAsia="zh-CN"/>
        </w:rPr>
        <w:t>①</w:t>
      </w:r>
      <w:r>
        <w:rPr>
          <w:rFonts w:hint="eastAsia" w:ascii="Times New Roman" w:hAnsi="Times New Roman" w:eastAsia="宋体" w:cs="Times New Roman"/>
          <w:b w:val="0"/>
          <w:bCs/>
          <w:color w:val="auto"/>
          <w:kern w:val="0"/>
          <w:szCs w:val="20"/>
          <w:highlight w:val="none"/>
          <w:lang w:val="en-US" w:eastAsia="zh-CN"/>
        </w:rPr>
        <w:t>桦</w:t>
      </w:r>
      <w:r>
        <w:rPr>
          <w:rFonts w:hint="eastAsia" w:eastAsia="宋体" w:cs="Times New Roman"/>
          <w:b w:val="0"/>
          <w:bCs/>
          <w:color w:val="auto"/>
          <w:kern w:val="0"/>
          <w:szCs w:val="20"/>
          <w:highlight w:val="none"/>
          <w:lang w:val="en-US" w:eastAsia="zh-CN"/>
        </w:rPr>
        <w:t>南</w:t>
      </w:r>
      <w:r>
        <w:rPr>
          <w:rFonts w:hint="eastAsia" w:ascii="Times New Roman" w:hAnsi="Times New Roman" w:eastAsia="宋体" w:cs="Times New Roman"/>
          <w:b w:val="0"/>
          <w:bCs/>
          <w:color w:val="auto"/>
          <w:kern w:val="0"/>
          <w:szCs w:val="20"/>
          <w:highlight w:val="none"/>
          <w:lang w:val="en-US" w:eastAsia="zh-CN"/>
        </w:rPr>
        <w:t>县饮用水水源</w:t>
      </w:r>
      <w:r>
        <w:rPr>
          <w:rFonts w:hint="eastAsia" w:cs="Times New Roman"/>
          <w:b w:val="0"/>
          <w:bCs/>
          <w:color w:val="auto"/>
          <w:kern w:val="0"/>
          <w:szCs w:val="20"/>
          <w:highlight w:val="none"/>
          <w:lang w:val="en-US" w:eastAsia="zh-CN"/>
        </w:rPr>
        <w:t>保护区</w:t>
      </w:r>
      <w:r>
        <w:rPr>
          <w:rFonts w:hint="eastAsia" w:ascii="Times New Roman" w:hAnsi="Times New Roman"/>
          <w:b w:val="0"/>
          <w:bCs/>
          <w:color w:val="000000" w:themeColor="text1"/>
          <w:highlight w:val="none"/>
          <w:lang w:val="en-US" w:eastAsia="zh-CN"/>
          <w14:textFill>
            <w14:solidFill>
              <w14:schemeClr w14:val="tx1"/>
            </w14:solidFill>
          </w14:textFill>
        </w:rPr>
        <w:t>敏感性判定如下：</w:t>
      </w:r>
    </w:p>
    <w:p w14:paraId="318F0BA4">
      <w:pPr>
        <w:pStyle w:val="2"/>
        <w:snapToGrid w:val="0"/>
        <w:spacing w:line="500" w:lineRule="exact"/>
        <w:ind w:firstLine="480" w:firstLineChars="200"/>
        <w:jc w:val="both"/>
        <w:rPr>
          <w:rFonts w:ascii="Times New Roman" w:hAnsi="Times New Roman"/>
          <w:b w:val="0"/>
          <w:bCs/>
          <w:color w:val="auto"/>
          <w:highlight w:val="none"/>
        </w:rPr>
      </w:pPr>
      <w:r>
        <w:rPr>
          <w:rFonts w:hint="eastAsia" w:ascii="Times New Roman" w:hAnsi="Times New Roman"/>
          <w:b w:val="0"/>
          <w:bCs/>
          <w:color w:val="auto"/>
          <w:highlight w:val="none"/>
          <w:lang w:val="en-US" w:eastAsia="zh-CN"/>
        </w:rPr>
        <w:t>二级保护区外扩</w:t>
      </w:r>
      <w:r>
        <w:rPr>
          <w:rFonts w:hint="default" w:ascii="Times New Roman" w:hAnsi="Times New Roman"/>
          <w:b w:val="0"/>
          <w:bCs/>
          <w:color w:val="auto"/>
          <w:highlight w:val="none"/>
          <w:lang w:val="en-US" w:eastAsia="zh-CN"/>
        </w:rPr>
        <w:t>2000</w:t>
      </w:r>
      <w:r>
        <w:rPr>
          <w:rFonts w:hint="eastAsia" w:ascii="Times New Roman" w:hAnsi="Times New Roman"/>
          <w:b w:val="0"/>
          <w:bCs/>
          <w:color w:val="auto"/>
          <w:highlight w:val="none"/>
          <w:lang w:val="en-US" w:eastAsia="zh-CN"/>
        </w:rPr>
        <w:t>天质点迁移距离范围作为敏感区：</w:t>
      </w:r>
    </w:p>
    <w:p w14:paraId="2C172B45">
      <w:pPr>
        <w:pStyle w:val="2"/>
        <w:snapToGrid w:val="0"/>
        <w:spacing w:line="500" w:lineRule="exact"/>
        <w:ind w:firstLine="480" w:firstLineChars="200"/>
        <w:jc w:val="both"/>
        <w:rPr>
          <w:rFonts w:ascii="Times New Roman" w:hAnsi="Times New Roman"/>
          <w:b w:val="0"/>
          <w:bCs/>
          <w:color w:val="auto"/>
          <w:highlight w:val="none"/>
        </w:rPr>
      </w:pPr>
      <w:r>
        <w:rPr>
          <w:rFonts w:hint="default" w:ascii="Times New Roman" w:hAnsi="Times New Roman"/>
          <w:b w:val="0"/>
          <w:bCs/>
          <w:color w:val="auto"/>
          <w:highlight w:val="none"/>
          <w:lang w:val="en-US" w:eastAsia="zh-CN"/>
        </w:rPr>
        <w:t>L=a×K×I×T/n</w:t>
      </w:r>
      <w:r>
        <w:rPr>
          <w:rFonts w:hint="default" w:ascii="Times New Roman" w:hAnsi="Times New Roman"/>
          <w:b w:val="0"/>
          <w:bCs/>
          <w:color w:val="auto"/>
          <w:highlight w:val="none"/>
          <w:vertAlign w:val="subscript"/>
          <w:lang w:val="en-US" w:eastAsia="zh-CN"/>
        </w:rPr>
        <w:t>e</w:t>
      </w:r>
      <w:r>
        <w:rPr>
          <w:rFonts w:hint="default" w:ascii="Times New Roman" w:hAnsi="Times New Roman"/>
          <w:b w:val="0"/>
          <w:bCs/>
          <w:color w:val="auto"/>
          <w:highlight w:val="none"/>
          <w:lang w:val="en-US" w:eastAsia="zh-CN"/>
        </w:rPr>
        <w:t>=2×</w:t>
      </w:r>
      <w:r>
        <w:rPr>
          <w:rFonts w:hint="eastAsia" w:ascii="Times New Roman"/>
          <w:b w:val="0"/>
          <w:bCs/>
          <w:color w:val="auto"/>
          <w:highlight w:val="none"/>
          <w:lang w:val="en-US" w:eastAsia="zh-CN"/>
        </w:rPr>
        <w:t>20.55</w:t>
      </w:r>
      <w:r>
        <w:rPr>
          <w:rFonts w:hint="default" w:ascii="Times New Roman" w:hAnsi="Times New Roman"/>
          <w:b w:val="0"/>
          <w:bCs/>
          <w:color w:val="auto"/>
          <w:highlight w:val="none"/>
          <w:lang w:val="en-US" w:eastAsia="zh-CN"/>
        </w:rPr>
        <w:t>×0.00</w:t>
      </w:r>
      <w:r>
        <w:rPr>
          <w:rFonts w:hint="eastAsia" w:ascii="Times New Roman"/>
          <w:b w:val="0"/>
          <w:bCs/>
          <w:color w:val="auto"/>
          <w:highlight w:val="none"/>
          <w:lang w:val="en-US" w:eastAsia="zh-CN"/>
        </w:rPr>
        <w:t>1</w:t>
      </w:r>
      <w:r>
        <w:rPr>
          <w:rFonts w:hint="default" w:ascii="Times New Roman" w:hAnsi="Times New Roman"/>
          <w:b w:val="0"/>
          <w:bCs/>
          <w:color w:val="auto"/>
          <w:highlight w:val="none"/>
          <w:lang w:val="en-US" w:eastAsia="zh-CN"/>
        </w:rPr>
        <w:t>×</w:t>
      </w:r>
      <w:r>
        <w:rPr>
          <w:rFonts w:hint="eastAsia" w:ascii="Times New Roman"/>
          <w:b w:val="0"/>
          <w:bCs/>
          <w:color w:val="auto"/>
          <w:highlight w:val="none"/>
          <w:lang w:val="en-US" w:eastAsia="zh-CN"/>
        </w:rPr>
        <w:t>3</w:t>
      </w:r>
      <w:r>
        <w:rPr>
          <w:rFonts w:hint="default" w:ascii="Times New Roman" w:hAnsi="Times New Roman"/>
          <w:b w:val="0"/>
          <w:bCs/>
          <w:color w:val="auto"/>
          <w:highlight w:val="none"/>
          <w:lang w:val="en-US" w:eastAsia="zh-CN"/>
        </w:rPr>
        <w:t>000/0.2</w:t>
      </w:r>
      <w:r>
        <w:rPr>
          <w:rFonts w:hint="eastAsia" w:ascii="Times New Roman"/>
          <w:b w:val="0"/>
          <w:bCs/>
          <w:color w:val="auto"/>
          <w:highlight w:val="none"/>
          <w:lang w:val="en-US" w:eastAsia="zh-CN"/>
        </w:rPr>
        <w:t>7</w:t>
      </w:r>
      <w:r>
        <w:rPr>
          <w:rFonts w:hint="default" w:ascii="Times New Roman" w:hAnsi="Times New Roman"/>
          <w:b w:val="0"/>
          <w:bCs/>
          <w:color w:val="auto"/>
          <w:highlight w:val="none"/>
          <w:lang w:val="en-US" w:eastAsia="zh-CN"/>
        </w:rPr>
        <w:t>=</w:t>
      </w:r>
      <w:r>
        <w:rPr>
          <w:rFonts w:hint="eastAsia" w:ascii="Times New Roman"/>
          <w:b w:val="0"/>
          <w:bCs/>
          <w:color w:val="auto"/>
          <w:highlight w:val="none"/>
          <w:lang w:val="en-US" w:eastAsia="zh-CN"/>
        </w:rPr>
        <w:t>456.7</w:t>
      </w:r>
      <w:r>
        <w:rPr>
          <w:rFonts w:hint="default" w:ascii="Times New Roman" w:hAnsi="Times New Roman"/>
          <w:b w:val="0"/>
          <w:bCs/>
          <w:color w:val="auto"/>
          <w:highlight w:val="none"/>
          <w:lang w:val="en-US" w:eastAsia="zh-CN"/>
        </w:rPr>
        <w:t>m</w:t>
      </w:r>
      <w:r>
        <w:rPr>
          <w:rFonts w:hint="eastAsia" w:ascii="Times New Roman" w:hAnsi="Times New Roman"/>
          <w:b w:val="0"/>
          <w:bCs/>
          <w:color w:val="auto"/>
          <w:highlight w:val="none"/>
          <w:lang w:val="en-US" w:eastAsia="zh-CN"/>
        </w:rPr>
        <w:t>。</w:t>
      </w:r>
    </w:p>
    <w:p w14:paraId="73D0689A">
      <w:pPr>
        <w:pStyle w:val="2"/>
        <w:snapToGrid w:val="0"/>
        <w:spacing w:line="500" w:lineRule="exact"/>
        <w:ind w:firstLine="480" w:firstLineChars="200"/>
        <w:jc w:val="both"/>
        <w:rPr>
          <w:rFonts w:ascii="Times New Roman" w:hAnsi="Times New Roman"/>
          <w:b w:val="0"/>
          <w:bCs/>
          <w:color w:val="auto"/>
          <w:highlight w:val="none"/>
        </w:rPr>
      </w:pPr>
      <w:r>
        <w:rPr>
          <w:rFonts w:hint="eastAsia" w:ascii="Times New Roman" w:hAnsi="Times New Roman"/>
          <w:b w:val="0"/>
          <w:bCs/>
          <w:color w:val="auto"/>
          <w:highlight w:val="none"/>
          <w:lang w:val="en-US" w:eastAsia="zh-CN"/>
        </w:rPr>
        <w:t>外扩</w:t>
      </w:r>
      <w:r>
        <w:rPr>
          <w:rFonts w:hint="default" w:ascii="Times New Roman" w:hAnsi="Times New Roman"/>
          <w:b w:val="0"/>
          <w:bCs/>
          <w:color w:val="auto"/>
          <w:highlight w:val="none"/>
          <w:lang w:val="en-US" w:eastAsia="zh-CN"/>
        </w:rPr>
        <w:t>2000</w:t>
      </w:r>
      <w:r>
        <w:rPr>
          <w:rFonts w:hint="eastAsia" w:ascii="Times New Roman" w:hAnsi="Times New Roman"/>
          <w:b w:val="0"/>
          <w:bCs/>
          <w:color w:val="auto"/>
          <w:highlight w:val="none"/>
          <w:lang w:val="en-US" w:eastAsia="zh-CN"/>
        </w:rPr>
        <w:t>天到</w:t>
      </w:r>
      <w:r>
        <w:rPr>
          <w:rFonts w:hint="default" w:ascii="Times New Roman" w:hAnsi="Times New Roman"/>
          <w:b w:val="0"/>
          <w:bCs/>
          <w:color w:val="auto"/>
          <w:highlight w:val="none"/>
          <w:lang w:val="en-US" w:eastAsia="zh-CN"/>
        </w:rPr>
        <w:t>5000</w:t>
      </w:r>
      <w:r>
        <w:rPr>
          <w:rFonts w:hint="eastAsia" w:ascii="Times New Roman" w:hAnsi="Times New Roman"/>
          <w:b w:val="0"/>
          <w:bCs/>
          <w:color w:val="auto"/>
          <w:highlight w:val="none"/>
          <w:lang w:val="en-US" w:eastAsia="zh-CN"/>
        </w:rPr>
        <w:t>天质点迁移距离范围作为较敏感区：</w:t>
      </w:r>
    </w:p>
    <w:p w14:paraId="531E1E43">
      <w:pPr>
        <w:pStyle w:val="2"/>
        <w:snapToGrid w:val="0"/>
        <w:spacing w:line="500" w:lineRule="exact"/>
        <w:ind w:firstLine="480" w:firstLineChars="200"/>
        <w:jc w:val="both"/>
        <w:rPr>
          <w:rFonts w:ascii="Times New Roman" w:hAnsi="Times New Roman"/>
          <w:b w:val="0"/>
          <w:bCs/>
          <w:color w:val="auto"/>
          <w:highlight w:val="none"/>
        </w:rPr>
      </w:pPr>
      <w:r>
        <w:rPr>
          <w:rFonts w:hint="default" w:ascii="Times New Roman" w:hAnsi="Times New Roman"/>
          <w:b w:val="0"/>
          <w:bCs/>
          <w:color w:val="auto"/>
          <w:highlight w:val="none"/>
          <w:lang w:val="en-US" w:eastAsia="zh-CN"/>
        </w:rPr>
        <w:t>L=a×K×I×T/n</w:t>
      </w:r>
      <w:r>
        <w:rPr>
          <w:rFonts w:hint="default" w:ascii="Times New Roman" w:hAnsi="Times New Roman"/>
          <w:b w:val="0"/>
          <w:bCs/>
          <w:color w:val="auto"/>
          <w:highlight w:val="none"/>
          <w:vertAlign w:val="subscript"/>
          <w:lang w:val="en-US" w:eastAsia="zh-CN"/>
        </w:rPr>
        <w:t>e</w:t>
      </w:r>
      <w:r>
        <w:rPr>
          <w:rFonts w:hint="default" w:ascii="Times New Roman" w:hAnsi="Times New Roman"/>
          <w:b w:val="0"/>
          <w:bCs/>
          <w:color w:val="auto"/>
          <w:highlight w:val="none"/>
          <w:lang w:val="en-US" w:eastAsia="zh-CN"/>
        </w:rPr>
        <w:t>=2×</w:t>
      </w:r>
      <w:r>
        <w:rPr>
          <w:rFonts w:hint="eastAsia" w:ascii="Times New Roman"/>
          <w:b w:val="0"/>
          <w:bCs/>
          <w:color w:val="auto"/>
          <w:highlight w:val="none"/>
          <w:lang w:val="en-US" w:eastAsia="zh-CN"/>
        </w:rPr>
        <w:t>20.55</w:t>
      </w:r>
      <w:r>
        <w:rPr>
          <w:rFonts w:hint="default" w:ascii="Times New Roman" w:hAnsi="Times New Roman"/>
          <w:b w:val="0"/>
          <w:bCs/>
          <w:color w:val="auto"/>
          <w:highlight w:val="none"/>
          <w:lang w:val="en-US" w:eastAsia="zh-CN"/>
        </w:rPr>
        <w:t>×0.00</w:t>
      </w:r>
      <w:r>
        <w:rPr>
          <w:rFonts w:hint="eastAsia" w:ascii="Times New Roman"/>
          <w:b w:val="0"/>
          <w:bCs/>
          <w:color w:val="auto"/>
          <w:highlight w:val="none"/>
          <w:lang w:val="en-US" w:eastAsia="zh-CN"/>
        </w:rPr>
        <w:t>1</w:t>
      </w:r>
      <w:r>
        <w:rPr>
          <w:rFonts w:hint="default" w:ascii="Times New Roman" w:hAnsi="Times New Roman"/>
          <w:b w:val="0"/>
          <w:bCs/>
          <w:color w:val="auto"/>
          <w:highlight w:val="none"/>
          <w:lang w:val="en-US" w:eastAsia="zh-CN"/>
        </w:rPr>
        <w:t>×5000/0.2</w:t>
      </w:r>
      <w:r>
        <w:rPr>
          <w:rFonts w:hint="eastAsia" w:ascii="Times New Roman"/>
          <w:b w:val="0"/>
          <w:bCs/>
          <w:color w:val="auto"/>
          <w:highlight w:val="none"/>
          <w:lang w:val="en-US" w:eastAsia="zh-CN"/>
        </w:rPr>
        <w:t>7</w:t>
      </w:r>
      <w:r>
        <w:rPr>
          <w:rFonts w:hint="default" w:ascii="Times New Roman" w:hAnsi="Times New Roman"/>
          <w:b w:val="0"/>
          <w:bCs/>
          <w:color w:val="auto"/>
          <w:highlight w:val="none"/>
          <w:lang w:val="en-US" w:eastAsia="zh-CN"/>
        </w:rPr>
        <w:t>=</w:t>
      </w:r>
      <w:r>
        <w:rPr>
          <w:rFonts w:hint="eastAsia" w:ascii="Times New Roman"/>
          <w:b w:val="0"/>
          <w:bCs/>
          <w:color w:val="auto"/>
          <w:highlight w:val="none"/>
          <w:lang w:val="en-US" w:eastAsia="zh-CN"/>
        </w:rPr>
        <w:t>761.11</w:t>
      </w:r>
      <w:r>
        <w:rPr>
          <w:rFonts w:hint="default" w:ascii="Times New Roman" w:hAnsi="Times New Roman"/>
          <w:b w:val="0"/>
          <w:bCs/>
          <w:color w:val="auto"/>
          <w:highlight w:val="none"/>
          <w:lang w:val="en-US" w:eastAsia="zh-CN"/>
        </w:rPr>
        <w:t>m</w:t>
      </w:r>
      <w:r>
        <w:rPr>
          <w:rFonts w:hint="eastAsia" w:ascii="Times New Roman" w:hAnsi="Times New Roman"/>
          <w:b w:val="0"/>
          <w:bCs/>
          <w:color w:val="auto"/>
          <w:highlight w:val="none"/>
          <w:lang w:val="en-US" w:eastAsia="zh-CN"/>
        </w:rPr>
        <w:t>。</w:t>
      </w:r>
    </w:p>
    <w:p w14:paraId="55C52D39">
      <w:pPr>
        <w:pStyle w:val="2"/>
        <w:snapToGrid w:val="0"/>
        <w:spacing w:line="500" w:lineRule="exact"/>
        <w:ind w:firstLine="480" w:firstLineChars="200"/>
        <w:jc w:val="both"/>
        <w:rPr>
          <w:rFonts w:ascii="Times New Roman" w:hAnsi="Times New Roman"/>
          <w:b w:val="0"/>
          <w:bCs/>
          <w:color w:val="FF0000"/>
          <w:highlight w:val="none"/>
        </w:rPr>
      </w:pPr>
      <w:r>
        <w:rPr>
          <w:rFonts w:hint="eastAsia" w:ascii="Times New Roman" w:hAnsi="Times New Roman"/>
          <w:b w:val="0"/>
          <w:bCs/>
          <w:color w:val="auto"/>
          <w:highlight w:val="none"/>
          <w:lang w:val="en-US" w:eastAsia="zh-CN"/>
        </w:rPr>
        <w:t>②</w:t>
      </w:r>
      <w:r>
        <w:rPr>
          <w:rFonts w:hint="eastAsia"/>
          <w:snapToGrid w:val="0"/>
          <w:color w:val="000000" w:themeColor="text1"/>
          <w:lang w:val="en-US" w:eastAsia="zh-CN"/>
          <w14:textFill>
            <w14:solidFill>
              <w14:schemeClr w14:val="tx1"/>
            </w14:solidFill>
          </w14:textFill>
        </w:rPr>
        <w:t>隆胜村小四队屯</w:t>
      </w:r>
      <w:r>
        <w:rPr>
          <w:rFonts w:hint="eastAsia" w:ascii="宋体" w:hAnsi="宋体" w:eastAsia="宋体" w:cs="宋体"/>
          <w:color w:val="000000"/>
          <w:kern w:val="0"/>
          <w:sz w:val="24"/>
          <w:szCs w:val="24"/>
          <w:lang w:val="en-US" w:eastAsia="zh-CN" w:bidi="ar"/>
        </w:rPr>
        <w:t>分散式地下水饮用水水源</w:t>
      </w:r>
      <w:r>
        <w:rPr>
          <w:rFonts w:hint="eastAsia" w:ascii="宋体" w:hAnsi="宋体" w:cs="宋体"/>
          <w:color w:val="000000"/>
          <w:kern w:val="0"/>
          <w:sz w:val="24"/>
          <w:szCs w:val="24"/>
          <w:lang w:val="en-US" w:eastAsia="zh-CN" w:bidi="ar"/>
        </w:rPr>
        <w:t>井</w:t>
      </w:r>
      <w:r>
        <w:rPr>
          <w:rFonts w:hint="eastAsia" w:ascii="Times New Roman" w:hAnsi="Times New Roman"/>
          <w:b w:val="0"/>
          <w:bCs/>
          <w:color w:val="000000" w:themeColor="text1"/>
          <w:highlight w:val="none"/>
          <w:lang w:val="en-US" w:eastAsia="zh-CN"/>
          <w14:textFill>
            <w14:solidFill>
              <w14:schemeClr w14:val="tx1"/>
            </w14:solidFill>
          </w14:textFill>
        </w:rPr>
        <w:t>敏感性判定如下：</w:t>
      </w:r>
    </w:p>
    <w:p w14:paraId="2945549C">
      <w:pPr>
        <w:pStyle w:val="2"/>
        <w:snapToGrid w:val="0"/>
        <w:spacing w:line="500" w:lineRule="exact"/>
        <w:ind w:firstLine="480" w:firstLineChars="200"/>
        <w:jc w:val="both"/>
        <w:rPr>
          <w:rFonts w:ascii="Times New Roman" w:hAnsi="Times New Roman"/>
          <w:b w:val="0"/>
          <w:bCs/>
          <w:color w:val="auto"/>
          <w:highlight w:val="none"/>
        </w:rPr>
      </w:pPr>
      <w:r>
        <w:rPr>
          <w:rFonts w:hint="eastAsia" w:ascii="Times New Roman" w:hAnsi="Times New Roman"/>
          <w:b w:val="0"/>
          <w:bCs/>
          <w:color w:val="auto"/>
          <w:highlight w:val="none"/>
          <w:lang w:val="en-US" w:eastAsia="zh-CN"/>
        </w:rPr>
        <w:t>分散式饮用水水源单井</w:t>
      </w:r>
      <w:r>
        <w:rPr>
          <w:rFonts w:hint="default" w:ascii="Times New Roman" w:hAnsi="Times New Roman"/>
          <w:b w:val="0"/>
          <w:bCs/>
          <w:color w:val="auto"/>
          <w:highlight w:val="none"/>
          <w:lang w:val="en-US" w:eastAsia="zh-CN"/>
        </w:rPr>
        <w:t>50m</w:t>
      </w:r>
      <w:r>
        <w:rPr>
          <w:rFonts w:hint="eastAsia" w:ascii="Times New Roman" w:hAnsi="Times New Roman"/>
          <w:b w:val="0"/>
          <w:bCs/>
          <w:color w:val="auto"/>
          <w:highlight w:val="none"/>
          <w:lang w:val="en-US" w:eastAsia="zh-CN"/>
        </w:rPr>
        <w:t>外扩</w:t>
      </w:r>
      <w:r>
        <w:rPr>
          <w:rFonts w:hint="default" w:ascii="Times New Roman" w:hAnsi="Times New Roman"/>
          <w:b w:val="0"/>
          <w:bCs/>
          <w:color w:val="auto"/>
          <w:highlight w:val="none"/>
          <w:lang w:val="en-US" w:eastAsia="zh-CN"/>
        </w:rPr>
        <w:t>2000</w:t>
      </w:r>
      <w:r>
        <w:rPr>
          <w:rFonts w:hint="eastAsia" w:ascii="Times New Roman" w:hAnsi="Times New Roman"/>
          <w:b w:val="0"/>
          <w:bCs/>
          <w:color w:val="auto"/>
          <w:highlight w:val="none"/>
          <w:lang w:val="en-US" w:eastAsia="zh-CN"/>
        </w:rPr>
        <w:t>天质点迁移距离范围作为较敏感区：</w:t>
      </w:r>
    </w:p>
    <w:p w14:paraId="08259B52">
      <w:pPr>
        <w:pStyle w:val="2"/>
        <w:snapToGrid w:val="0"/>
        <w:spacing w:line="500" w:lineRule="exact"/>
        <w:ind w:firstLine="480" w:firstLineChars="200"/>
        <w:jc w:val="both"/>
        <w:rPr>
          <w:rFonts w:ascii="Times New Roman" w:hAnsi="Times New Roman"/>
          <w:b w:val="0"/>
          <w:bCs/>
          <w:color w:val="auto"/>
          <w:highlight w:val="none"/>
        </w:rPr>
      </w:pPr>
      <w:r>
        <w:rPr>
          <w:rFonts w:hint="default" w:ascii="Times New Roman" w:hAnsi="Times New Roman"/>
          <w:b w:val="0"/>
          <w:bCs/>
          <w:color w:val="auto"/>
          <w:highlight w:val="none"/>
          <w:lang w:val="en-US" w:eastAsia="zh-CN"/>
        </w:rPr>
        <w:t>50+L=50+a×K×I×T/ne=50+2×</w:t>
      </w:r>
      <w:r>
        <w:rPr>
          <w:rFonts w:hint="eastAsia" w:ascii="Times New Roman"/>
          <w:b w:val="0"/>
          <w:bCs/>
          <w:color w:val="auto"/>
          <w:highlight w:val="none"/>
          <w:lang w:val="en-US" w:eastAsia="zh-CN"/>
        </w:rPr>
        <w:t>20.55</w:t>
      </w:r>
      <w:r>
        <w:rPr>
          <w:rFonts w:hint="default" w:ascii="Times New Roman" w:hAnsi="Times New Roman"/>
          <w:b w:val="0"/>
          <w:bCs/>
          <w:color w:val="auto"/>
          <w:highlight w:val="none"/>
          <w:lang w:val="en-US" w:eastAsia="zh-CN"/>
        </w:rPr>
        <w:t>×0.00</w:t>
      </w:r>
      <w:r>
        <w:rPr>
          <w:rFonts w:hint="eastAsia" w:ascii="Times New Roman"/>
          <w:b w:val="0"/>
          <w:bCs/>
          <w:color w:val="auto"/>
          <w:highlight w:val="none"/>
          <w:lang w:val="en-US" w:eastAsia="zh-CN"/>
        </w:rPr>
        <w:t>1</w:t>
      </w:r>
      <w:r>
        <w:rPr>
          <w:rFonts w:hint="default" w:ascii="Times New Roman" w:hAnsi="Times New Roman"/>
          <w:b w:val="0"/>
          <w:bCs/>
          <w:color w:val="auto"/>
          <w:highlight w:val="none"/>
          <w:lang w:val="en-US" w:eastAsia="zh-CN"/>
        </w:rPr>
        <w:t>×</w:t>
      </w:r>
      <w:r>
        <w:rPr>
          <w:rFonts w:hint="eastAsia" w:ascii="Times New Roman" w:hAnsi="Times New Roman"/>
          <w:b w:val="0"/>
          <w:bCs/>
          <w:color w:val="auto"/>
          <w:highlight w:val="none"/>
          <w:lang w:val="en-US" w:eastAsia="zh-CN"/>
        </w:rPr>
        <w:t>2</w:t>
      </w:r>
      <w:r>
        <w:rPr>
          <w:rFonts w:hint="default" w:ascii="Times New Roman" w:hAnsi="Times New Roman"/>
          <w:b w:val="0"/>
          <w:bCs/>
          <w:color w:val="auto"/>
          <w:highlight w:val="none"/>
          <w:lang w:val="en-US" w:eastAsia="zh-CN"/>
        </w:rPr>
        <w:t>000/0.2</w:t>
      </w:r>
      <w:r>
        <w:rPr>
          <w:rFonts w:hint="eastAsia" w:ascii="Times New Roman"/>
          <w:b w:val="0"/>
          <w:bCs/>
          <w:color w:val="auto"/>
          <w:highlight w:val="none"/>
          <w:lang w:val="en-US" w:eastAsia="zh-CN"/>
        </w:rPr>
        <w:t>7</w:t>
      </w:r>
      <w:r>
        <w:rPr>
          <w:rFonts w:hint="default" w:ascii="Times New Roman" w:hAnsi="Times New Roman"/>
          <w:b w:val="0"/>
          <w:bCs/>
          <w:color w:val="auto"/>
          <w:highlight w:val="none"/>
          <w:lang w:val="en-US" w:eastAsia="zh-CN"/>
        </w:rPr>
        <w:t>=</w:t>
      </w:r>
      <w:r>
        <w:rPr>
          <w:rFonts w:hint="eastAsia" w:ascii="Times New Roman"/>
          <w:b w:val="0"/>
          <w:bCs/>
          <w:color w:val="auto"/>
          <w:highlight w:val="none"/>
          <w:lang w:val="en-US" w:eastAsia="zh-CN"/>
        </w:rPr>
        <w:t>354.4</w:t>
      </w:r>
      <w:r>
        <w:rPr>
          <w:rFonts w:hint="default" w:ascii="Times New Roman" w:hAnsi="Times New Roman"/>
          <w:b w:val="0"/>
          <w:bCs/>
          <w:color w:val="auto"/>
          <w:highlight w:val="none"/>
          <w:lang w:val="en-US" w:eastAsia="zh-CN"/>
        </w:rPr>
        <w:t>m</w:t>
      </w:r>
      <w:r>
        <w:rPr>
          <w:rFonts w:hint="eastAsia" w:ascii="Times New Roman" w:hAnsi="Times New Roman"/>
          <w:b w:val="0"/>
          <w:bCs/>
          <w:color w:val="auto"/>
          <w:highlight w:val="none"/>
          <w:lang w:val="en-US" w:eastAsia="zh-CN"/>
        </w:rPr>
        <w:t>。</w:t>
      </w:r>
    </w:p>
    <w:p w14:paraId="0B2B426B">
      <w:pPr>
        <w:pStyle w:val="43"/>
        <w:spacing w:before="0" w:beforeAutospacing="0" w:after="0" w:afterAutospacing="0" w:line="500" w:lineRule="exact"/>
        <w:ind w:firstLine="480"/>
        <w:rPr>
          <w:rFonts w:hint="eastAsia" w:ascii="Times New Roman" w:eastAsia="宋体"/>
          <w:b/>
          <w:bCs/>
          <w:color w:val="FF0000"/>
          <w:kern w:val="2"/>
          <w:szCs w:val="24"/>
          <w:highlight w:val="none"/>
          <w:lang w:eastAsia="zh-CN" w:bidi="ar"/>
        </w:rPr>
      </w:pPr>
      <w:r>
        <w:rPr>
          <w:snapToGrid w:val="0"/>
          <w:color w:val="000000" w:themeColor="text1"/>
          <w14:textFill>
            <w14:solidFill>
              <w14:schemeClr w14:val="tx1"/>
            </w14:solidFill>
          </w14:textFill>
        </w:rPr>
        <w:t>本项目</w:t>
      </w:r>
      <w:r>
        <w:rPr>
          <w:rFonts w:hint="eastAsia"/>
          <w:snapToGrid w:val="0"/>
          <w:color w:val="000000" w:themeColor="text1"/>
          <w14:textFill>
            <w14:solidFill>
              <w14:schemeClr w14:val="tx1"/>
            </w14:solidFill>
          </w14:textFill>
        </w:rPr>
        <w:t>评价范围内</w:t>
      </w:r>
      <w:r>
        <w:rPr>
          <w:rFonts w:hint="eastAsia"/>
          <w:snapToGrid w:val="0"/>
          <w:color w:val="000000" w:themeColor="text1"/>
          <w:lang w:val="en-US" w:eastAsia="zh-CN"/>
          <w14:textFill>
            <w14:solidFill>
              <w14:schemeClr w14:val="tx1"/>
            </w14:solidFill>
          </w14:textFill>
        </w:rPr>
        <w:t>无</w:t>
      </w:r>
      <w:r>
        <w:rPr>
          <w:rFonts w:hint="eastAsia"/>
          <w:snapToGrid w:val="0"/>
          <w:color w:val="000000" w:themeColor="text1"/>
          <w:kern w:val="0"/>
          <w14:textFill>
            <w14:solidFill>
              <w14:schemeClr w14:val="tx1"/>
            </w14:solidFill>
          </w14:textFill>
        </w:rPr>
        <w:t>集中式饮用水水源（包括已建成的在用、备用、应急水源，在建和规划的饮用水水源）准保护区；</w:t>
      </w:r>
      <w:r>
        <w:rPr>
          <w:rFonts w:hint="eastAsia"/>
          <w:snapToGrid w:val="0"/>
          <w:color w:val="000000" w:themeColor="text1"/>
          <w:kern w:val="0"/>
          <w:lang w:val="en-US" w:eastAsia="zh-CN"/>
          <w14:textFill>
            <w14:solidFill>
              <w14:schemeClr w14:val="tx1"/>
            </w14:solidFill>
          </w14:textFill>
        </w:rPr>
        <w:t>无</w:t>
      </w:r>
      <w:r>
        <w:rPr>
          <w:rFonts w:hint="eastAsia"/>
          <w:snapToGrid w:val="0"/>
          <w:color w:val="000000" w:themeColor="text1"/>
          <w:kern w:val="0"/>
          <w14:textFill>
            <w14:solidFill>
              <w14:schemeClr w14:val="tx1"/>
            </w14:solidFill>
          </w14:textFill>
        </w:rPr>
        <w:t>除集中式饮用水水源以外的国家或地方政府设定的与地下水环境相关的其它保护区，如热水、矿泉水、温泉等特殊地下水资源保护区</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无</w:t>
      </w:r>
      <w:r>
        <w:rPr>
          <w:rFonts w:hint="eastAsia"/>
          <w:snapToGrid w:val="0"/>
          <w:color w:val="000000" w:themeColor="text1"/>
          <w:kern w:val="0"/>
          <w14:textFill>
            <w14:solidFill>
              <w14:schemeClr w14:val="tx1"/>
            </w14:solidFill>
          </w14:textFill>
        </w:rPr>
        <w:t>集中式饮用水水源（包括已建成的在用、备用、应急水源，在建和规划的饮用水水源）准保护区以外的补给径流区</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无</w:t>
      </w:r>
      <w:r>
        <w:rPr>
          <w:rFonts w:hint="eastAsia"/>
          <w:snapToGrid w:val="0"/>
          <w:color w:val="000000" w:themeColor="text1"/>
          <w:kern w:val="0"/>
          <w14:textFill>
            <w14:solidFill>
              <w14:schemeClr w14:val="tx1"/>
            </w14:solidFill>
          </w14:textFill>
        </w:rPr>
        <w:t>未划定准保护区的集中式饮用水水源，其保护区以外的补给径流区；</w:t>
      </w:r>
      <w:r>
        <w:rPr>
          <w:rFonts w:hint="eastAsia"/>
          <w:snapToGrid w:val="0"/>
          <w:color w:val="000000" w:themeColor="text1"/>
          <w:kern w:val="0"/>
          <w:lang w:val="en-US" w:eastAsia="zh-CN"/>
          <w14:textFill>
            <w14:solidFill>
              <w14:schemeClr w14:val="tx1"/>
            </w14:solidFill>
          </w14:textFill>
        </w:rPr>
        <w:t>无</w:t>
      </w:r>
      <w:r>
        <w:rPr>
          <w:rFonts w:hint="eastAsia"/>
          <w:snapToGrid w:val="0"/>
          <w:color w:val="000000" w:themeColor="text1"/>
          <w:kern w:val="0"/>
          <w14:textFill>
            <w14:solidFill>
              <w14:schemeClr w14:val="tx1"/>
            </w14:solidFill>
          </w14:textFill>
        </w:rPr>
        <w:t>特殊地下水资源（如矿泉水、温泉等）保护区以外的分布区等其他未列入上述敏感分级的环境敏感区</w:t>
      </w:r>
      <w:r>
        <w:rPr>
          <w:rFonts w:hint="eastAsia"/>
          <w:snapToGrid w:val="0"/>
          <w:color w:val="000000" w:themeColor="text1"/>
          <w:kern w:val="0"/>
          <w:lang w:eastAsia="zh-CN"/>
          <w14:textFill>
            <w14:solidFill>
              <w14:schemeClr w14:val="tx1"/>
            </w14:solidFill>
          </w14:textFill>
        </w:rPr>
        <w:t>。</w:t>
      </w:r>
      <w:r>
        <w:rPr>
          <w:snapToGrid w:val="0"/>
          <w:color w:val="000000" w:themeColor="text1"/>
          <w14:textFill>
            <w14:solidFill>
              <w14:schemeClr w14:val="tx1"/>
            </w14:solidFill>
          </w14:textFill>
        </w:rPr>
        <w:t>根据现场调查，本项目</w:t>
      </w:r>
      <w:r>
        <w:rPr>
          <w:rFonts w:hint="eastAsia"/>
          <w:snapToGrid w:val="0"/>
          <w:color w:val="000000" w:themeColor="text1"/>
          <w:lang w:val="en-US" w:eastAsia="zh-CN"/>
          <w14:textFill>
            <w14:solidFill>
              <w14:schemeClr w14:val="tx1"/>
            </w14:solidFill>
          </w14:textFill>
        </w:rPr>
        <w:t>厂区东北</w:t>
      </w:r>
      <w:r>
        <w:rPr>
          <w:rFonts w:hint="eastAsia" w:ascii="Times New Roman" w:hAnsi="Times New Roman"/>
          <w:b w:val="0"/>
          <w:bCs/>
          <w:color w:val="auto"/>
          <w:highlight w:val="none"/>
          <w:lang w:val="en-US" w:eastAsia="zh-CN"/>
        </w:rPr>
        <w:t>侧327m处为隆胜</w:t>
      </w:r>
      <w:r>
        <w:rPr>
          <w:rFonts w:hint="eastAsia"/>
          <w:snapToGrid w:val="0"/>
          <w:color w:val="000000" w:themeColor="text1"/>
          <w:lang w:val="en-US" w:eastAsia="zh-CN"/>
          <w14:textFill>
            <w14:solidFill>
              <w14:schemeClr w14:val="tx1"/>
            </w14:solidFill>
          </w14:textFill>
        </w:rPr>
        <w:t>村小四队屯分散式饮用水水源井，位于</w:t>
      </w:r>
      <w:r>
        <w:rPr>
          <w:rFonts w:hint="eastAsia" w:ascii="Times New Roman" w:hAnsi="Times New Roman"/>
          <w:b w:val="0"/>
          <w:bCs/>
          <w:color w:val="auto"/>
          <w:highlight w:val="none"/>
          <w:lang w:val="en-US" w:eastAsia="zh-CN"/>
        </w:rPr>
        <w:t>分散式饮用水水源单井</w:t>
      </w:r>
      <w:r>
        <w:rPr>
          <w:rFonts w:hint="default" w:ascii="Times New Roman" w:hAnsi="Times New Roman"/>
          <w:b w:val="0"/>
          <w:bCs/>
          <w:color w:val="auto"/>
          <w:highlight w:val="none"/>
          <w:lang w:val="en-US" w:eastAsia="zh-CN"/>
        </w:rPr>
        <w:t>50m</w:t>
      </w:r>
      <w:r>
        <w:rPr>
          <w:rFonts w:hint="eastAsia" w:ascii="Times New Roman" w:hAnsi="Times New Roman"/>
          <w:b w:val="0"/>
          <w:bCs/>
          <w:color w:val="auto"/>
          <w:highlight w:val="none"/>
          <w:lang w:val="en-US" w:eastAsia="zh-CN"/>
        </w:rPr>
        <w:t>外扩</w:t>
      </w:r>
      <w:r>
        <w:rPr>
          <w:rFonts w:hint="default" w:ascii="Times New Roman" w:hAnsi="Times New Roman"/>
          <w:b w:val="0"/>
          <w:bCs/>
          <w:color w:val="auto"/>
          <w:highlight w:val="none"/>
          <w:lang w:val="en-US" w:eastAsia="zh-CN"/>
        </w:rPr>
        <w:t>2000</w:t>
      </w:r>
      <w:r>
        <w:rPr>
          <w:rFonts w:hint="eastAsia" w:ascii="Times New Roman" w:hAnsi="Times New Roman"/>
          <w:b w:val="0"/>
          <w:bCs/>
          <w:color w:val="auto"/>
          <w:highlight w:val="none"/>
          <w:lang w:val="en-US" w:eastAsia="zh-CN"/>
        </w:rPr>
        <w:t>天质点迁移距离范围354.4m之内，属于较敏感区</w:t>
      </w:r>
      <w:r>
        <w:rPr>
          <w:rFonts w:hint="eastAsia"/>
          <w:snapToGrid w:val="0"/>
          <w:color w:val="000000" w:themeColor="text1"/>
          <w:lang w:val="en-US" w:eastAsia="zh-CN"/>
          <w14:textFill>
            <w14:solidFill>
              <w14:schemeClr w14:val="tx1"/>
            </w14:solidFill>
          </w14:textFill>
        </w:rPr>
        <w:t>。项目评价范围内无其他村屯分散式饮用水水源井</w:t>
      </w:r>
      <w:r>
        <w:rPr>
          <w:snapToGrid w:val="0"/>
          <w:color w:val="000000" w:themeColor="text1"/>
          <w14:textFill>
            <w14:solidFill>
              <w14:schemeClr w14:val="tx1"/>
            </w14:solidFill>
          </w14:textFill>
        </w:rPr>
        <w:t>。</w:t>
      </w:r>
    </w:p>
    <w:p w14:paraId="6ADA5EB7">
      <w:pPr>
        <w:pStyle w:val="43"/>
        <w:spacing w:before="0" w:beforeAutospacing="0" w:after="0" w:afterAutospacing="0" w:line="500" w:lineRule="exact"/>
        <w:ind w:firstLine="480"/>
        <w:rPr>
          <w:rFonts w:hint="eastAsia" w:eastAsia="宋体"/>
          <w:color w:val="auto"/>
          <w:highlight w:val="none"/>
        </w:rPr>
      </w:pPr>
      <w:r>
        <w:rPr>
          <w:rFonts w:hint="eastAsia" w:ascii="Times New Roman" w:eastAsia="宋体"/>
          <w:color w:val="auto"/>
          <w:kern w:val="2"/>
          <w:szCs w:val="24"/>
          <w:highlight w:val="none"/>
          <w:lang w:bidi="ar"/>
        </w:rPr>
        <w:t>根据《环境影响评价技术导则</w:t>
      </w:r>
      <w:r>
        <w:rPr>
          <w:rFonts w:ascii="Times New Roman" w:eastAsia="宋体"/>
          <w:color w:val="auto"/>
          <w:kern w:val="2"/>
          <w:szCs w:val="24"/>
          <w:highlight w:val="none"/>
          <w:lang w:bidi="ar"/>
        </w:rPr>
        <w:t xml:space="preserve"> </w:t>
      </w:r>
      <w:r>
        <w:rPr>
          <w:rFonts w:hint="eastAsia" w:ascii="Times New Roman" w:eastAsia="宋体"/>
          <w:color w:val="auto"/>
          <w:kern w:val="2"/>
          <w:szCs w:val="24"/>
          <w:highlight w:val="none"/>
          <w:lang w:bidi="ar"/>
        </w:rPr>
        <w:t>地下水环境》（</w:t>
      </w:r>
      <w:r>
        <w:rPr>
          <w:rFonts w:ascii="Times New Roman" w:eastAsia="宋体"/>
          <w:color w:val="auto"/>
          <w:kern w:val="2"/>
          <w:szCs w:val="24"/>
          <w:highlight w:val="none"/>
          <w:lang w:bidi="ar"/>
        </w:rPr>
        <w:t>HJ610-2016</w:t>
      </w:r>
      <w:r>
        <w:rPr>
          <w:rFonts w:hint="eastAsia" w:ascii="Times New Roman" w:eastAsia="宋体"/>
          <w:color w:val="auto"/>
          <w:kern w:val="2"/>
          <w:szCs w:val="24"/>
          <w:highlight w:val="none"/>
          <w:lang w:bidi="ar"/>
        </w:rPr>
        <w:t>），建设项目地下水环境影响评价工作等级划分详见表</w:t>
      </w:r>
      <w:r>
        <w:rPr>
          <w:rFonts w:ascii="Times New Roman" w:eastAsia="宋体"/>
          <w:color w:val="auto"/>
          <w:kern w:val="2"/>
          <w:szCs w:val="24"/>
          <w:highlight w:val="none"/>
          <w:lang w:bidi="ar"/>
        </w:rPr>
        <w:t>2</w:t>
      </w:r>
      <w:r>
        <w:rPr>
          <w:rFonts w:hint="eastAsia" w:ascii="Times New Roman" w:eastAsia="宋体"/>
          <w:color w:val="auto"/>
          <w:kern w:val="2"/>
          <w:szCs w:val="24"/>
          <w:highlight w:val="none"/>
          <w:lang w:bidi="ar"/>
        </w:rPr>
        <w:t>-5</w:t>
      </w:r>
      <w:r>
        <w:rPr>
          <w:rFonts w:ascii="Times New Roman" w:eastAsia="宋体"/>
          <w:color w:val="auto"/>
          <w:kern w:val="2"/>
          <w:szCs w:val="24"/>
          <w:highlight w:val="none"/>
          <w:lang w:bidi="ar"/>
        </w:rPr>
        <w:t>-1</w:t>
      </w:r>
      <w:r>
        <w:rPr>
          <w:rFonts w:hint="eastAsia" w:ascii="Times New Roman"/>
          <w:color w:val="auto"/>
          <w:kern w:val="2"/>
          <w:szCs w:val="24"/>
          <w:highlight w:val="none"/>
          <w:lang w:val="en-US" w:eastAsia="zh-CN" w:bidi="ar"/>
        </w:rPr>
        <w:t>6</w:t>
      </w:r>
      <w:r>
        <w:rPr>
          <w:rFonts w:hint="eastAsia" w:ascii="Times New Roman" w:eastAsia="宋体"/>
          <w:color w:val="auto"/>
          <w:kern w:val="2"/>
          <w:szCs w:val="24"/>
          <w:highlight w:val="none"/>
          <w:lang w:bidi="ar"/>
        </w:rPr>
        <w:t>。</w:t>
      </w:r>
    </w:p>
    <w:p w14:paraId="3101145F">
      <w:pPr>
        <w:snapToGrid w:val="0"/>
        <w:spacing w:line="500" w:lineRule="exact"/>
        <w:jc w:val="center"/>
        <w:rPr>
          <w:rFonts w:hint="eastAsia" w:ascii="Times New Roman" w:cs="黑体"/>
          <w:b/>
          <w:color w:val="auto"/>
          <w:szCs w:val="28"/>
          <w:highlight w:val="none"/>
          <w:lang w:val="zh-CN" w:eastAsia="zh-CN" w:bidi="ar"/>
        </w:rPr>
      </w:pPr>
      <w:r>
        <w:rPr>
          <w:rFonts w:hint="eastAsia" w:ascii="Times New Roman" w:cs="黑体"/>
          <w:b/>
          <w:color w:val="auto"/>
          <w:szCs w:val="28"/>
          <w:highlight w:val="none"/>
          <w:lang w:val="zh-CN" w:eastAsia="zh-CN" w:bidi="ar"/>
        </w:rPr>
        <w:t>表2-5-1</w:t>
      </w:r>
      <w:r>
        <w:rPr>
          <w:rFonts w:hint="eastAsia" w:cs="黑体"/>
          <w:b/>
          <w:color w:val="auto"/>
          <w:szCs w:val="28"/>
          <w:highlight w:val="none"/>
          <w:lang w:val="en-US" w:eastAsia="zh-CN" w:bidi="ar"/>
        </w:rPr>
        <w:t>6</w:t>
      </w:r>
      <w:r>
        <w:rPr>
          <w:rFonts w:hint="eastAsia" w:ascii="Times New Roman" w:cs="黑体"/>
          <w:b/>
          <w:color w:val="auto"/>
          <w:szCs w:val="28"/>
          <w:highlight w:val="none"/>
          <w:lang w:val="zh-CN" w:eastAsia="zh-CN" w:bidi="ar"/>
        </w:rPr>
        <w:t xml:space="preserve"> 地下水评价工作等级分级表</w:t>
      </w:r>
    </w:p>
    <w:tbl>
      <w:tblPr>
        <w:tblStyle w:val="387"/>
        <w:tblW w:w="855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486"/>
        <w:gridCol w:w="1820"/>
        <w:gridCol w:w="2125"/>
        <w:gridCol w:w="2125"/>
      </w:tblGrid>
      <w:tr w14:paraId="656F53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2486" w:type="dxa"/>
            <w:vAlign w:val="center"/>
          </w:tcPr>
          <w:p w14:paraId="1B26145A">
            <w:pPr>
              <w:spacing w:line="240" w:lineRule="auto"/>
              <w:ind w:firstLine="0" w:firstLineChars="0"/>
              <w:jc w:val="right"/>
              <w:rPr>
                <w:snapToGrid/>
                <w:color w:val="000000" w:themeColor="text1"/>
                <w:kern w:val="2"/>
                <w:sz w:val="21"/>
                <w:lang w:val="zh-CN" w:eastAsia="zh-CN"/>
                <w14:textFill>
                  <w14:solidFill>
                    <w14:schemeClr w14:val="tx1"/>
                  </w14:solidFill>
                </w14:textFill>
              </w:rPr>
            </w:pPr>
            <w:r>
              <w:rPr>
                <w:snapToGrid w:val="0"/>
                <w:color w:val="000000" w:themeColor="text1"/>
                <w:kern w:val="0"/>
                <w:sz w:val="21"/>
                <w:szCs w:val="24"/>
                <w:lang w:val="zh-CN" w:eastAsia="zh-CN"/>
                <w14:textFill>
                  <w14:solidFill>
                    <w14:schemeClr w14:val="tx1"/>
                  </w14:solidFill>
                </w14:textFill>
              </w:rPr>
              <mc:AlternateContent>
                <mc:Choice Requires="wps">
                  <w:drawing>
                    <wp:anchor distT="0" distB="0" distL="114300" distR="114300" simplePos="0" relativeHeight="251674624" behindDoc="0" locked="0" layoutInCell="1" allowOverlap="1">
                      <wp:simplePos x="0" y="0"/>
                      <wp:positionH relativeFrom="column">
                        <wp:posOffset>-46355</wp:posOffset>
                      </wp:positionH>
                      <wp:positionV relativeFrom="paragraph">
                        <wp:posOffset>-8890</wp:posOffset>
                      </wp:positionV>
                      <wp:extent cx="1543050" cy="381000"/>
                      <wp:effectExtent l="1270" t="4445" r="17780" b="14605"/>
                      <wp:wrapNone/>
                      <wp:docPr id="58" name="直接箭头连接符 58"/>
                      <wp:cNvGraphicFramePr/>
                      <a:graphic xmlns:a="http://schemas.openxmlformats.org/drawingml/2006/main">
                        <a:graphicData uri="http://schemas.microsoft.com/office/word/2010/wordprocessingShape">
                          <wps:wsp>
                            <wps:cNvCnPr>
                              <a:cxnSpLocks noChangeShapeType="1"/>
                            </wps:cNvCnPr>
                            <wps:spPr bwMode="auto">
                              <a:xfrm>
                                <a:off x="0" y="0"/>
                                <a:ext cx="1543050" cy="381000"/>
                              </a:xfrm>
                              <a:prstGeom prst="straightConnector1">
                                <a:avLst/>
                              </a:prstGeom>
                              <a:noFill/>
                              <a:ln w="3175">
                                <a:solidFill>
                                  <a:srgbClr val="000000"/>
                                </a:solidFill>
                                <a:round/>
                              </a:ln>
                            </wps:spPr>
                            <wps:bodyPr/>
                          </wps:wsp>
                        </a:graphicData>
                      </a:graphic>
                    </wp:anchor>
                  </w:drawing>
                </mc:Choice>
                <mc:Fallback>
                  <w:pict>
                    <v:shape id="_x0000_s1026" o:spid="_x0000_s1026" o:spt="32" type="#_x0000_t32" style="position:absolute;left:0pt;margin-left:-3.65pt;margin-top:-0.7pt;height:30pt;width:121.5pt;z-index:251674624;mso-width-relative:page;mso-height-relative:page;" filled="f" stroked="t" coordsize="21600,21600" o:gfxdata="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G1mD6dgAAAAIAQAADwAAAAAAAAABACAAAAAiAAAAZHJzL2Rvd25yZXYu&#10;eG1sUEsBAhQAFAAAAAgAh07iQBcCzN77AQAAxQMAAA4AAAAAAAAAAQAgAAAAJwEAAGRycy9lMm9E&#10;b2MueG1sUEsFBgAAAAAGAAYAWQEAAJQFAAAAAA==&#10;">
                      <v:fill on="f" focussize="0,0"/>
                      <v:stroke weight="0.25pt" color="#000000" joinstyle="round"/>
                      <v:imagedata o:title=""/>
                      <o:lock v:ext="edit" aspectratio="f"/>
                    </v:shape>
                  </w:pict>
                </mc:Fallback>
              </mc:AlternateContent>
            </w:r>
            <w:r>
              <w:rPr>
                <w:rFonts w:hint="eastAsia"/>
                <w:snapToGrid/>
                <w:color w:val="000000" w:themeColor="text1"/>
                <w:kern w:val="2"/>
                <w:sz w:val="21"/>
                <w:lang w:val="zh-CN" w:eastAsia="zh-CN"/>
                <w14:textFill>
                  <w14:solidFill>
                    <w14:schemeClr w14:val="tx1"/>
                  </w14:solidFill>
                </w14:textFill>
              </w:rPr>
              <w:t>项目类别</w:t>
            </w:r>
          </w:p>
          <w:p w14:paraId="422A39A1">
            <w:pPr>
              <w:spacing w:line="240" w:lineRule="auto"/>
              <w:ind w:firstLine="0" w:firstLineChars="0"/>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环境敏感程度</w:t>
            </w:r>
          </w:p>
        </w:tc>
        <w:tc>
          <w:tcPr>
            <w:tcW w:w="1820" w:type="dxa"/>
            <w:vAlign w:val="center"/>
          </w:tcPr>
          <w:p w14:paraId="1E4AE922">
            <w:pPr>
              <w:spacing w:line="240" w:lineRule="auto"/>
              <w:ind w:firstLine="0" w:firstLineChars="0"/>
              <w:jc w:val="center"/>
              <w:rPr>
                <w:rFonts w:cs="Times New Roman"/>
                <w:snapToGrid/>
                <w:color w:val="000000" w:themeColor="text1"/>
                <w:kern w:val="2"/>
                <w:sz w:val="21"/>
                <w:lang w:val="zh-CN" w:eastAsia="zh-CN"/>
                <w14:textFill>
                  <w14:solidFill>
                    <w14:schemeClr w14:val="tx1"/>
                  </w14:solidFill>
                </w14:textFill>
              </w:rPr>
            </w:pPr>
            <w:r>
              <w:rPr>
                <w:rFonts w:cs="Times New Roman"/>
                <w:snapToGrid w:val="0"/>
                <w:color w:val="000000" w:themeColor="text1"/>
                <w:kern w:val="0"/>
                <w:sz w:val="21"/>
                <w:lang w:val="zh-CN" w:eastAsia="zh-CN"/>
                <w14:textFill>
                  <w14:solidFill>
                    <w14:schemeClr w14:val="tx1"/>
                  </w14:solidFill>
                </w14:textFill>
              </w:rPr>
              <w:fldChar w:fldCharType="begin"/>
            </w:r>
            <w:r>
              <w:rPr>
                <w:rFonts w:cs="Times New Roman"/>
                <w:snapToGrid/>
                <w:color w:val="000000" w:themeColor="text1"/>
                <w:kern w:val="2"/>
                <w:sz w:val="21"/>
                <w:lang w:val="zh-CN" w:eastAsia="zh-CN"/>
                <w14:textFill>
                  <w14:solidFill>
                    <w14:schemeClr w14:val="tx1"/>
                  </w14:solidFill>
                </w14:textFill>
              </w:rPr>
              <w:instrText xml:space="preserve"> = 1 \* ROMAN </w:instrText>
            </w:r>
            <w:r>
              <w:rPr>
                <w:rFonts w:cs="Times New Roman"/>
                <w:snapToGrid w:val="0"/>
                <w:color w:val="000000" w:themeColor="text1"/>
                <w:kern w:val="0"/>
                <w:sz w:val="21"/>
                <w:lang w:val="zh-CN" w:eastAsia="zh-CN"/>
                <w14:textFill>
                  <w14:solidFill>
                    <w14:schemeClr w14:val="tx1"/>
                  </w14:solidFill>
                </w14:textFill>
              </w:rPr>
              <w:fldChar w:fldCharType="separate"/>
            </w:r>
            <w:r>
              <w:rPr>
                <w:rFonts w:cs="Times New Roman"/>
                <w:snapToGrid/>
                <w:color w:val="000000" w:themeColor="text1"/>
                <w:kern w:val="2"/>
                <w:sz w:val="21"/>
                <w:lang w:val="zh-CN" w:eastAsia="zh-CN"/>
                <w14:textFill>
                  <w14:solidFill>
                    <w14:schemeClr w14:val="tx1"/>
                  </w14:solidFill>
                </w14:textFill>
              </w:rPr>
              <w:t>I</w:t>
            </w:r>
            <w:r>
              <w:rPr>
                <w:rFonts w:cs="Times New Roman"/>
                <w:snapToGrid w:val="0"/>
                <w:color w:val="000000" w:themeColor="text1"/>
                <w:kern w:val="0"/>
                <w:sz w:val="21"/>
                <w:lang w:val="zh-CN" w:eastAsia="zh-CN"/>
                <w14:textFill>
                  <w14:solidFill>
                    <w14:schemeClr w14:val="tx1"/>
                  </w14:solidFill>
                </w14:textFill>
              </w:rPr>
              <w:fldChar w:fldCharType="end"/>
            </w:r>
            <w:r>
              <w:rPr>
                <w:rFonts w:cs="Times New Roman"/>
                <w:snapToGrid/>
                <w:color w:val="000000" w:themeColor="text1"/>
                <w:kern w:val="2"/>
                <w:sz w:val="21"/>
                <w:lang w:val="zh-CN" w:eastAsia="zh-CN"/>
                <w14:textFill>
                  <w14:solidFill>
                    <w14:schemeClr w14:val="tx1"/>
                  </w14:solidFill>
                </w14:textFill>
              </w:rPr>
              <w:t>类项目</w:t>
            </w:r>
          </w:p>
        </w:tc>
        <w:tc>
          <w:tcPr>
            <w:tcW w:w="2125" w:type="dxa"/>
            <w:vAlign w:val="center"/>
          </w:tcPr>
          <w:p w14:paraId="49C230C4">
            <w:pPr>
              <w:spacing w:line="240" w:lineRule="auto"/>
              <w:ind w:firstLine="0" w:firstLineChars="0"/>
              <w:jc w:val="center"/>
              <w:rPr>
                <w:rFonts w:cs="Times New Roman"/>
                <w:snapToGrid/>
                <w:color w:val="000000" w:themeColor="text1"/>
                <w:kern w:val="2"/>
                <w:sz w:val="21"/>
                <w:lang w:val="zh-CN" w:eastAsia="zh-CN"/>
                <w14:textFill>
                  <w14:solidFill>
                    <w14:schemeClr w14:val="tx1"/>
                  </w14:solidFill>
                </w14:textFill>
              </w:rPr>
            </w:pPr>
            <w:r>
              <w:rPr>
                <w:rFonts w:cs="Times New Roman"/>
                <w:snapToGrid w:val="0"/>
                <w:color w:val="000000" w:themeColor="text1"/>
                <w:kern w:val="0"/>
                <w:sz w:val="21"/>
                <w:lang w:val="zh-CN" w:eastAsia="zh-CN"/>
                <w14:textFill>
                  <w14:solidFill>
                    <w14:schemeClr w14:val="tx1"/>
                  </w14:solidFill>
                </w14:textFill>
              </w:rPr>
              <w:fldChar w:fldCharType="begin"/>
            </w:r>
            <w:r>
              <w:rPr>
                <w:rFonts w:cs="Times New Roman"/>
                <w:snapToGrid/>
                <w:color w:val="000000" w:themeColor="text1"/>
                <w:kern w:val="2"/>
                <w:sz w:val="21"/>
                <w:lang w:val="zh-CN" w:eastAsia="zh-CN"/>
                <w14:textFill>
                  <w14:solidFill>
                    <w14:schemeClr w14:val="tx1"/>
                  </w14:solidFill>
                </w14:textFill>
              </w:rPr>
              <w:instrText xml:space="preserve"> = 2 \* ROMAN </w:instrText>
            </w:r>
            <w:r>
              <w:rPr>
                <w:rFonts w:cs="Times New Roman"/>
                <w:snapToGrid w:val="0"/>
                <w:color w:val="000000" w:themeColor="text1"/>
                <w:kern w:val="0"/>
                <w:sz w:val="21"/>
                <w:lang w:val="zh-CN" w:eastAsia="zh-CN"/>
                <w14:textFill>
                  <w14:solidFill>
                    <w14:schemeClr w14:val="tx1"/>
                  </w14:solidFill>
                </w14:textFill>
              </w:rPr>
              <w:fldChar w:fldCharType="separate"/>
            </w:r>
            <w:r>
              <w:rPr>
                <w:rFonts w:cs="Times New Roman"/>
                <w:snapToGrid/>
                <w:color w:val="000000" w:themeColor="text1"/>
                <w:kern w:val="2"/>
                <w:sz w:val="21"/>
                <w:lang w:val="zh-CN" w:eastAsia="zh-CN"/>
                <w14:textFill>
                  <w14:solidFill>
                    <w14:schemeClr w14:val="tx1"/>
                  </w14:solidFill>
                </w14:textFill>
              </w:rPr>
              <w:t>II</w:t>
            </w:r>
            <w:r>
              <w:rPr>
                <w:rFonts w:cs="Times New Roman"/>
                <w:snapToGrid w:val="0"/>
                <w:color w:val="000000" w:themeColor="text1"/>
                <w:kern w:val="0"/>
                <w:sz w:val="21"/>
                <w:lang w:val="zh-CN" w:eastAsia="zh-CN"/>
                <w14:textFill>
                  <w14:solidFill>
                    <w14:schemeClr w14:val="tx1"/>
                  </w14:solidFill>
                </w14:textFill>
              </w:rPr>
              <w:fldChar w:fldCharType="end"/>
            </w:r>
            <w:r>
              <w:rPr>
                <w:rFonts w:cs="Times New Roman"/>
                <w:snapToGrid/>
                <w:color w:val="000000" w:themeColor="text1"/>
                <w:kern w:val="2"/>
                <w:sz w:val="21"/>
                <w:lang w:val="zh-CN" w:eastAsia="zh-CN"/>
                <w14:textFill>
                  <w14:solidFill>
                    <w14:schemeClr w14:val="tx1"/>
                  </w14:solidFill>
                </w14:textFill>
              </w:rPr>
              <w:t>类项目</w:t>
            </w:r>
          </w:p>
        </w:tc>
        <w:tc>
          <w:tcPr>
            <w:tcW w:w="2125" w:type="dxa"/>
            <w:vAlign w:val="center"/>
          </w:tcPr>
          <w:p w14:paraId="64865061">
            <w:pPr>
              <w:spacing w:line="240" w:lineRule="auto"/>
              <w:ind w:firstLine="0" w:firstLineChars="0"/>
              <w:jc w:val="center"/>
              <w:rPr>
                <w:rFonts w:cs="Times New Roman"/>
                <w:snapToGrid/>
                <w:color w:val="000000" w:themeColor="text1"/>
                <w:kern w:val="2"/>
                <w:sz w:val="21"/>
                <w:lang w:val="zh-CN" w:eastAsia="zh-CN"/>
                <w14:textFill>
                  <w14:solidFill>
                    <w14:schemeClr w14:val="tx1"/>
                  </w14:solidFill>
                </w14:textFill>
              </w:rPr>
            </w:pPr>
            <w:r>
              <w:rPr>
                <w:rFonts w:cs="Times New Roman"/>
                <w:snapToGrid w:val="0"/>
                <w:color w:val="000000" w:themeColor="text1"/>
                <w:kern w:val="0"/>
                <w:sz w:val="21"/>
                <w:lang w:val="zh-CN" w:eastAsia="zh-CN"/>
                <w14:textFill>
                  <w14:solidFill>
                    <w14:schemeClr w14:val="tx1"/>
                  </w14:solidFill>
                </w14:textFill>
              </w:rPr>
              <w:fldChar w:fldCharType="begin"/>
            </w:r>
            <w:r>
              <w:rPr>
                <w:rFonts w:cs="Times New Roman"/>
                <w:snapToGrid/>
                <w:color w:val="000000" w:themeColor="text1"/>
                <w:kern w:val="2"/>
                <w:sz w:val="21"/>
                <w:lang w:val="zh-CN" w:eastAsia="zh-CN"/>
                <w14:textFill>
                  <w14:solidFill>
                    <w14:schemeClr w14:val="tx1"/>
                  </w14:solidFill>
                </w14:textFill>
              </w:rPr>
              <w:instrText xml:space="preserve"> = 3 \* ROMAN </w:instrText>
            </w:r>
            <w:r>
              <w:rPr>
                <w:rFonts w:cs="Times New Roman"/>
                <w:snapToGrid w:val="0"/>
                <w:color w:val="000000" w:themeColor="text1"/>
                <w:kern w:val="0"/>
                <w:sz w:val="21"/>
                <w:lang w:val="zh-CN" w:eastAsia="zh-CN"/>
                <w14:textFill>
                  <w14:solidFill>
                    <w14:schemeClr w14:val="tx1"/>
                  </w14:solidFill>
                </w14:textFill>
              </w:rPr>
              <w:fldChar w:fldCharType="separate"/>
            </w:r>
            <w:r>
              <w:rPr>
                <w:rFonts w:cs="Times New Roman"/>
                <w:snapToGrid/>
                <w:color w:val="000000" w:themeColor="text1"/>
                <w:kern w:val="2"/>
                <w:sz w:val="21"/>
                <w:lang w:val="zh-CN" w:eastAsia="zh-CN"/>
                <w14:textFill>
                  <w14:solidFill>
                    <w14:schemeClr w14:val="tx1"/>
                  </w14:solidFill>
                </w14:textFill>
              </w:rPr>
              <w:t>Ⅲ</w:t>
            </w:r>
            <w:r>
              <w:rPr>
                <w:rFonts w:cs="Times New Roman"/>
                <w:snapToGrid w:val="0"/>
                <w:color w:val="000000" w:themeColor="text1"/>
                <w:kern w:val="0"/>
                <w:sz w:val="21"/>
                <w:lang w:val="zh-CN" w:eastAsia="zh-CN"/>
                <w14:textFill>
                  <w14:solidFill>
                    <w14:schemeClr w14:val="tx1"/>
                  </w14:solidFill>
                </w14:textFill>
              </w:rPr>
              <w:fldChar w:fldCharType="end"/>
            </w:r>
            <w:r>
              <w:rPr>
                <w:rFonts w:cs="Times New Roman"/>
                <w:snapToGrid/>
                <w:color w:val="000000" w:themeColor="text1"/>
                <w:kern w:val="2"/>
                <w:sz w:val="21"/>
                <w:lang w:val="zh-CN" w:eastAsia="zh-CN"/>
                <w14:textFill>
                  <w14:solidFill>
                    <w14:schemeClr w14:val="tx1"/>
                  </w14:solidFill>
                </w14:textFill>
              </w:rPr>
              <w:t>类项目</w:t>
            </w:r>
            <w:r>
              <w:rPr>
                <w:rFonts w:ascii="Times New Roman" w:hAnsi="Times New Roman"/>
                <w:b w:val="0"/>
                <w:bCs/>
                <w:snapToGrid w:val="0"/>
                <w:color w:val="auto"/>
                <w:sz w:val="21"/>
                <w:szCs w:val="21"/>
                <w:highlight w:val="none"/>
              </w:rPr>
              <w:t>（√）</w:t>
            </w:r>
          </w:p>
        </w:tc>
      </w:tr>
      <w:tr w14:paraId="75822F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86" w:type="dxa"/>
            <w:vAlign w:val="center"/>
          </w:tcPr>
          <w:p w14:paraId="5EF1A770">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敏感</w:t>
            </w:r>
          </w:p>
        </w:tc>
        <w:tc>
          <w:tcPr>
            <w:tcW w:w="1820" w:type="dxa"/>
            <w:vAlign w:val="center"/>
          </w:tcPr>
          <w:p w14:paraId="096FE970">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一</w:t>
            </w:r>
          </w:p>
        </w:tc>
        <w:tc>
          <w:tcPr>
            <w:tcW w:w="2125" w:type="dxa"/>
            <w:vAlign w:val="center"/>
          </w:tcPr>
          <w:p w14:paraId="7D28066A">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一</w:t>
            </w:r>
          </w:p>
        </w:tc>
        <w:tc>
          <w:tcPr>
            <w:tcW w:w="2125" w:type="dxa"/>
            <w:vAlign w:val="center"/>
          </w:tcPr>
          <w:p w14:paraId="12CACAAB">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二</w:t>
            </w:r>
          </w:p>
        </w:tc>
      </w:tr>
      <w:tr w14:paraId="22A6B3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86" w:type="dxa"/>
            <w:vAlign w:val="center"/>
          </w:tcPr>
          <w:p w14:paraId="61560DF8">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较敏感</w:t>
            </w:r>
          </w:p>
        </w:tc>
        <w:tc>
          <w:tcPr>
            <w:tcW w:w="1820" w:type="dxa"/>
            <w:vAlign w:val="center"/>
          </w:tcPr>
          <w:p w14:paraId="1E50B616">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一</w:t>
            </w:r>
          </w:p>
        </w:tc>
        <w:tc>
          <w:tcPr>
            <w:tcW w:w="2125" w:type="dxa"/>
            <w:vAlign w:val="center"/>
          </w:tcPr>
          <w:p w14:paraId="2CBAF980">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二</w:t>
            </w:r>
          </w:p>
        </w:tc>
        <w:tc>
          <w:tcPr>
            <w:tcW w:w="2125" w:type="dxa"/>
            <w:vAlign w:val="center"/>
          </w:tcPr>
          <w:p w14:paraId="25D2B7B5">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三</w:t>
            </w:r>
            <w:r>
              <w:rPr>
                <w:rFonts w:ascii="Times New Roman" w:hAnsi="Times New Roman"/>
                <w:b w:val="0"/>
                <w:bCs/>
                <w:snapToGrid w:val="0"/>
                <w:color w:val="auto"/>
                <w:sz w:val="21"/>
                <w:szCs w:val="21"/>
                <w:highlight w:val="none"/>
              </w:rPr>
              <w:t>（√）</w:t>
            </w:r>
          </w:p>
        </w:tc>
      </w:tr>
      <w:tr w14:paraId="21D6C3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86" w:type="dxa"/>
            <w:vAlign w:val="center"/>
          </w:tcPr>
          <w:p w14:paraId="2FAC588E">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不敏感</w:t>
            </w:r>
          </w:p>
        </w:tc>
        <w:tc>
          <w:tcPr>
            <w:tcW w:w="1820" w:type="dxa"/>
            <w:vAlign w:val="center"/>
          </w:tcPr>
          <w:p w14:paraId="1975ABF8">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二</w:t>
            </w:r>
          </w:p>
        </w:tc>
        <w:tc>
          <w:tcPr>
            <w:tcW w:w="2125" w:type="dxa"/>
            <w:vAlign w:val="center"/>
          </w:tcPr>
          <w:p w14:paraId="0BDBF5C2">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三</w:t>
            </w:r>
          </w:p>
        </w:tc>
        <w:tc>
          <w:tcPr>
            <w:tcW w:w="2125" w:type="dxa"/>
            <w:vAlign w:val="center"/>
          </w:tcPr>
          <w:p w14:paraId="1A38A6DB">
            <w:pPr>
              <w:spacing w:line="240" w:lineRule="auto"/>
              <w:ind w:firstLine="0" w:firstLineChars="0"/>
              <w:jc w:val="center"/>
              <w:rPr>
                <w:snapToGrid/>
                <w:color w:val="000000" w:themeColor="text1"/>
                <w:kern w:val="2"/>
                <w:sz w:val="21"/>
                <w:lang w:val="zh-CN" w:eastAsia="zh-CN"/>
                <w14:textFill>
                  <w14:solidFill>
                    <w14:schemeClr w14:val="tx1"/>
                  </w14:solidFill>
                </w14:textFill>
              </w:rPr>
            </w:pPr>
            <w:r>
              <w:rPr>
                <w:rFonts w:hint="eastAsia"/>
                <w:snapToGrid/>
                <w:color w:val="000000" w:themeColor="text1"/>
                <w:kern w:val="2"/>
                <w:sz w:val="21"/>
                <w:lang w:val="zh-CN" w:eastAsia="zh-CN"/>
                <w14:textFill>
                  <w14:solidFill>
                    <w14:schemeClr w14:val="tx1"/>
                  </w14:solidFill>
                </w14:textFill>
              </w:rPr>
              <w:t>三</w:t>
            </w:r>
          </w:p>
        </w:tc>
      </w:tr>
      <w:bookmarkEnd w:id="54"/>
      <w:bookmarkEnd w:id="55"/>
    </w:tbl>
    <w:p w14:paraId="3FBF01AE">
      <w:pPr>
        <w:pStyle w:val="6"/>
        <w:rPr>
          <w:snapToGrid w:val="0"/>
          <w:color w:val="000000" w:themeColor="text1"/>
          <w:kern w:val="0"/>
          <w:szCs w:val="24"/>
          <w14:textFill>
            <w14:solidFill>
              <w14:schemeClr w14:val="tx1"/>
            </w14:solidFill>
          </w14:textFill>
        </w:rPr>
      </w:pPr>
      <w:bookmarkStart w:id="56" w:name="_Toc88900496"/>
      <w:bookmarkStart w:id="57" w:name="_Toc88969056"/>
      <w:bookmarkStart w:id="58" w:name="_Toc11854"/>
      <w:bookmarkStart w:id="59" w:name="_Toc88968913"/>
      <w:bookmarkStart w:id="60" w:name="_Toc89231866"/>
      <w:r>
        <w:rPr>
          <w:color w:val="000000" w:themeColor="text1"/>
          <w14:textFill>
            <w14:solidFill>
              <w14:schemeClr w14:val="tx1"/>
            </w14:solidFill>
          </w14:textFill>
        </w:rPr>
        <w:t>2.5.4</w:t>
      </w:r>
      <w:r>
        <w:rPr>
          <w:rFonts w:hint="eastAsia"/>
          <w:color w:val="000000" w:themeColor="text1"/>
          <w14:textFill>
            <w14:solidFill>
              <w14:schemeClr w14:val="tx1"/>
            </w14:solidFill>
          </w14:textFill>
        </w:rPr>
        <w:t>声环境</w:t>
      </w:r>
      <w:bookmarkEnd w:id="56"/>
      <w:bookmarkEnd w:id="57"/>
      <w:bookmarkEnd w:id="58"/>
      <w:bookmarkEnd w:id="59"/>
      <w:bookmarkEnd w:id="60"/>
    </w:p>
    <w:p w14:paraId="7ED2F7AA">
      <w:pPr>
        <w:spacing w:line="500" w:lineRule="exact"/>
        <w:ind w:firstLine="480" w:firstLineChars="200"/>
        <w:rPr>
          <w:rFonts w:ascii="Times New Roman" w:hAnsi="Times New Roman"/>
          <w:bCs/>
          <w:color w:val="auto"/>
          <w:szCs w:val="24"/>
          <w:highlight w:val="none"/>
        </w:rPr>
      </w:pPr>
      <w:r>
        <w:rPr>
          <w:rFonts w:hint="eastAsia" w:ascii="Times New Roman" w:hAnsi="Times New Roman"/>
          <w:bCs/>
          <w:color w:val="auto"/>
          <w:szCs w:val="24"/>
          <w:highlight w:val="none"/>
        </w:rPr>
        <w:t>根据《环境影响评价技术导则</w:t>
      </w:r>
      <w:r>
        <w:rPr>
          <w:rFonts w:ascii="Times New Roman" w:hAnsi="Times New Roman"/>
          <w:bCs/>
          <w:color w:val="auto"/>
          <w:szCs w:val="24"/>
          <w:highlight w:val="none"/>
        </w:rPr>
        <w:t xml:space="preserve"> </w:t>
      </w:r>
      <w:r>
        <w:rPr>
          <w:rFonts w:hint="eastAsia" w:ascii="Times New Roman" w:hAnsi="Times New Roman"/>
          <w:bCs/>
          <w:color w:val="auto"/>
          <w:szCs w:val="24"/>
          <w:highlight w:val="none"/>
        </w:rPr>
        <w:t>声环境》（</w:t>
      </w:r>
      <w:r>
        <w:rPr>
          <w:rFonts w:ascii="Times New Roman" w:hAnsi="Times New Roman"/>
          <w:bCs/>
          <w:color w:val="auto"/>
          <w:szCs w:val="24"/>
          <w:highlight w:val="none"/>
        </w:rPr>
        <w:t>HJ2.4-2021</w:t>
      </w:r>
      <w:r>
        <w:rPr>
          <w:rFonts w:hint="eastAsia" w:ascii="Times New Roman" w:hAnsi="Times New Roman"/>
          <w:bCs/>
          <w:color w:val="auto"/>
          <w:szCs w:val="24"/>
          <w:highlight w:val="none"/>
        </w:rPr>
        <w:t>）中</w:t>
      </w:r>
      <w:r>
        <w:rPr>
          <w:rFonts w:hint="eastAsia" w:ascii="Times New Roman" w:hAnsi="Times New Roman" w:eastAsia="宋体"/>
          <w:bCs/>
          <w:color w:val="auto"/>
          <w:szCs w:val="24"/>
          <w:highlight w:val="none"/>
          <w:lang w:eastAsia="zh-CN"/>
        </w:rPr>
        <w:t>“</w:t>
      </w:r>
      <w:r>
        <w:rPr>
          <w:rFonts w:ascii="Times New Roman" w:hAnsi="Times New Roman"/>
          <w:bCs/>
          <w:color w:val="auto"/>
          <w:szCs w:val="24"/>
          <w:highlight w:val="none"/>
        </w:rPr>
        <w:t>5.1</w:t>
      </w:r>
      <w:r>
        <w:rPr>
          <w:rFonts w:hint="eastAsia" w:ascii="Times New Roman" w:hAnsi="Times New Roman"/>
          <w:bCs/>
          <w:color w:val="auto"/>
          <w:szCs w:val="24"/>
          <w:highlight w:val="none"/>
        </w:rPr>
        <w:t>评价等级</w:t>
      </w:r>
      <w:r>
        <w:rPr>
          <w:rFonts w:hint="eastAsia" w:ascii="Times New Roman" w:hAnsi="Times New Roman" w:eastAsia="宋体"/>
          <w:bCs/>
          <w:color w:val="auto"/>
          <w:szCs w:val="24"/>
          <w:highlight w:val="none"/>
          <w:lang w:eastAsia="zh-CN"/>
        </w:rPr>
        <w:t>”</w:t>
      </w:r>
      <w:r>
        <w:rPr>
          <w:rFonts w:hint="eastAsia" w:ascii="Times New Roman" w:hAnsi="Times New Roman"/>
          <w:bCs/>
          <w:color w:val="auto"/>
          <w:szCs w:val="24"/>
          <w:highlight w:val="none"/>
        </w:rPr>
        <w:t>要求，</w:t>
      </w:r>
      <w:r>
        <w:rPr>
          <w:rFonts w:hint="eastAsia" w:ascii="Times New Roman" w:hAnsi="Times New Roman"/>
          <w:bCs/>
          <w:color w:val="000000" w:themeColor="text1"/>
          <w:szCs w:val="24"/>
          <w:highlight w:val="none"/>
          <w14:textFill>
            <w14:solidFill>
              <w14:schemeClr w14:val="tx1"/>
            </w14:solidFill>
          </w14:textFill>
        </w:rPr>
        <w:t>将声环境影响评价工作等级分为三级，</w:t>
      </w:r>
      <w:r>
        <w:rPr>
          <w:rFonts w:hint="eastAsia" w:ascii="Times New Roman" w:hAnsi="Times New Roman"/>
          <w:bCs/>
          <w:color w:val="auto"/>
          <w:szCs w:val="24"/>
          <w:highlight w:val="none"/>
        </w:rPr>
        <w:t>声环境评价工作等级划分依据见表</w:t>
      </w:r>
      <w:r>
        <w:rPr>
          <w:rFonts w:ascii="Times New Roman" w:hAnsi="Times New Roman"/>
          <w:bCs/>
          <w:color w:val="auto"/>
          <w:szCs w:val="24"/>
          <w:highlight w:val="none"/>
        </w:rPr>
        <w:t>2</w:t>
      </w:r>
      <w:r>
        <w:rPr>
          <w:rFonts w:hint="eastAsia" w:ascii="Times New Roman" w:hAnsi="Times New Roman"/>
          <w:bCs/>
          <w:color w:val="auto"/>
          <w:szCs w:val="24"/>
          <w:highlight w:val="none"/>
        </w:rPr>
        <w:t>.5</w:t>
      </w:r>
      <w:r>
        <w:rPr>
          <w:rFonts w:ascii="Times New Roman" w:hAnsi="Times New Roman"/>
          <w:bCs/>
          <w:color w:val="auto"/>
          <w:szCs w:val="24"/>
          <w:highlight w:val="none"/>
        </w:rPr>
        <w:t>-</w:t>
      </w:r>
      <w:r>
        <w:rPr>
          <w:rFonts w:hint="eastAsia"/>
          <w:bCs/>
          <w:color w:val="auto"/>
          <w:szCs w:val="24"/>
          <w:highlight w:val="none"/>
          <w:lang w:val="en-US" w:eastAsia="zh-CN"/>
        </w:rPr>
        <w:t>17</w:t>
      </w:r>
      <w:r>
        <w:rPr>
          <w:rFonts w:hint="eastAsia" w:ascii="Times New Roman" w:hAnsi="Times New Roman"/>
          <w:bCs/>
          <w:color w:val="auto"/>
          <w:szCs w:val="24"/>
          <w:highlight w:val="none"/>
        </w:rPr>
        <w:t>。</w:t>
      </w:r>
    </w:p>
    <w:p w14:paraId="444DB9CC">
      <w:pPr>
        <w:snapToGrid w:val="0"/>
        <w:spacing w:line="500" w:lineRule="exact"/>
        <w:jc w:val="center"/>
        <w:rPr>
          <w:rFonts w:ascii="Times New Roman" w:cs="黑体"/>
          <w:b/>
          <w:color w:val="auto"/>
          <w:szCs w:val="28"/>
          <w:highlight w:val="none"/>
          <w:lang w:bidi="ar"/>
        </w:rPr>
      </w:pPr>
      <w:r>
        <w:rPr>
          <w:rFonts w:hint="eastAsia" w:ascii="Times New Roman" w:cs="黑体"/>
          <w:b/>
          <w:color w:val="auto"/>
          <w:szCs w:val="28"/>
          <w:highlight w:val="none"/>
          <w:lang w:bidi="ar"/>
        </w:rPr>
        <w:t>表</w:t>
      </w:r>
      <w:r>
        <w:rPr>
          <w:rFonts w:ascii="Times New Roman" w:cs="黑体"/>
          <w:b/>
          <w:color w:val="auto"/>
          <w:szCs w:val="28"/>
          <w:highlight w:val="none"/>
          <w:lang w:bidi="ar"/>
        </w:rPr>
        <w:t>2</w:t>
      </w:r>
      <w:r>
        <w:rPr>
          <w:rFonts w:hint="eastAsia" w:ascii="Times New Roman" w:eastAsia="宋体" w:cs="黑体"/>
          <w:b/>
          <w:color w:val="auto"/>
          <w:szCs w:val="28"/>
          <w:highlight w:val="none"/>
          <w:lang w:bidi="ar"/>
        </w:rPr>
        <w:t>.</w:t>
      </w:r>
      <w:r>
        <w:rPr>
          <w:rFonts w:hint="eastAsia" w:ascii="Times New Roman" w:cs="黑体"/>
          <w:b/>
          <w:color w:val="auto"/>
          <w:szCs w:val="28"/>
          <w:highlight w:val="none"/>
          <w:lang w:bidi="ar"/>
        </w:rPr>
        <w:t>5</w:t>
      </w:r>
      <w:r>
        <w:rPr>
          <w:rFonts w:ascii="Times New Roman" w:cs="黑体"/>
          <w:b/>
          <w:color w:val="auto"/>
          <w:szCs w:val="28"/>
          <w:highlight w:val="none"/>
          <w:lang w:bidi="ar"/>
        </w:rPr>
        <w:t>-</w:t>
      </w:r>
      <w:r>
        <w:rPr>
          <w:rFonts w:hint="eastAsia" w:cs="黑体"/>
          <w:b/>
          <w:color w:val="auto"/>
          <w:szCs w:val="28"/>
          <w:highlight w:val="none"/>
          <w:lang w:val="en-US" w:eastAsia="zh-CN" w:bidi="ar"/>
        </w:rPr>
        <w:t>17</w:t>
      </w:r>
      <w:r>
        <w:rPr>
          <w:rFonts w:ascii="Times New Roman" w:cs="黑体"/>
          <w:b/>
          <w:color w:val="auto"/>
          <w:szCs w:val="28"/>
          <w:highlight w:val="none"/>
          <w:lang w:bidi="ar"/>
        </w:rPr>
        <w:t xml:space="preserve">  </w:t>
      </w:r>
      <w:r>
        <w:rPr>
          <w:rFonts w:hint="eastAsia" w:ascii="Times New Roman" w:cs="黑体"/>
          <w:b/>
          <w:color w:val="auto"/>
          <w:szCs w:val="28"/>
          <w:highlight w:val="none"/>
          <w:lang w:bidi="ar"/>
        </w:rPr>
        <w:t>声环境评价工作等级划分</w:t>
      </w:r>
    </w:p>
    <w:tbl>
      <w:tblPr>
        <w:tblStyle w:val="49"/>
        <w:tblW w:w="5000" w:type="pct"/>
        <w:tblInd w:w="0" w:type="dxa"/>
        <w:tblBorders>
          <w:top w:val="single" w:color="auto" w:sz="12" w:space="0"/>
          <w:left w:val="none" w:color="auto" w:sz="6" w:space="0"/>
          <w:bottom w:val="single" w:color="auto" w:sz="12" w:space="0"/>
          <w:right w:val="none" w:color="auto" w:sz="6" w:space="0"/>
          <w:insideH w:val="single" w:color="auto" w:sz="2" w:space="0"/>
          <w:insideV w:val="single" w:color="auto" w:sz="2" w:space="0"/>
        </w:tblBorders>
        <w:tblLayout w:type="autofit"/>
        <w:tblCellMar>
          <w:top w:w="0" w:type="dxa"/>
          <w:left w:w="108" w:type="dxa"/>
          <w:bottom w:w="0" w:type="dxa"/>
          <w:right w:w="108" w:type="dxa"/>
        </w:tblCellMar>
      </w:tblPr>
      <w:tblGrid>
        <w:gridCol w:w="703"/>
        <w:gridCol w:w="7603"/>
      </w:tblGrid>
      <w:tr w14:paraId="654284F3">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23" w:type="pct"/>
            <w:tcBorders>
              <w:top w:val="single" w:color="auto" w:sz="12" w:space="0"/>
              <w:left w:val="nil"/>
              <w:bottom w:val="single" w:color="auto" w:sz="2" w:space="0"/>
              <w:right w:val="single" w:color="auto" w:sz="2" w:space="0"/>
            </w:tcBorders>
            <w:noWrap w:val="0"/>
            <w:vAlign w:val="center"/>
          </w:tcPr>
          <w:p w14:paraId="3FD06E32">
            <w:pPr>
              <w:pStyle w:val="43"/>
              <w:widowControl w:val="0"/>
              <w:autoSpaceDE w:val="0"/>
              <w:autoSpaceDN w:val="0"/>
              <w:adjustRightInd w:val="0"/>
              <w:spacing w:before="0" w:beforeAutospacing="0" w:after="0" w:afterAutospacing="0"/>
              <w:jc w:val="center"/>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等级</w:t>
            </w:r>
          </w:p>
        </w:tc>
        <w:tc>
          <w:tcPr>
            <w:tcW w:w="4576" w:type="pct"/>
            <w:tcBorders>
              <w:top w:val="single" w:color="auto" w:sz="12" w:space="0"/>
              <w:left w:val="single" w:color="auto" w:sz="2" w:space="0"/>
              <w:bottom w:val="single" w:color="auto" w:sz="2" w:space="0"/>
              <w:right w:val="nil"/>
            </w:tcBorders>
            <w:noWrap w:val="0"/>
            <w:vAlign w:val="center"/>
          </w:tcPr>
          <w:p w14:paraId="713D38B1">
            <w:pPr>
              <w:pStyle w:val="43"/>
              <w:widowControl w:val="0"/>
              <w:autoSpaceDE w:val="0"/>
              <w:autoSpaceDN w:val="0"/>
              <w:adjustRightInd w:val="0"/>
              <w:spacing w:before="0" w:beforeAutospacing="0" w:after="0" w:afterAutospacing="0"/>
              <w:jc w:val="center"/>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判定依据</w:t>
            </w:r>
          </w:p>
        </w:tc>
      </w:tr>
      <w:tr w14:paraId="42D2914A">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23" w:type="pct"/>
            <w:tcBorders>
              <w:top w:val="single" w:color="auto" w:sz="2" w:space="0"/>
              <w:left w:val="nil"/>
              <w:bottom w:val="single" w:color="auto" w:sz="2" w:space="0"/>
              <w:right w:val="single" w:color="auto" w:sz="2" w:space="0"/>
            </w:tcBorders>
            <w:noWrap w:val="0"/>
            <w:vAlign w:val="center"/>
          </w:tcPr>
          <w:p w14:paraId="7A52BFFB">
            <w:pPr>
              <w:pStyle w:val="43"/>
              <w:widowControl w:val="0"/>
              <w:autoSpaceDE w:val="0"/>
              <w:autoSpaceDN w:val="0"/>
              <w:adjustRightInd w:val="0"/>
              <w:spacing w:before="0" w:beforeAutospacing="0" w:after="0" w:afterAutospacing="0"/>
              <w:jc w:val="center"/>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一级</w:t>
            </w:r>
          </w:p>
        </w:tc>
        <w:tc>
          <w:tcPr>
            <w:tcW w:w="4576" w:type="pct"/>
            <w:tcBorders>
              <w:top w:val="single" w:color="auto" w:sz="2" w:space="0"/>
              <w:left w:val="single" w:color="auto" w:sz="2" w:space="0"/>
              <w:bottom w:val="single" w:color="auto" w:sz="2" w:space="0"/>
              <w:right w:val="nil"/>
            </w:tcBorders>
            <w:noWrap w:val="0"/>
            <w:vAlign w:val="center"/>
          </w:tcPr>
          <w:p w14:paraId="33419E93">
            <w:pPr>
              <w:pStyle w:val="43"/>
              <w:widowControl w:val="0"/>
              <w:autoSpaceDE w:val="0"/>
              <w:autoSpaceDN w:val="0"/>
              <w:adjustRightInd w:val="0"/>
              <w:spacing w:before="0" w:beforeAutospacing="0" w:after="0" w:afterAutospacing="0"/>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评价范围内有适用于</w:t>
            </w:r>
            <w:r>
              <w:rPr>
                <w:rFonts w:ascii="Times New Roman" w:hAnsi="Times New Roman" w:eastAsia="宋体" w:cs="Times New Roman"/>
                <w:color w:val="auto"/>
                <w:sz w:val="21"/>
                <w:szCs w:val="21"/>
                <w:highlight w:val="none"/>
                <w:lang w:bidi="ar"/>
              </w:rPr>
              <w:t>GB3096</w:t>
            </w:r>
            <w:r>
              <w:rPr>
                <w:rFonts w:hint="eastAsia" w:ascii="Times New Roman" w:hAnsi="Times New Roman" w:eastAsia="宋体" w:cs="Times New Roman"/>
                <w:color w:val="auto"/>
                <w:sz w:val="21"/>
                <w:szCs w:val="21"/>
                <w:highlight w:val="none"/>
                <w:lang w:bidi="ar"/>
              </w:rPr>
              <w:t>规定的</w:t>
            </w:r>
            <w:r>
              <w:rPr>
                <w:rFonts w:ascii="Times New Roman" w:hAnsi="Times New Roman" w:eastAsia="宋体" w:cs="Times New Roman"/>
                <w:color w:val="auto"/>
                <w:sz w:val="21"/>
                <w:szCs w:val="21"/>
                <w:highlight w:val="none"/>
                <w:lang w:bidi="ar"/>
              </w:rPr>
              <w:t>0</w:t>
            </w:r>
            <w:r>
              <w:rPr>
                <w:rFonts w:hint="eastAsia" w:ascii="Times New Roman" w:hAnsi="Times New Roman" w:eastAsia="宋体" w:cs="Times New Roman"/>
                <w:color w:val="auto"/>
                <w:sz w:val="21"/>
                <w:szCs w:val="21"/>
                <w:highlight w:val="none"/>
                <w:lang w:bidi="ar"/>
              </w:rPr>
              <w:t>类声环境功能区域，或建设项目建设前后评价范围内声环境保护目标噪声级增量达</w:t>
            </w:r>
            <w:r>
              <w:rPr>
                <w:rFonts w:ascii="Times New Roman" w:hAnsi="Times New Roman" w:eastAsia="宋体" w:cs="Times New Roman"/>
                <w:color w:val="auto"/>
                <w:sz w:val="21"/>
                <w:szCs w:val="21"/>
                <w:highlight w:val="none"/>
                <w:lang w:bidi="ar"/>
              </w:rPr>
              <w:t>5dB(A</w:t>
            </w:r>
            <w:r>
              <w:rPr>
                <w:rFonts w:hint="eastAsia" w:ascii="Times New Roman" w:hAnsi="Times New Roman" w:eastAsia="宋体" w:cs="Times New Roman"/>
                <w:color w:val="auto"/>
                <w:sz w:val="21"/>
                <w:szCs w:val="21"/>
                <w:highlight w:val="none"/>
                <w:lang w:eastAsia="zh-CN" w:bidi="ar"/>
              </w:rPr>
              <w:t>）</w:t>
            </w:r>
            <w:r>
              <w:rPr>
                <w:rFonts w:hint="eastAsia" w:ascii="Times New Roman" w:hAnsi="Times New Roman" w:eastAsia="宋体" w:cs="Times New Roman"/>
                <w:color w:val="auto"/>
                <w:sz w:val="21"/>
                <w:szCs w:val="21"/>
                <w:highlight w:val="none"/>
                <w:lang w:bidi="ar"/>
              </w:rPr>
              <w:t>以上（不含</w:t>
            </w:r>
            <w:r>
              <w:rPr>
                <w:rFonts w:ascii="Times New Roman" w:hAnsi="Times New Roman" w:eastAsia="宋体" w:cs="Times New Roman"/>
                <w:color w:val="auto"/>
                <w:sz w:val="21"/>
                <w:szCs w:val="21"/>
                <w:highlight w:val="none"/>
                <w:lang w:bidi="ar"/>
              </w:rPr>
              <w:t>5dB(A)</w:t>
            </w:r>
            <w:r>
              <w:rPr>
                <w:rFonts w:hint="eastAsia" w:ascii="Times New Roman" w:hAnsi="Times New Roman" w:eastAsia="宋体" w:cs="Times New Roman"/>
                <w:color w:val="auto"/>
                <w:sz w:val="21"/>
                <w:szCs w:val="21"/>
                <w:highlight w:val="none"/>
                <w:lang w:bidi="ar"/>
              </w:rPr>
              <w:t>），或受影响人口数量显著增加时。</w:t>
            </w:r>
          </w:p>
        </w:tc>
      </w:tr>
      <w:tr w14:paraId="7E190717">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23" w:type="pct"/>
            <w:tcBorders>
              <w:top w:val="single" w:color="auto" w:sz="2" w:space="0"/>
              <w:left w:val="nil"/>
              <w:bottom w:val="single" w:color="auto" w:sz="2" w:space="0"/>
              <w:right w:val="single" w:color="auto" w:sz="2" w:space="0"/>
            </w:tcBorders>
            <w:noWrap w:val="0"/>
            <w:vAlign w:val="center"/>
          </w:tcPr>
          <w:p w14:paraId="208D9AF9">
            <w:pPr>
              <w:pStyle w:val="43"/>
              <w:widowControl w:val="0"/>
              <w:autoSpaceDE w:val="0"/>
              <w:autoSpaceDN w:val="0"/>
              <w:adjustRightInd w:val="0"/>
              <w:spacing w:before="0" w:beforeAutospacing="0" w:after="0" w:afterAutospacing="0"/>
              <w:jc w:val="center"/>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二级</w:t>
            </w:r>
          </w:p>
        </w:tc>
        <w:tc>
          <w:tcPr>
            <w:tcW w:w="4576" w:type="pct"/>
            <w:tcBorders>
              <w:top w:val="single" w:color="auto" w:sz="2" w:space="0"/>
              <w:left w:val="single" w:color="auto" w:sz="2" w:space="0"/>
              <w:bottom w:val="single" w:color="auto" w:sz="2" w:space="0"/>
              <w:right w:val="nil"/>
            </w:tcBorders>
            <w:noWrap w:val="0"/>
            <w:vAlign w:val="center"/>
          </w:tcPr>
          <w:p w14:paraId="1DACBFB3">
            <w:pPr>
              <w:pStyle w:val="43"/>
              <w:widowControl w:val="0"/>
              <w:autoSpaceDE w:val="0"/>
              <w:autoSpaceDN w:val="0"/>
              <w:adjustRightInd w:val="0"/>
              <w:spacing w:before="0" w:beforeAutospacing="0" w:after="0" w:afterAutospacing="0"/>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建设项目所处的声环境功能区为</w:t>
            </w:r>
            <w:r>
              <w:rPr>
                <w:rFonts w:ascii="Times New Roman" w:hAnsi="Times New Roman" w:eastAsia="宋体" w:cs="Times New Roman"/>
                <w:color w:val="auto"/>
                <w:sz w:val="21"/>
                <w:szCs w:val="21"/>
                <w:highlight w:val="none"/>
                <w:lang w:bidi="ar"/>
              </w:rPr>
              <w:t>GB3096</w:t>
            </w:r>
            <w:r>
              <w:rPr>
                <w:rFonts w:hint="eastAsia" w:ascii="Times New Roman" w:hAnsi="Times New Roman" w:eastAsia="宋体" w:cs="Times New Roman"/>
                <w:color w:val="auto"/>
                <w:sz w:val="21"/>
                <w:szCs w:val="21"/>
                <w:highlight w:val="none"/>
                <w:lang w:bidi="ar"/>
              </w:rPr>
              <w:t>规定的</w:t>
            </w:r>
            <w:r>
              <w:rPr>
                <w:rFonts w:ascii="Times New Roman" w:hAnsi="Times New Roman" w:eastAsia="宋体" w:cs="Times New Roman"/>
                <w:color w:val="auto"/>
                <w:sz w:val="21"/>
                <w:szCs w:val="21"/>
                <w:highlight w:val="none"/>
                <w:lang w:bidi="ar"/>
              </w:rPr>
              <w:t>1</w:t>
            </w:r>
            <w:r>
              <w:rPr>
                <w:rFonts w:hint="eastAsia" w:ascii="Times New Roman" w:hAnsi="Times New Roman" w:eastAsia="宋体" w:cs="Times New Roman"/>
                <w:color w:val="auto"/>
                <w:sz w:val="21"/>
                <w:szCs w:val="21"/>
                <w:highlight w:val="none"/>
                <w:lang w:bidi="ar"/>
              </w:rPr>
              <w:t>类、</w:t>
            </w:r>
            <w:r>
              <w:rPr>
                <w:rFonts w:ascii="Times New Roman" w:hAnsi="Times New Roman" w:eastAsia="宋体" w:cs="Times New Roman"/>
                <w:color w:val="auto"/>
                <w:sz w:val="21"/>
                <w:szCs w:val="21"/>
                <w:highlight w:val="none"/>
                <w:lang w:bidi="ar"/>
              </w:rPr>
              <w:t>2</w:t>
            </w:r>
            <w:r>
              <w:rPr>
                <w:rFonts w:hint="eastAsia" w:ascii="Times New Roman" w:hAnsi="Times New Roman" w:eastAsia="宋体" w:cs="Times New Roman"/>
                <w:color w:val="auto"/>
                <w:sz w:val="21"/>
                <w:szCs w:val="21"/>
                <w:highlight w:val="none"/>
                <w:lang w:bidi="ar"/>
              </w:rPr>
              <w:t>类地区，或建设项目建设前后评价范围内声环境保护目标噪声级增量达</w:t>
            </w:r>
            <w:r>
              <w:rPr>
                <w:rFonts w:ascii="Times New Roman" w:hAnsi="Times New Roman" w:eastAsia="宋体" w:cs="Times New Roman"/>
                <w:color w:val="auto"/>
                <w:sz w:val="21"/>
                <w:szCs w:val="21"/>
                <w:highlight w:val="none"/>
                <w:lang w:bidi="ar"/>
              </w:rPr>
              <w:t>3dB(A)~5dB(A</w:t>
            </w:r>
            <w:r>
              <w:rPr>
                <w:rFonts w:hint="eastAsia" w:ascii="Times New Roman" w:hAnsi="Times New Roman" w:eastAsia="宋体" w:cs="Times New Roman"/>
                <w:color w:val="auto"/>
                <w:sz w:val="21"/>
                <w:szCs w:val="21"/>
                <w:highlight w:val="none"/>
                <w:lang w:eastAsia="zh-CN" w:bidi="ar"/>
              </w:rPr>
              <w:t>）</w:t>
            </w:r>
            <w:r>
              <w:rPr>
                <w:rFonts w:hint="eastAsia" w:ascii="Times New Roman" w:hAnsi="Times New Roman" w:eastAsia="宋体" w:cs="Times New Roman"/>
                <w:color w:val="auto"/>
                <w:sz w:val="21"/>
                <w:szCs w:val="21"/>
                <w:highlight w:val="none"/>
                <w:lang w:bidi="ar"/>
              </w:rPr>
              <w:t>，或受影响人口数量增加较多时。</w:t>
            </w:r>
          </w:p>
        </w:tc>
      </w:tr>
      <w:tr w14:paraId="629DA6F3">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23" w:type="pct"/>
            <w:tcBorders>
              <w:top w:val="single" w:color="auto" w:sz="2" w:space="0"/>
              <w:left w:val="nil"/>
              <w:bottom w:val="single" w:color="auto" w:sz="2" w:space="0"/>
              <w:right w:val="single" w:color="auto" w:sz="2" w:space="0"/>
            </w:tcBorders>
            <w:noWrap w:val="0"/>
            <w:vAlign w:val="center"/>
          </w:tcPr>
          <w:p w14:paraId="4527CFB5">
            <w:pPr>
              <w:pStyle w:val="43"/>
              <w:widowControl w:val="0"/>
              <w:autoSpaceDE w:val="0"/>
              <w:autoSpaceDN w:val="0"/>
              <w:adjustRightInd w:val="0"/>
              <w:spacing w:before="0" w:beforeAutospacing="0" w:after="0" w:afterAutospacing="0"/>
              <w:jc w:val="center"/>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三级</w:t>
            </w:r>
          </w:p>
        </w:tc>
        <w:tc>
          <w:tcPr>
            <w:tcW w:w="4576" w:type="pct"/>
            <w:tcBorders>
              <w:top w:val="single" w:color="auto" w:sz="2" w:space="0"/>
              <w:left w:val="single" w:color="auto" w:sz="2" w:space="0"/>
              <w:bottom w:val="single" w:color="auto" w:sz="2" w:space="0"/>
              <w:right w:val="nil"/>
            </w:tcBorders>
            <w:noWrap w:val="0"/>
            <w:vAlign w:val="center"/>
          </w:tcPr>
          <w:p w14:paraId="33EE746B">
            <w:pPr>
              <w:pStyle w:val="43"/>
              <w:widowControl w:val="0"/>
              <w:autoSpaceDE w:val="0"/>
              <w:autoSpaceDN w:val="0"/>
              <w:adjustRightInd w:val="0"/>
              <w:spacing w:before="0" w:beforeAutospacing="0" w:after="0" w:afterAutospacing="0"/>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建设项目所处的声环境功能区为</w:t>
            </w:r>
            <w:r>
              <w:rPr>
                <w:rFonts w:ascii="Times New Roman" w:hAnsi="Times New Roman" w:eastAsia="宋体" w:cs="Times New Roman"/>
                <w:color w:val="auto"/>
                <w:sz w:val="21"/>
                <w:szCs w:val="21"/>
                <w:highlight w:val="none"/>
                <w:lang w:bidi="ar"/>
              </w:rPr>
              <w:t>GB3096</w:t>
            </w:r>
            <w:r>
              <w:rPr>
                <w:rFonts w:hint="eastAsia" w:ascii="Times New Roman" w:hAnsi="Times New Roman" w:eastAsia="宋体" w:cs="Times New Roman"/>
                <w:color w:val="auto"/>
                <w:sz w:val="21"/>
                <w:szCs w:val="21"/>
                <w:highlight w:val="none"/>
                <w:lang w:bidi="ar"/>
              </w:rPr>
              <w:t>规定的</w:t>
            </w:r>
            <w:r>
              <w:rPr>
                <w:rFonts w:ascii="Times New Roman" w:hAnsi="Times New Roman" w:eastAsia="宋体" w:cs="Times New Roman"/>
                <w:color w:val="auto"/>
                <w:sz w:val="21"/>
                <w:szCs w:val="21"/>
                <w:highlight w:val="none"/>
                <w:lang w:bidi="ar"/>
              </w:rPr>
              <w:t>3</w:t>
            </w:r>
            <w:r>
              <w:rPr>
                <w:rFonts w:hint="eastAsia" w:ascii="Times New Roman" w:hAnsi="Times New Roman" w:eastAsia="宋体" w:cs="Times New Roman"/>
                <w:color w:val="auto"/>
                <w:sz w:val="21"/>
                <w:szCs w:val="21"/>
                <w:highlight w:val="none"/>
                <w:lang w:bidi="ar"/>
              </w:rPr>
              <w:t>类、</w:t>
            </w:r>
            <w:r>
              <w:rPr>
                <w:rFonts w:ascii="Times New Roman" w:hAnsi="Times New Roman" w:eastAsia="宋体" w:cs="Times New Roman"/>
                <w:color w:val="auto"/>
                <w:sz w:val="21"/>
                <w:szCs w:val="21"/>
                <w:highlight w:val="none"/>
                <w:lang w:bidi="ar"/>
              </w:rPr>
              <w:t>4</w:t>
            </w:r>
            <w:r>
              <w:rPr>
                <w:rFonts w:hint="eastAsia" w:ascii="Times New Roman" w:hAnsi="Times New Roman" w:eastAsia="宋体" w:cs="Times New Roman"/>
                <w:color w:val="auto"/>
                <w:sz w:val="21"/>
                <w:szCs w:val="21"/>
                <w:highlight w:val="none"/>
                <w:lang w:bidi="ar"/>
              </w:rPr>
              <w:t>类地区，或建设项目建设前后评价范围内声环境保护目标噪声级增量在</w:t>
            </w:r>
            <w:r>
              <w:rPr>
                <w:rFonts w:ascii="Times New Roman" w:hAnsi="Times New Roman" w:eastAsia="宋体" w:cs="Times New Roman"/>
                <w:color w:val="auto"/>
                <w:sz w:val="21"/>
                <w:szCs w:val="21"/>
                <w:highlight w:val="none"/>
                <w:lang w:bidi="ar"/>
              </w:rPr>
              <w:t>3dB(A</w:t>
            </w:r>
            <w:r>
              <w:rPr>
                <w:rFonts w:hint="eastAsia" w:ascii="Times New Roman" w:hAnsi="Times New Roman" w:eastAsia="宋体" w:cs="Times New Roman"/>
                <w:color w:val="auto"/>
                <w:sz w:val="21"/>
                <w:szCs w:val="21"/>
                <w:highlight w:val="none"/>
                <w:lang w:eastAsia="zh-CN" w:bidi="ar"/>
              </w:rPr>
              <w:t>）</w:t>
            </w:r>
            <w:r>
              <w:rPr>
                <w:rFonts w:hint="eastAsia" w:ascii="Times New Roman" w:hAnsi="Times New Roman" w:eastAsia="宋体" w:cs="Times New Roman"/>
                <w:color w:val="auto"/>
                <w:sz w:val="21"/>
                <w:szCs w:val="21"/>
                <w:highlight w:val="none"/>
                <w:lang w:bidi="ar"/>
              </w:rPr>
              <w:t>以下（不含</w:t>
            </w:r>
            <w:r>
              <w:rPr>
                <w:rFonts w:ascii="Times New Roman" w:hAnsi="Times New Roman" w:eastAsia="宋体" w:cs="Times New Roman"/>
                <w:color w:val="auto"/>
                <w:sz w:val="21"/>
                <w:szCs w:val="21"/>
                <w:highlight w:val="none"/>
                <w:lang w:bidi="ar"/>
              </w:rPr>
              <w:t>3dB(A)</w:t>
            </w:r>
            <w:r>
              <w:rPr>
                <w:rFonts w:hint="eastAsia" w:ascii="Times New Roman" w:hAnsi="Times New Roman" w:eastAsia="宋体" w:cs="Times New Roman"/>
                <w:color w:val="auto"/>
                <w:sz w:val="21"/>
                <w:szCs w:val="21"/>
                <w:highlight w:val="none"/>
                <w:lang w:bidi="ar"/>
              </w:rPr>
              <w:t>），且受影响人口数量变化不大时。</w:t>
            </w:r>
          </w:p>
        </w:tc>
      </w:tr>
      <w:tr w14:paraId="237A01E4">
        <w:tblPrEx>
          <w:tblBorders>
            <w:top w:val="single" w:color="auto" w:sz="12" w:space="0"/>
            <w:left w:val="none" w:color="auto" w:sz="6" w:space="0"/>
            <w:bottom w:val="single" w:color="auto" w:sz="12" w:space="0"/>
            <w:right w:val="none" w:color="auto" w:sz="6"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5000" w:type="pct"/>
            <w:gridSpan w:val="2"/>
            <w:tcBorders>
              <w:top w:val="single" w:color="auto" w:sz="2" w:space="0"/>
              <w:left w:val="nil"/>
              <w:bottom w:val="single" w:color="auto" w:sz="12" w:space="0"/>
              <w:right w:val="nil"/>
            </w:tcBorders>
            <w:noWrap w:val="0"/>
            <w:vAlign w:val="center"/>
          </w:tcPr>
          <w:p w14:paraId="5A193C11">
            <w:pPr>
              <w:pStyle w:val="43"/>
              <w:widowControl w:val="0"/>
              <w:autoSpaceDE w:val="0"/>
              <w:autoSpaceDN w:val="0"/>
              <w:adjustRightInd w:val="0"/>
              <w:spacing w:before="0" w:beforeAutospacing="0" w:after="0" w:afterAutospacing="0"/>
              <w:jc w:val="both"/>
              <w:textAlignment w:val="bottom"/>
              <w:rPr>
                <w:rFonts w:ascii="Times New Roman" w:hAnsi="Times New Roman" w:eastAsia="宋体" w:cs="Times New Roman"/>
                <w:color w:val="auto"/>
                <w:sz w:val="21"/>
                <w:szCs w:val="21"/>
                <w:highlight w:val="none"/>
                <w:lang w:bidi="ar"/>
              </w:rPr>
            </w:pPr>
            <w:r>
              <w:rPr>
                <w:rFonts w:hint="eastAsia" w:ascii="Times New Roman" w:hAnsi="Times New Roman" w:eastAsia="宋体" w:cs="Times New Roman"/>
                <w:color w:val="auto"/>
                <w:sz w:val="21"/>
                <w:szCs w:val="21"/>
                <w:highlight w:val="none"/>
                <w:lang w:bidi="ar"/>
              </w:rPr>
              <w:t>注：在确定评价等级时，如果建设项目符合两个等级的划分原则，按较高等级评价。机场建设项目航空器噪声影响评价等级为一级。</w:t>
            </w:r>
          </w:p>
        </w:tc>
      </w:tr>
    </w:tbl>
    <w:p w14:paraId="7ED1C7E6">
      <w:pPr>
        <w:pStyle w:val="258"/>
        <w:autoSpaceDE w:val="0"/>
        <w:autoSpaceDN w:val="0"/>
        <w:spacing w:line="500" w:lineRule="exact"/>
        <w:ind w:firstLine="480" w:firstLineChars="200"/>
        <w:jc w:val="both"/>
        <w:textAlignment w:val="bottom"/>
        <w:rPr>
          <w:rFonts w:ascii="Times New Roman"/>
          <w:color w:val="000000" w:themeColor="text1"/>
          <w:szCs w:val="24"/>
          <w:highlight w:val="none"/>
          <w14:textFill>
            <w14:solidFill>
              <w14:schemeClr w14:val="tx1"/>
            </w14:solidFill>
          </w14:textFill>
        </w:rPr>
      </w:pPr>
      <w:r>
        <w:rPr>
          <w:rFonts w:ascii="Times New Roman"/>
          <w:color w:val="000000" w:themeColor="text1"/>
          <w:szCs w:val="24"/>
          <w:highlight w:val="none"/>
          <w14:textFill>
            <w14:solidFill>
              <w14:schemeClr w14:val="tx1"/>
            </w14:solidFill>
          </w14:textFill>
        </w:rPr>
        <w:t>本项目具体情况为：</w:t>
      </w:r>
      <w:r>
        <w:rPr>
          <w:rFonts w:ascii="Times New Roman" w:hAnsi="Times New Roman"/>
          <w:color w:val="000000" w:themeColor="text1"/>
          <w:szCs w:val="24"/>
          <w:highlight w:val="none"/>
          <w14:textFill>
            <w14:solidFill>
              <w14:schemeClr w14:val="tx1"/>
            </w14:solidFill>
          </w14:textFill>
        </w:rPr>
        <w:t>根据</w:t>
      </w:r>
      <w:r>
        <w:rPr>
          <w:rFonts w:hint="eastAsia" w:ascii="Times New Roman"/>
          <w:color w:val="000000" w:themeColor="text1"/>
          <w:szCs w:val="24"/>
          <w:highlight w:val="none"/>
          <w:lang w:eastAsia="zh-CN"/>
          <w14:textFill>
            <w14:solidFill>
              <w14:schemeClr w14:val="tx1"/>
            </w14:solidFill>
          </w14:textFill>
        </w:rPr>
        <w:t>《</w:t>
      </w:r>
      <w:r>
        <w:rPr>
          <w:rFonts w:hint="eastAsia" w:ascii="Times New Roman"/>
          <w:color w:val="000000" w:themeColor="text1"/>
          <w:szCs w:val="24"/>
          <w:highlight w:val="none"/>
          <w:lang w:val="en-US" w:eastAsia="zh-CN"/>
          <w14:textFill>
            <w14:solidFill>
              <w14:schemeClr w14:val="tx1"/>
            </w14:solidFill>
          </w14:textFill>
        </w:rPr>
        <w:t>黑龙江桦南经济开发区总体规划（2021-2035年）环境影响报告书</w:t>
      </w:r>
      <w:r>
        <w:rPr>
          <w:rFonts w:hint="eastAsia" w:ascii="Times New Roman"/>
          <w:color w:val="000000" w:themeColor="text1"/>
          <w:szCs w:val="24"/>
          <w:highlight w:val="none"/>
          <w:lang w:eastAsia="zh-CN"/>
          <w14:textFill>
            <w14:solidFill>
              <w14:schemeClr w14:val="tx1"/>
            </w14:solidFill>
          </w14:textFill>
        </w:rPr>
        <w:t>》</w:t>
      </w:r>
      <w:r>
        <w:rPr>
          <w:rFonts w:ascii="Times New Roman" w:hAnsi="Times New Roman"/>
          <w:color w:val="000000" w:themeColor="text1"/>
          <w:szCs w:val="24"/>
          <w:highlight w:val="none"/>
          <w14:textFill>
            <w14:solidFill>
              <w14:schemeClr w14:val="tx1"/>
            </w14:solidFill>
          </w14:textFill>
        </w:rPr>
        <w:t>，本项目</w:t>
      </w:r>
      <w:r>
        <w:rPr>
          <w:rFonts w:hint="eastAsia" w:ascii="Times New Roman" w:hAnsi="Times New Roman"/>
          <w:color w:val="000000" w:themeColor="text1"/>
          <w:szCs w:val="24"/>
          <w:highlight w:val="none"/>
          <w14:textFill>
            <w14:solidFill>
              <w14:schemeClr w14:val="tx1"/>
            </w14:solidFill>
          </w14:textFill>
        </w:rPr>
        <w:t>厂界北侧、南侧、</w:t>
      </w:r>
      <w:r>
        <w:rPr>
          <w:rFonts w:hint="eastAsia" w:ascii="Times New Roman"/>
          <w:color w:val="000000" w:themeColor="text1"/>
          <w:szCs w:val="24"/>
          <w:highlight w:val="none"/>
          <w:lang w:val="en-US" w:eastAsia="zh-CN"/>
          <w14:textFill>
            <w14:solidFill>
              <w14:schemeClr w14:val="tx1"/>
            </w14:solidFill>
          </w14:textFill>
        </w:rPr>
        <w:t>东</w:t>
      </w:r>
      <w:r>
        <w:rPr>
          <w:rFonts w:hint="eastAsia" w:ascii="Times New Roman" w:hAnsi="Times New Roman"/>
          <w:color w:val="000000" w:themeColor="text1"/>
          <w:szCs w:val="24"/>
          <w:highlight w:val="none"/>
          <w14:textFill>
            <w14:solidFill>
              <w14:schemeClr w14:val="tx1"/>
            </w14:solidFill>
          </w14:textFill>
        </w:rPr>
        <w:t>侧</w:t>
      </w:r>
      <w:r>
        <w:rPr>
          <w:rFonts w:ascii="Times New Roman" w:hAnsi="Times New Roman"/>
          <w:color w:val="000000" w:themeColor="text1"/>
          <w:szCs w:val="24"/>
          <w:highlight w:val="none"/>
          <w14:textFill>
            <w14:solidFill>
              <w14:schemeClr w14:val="tx1"/>
            </w14:solidFill>
          </w14:textFill>
        </w:rPr>
        <w:t>为声环境功能区划的3类区</w:t>
      </w:r>
      <w:r>
        <w:rPr>
          <w:rFonts w:hint="eastAsia" w:ascii="Times New Roman" w:hAnsi="Times New Roman"/>
          <w:color w:val="000000" w:themeColor="text1"/>
          <w:szCs w:val="24"/>
          <w:highlight w:val="none"/>
          <w14:textFill>
            <w14:solidFill>
              <w14:schemeClr w14:val="tx1"/>
            </w14:solidFill>
          </w14:textFill>
        </w:rPr>
        <w:t>；厂界</w:t>
      </w:r>
      <w:r>
        <w:rPr>
          <w:rFonts w:hint="eastAsia" w:ascii="Times New Roman"/>
          <w:color w:val="000000" w:themeColor="text1"/>
          <w:szCs w:val="24"/>
          <w:highlight w:val="none"/>
          <w:lang w:val="en-US" w:eastAsia="zh-CN"/>
          <w14:textFill>
            <w14:solidFill>
              <w14:schemeClr w14:val="tx1"/>
            </w14:solidFill>
          </w14:textFill>
        </w:rPr>
        <w:t>西</w:t>
      </w:r>
      <w:r>
        <w:rPr>
          <w:rFonts w:hint="eastAsia" w:ascii="Times New Roman" w:hAnsi="Times New Roman"/>
          <w:color w:val="000000" w:themeColor="text1"/>
          <w:szCs w:val="24"/>
          <w:highlight w:val="none"/>
          <w14:textFill>
            <w14:solidFill>
              <w14:schemeClr w14:val="tx1"/>
            </w14:solidFill>
          </w14:textFill>
        </w:rPr>
        <w:t>侧为声环境功能规划的4</w:t>
      </w:r>
      <w:r>
        <w:rPr>
          <w:rFonts w:hint="eastAsia" w:ascii="Times New Roman"/>
          <w:color w:val="000000" w:themeColor="text1"/>
          <w:szCs w:val="24"/>
          <w:highlight w:val="none"/>
          <w:lang w:val="en-US" w:eastAsia="zh-CN"/>
          <w14:textFill>
            <w14:solidFill>
              <w14:schemeClr w14:val="tx1"/>
            </w14:solidFill>
          </w14:textFill>
        </w:rPr>
        <w:t>a</w:t>
      </w:r>
      <w:r>
        <w:rPr>
          <w:rFonts w:hint="eastAsia" w:ascii="Times New Roman" w:hAnsi="Times New Roman"/>
          <w:color w:val="000000" w:themeColor="text1"/>
          <w:szCs w:val="24"/>
          <w:highlight w:val="none"/>
          <w14:textFill>
            <w14:solidFill>
              <w14:schemeClr w14:val="tx1"/>
            </w14:solidFill>
          </w14:textFill>
        </w:rPr>
        <w:t>类区</w:t>
      </w:r>
      <w:r>
        <w:rPr>
          <w:rFonts w:hint="eastAsia" w:ascii="Times New Roman" w:hAnsi="Times New Roman"/>
          <w:color w:val="000000" w:themeColor="text1"/>
          <w:szCs w:val="24"/>
          <w:highlight w:val="none"/>
          <w:lang w:eastAsia="zh-CN"/>
          <w14:textFill>
            <w14:solidFill>
              <w14:schemeClr w14:val="tx1"/>
            </w14:solidFill>
          </w14:textFill>
        </w:rPr>
        <w:t>，建设项目所处的声环境功能区为GB3096规定的3类、4类地区</w:t>
      </w:r>
      <w:r>
        <w:rPr>
          <w:rFonts w:hint="eastAsia" w:ascii="Times New Roman" w:hAnsi="Times New Roman"/>
          <w:color w:val="000000" w:themeColor="text1"/>
          <w:szCs w:val="24"/>
          <w:highlight w:val="none"/>
          <w14:textFill>
            <w14:solidFill>
              <w14:schemeClr w14:val="tx1"/>
            </w14:solidFill>
          </w14:textFill>
        </w:rPr>
        <w:t>。</w:t>
      </w:r>
      <w:r>
        <w:rPr>
          <w:rFonts w:ascii="Times New Roman"/>
          <w:color w:val="000000" w:themeColor="text1"/>
          <w:szCs w:val="24"/>
          <w:highlight w:val="none"/>
          <w14:textFill>
            <w14:solidFill>
              <w14:schemeClr w14:val="tx1"/>
            </w14:solidFill>
          </w14:textFill>
        </w:rPr>
        <w:t>综上，确定本次声环境评价等级为</w:t>
      </w:r>
      <w:r>
        <w:rPr>
          <w:rFonts w:hint="eastAsia" w:ascii="Times New Roman"/>
          <w:color w:val="000000" w:themeColor="text1"/>
          <w:szCs w:val="24"/>
          <w:highlight w:val="none"/>
          <w14:textFill>
            <w14:solidFill>
              <w14:schemeClr w14:val="tx1"/>
            </w14:solidFill>
          </w14:textFill>
        </w:rPr>
        <w:t>三</w:t>
      </w:r>
      <w:r>
        <w:rPr>
          <w:rFonts w:ascii="Times New Roman"/>
          <w:color w:val="000000" w:themeColor="text1"/>
          <w:szCs w:val="24"/>
          <w:highlight w:val="none"/>
          <w14:textFill>
            <w14:solidFill>
              <w14:schemeClr w14:val="tx1"/>
            </w14:solidFill>
          </w14:textFill>
        </w:rPr>
        <w:t>级。</w:t>
      </w:r>
    </w:p>
    <w:p w14:paraId="37E0E15E">
      <w:pPr>
        <w:pStyle w:val="6"/>
        <w:rPr>
          <w:snapToGrid w:val="0"/>
          <w:color w:val="000000" w:themeColor="text1"/>
          <w14:textFill>
            <w14:solidFill>
              <w14:schemeClr w14:val="tx1"/>
            </w14:solidFill>
          </w14:textFill>
        </w:rPr>
      </w:pPr>
      <w:bookmarkStart w:id="61" w:name="_Toc803"/>
      <w:r>
        <w:rPr>
          <w:snapToGrid w:val="0"/>
          <w:color w:val="000000" w:themeColor="text1"/>
          <w14:textFill>
            <w14:solidFill>
              <w14:schemeClr w14:val="tx1"/>
            </w14:solidFill>
          </w14:textFill>
        </w:rPr>
        <w:t>2.5.5</w:t>
      </w:r>
      <w:r>
        <w:rPr>
          <w:rFonts w:hint="eastAsia"/>
          <w:snapToGrid w:val="0"/>
          <w:color w:val="000000" w:themeColor="text1"/>
          <w14:textFill>
            <w14:solidFill>
              <w14:schemeClr w14:val="tx1"/>
            </w14:solidFill>
          </w14:textFill>
        </w:rPr>
        <w:t>生态环境</w:t>
      </w:r>
      <w:bookmarkEnd w:id="61"/>
    </w:p>
    <w:p w14:paraId="6496CC01">
      <w:pPr>
        <w:adjustRightInd/>
        <w:snapToGrid/>
        <w:spacing w:line="500" w:lineRule="exact"/>
        <w:rPr>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本</w:t>
      </w:r>
      <w:r>
        <w:rPr>
          <w:rFonts w:hint="eastAsia"/>
          <w:snapToGrid w:val="0"/>
          <w:color w:val="000000" w:themeColor="text1"/>
          <w:kern w:val="0"/>
          <w14:textFill>
            <w14:solidFill>
              <w14:schemeClr w14:val="tx1"/>
            </w14:solidFill>
          </w14:textFill>
        </w:rPr>
        <w:t>项目位于已批准规划环评的产业园区内且符合规划环评要求，不在特殊生态敏感区和</w:t>
      </w:r>
      <w:r>
        <w:rPr>
          <w:snapToGrid w:val="0"/>
          <w:color w:val="000000" w:themeColor="text1"/>
          <w:kern w:val="0"/>
          <w14:textFill>
            <w14:solidFill>
              <w14:schemeClr w14:val="tx1"/>
            </w14:solidFill>
          </w14:textFill>
        </w:rPr>
        <w:t>重要敏感区</w:t>
      </w:r>
      <w:r>
        <w:rPr>
          <w:rFonts w:hint="eastAsia"/>
          <w:snapToGrid w:val="0"/>
          <w:color w:val="000000" w:themeColor="text1"/>
          <w:kern w:val="0"/>
          <w14:textFill>
            <w14:solidFill>
              <w14:schemeClr w14:val="tx1"/>
            </w14:solidFill>
          </w14:textFill>
        </w:rPr>
        <w:t>内，根据《环境影响评价技术导则</w:t>
      </w:r>
      <w:r>
        <w:rPr>
          <w:snapToGrid w:val="0"/>
          <w:color w:val="000000" w:themeColor="text1"/>
          <w:kern w:val="0"/>
          <w14:textFill>
            <w14:solidFill>
              <w14:schemeClr w14:val="tx1"/>
            </w14:solidFill>
          </w14:textFill>
        </w:rPr>
        <w:t xml:space="preserve"> </w:t>
      </w:r>
      <w:r>
        <w:rPr>
          <w:rFonts w:hint="eastAsia"/>
          <w:snapToGrid w:val="0"/>
          <w:color w:val="000000" w:themeColor="text1"/>
          <w:kern w:val="0"/>
          <w14:textFill>
            <w14:solidFill>
              <w14:schemeClr w14:val="tx1"/>
            </w14:solidFill>
          </w14:textFill>
        </w:rPr>
        <w:t>生态影响》（</w:t>
      </w:r>
      <w:r>
        <w:rPr>
          <w:snapToGrid w:val="0"/>
          <w:color w:val="000000" w:themeColor="text1"/>
          <w:kern w:val="0"/>
          <w14:textFill>
            <w14:solidFill>
              <w14:schemeClr w14:val="tx1"/>
            </w14:solidFill>
          </w14:textFill>
        </w:rPr>
        <w:t>HJ19-2022</w:t>
      </w:r>
      <w:r>
        <w:rPr>
          <w:rFonts w:hint="eastAsia"/>
          <w:snapToGrid w:val="0"/>
          <w:color w:val="000000" w:themeColor="text1"/>
          <w:kern w:val="0"/>
          <w14:textFill>
            <w14:solidFill>
              <w14:schemeClr w14:val="tx1"/>
            </w14:solidFill>
          </w14:textFill>
        </w:rPr>
        <w:t>）规定，符合生态环境分区管控要求且位于原厂界（或永久用地）范围内的污染影响类改扩建项目，位于已批准规划环评的产业园区内且符合规划环评要求、不涉及生态敏感区的污染影响类建设项目，可不确定评价等级，直接进行生态影响简单分析。</w:t>
      </w:r>
    </w:p>
    <w:p w14:paraId="4D697E3A">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本项目属于位于已批准规划环评的产业园区内且符合规划环评要求、不涉及生态敏感区的污染影响类建设项目，因此本项目生态环境可不确定评价等级，直接进行生态影响简单分析。</w:t>
      </w:r>
    </w:p>
    <w:p w14:paraId="6266EE70">
      <w:pPr>
        <w:pStyle w:val="6"/>
        <w:rPr>
          <w:color w:val="000000" w:themeColor="text1"/>
          <w14:textFill>
            <w14:solidFill>
              <w14:schemeClr w14:val="tx1"/>
            </w14:solidFill>
          </w14:textFill>
        </w:rPr>
      </w:pPr>
      <w:bookmarkStart w:id="62" w:name="_Toc9691912"/>
      <w:bookmarkStart w:id="63" w:name="_Toc10106307"/>
      <w:bookmarkStart w:id="64" w:name="_Toc23646"/>
      <w:r>
        <w:rPr>
          <w:color w:val="000000" w:themeColor="text1"/>
          <w14:textFill>
            <w14:solidFill>
              <w14:schemeClr w14:val="tx1"/>
            </w14:solidFill>
          </w14:textFill>
        </w:rPr>
        <w:t>2.5.6</w:t>
      </w:r>
      <w:r>
        <w:rPr>
          <w:rFonts w:hint="eastAsia"/>
          <w:color w:val="000000" w:themeColor="text1"/>
          <w14:textFill>
            <w14:solidFill>
              <w14:schemeClr w14:val="tx1"/>
            </w14:solidFill>
          </w14:textFill>
        </w:rPr>
        <w:t>环境风险</w:t>
      </w:r>
      <w:bookmarkEnd w:id="62"/>
      <w:bookmarkEnd w:id="63"/>
      <w:bookmarkEnd w:id="64"/>
    </w:p>
    <w:p w14:paraId="47DB3FAB">
      <w:pPr>
        <w:pStyle w:val="85"/>
        <w:rPr>
          <w:rFonts w:cs="Times New Roman"/>
          <w:color w:val="000000" w:themeColor="text1"/>
          <w14:textFill>
            <w14:solidFill>
              <w14:schemeClr w14:val="tx1"/>
            </w14:solidFill>
          </w14:textFill>
        </w:rPr>
      </w:pPr>
      <w:bookmarkStart w:id="65" w:name="_Hlk11609839"/>
      <w:r>
        <w:rPr>
          <w:rFonts w:cs="Times New Roman"/>
          <w:color w:val="000000" w:themeColor="text1"/>
          <w14:textFill>
            <w14:solidFill>
              <w14:schemeClr w14:val="tx1"/>
            </w14:solidFill>
          </w14:textFill>
        </w:rPr>
        <w:t>（1）风险调查</w:t>
      </w:r>
    </w:p>
    <w:p w14:paraId="12BAE6A5">
      <w:pPr>
        <w:pStyle w:val="85"/>
        <w:rPr>
          <w:color w:val="000000" w:themeColor="text1"/>
          <w:spacing w:val="-112"/>
          <w14:textFill>
            <w14:solidFill>
              <w14:schemeClr w14:val="tx1"/>
            </w14:solidFill>
          </w14:textFill>
        </w:rPr>
      </w:pPr>
      <w:r>
        <w:rPr>
          <w:rFonts w:cs="Times New Roman"/>
          <w:color w:val="000000" w:themeColor="text1"/>
          <w14:textFill>
            <w14:solidFill>
              <w14:schemeClr w14:val="tx1"/>
            </w14:solidFill>
          </w14:textFill>
        </w:rPr>
        <w:t>根据《建设项目环境风险评价技术导则》（HJ169-2018）附录B及《</w:t>
      </w:r>
      <w:r>
        <w:rPr>
          <w:rFonts w:hint="eastAsia" w:cs="Times New Roman"/>
          <w:color w:val="000000" w:themeColor="text1"/>
          <w14:textFill>
            <w14:solidFill>
              <w14:schemeClr w14:val="tx1"/>
            </w14:solidFill>
          </w14:textFill>
        </w:rPr>
        <w:t>危险化学品重大危险源辨识</w:t>
      </w:r>
      <w:r>
        <w:rPr>
          <w:rFonts w:cs="Times New Roman"/>
          <w:color w:val="000000" w:themeColor="text1"/>
          <w14:textFill>
            <w14:solidFill>
              <w14:schemeClr w14:val="tx1"/>
            </w14:solidFill>
          </w14:textFill>
        </w:rPr>
        <w:t>》（GB18218-2018），</w:t>
      </w:r>
      <w:r>
        <w:rPr>
          <w:rFonts w:hint="eastAsia"/>
          <w:color w:val="000000" w:themeColor="text1"/>
          <w:lang w:val="zh-CN"/>
          <w14:textFill>
            <w14:solidFill>
              <w14:schemeClr w14:val="tx1"/>
            </w14:solidFill>
          </w14:textFill>
        </w:rPr>
        <w:t>本项目涉及危险物质主要为</w:t>
      </w:r>
      <w:r>
        <w:rPr>
          <w:rFonts w:hint="eastAsia"/>
          <w:color w:val="000000" w:themeColor="text1"/>
          <w14:textFill>
            <w14:solidFill>
              <w14:schemeClr w14:val="tx1"/>
            </w14:solidFill>
          </w14:textFill>
        </w:rPr>
        <w:t>硝酸、过氧乙酸、甲烷、柴油</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机油等</w:t>
      </w:r>
      <w:r>
        <w:rPr>
          <w:rFonts w:cs="Times New Roman"/>
          <w:color w:val="000000" w:themeColor="text1"/>
          <w14:textFill>
            <w14:solidFill>
              <w14:schemeClr w14:val="tx1"/>
            </w14:solidFill>
          </w14:textFill>
        </w:rPr>
        <w:t>。</w:t>
      </w:r>
    </w:p>
    <w:p w14:paraId="4784D557">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（2）环境风险潜势初判</w:t>
      </w:r>
    </w:p>
    <w:p w14:paraId="272EF174">
      <w:pPr>
        <w:pStyle w:val="85"/>
        <w:rPr>
          <w:color w:val="000000" w:themeColor="text1"/>
          <w:spacing w:val="2"/>
          <w14:textFill>
            <w14:solidFill>
              <w14:schemeClr w14:val="tx1"/>
            </w14:solidFill>
          </w14:textFill>
        </w:rPr>
      </w:pPr>
      <w:r>
        <w:rPr>
          <w:rFonts w:cs="Times New Roman"/>
          <w:color w:val="000000" w:themeColor="text1"/>
          <w14:textFill>
            <w14:solidFill>
              <w14:schemeClr w14:val="tx1"/>
            </w14:solidFill>
          </w14:textFill>
        </w:rPr>
        <w:t>根据建设项目涉及的物质和工艺系统的危险性及其所在地的环境敏感程度，结合事故情形下环境影响途径，对建设项目潜在环境危害程度进行概化分析，建设项目环境风险潜势划分表见下表。</w:t>
      </w:r>
    </w:p>
    <w:p w14:paraId="2A6839D5">
      <w:pPr>
        <w:snapToGrid w:val="0"/>
        <w:spacing w:line="500" w:lineRule="exact"/>
        <w:jc w:val="center"/>
        <w:rPr>
          <w:rFonts w:hint="eastAsia" w:ascii="Times New Roman" w:cs="黑体"/>
          <w:b/>
          <w:color w:val="auto"/>
          <w:szCs w:val="28"/>
          <w:highlight w:val="none"/>
          <w:lang w:val="zh-CN" w:eastAsia="zh-CN" w:bidi="ar"/>
        </w:rPr>
      </w:pPr>
      <w:r>
        <w:rPr>
          <w:rFonts w:hint="eastAsia" w:ascii="Times New Roman" w:cs="黑体"/>
          <w:b/>
          <w:color w:val="auto"/>
          <w:szCs w:val="28"/>
          <w:highlight w:val="none"/>
          <w:lang w:val="zh-CN" w:eastAsia="zh-CN" w:bidi="ar"/>
        </w:rPr>
        <w:t>表2-5-1</w:t>
      </w:r>
      <w:r>
        <w:rPr>
          <w:rFonts w:hint="eastAsia" w:cs="黑体"/>
          <w:b/>
          <w:color w:val="auto"/>
          <w:szCs w:val="28"/>
          <w:highlight w:val="none"/>
          <w:lang w:val="en-US" w:eastAsia="zh-CN" w:bidi="ar"/>
        </w:rPr>
        <w:t>8</w:t>
      </w:r>
      <w:r>
        <w:rPr>
          <w:rFonts w:hint="eastAsia" w:ascii="Times New Roman" w:cs="黑体"/>
          <w:b/>
          <w:color w:val="auto"/>
          <w:szCs w:val="28"/>
          <w:highlight w:val="none"/>
          <w:lang w:val="zh-CN" w:eastAsia="zh-CN" w:bidi="ar"/>
        </w:rPr>
        <w:t xml:space="preserve"> 建设项目环境风险潜势划分表</w:t>
      </w:r>
    </w:p>
    <w:tbl>
      <w:tblPr>
        <w:tblStyle w:val="49"/>
        <w:tblW w:w="830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1384"/>
        <w:gridCol w:w="1417"/>
        <w:gridCol w:w="1701"/>
        <w:gridCol w:w="1394"/>
      </w:tblGrid>
      <w:tr w14:paraId="5B740A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10" w:type="dxa"/>
            <w:vMerge w:val="restart"/>
            <w:shd w:val="clear" w:color="auto" w:fill="auto"/>
            <w:vAlign w:val="center"/>
          </w:tcPr>
          <w:p w14:paraId="7B7F738C">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环境敏感程度（E）</w:t>
            </w:r>
          </w:p>
        </w:tc>
        <w:tc>
          <w:tcPr>
            <w:tcW w:w="5896" w:type="dxa"/>
            <w:gridSpan w:val="4"/>
            <w:shd w:val="clear" w:color="auto" w:fill="auto"/>
            <w:vAlign w:val="center"/>
          </w:tcPr>
          <w:p w14:paraId="6380B386">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危险物质及工艺系统危险性（P）</w:t>
            </w:r>
          </w:p>
        </w:tc>
      </w:tr>
      <w:tr w14:paraId="14E717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10" w:type="dxa"/>
            <w:vMerge w:val="continue"/>
            <w:shd w:val="clear" w:color="auto" w:fill="auto"/>
            <w:vAlign w:val="center"/>
          </w:tcPr>
          <w:p w14:paraId="0DC95C86">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p>
        </w:tc>
        <w:tc>
          <w:tcPr>
            <w:tcW w:w="1384" w:type="dxa"/>
            <w:shd w:val="clear" w:color="auto" w:fill="auto"/>
            <w:vAlign w:val="center"/>
          </w:tcPr>
          <w:p w14:paraId="00EF2879">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极高危害（P1）</w:t>
            </w:r>
          </w:p>
        </w:tc>
        <w:tc>
          <w:tcPr>
            <w:tcW w:w="1417" w:type="dxa"/>
            <w:shd w:val="clear" w:color="auto" w:fill="auto"/>
            <w:vAlign w:val="center"/>
          </w:tcPr>
          <w:p w14:paraId="71F04860">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高度危害（P2）</w:t>
            </w:r>
          </w:p>
        </w:tc>
        <w:tc>
          <w:tcPr>
            <w:tcW w:w="1701" w:type="dxa"/>
            <w:shd w:val="clear" w:color="auto" w:fill="auto"/>
            <w:vAlign w:val="center"/>
          </w:tcPr>
          <w:p w14:paraId="2A158157">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中度危害</w:t>
            </w:r>
          </w:p>
          <w:p w14:paraId="160FAC5E">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（P3）</w:t>
            </w:r>
          </w:p>
        </w:tc>
        <w:tc>
          <w:tcPr>
            <w:tcW w:w="1394" w:type="dxa"/>
            <w:shd w:val="clear" w:color="auto" w:fill="auto"/>
            <w:vAlign w:val="center"/>
          </w:tcPr>
          <w:p w14:paraId="725449BE">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轻度危害</w:t>
            </w:r>
          </w:p>
          <w:p w14:paraId="269DF5B0">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（P4）</w:t>
            </w:r>
          </w:p>
        </w:tc>
      </w:tr>
      <w:tr w14:paraId="2388F6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2410" w:type="dxa"/>
            <w:shd w:val="clear" w:color="auto" w:fill="auto"/>
            <w:vAlign w:val="center"/>
          </w:tcPr>
          <w:p w14:paraId="007FB2C1">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环境高度敏感区（E1）</w:t>
            </w:r>
          </w:p>
        </w:tc>
        <w:tc>
          <w:tcPr>
            <w:tcW w:w="1384" w:type="dxa"/>
            <w:shd w:val="clear" w:color="auto" w:fill="auto"/>
            <w:vAlign w:val="center"/>
          </w:tcPr>
          <w:p w14:paraId="3DF93582">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Ⅳ+</w:t>
            </w:r>
          </w:p>
        </w:tc>
        <w:tc>
          <w:tcPr>
            <w:tcW w:w="1417" w:type="dxa"/>
            <w:shd w:val="clear" w:color="auto" w:fill="auto"/>
            <w:vAlign w:val="center"/>
          </w:tcPr>
          <w:p w14:paraId="1C869A31">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Ⅳ</w:t>
            </w:r>
          </w:p>
        </w:tc>
        <w:tc>
          <w:tcPr>
            <w:tcW w:w="1701" w:type="dxa"/>
            <w:shd w:val="clear" w:color="auto" w:fill="auto"/>
            <w:vAlign w:val="center"/>
          </w:tcPr>
          <w:p w14:paraId="72D60032">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Ⅲ</w:t>
            </w:r>
          </w:p>
        </w:tc>
        <w:tc>
          <w:tcPr>
            <w:tcW w:w="1394" w:type="dxa"/>
            <w:shd w:val="clear" w:color="auto" w:fill="auto"/>
            <w:vAlign w:val="center"/>
          </w:tcPr>
          <w:p w14:paraId="16D2796D">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Ⅲ</w:t>
            </w:r>
          </w:p>
        </w:tc>
      </w:tr>
      <w:tr w14:paraId="0C3DB8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10" w:type="dxa"/>
            <w:shd w:val="clear" w:color="auto" w:fill="auto"/>
            <w:vAlign w:val="center"/>
          </w:tcPr>
          <w:p w14:paraId="5862BDC4">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环境中度敏感区（E2）</w:t>
            </w:r>
          </w:p>
        </w:tc>
        <w:tc>
          <w:tcPr>
            <w:tcW w:w="1384" w:type="dxa"/>
            <w:shd w:val="clear" w:color="auto" w:fill="auto"/>
            <w:vAlign w:val="center"/>
          </w:tcPr>
          <w:p w14:paraId="5F16DFF1">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Ⅳ</w:t>
            </w:r>
          </w:p>
        </w:tc>
        <w:tc>
          <w:tcPr>
            <w:tcW w:w="1417" w:type="dxa"/>
            <w:shd w:val="clear" w:color="auto" w:fill="auto"/>
            <w:vAlign w:val="center"/>
          </w:tcPr>
          <w:p w14:paraId="0B9A154B">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Ⅲ</w:t>
            </w:r>
          </w:p>
        </w:tc>
        <w:tc>
          <w:tcPr>
            <w:tcW w:w="1701" w:type="dxa"/>
            <w:shd w:val="clear" w:color="auto" w:fill="auto"/>
            <w:vAlign w:val="center"/>
          </w:tcPr>
          <w:p w14:paraId="312F9193">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Ⅲ</w:t>
            </w:r>
          </w:p>
        </w:tc>
        <w:tc>
          <w:tcPr>
            <w:tcW w:w="1394" w:type="dxa"/>
            <w:shd w:val="clear" w:color="auto" w:fill="auto"/>
            <w:vAlign w:val="center"/>
          </w:tcPr>
          <w:p w14:paraId="08F07824">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Ⅱ</w:t>
            </w:r>
          </w:p>
        </w:tc>
      </w:tr>
      <w:tr w14:paraId="5F80B6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10" w:type="dxa"/>
            <w:shd w:val="clear" w:color="auto" w:fill="auto"/>
            <w:vAlign w:val="center"/>
          </w:tcPr>
          <w:p w14:paraId="36D5FBCF">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环境低度敏感区（E3）</w:t>
            </w:r>
          </w:p>
        </w:tc>
        <w:tc>
          <w:tcPr>
            <w:tcW w:w="1384" w:type="dxa"/>
            <w:shd w:val="clear" w:color="auto" w:fill="auto"/>
            <w:vAlign w:val="center"/>
          </w:tcPr>
          <w:p w14:paraId="4A2A06FF">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Ⅲ</w:t>
            </w:r>
          </w:p>
        </w:tc>
        <w:tc>
          <w:tcPr>
            <w:tcW w:w="1417" w:type="dxa"/>
            <w:shd w:val="clear" w:color="auto" w:fill="auto"/>
            <w:vAlign w:val="center"/>
          </w:tcPr>
          <w:p w14:paraId="495B3376">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Ⅲ</w:t>
            </w:r>
          </w:p>
        </w:tc>
        <w:tc>
          <w:tcPr>
            <w:tcW w:w="1701" w:type="dxa"/>
            <w:shd w:val="clear" w:color="auto" w:fill="auto"/>
            <w:vAlign w:val="center"/>
          </w:tcPr>
          <w:p w14:paraId="4AD21301">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Ⅱ</w:t>
            </w:r>
          </w:p>
        </w:tc>
        <w:tc>
          <w:tcPr>
            <w:tcW w:w="1394" w:type="dxa"/>
            <w:shd w:val="clear" w:color="auto" w:fill="auto"/>
            <w:vAlign w:val="center"/>
          </w:tcPr>
          <w:p w14:paraId="782FDEBB">
            <w:pPr>
              <w:spacing w:line="240" w:lineRule="auto"/>
              <w:ind w:firstLine="0" w:firstLineChars="0"/>
              <w:jc w:val="center"/>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Ⅰ</w:t>
            </w:r>
          </w:p>
        </w:tc>
      </w:tr>
      <w:tr w14:paraId="26ECD8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06" w:type="dxa"/>
            <w:gridSpan w:val="5"/>
            <w:shd w:val="clear" w:color="auto" w:fill="auto"/>
            <w:vAlign w:val="center"/>
          </w:tcPr>
          <w:p w14:paraId="67D9BB21">
            <w:pPr>
              <w:spacing w:line="240" w:lineRule="auto"/>
              <w:ind w:firstLine="0" w:firstLineChars="0"/>
              <w:rPr>
                <w:rFonts w:cs="Times New Roman"/>
                <w:snapToGrid w:val="0"/>
                <w:color w:val="000000" w:themeColor="text1"/>
                <w:sz w:val="21"/>
                <w:lang w:val="zh-CN"/>
                <w14:textFill>
                  <w14:solidFill>
                    <w14:schemeClr w14:val="tx1"/>
                  </w14:solidFill>
                </w14:textFill>
              </w:rPr>
            </w:pPr>
            <w:r>
              <w:rPr>
                <w:rFonts w:cs="Times New Roman"/>
                <w:snapToGrid w:val="0"/>
                <w:color w:val="000000" w:themeColor="text1"/>
                <w:sz w:val="21"/>
                <w:lang w:val="zh-CN"/>
                <w14:textFill>
                  <w14:solidFill>
                    <w14:schemeClr w14:val="tx1"/>
                  </w14:solidFill>
                </w14:textFill>
              </w:rPr>
              <w:t>注：Ⅳ</w:t>
            </w:r>
            <w:r>
              <w:rPr>
                <w:rFonts w:cs="Times New Roman"/>
                <w:snapToGrid w:val="0"/>
                <w:color w:val="000000" w:themeColor="text1"/>
                <w:sz w:val="21"/>
                <w:vertAlign w:val="superscript"/>
                <w:lang w:val="zh-CN"/>
                <w14:textFill>
                  <w14:solidFill>
                    <w14:schemeClr w14:val="tx1"/>
                  </w14:solidFill>
                </w14:textFill>
              </w:rPr>
              <w:t>+</w:t>
            </w:r>
            <w:r>
              <w:rPr>
                <w:rFonts w:cs="Times New Roman"/>
                <w:snapToGrid w:val="0"/>
                <w:color w:val="000000" w:themeColor="text1"/>
                <w:sz w:val="21"/>
                <w:lang w:val="zh-CN"/>
                <w14:textFill>
                  <w14:solidFill>
                    <w14:schemeClr w14:val="tx1"/>
                  </w14:solidFill>
                </w14:textFill>
              </w:rPr>
              <w:t>为极高环境风险。</w:t>
            </w:r>
          </w:p>
        </w:tc>
      </w:tr>
    </w:tbl>
    <w:p w14:paraId="14B61A32">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P的分级确定</w:t>
      </w:r>
      <w:r>
        <w:rPr>
          <w:rFonts w:hint="eastAsia" w:cs="Times New Roman"/>
          <w:color w:val="000000" w:themeColor="text1"/>
          <w14:textFill>
            <w14:solidFill>
              <w14:schemeClr w14:val="tx1"/>
            </w14:solidFill>
          </w14:textFill>
        </w:rPr>
        <w:t>：</w:t>
      </w:r>
    </w:p>
    <w:p w14:paraId="29179EEC">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计算所涉及的每种危险物质在厂界内的最大存在总量与其在附录B中对应临界量的比值Q。</w:t>
      </w:r>
    </w:p>
    <w:p w14:paraId="0A388467">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当只涉及一种危险物质时，计算该物质的总量与其临界量比值，即为Q；</w:t>
      </w:r>
    </w:p>
    <w:p w14:paraId="64D4325D">
      <w:pPr>
        <w:pStyle w:val="85"/>
        <w:rPr>
          <w:color w:val="000000" w:themeColor="text1"/>
          <w14:textFill>
            <w14:solidFill>
              <w14:schemeClr w14:val="tx1"/>
            </w14:solidFill>
          </w14:textFill>
        </w:rPr>
      </w:pPr>
      <w:r>
        <w:rPr>
          <w:rFonts w:cs="Times New Roman"/>
          <w:color w:val="000000" w:themeColor="text1"/>
          <w14:textFill>
            <w14:solidFill>
              <w14:schemeClr w14:val="tx1"/>
            </w14:solidFill>
          </w14:textFill>
        </w:rPr>
        <w:t>当存在多种危险物质时，则按式（C.1）计算物质总量与其临界量比值（Q）：</w:t>
      </w:r>
    </w:p>
    <w:p w14:paraId="0F6910BB">
      <w:pPr>
        <w:pStyle w:val="143"/>
        <w:rPr>
          <w:color w:val="000000" w:themeColor="text1"/>
          <w14:textFill>
            <w14:solidFill>
              <w14:schemeClr w14:val="tx1"/>
            </w14:solidFill>
          </w14:textFill>
        </w:rPr>
      </w:pPr>
      <w:r>
        <w:rPr>
          <w:rFonts w:cs="Times New Roman"/>
          <w:color w:val="000000" w:themeColor="text1"/>
          <w14:textFill>
            <w14:solidFill>
              <w14:schemeClr w14:val="tx1"/>
            </w14:solidFill>
          </w14:textFill>
        </w:rPr>
        <w:drawing>
          <wp:inline distT="0" distB="0" distL="0" distR="0">
            <wp:extent cx="3476625" cy="5048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476625" cy="504825"/>
                    </a:xfrm>
                    <a:prstGeom prst="rect">
                      <a:avLst/>
                    </a:prstGeom>
                    <a:noFill/>
                    <a:ln>
                      <a:noFill/>
                    </a:ln>
                  </pic:spPr>
                </pic:pic>
              </a:graphicData>
            </a:graphic>
          </wp:inline>
        </w:drawing>
      </w:r>
    </w:p>
    <w:p w14:paraId="550F11B9">
      <w:pPr>
        <w:pStyle w:val="85"/>
        <w:rPr>
          <w:color w:val="000000" w:themeColor="text1"/>
          <w14:textFill>
            <w14:solidFill>
              <w14:schemeClr w14:val="tx1"/>
            </w14:solidFill>
          </w14:textFill>
        </w:rPr>
      </w:pPr>
      <w:r>
        <w:rPr>
          <w:color w:val="000000" w:themeColor="text1"/>
          <w:kern w:val="0"/>
          <w:lang w:bidi="ar"/>
          <w14:textFill>
            <w14:solidFill>
              <w14:schemeClr w14:val="tx1"/>
            </w14:solidFill>
          </w14:textFill>
        </w:rPr>
        <w:t>式中：q1，q2，...qn—每种危险物质的最大存在总量，t；</w:t>
      </w:r>
    </w:p>
    <w:p w14:paraId="3E27B9FA">
      <w:pPr>
        <w:pStyle w:val="85"/>
        <w:rPr>
          <w:color w:val="000000" w:themeColor="text1"/>
          <w14:textFill>
            <w14:solidFill>
              <w14:schemeClr w14:val="tx1"/>
            </w14:solidFill>
          </w14:textFill>
        </w:rPr>
      </w:pPr>
      <w:r>
        <w:rPr>
          <w:color w:val="000000" w:themeColor="text1"/>
          <w:kern w:val="0"/>
          <w:lang w:bidi="ar"/>
          <w14:textFill>
            <w14:solidFill>
              <w14:schemeClr w14:val="tx1"/>
            </w14:solidFill>
          </w14:textFill>
        </w:rPr>
        <w:t>Q1，Q2，...Qn—每种危险物质的临界量，t；</w:t>
      </w:r>
    </w:p>
    <w:p w14:paraId="15168882">
      <w:pPr>
        <w:pStyle w:val="85"/>
        <w:rPr>
          <w:color w:val="000000" w:themeColor="text1"/>
          <w14:textFill>
            <w14:solidFill>
              <w14:schemeClr w14:val="tx1"/>
            </w14:solidFill>
          </w14:textFill>
        </w:rPr>
      </w:pPr>
      <w:r>
        <w:rPr>
          <w:color w:val="000000" w:themeColor="text1"/>
          <w:kern w:val="0"/>
          <w:lang w:bidi="ar"/>
          <w14:textFill>
            <w14:solidFill>
              <w14:schemeClr w14:val="tx1"/>
            </w14:solidFill>
          </w14:textFill>
        </w:rPr>
        <w:t>当 Q＜1 时，该项目环境风险潜势为I；</w:t>
      </w:r>
    </w:p>
    <w:p w14:paraId="3394E554">
      <w:pPr>
        <w:pStyle w:val="85"/>
        <w:rPr>
          <w:color w:val="000000" w:themeColor="text1"/>
          <w:kern w:val="0"/>
          <w:lang w:bidi="ar"/>
          <w14:textFill>
            <w14:solidFill>
              <w14:schemeClr w14:val="tx1"/>
            </w14:solidFill>
          </w14:textFill>
        </w:rPr>
      </w:pPr>
      <w:r>
        <w:rPr>
          <w:color w:val="000000" w:themeColor="text1"/>
          <w:kern w:val="0"/>
          <w:lang w:bidi="ar"/>
          <w14:textFill>
            <w14:solidFill>
              <w14:schemeClr w14:val="tx1"/>
            </w14:solidFill>
          </w14:textFill>
        </w:rPr>
        <w:t>当 Q≥1 时，将 Q 值划分为：1≤Q＜10；10≤Q＜100；Q≥100。</w:t>
      </w:r>
    </w:p>
    <w:p w14:paraId="4A50C49E">
      <w:pPr>
        <w:snapToGrid w:val="0"/>
        <w:spacing w:line="500" w:lineRule="exact"/>
        <w:jc w:val="center"/>
        <w:rPr>
          <w:rFonts w:hint="eastAsia" w:ascii="Times New Roman" w:cs="黑体"/>
          <w:b/>
          <w:color w:val="auto"/>
          <w:szCs w:val="28"/>
          <w:highlight w:val="none"/>
          <w:lang w:val="zh-CN" w:eastAsia="zh-CN" w:bidi="ar"/>
        </w:rPr>
      </w:pPr>
      <w:r>
        <w:rPr>
          <w:rFonts w:hint="eastAsia" w:ascii="Times New Roman" w:cs="黑体"/>
          <w:b/>
          <w:color w:val="auto"/>
          <w:szCs w:val="28"/>
          <w:highlight w:val="none"/>
          <w:lang w:val="zh-CN" w:eastAsia="zh-CN" w:bidi="ar"/>
        </w:rPr>
        <w:t>表2-5-1</w:t>
      </w:r>
      <w:r>
        <w:rPr>
          <w:rFonts w:hint="eastAsia" w:cs="黑体"/>
          <w:b/>
          <w:color w:val="auto"/>
          <w:szCs w:val="28"/>
          <w:highlight w:val="none"/>
          <w:lang w:val="en-US" w:eastAsia="zh-CN" w:bidi="ar"/>
        </w:rPr>
        <w:t>9</w:t>
      </w:r>
      <w:r>
        <w:rPr>
          <w:rFonts w:hint="eastAsia" w:ascii="Times New Roman" w:cs="黑体"/>
          <w:b/>
          <w:color w:val="auto"/>
          <w:szCs w:val="28"/>
          <w:highlight w:val="none"/>
          <w:lang w:val="zh-CN" w:eastAsia="zh-CN" w:bidi="ar"/>
        </w:rPr>
        <w:t xml:space="preserve"> 项目危险物质存储情况</w:t>
      </w:r>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85"/>
        <w:gridCol w:w="2334"/>
        <w:gridCol w:w="1701"/>
        <w:gridCol w:w="2125"/>
        <w:gridCol w:w="1361"/>
      </w:tblGrid>
      <w:tr w14:paraId="78D308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 w:hRule="atLeast"/>
          <w:jc w:val="center"/>
        </w:trPr>
        <w:tc>
          <w:tcPr>
            <w:tcW w:w="473" w:type="pct"/>
            <w:shd w:val="clear" w:color="auto" w:fill="auto"/>
            <w:vAlign w:val="center"/>
          </w:tcPr>
          <w:p w14:paraId="1793CE6C">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序号</w:t>
            </w:r>
          </w:p>
        </w:tc>
        <w:tc>
          <w:tcPr>
            <w:tcW w:w="1405" w:type="pct"/>
            <w:shd w:val="clear" w:color="auto" w:fill="auto"/>
            <w:vAlign w:val="center"/>
          </w:tcPr>
          <w:p w14:paraId="1C62C3BA">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物质名称</w:t>
            </w:r>
          </w:p>
        </w:tc>
        <w:tc>
          <w:tcPr>
            <w:tcW w:w="1024" w:type="pct"/>
            <w:vAlign w:val="center"/>
          </w:tcPr>
          <w:p w14:paraId="13FB7CC8">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最大贮存量/t</w:t>
            </w:r>
          </w:p>
        </w:tc>
        <w:tc>
          <w:tcPr>
            <w:tcW w:w="1279" w:type="pct"/>
            <w:shd w:val="clear" w:color="auto" w:fill="auto"/>
            <w:vAlign w:val="center"/>
          </w:tcPr>
          <w:p w14:paraId="2F3D14F6">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临界量</w:t>
            </w:r>
            <w:r>
              <w:rPr>
                <w:rFonts w:hint="eastAsia"/>
                <w:color w:val="000000" w:themeColor="text1"/>
                <w14:textFill>
                  <w14:solidFill>
                    <w14:schemeClr w14:val="tx1"/>
                  </w14:solidFill>
                </w14:textFill>
              </w:rPr>
              <w:t>Q</w:t>
            </w:r>
            <w:r>
              <w:rPr>
                <w:rFonts w:hint="eastAsia"/>
                <w:color w:val="000000" w:themeColor="text1"/>
                <w:vertAlign w:val="subscript"/>
                <w14:textFill>
                  <w14:solidFill>
                    <w14:schemeClr w14:val="tx1"/>
                  </w14:solidFill>
                </w14:textFill>
              </w:rPr>
              <w:t>n</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t</w:t>
            </w:r>
          </w:p>
        </w:tc>
        <w:tc>
          <w:tcPr>
            <w:tcW w:w="819" w:type="pct"/>
            <w:shd w:val="clear" w:color="auto" w:fill="auto"/>
            <w:vAlign w:val="center"/>
          </w:tcPr>
          <w:p w14:paraId="555A0086">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q</w:t>
            </w:r>
            <w:r>
              <w:rPr>
                <w:snapToGrid w:val="0"/>
                <w:color w:val="000000" w:themeColor="text1"/>
                <w14:textFill>
                  <w14:solidFill>
                    <w14:schemeClr w14:val="tx1"/>
                  </w14:solidFill>
                </w14:textFill>
              </w:rPr>
              <w:t>/Q</w:t>
            </w:r>
          </w:p>
        </w:tc>
      </w:tr>
      <w:tr w14:paraId="09C734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3" w:type="pct"/>
            <w:shd w:val="clear" w:color="auto" w:fill="auto"/>
            <w:vAlign w:val="center"/>
          </w:tcPr>
          <w:p w14:paraId="530348B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p>
        </w:tc>
        <w:tc>
          <w:tcPr>
            <w:tcW w:w="1405" w:type="pct"/>
            <w:shd w:val="clear" w:color="auto" w:fill="auto"/>
            <w:vAlign w:val="center"/>
          </w:tcPr>
          <w:p w14:paraId="4009CA08">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硝酸（浓度小于30%）</w:t>
            </w:r>
          </w:p>
        </w:tc>
        <w:tc>
          <w:tcPr>
            <w:tcW w:w="1024" w:type="pct"/>
            <w:vAlign w:val="center"/>
          </w:tcPr>
          <w:p w14:paraId="5298732A">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0</w:t>
            </w:r>
            <w:r>
              <w:rPr>
                <w:snapToGrid w:val="0"/>
                <w:color w:val="000000" w:themeColor="text1"/>
                <w:lang w:eastAsia="zh-CN"/>
                <w14:textFill>
                  <w14:solidFill>
                    <w14:schemeClr w14:val="tx1"/>
                  </w14:solidFill>
                </w14:textFill>
              </w:rPr>
              <w:t>.3</w:t>
            </w:r>
          </w:p>
        </w:tc>
        <w:tc>
          <w:tcPr>
            <w:tcW w:w="1279" w:type="pct"/>
            <w:shd w:val="clear" w:color="auto" w:fill="auto"/>
            <w:vAlign w:val="center"/>
          </w:tcPr>
          <w:p w14:paraId="7F01EB62">
            <w:pPr>
              <w:pStyle w:val="143"/>
              <w:rPr>
                <w:color w:val="000000" w:themeColor="text1"/>
                <w14:textFill>
                  <w14:solidFill>
                    <w14:schemeClr w14:val="tx1"/>
                  </w14:solidFill>
                </w14:textFill>
              </w:rPr>
            </w:pPr>
            <w:r>
              <w:rPr>
                <w:color w:val="000000" w:themeColor="text1"/>
                <w14:textFill>
                  <w14:solidFill>
                    <w14:schemeClr w14:val="tx1"/>
                  </w14:solidFill>
                </w14:textFill>
              </w:rPr>
              <w:t>7.5</w:t>
            </w:r>
          </w:p>
        </w:tc>
        <w:tc>
          <w:tcPr>
            <w:tcW w:w="819" w:type="pct"/>
            <w:shd w:val="clear" w:color="auto" w:fill="auto"/>
            <w:vAlign w:val="center"/>
          </w:tcPr>
          <w:p w14:paraId="07B0194C">
            <w:pPr>
              <w:pStyle w:val="143"/>
              <w:rPr>
                <w:color w:val="000000" w:themeColor="text1"/>
                <w14:textFill>
                  <w14:solidFill>
                    <w14:schemeClr w14:val="tx1"/>
                  </w14:solidFill>
                </w14:textFill>
              </w:rPr>
            </w:pPr>
            <w:r>
              <w:rPr>
                <w:rFonts w:cs="Times New Roman"/>
                <w:color w:val="000000" w:themeColor="text1"/>
                <w:szCs w:val="21"/>
                <w14:textFill>
                  <w14:solidFill>
                    <w14:schemeClr w14:val="tx1"/>
                  </w14:solidFill>
                </w14:textFill>
              </w:rPr>
              <w:t>0.04</w:t>
            </w:r>
          </w:p>
        </w:tc>
      </w:tr>
      <w:tr w14:paraId="7BDC65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3" w:type="pct"/>
            <w:shd w:val="clear" w:color="auto" w:fill="auto"/>
            <w:vAlign w:val="center"/>
          </w:tcPr>
          <w:p w14:paraId="7D30DD04">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2</w:t>
            </w:r>
          </w:p>
        </w:tc>
        <w:tc>
          <w:tcPr>
            <w:tcW w:w="1405" w:type="pct"/>
            <w:shd w:val="clear" w:color="auto" w:fill="auto"/>
            <w:vAlign w:val="center"/>
          </w:tcPr>
          <w:p w14:paraId="569BDF49">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过氧乙酸</w:t>
            </w:r>
          </w:p>
        </w:tc>
        <w:tc>
          <w:tcPr>
            <w:tcW w:w="1024" w:type="pct"/>
            <w:vAlign w:val="center"/>
          </w:tcPr>
          <w:p w14:paraId="34D1D59A">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0</w:t>
            </w:r>
            <w:r>
              <w:rPr>
                <w:snapToGrid w:val="0"/>
                <w:color w:val="000000" w:themeColor="text1"/>
                <w:lang w:eastAsia="zh-CN"/>
                <w14:textFill>
                  <w14:solidFill>
                    <w14:schemeClr w14:val="tx1"/>
                  </w14:solidFill>
                </w14:textFill>
              </w:rPr>
              <w:t>.04</w:t>
            </w:r>
          </w:p>
        </w:tc>
        <w:tc>
          <w:tcPr>
            <w:tcW w:w="1279" w:type="pct"/>
            <w:shd w:val="clear" w:color="auto" w:fill="auto"/>
            <w:vAlign w:val="center"/>
          </w:tcPr>
          <w:p w14:paraId="19113615">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5</w:t>
            </w:r>
          </w:p>
        </w:tc>
        <w:tc>
          <w:tcPr>
            <w:tcW w:w="819" w:type="pct"/>
            <w:shd w:val="clear" w:color="auto" w:fill="auto"/>
            <w:vAlign w:val="center"/>
          </w:tcPr>
          <w:p w14:paraId="445494C7">
            <w:pPr>
              <w:pStyle w:val="143"/>
              <w:rPr>
                <w:color w:val="000000" w:themeColor="text1"/>
                <w14:textFill>
                  <w14:solidFill>
                    <w14:schemeClr w14:val="tx1"/>
                  </w14:solidFill>
                </w14:textFill>
              </w:rPr>
            </w:pPr>
            <w:r>
              <w:rPr>
                <w:rFonts w:cs="Times New Roman"/>
                <w:color w:val="000000" w:themeColor="text1"/>
                <w:szCs w:val="21"/>
                <w14:textFill>
                  <w14:solidFill>
                    <w14:schemeClr w14:val="tx1"/>
                  </w14:solidFill>
                </w14:textFill>
              </w:rPr>
              <w:t>0.008</w:t>
            </w:r>
          </w:p>
        </w:tc>
      </w:tr>
      <w:tr w14:paraId="7CD59A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3" w:type="pct"/>
            <w:shd w:val="clear" w:color="auto" w:fill="auto"/>
            <w:vAlign w:val="center"/>
          </w:tcPr>
          <w:p w14:paraId="705369F8">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3</w:t>
            </w:r>
          </w:p>
        </w:tc>
        <w:tc>
          <w:tcPr>
            <w:tcW w:w="1405" w:type="pct"/>
            <w:shd w:val="clear" w:color="auto" w:fill="auto"/>
            <w:vAlign w:val="center"/>
          </w:tcPr>
          <w:p w14:paraId="4B154F39">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甲烷</w:t>
            </w:r>
          </w:p>
        </w:tc>
        <w:tc>
          <w:tcPr>
            <w:tcW w:w="1024" w:type="pct"/>
            <w:vAlign w:val="center"/>
          </w:tcPr>
          <w:p w14:paraId="0B8D0890">
            <w:pPr>
              <w:pStyle w:val="143"/>
              <w:rPr>
                <w:snapToGrid w:val="0"/>
                <w:color w:val="000000" w:themeColor="text1"/>
                <w:lang w:eastAsia="zh-CN"/>
                <w14:textFill>
                  <w14:solidFill>
                    <w14:schemeClr w14:val="tx1"/>
                  </w14:solidFill>
                </w14:textFill>
              </w:rPr>
            </w:pPr>
            <w:r>
              <w:rPr>
                <w:snapToGrid w:val="0"/>
                <w:color w:val="000000" w:themeColor="text1"/>
                <w:lang w:eastAsia="zh-CN"/>
                <w14:textFill>
                  <w14:solidFill>
                    <w14:schemeClr w14:val="tx1"/>
                  </w14:solidFill>
                </w14:textFill>
              </w:rPr>
              <w:t>0.0212</w:t>
            </w:r>
          </w:p>
        </w:tc>
        <w:tc>
          <w:tcPr>
            <w:tcW w:w="1279" w:type="pct"/>
            <w:shd w:val="clear" w:color="auto" w:fill="auto"/>
            <w:vAlign w:val="center"/>
          </w:tcPr>
          <w:p w14:paraId="386FABAA">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w:t>
            </w:r>
            <w:r>
              <w:rPr>
                <w:color w:val="000000" w:themeColor="text1"/>
                <w:lang w:eastAsia="zh-CN"/>
                <w14:textFill>
                  <w14:solidFill>
                    <w14:schemeClr w14:val="tx1"/>
                  </w14:solidFill>
                </w14:textFill>
              </w:rPr>
              <w:t>0</w:t>
            </w:r>
          </w:p>
        </w:tc>
        <w:tc>
          <w:tcPr>
            <w:tcW w:w="819" w:type="pct"/>
            <w:shd w:val="clear" w:color="auto" w:fill="auto"/>
            <w:vAlign w:val="center"/>
          </w:tcPr>
          <w:p w14:paraId="2F1968C8">
            <w:pPr>
              <w:pStyle w:val="143"/>
              <w:rPr>
                <w:color w:val="000000" w:themeColor="text1"/>
                <w14:textFill>
                  <w14:solidFill>
                    <w14:schemeClr w14:val="tx1"/>
                  </w14:solidFill>
                </w14:textFill>
              </w:rPr>
            </w:pPr>
            <w:r>
              <w:rPr>
                <w:rFonts w:cs="Times New Roman"/>
                <w:color w:val="000000" w:themeColor="text1"/>
                <w:szCs w:val="21"/>
                <w14:textFill>
                  <w14:solidFill>
                    <w14:schemeClr w14:val="tx1"/>
                  </w14:solidFill>
                </w14:textFill>
              </w:rPr>
              <w:t>0.00212</w:t>
            </w:r>
          </w:p>
        </w:tc>
      </w:tr>
      <w:tr w14:paraId="1BD527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73" w:type="pct"/>
            <w:shd w:val="clear" w:color="auto" w:fill="auto"/>
            <w:vAlign w:val="center"/>
          </w:tcPr>
          <w:p w14:paraId="1C13A6AA">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4</w:t>
            </w:r>
          </w:p>
        </w:tc>
        <w:tc>
          <w:tcPr>
            <w:tcW w:w="1405" w:type="pct"/>
            <w:shd w:val="clear" w:color="auto" w:fill="auto"/>
            <w:vAlign w:val="center"/>
          </w:tcPr>
          <w:p w14:paraId="38ED7C22">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柴油（油类物质）</w:t>
            </w:r>
          </w:p>
        </w:tc>
        <w:tc>
          <w:tcPr>
            <w:tcW w:w="1024" w:type="pct"/>
            <w:vAlign w:val="center"/>
          </w:tcPr>
          <w:p w14:paraId="09BFFCEC">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1</w:t>
            </w:r>
            <w:r>
              <w:rPr>
                <w:snapToGrid w:val="0"/>
                <w:color w:val="000000" w:themeColor="text1"/>
                <w:lang w:eastAsia="zh-CN"/>
                <w14:textFill>
                  <w14:solidFill>
                    <w14:schemeClr w14:val="tx1"/>
                  </w14:solidFill>
                </w14:textFill>
              </w:rPr>
              <w:t>50.3</w:t>
            </w:r>
          </w:p>
        </w:tc>
        <w:tc>
          <w:tcPr>
            <w:tcW w:w="1279" w:type="pct"/>
            <w:shd w:val="clear" w:color="auto" w:fill="auto"/>
            <w:vAlign w:val="center"/>
          </w:tcPr>
          <w:p w14:paraId="255691AC">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2</w:t>
            </w:r>
            <w:r>
              <w:rPr>
                <w:color w:val="000000" w:themeColor="text1"/>
                <w:lang w:eastAsia="zh-CN"/>
                <w14:textFill>
                  <w14:solidFill>
                    <w14:schemeClr w14:val="tx1"/>
                  </w14:solidFill>
                </w14:textFill>
              </w:rPr>
              <w:t>500</w:t>
            </w:r>
          </w:p>
        </w:tc>
        <w:tc>
          <w:tcPr>
            <w:tcW w:w="819" w:type="pct"/>
            <w:shd w:val="clear" w:color="auto" w:fill="auto"/>
            <w:vAlign w:val="center"/>
          </w:tcPr>
          <w:p w14:paraId="051F4636">
            <w:pPr>
              <w:pStyle w:val="143"/>
              <w:rPr>
                <w:rFonts w:cs="Times New Roman"/>
                <w:color w:val="000000" w:themeColor="text1"/>
                <w:szCs w:val="21"/>
                <w:lang w:eastAsia="zh-CN"/>
                <w14:textFill>
                  <w14:solidFill>
                    <w14:schemeClr w14:val="tx1"/>
                  </w14:solidFill>
                </w14:textFill>
              </w:rPr>
            </w:pPr>
            <w:r>
              <w:rPr>
                <w:rFonts w:hint="eastAsia" w:cs="Times New Roman"/>
                <w:color w:val="000000" w:themeColor="text1"/>
                <w:szCs w:val="21"/>
                <w:lang w:eastAsia="zh-CN"/>
                <w14:textFill>
                  <w14:solidFill>
                    <w14:schemeClr w14:val="tx1"/>
                  </w14:solidFill>
                </w14:textFill>
              </w:rPr>
              <w:t>0</w:t>
            </w:r>
            <w:r>
              <w:rPr>
                <w:rFonts w:cs="Times New Roman"/>
                <w:color w:val="000000" w:themeColor="text1"/>
                <w:szCs w:val="21"/>
                <w:lang w:eastAsia="zh-CN"/>
                <w14:textFill>
                  <w14:solidFill>
                    <w14:schemeClr w14:val="tx1"/>
                  </w14:solidFill>
                </w14:textFill>
              </w:rPr>
              <w:t>.006012</w:t>
            </w:r>
          </w:p>
        </w:tc>
      </w:tr>
      <w:tr w14:paraId="42CA5F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 w:hRule="atLeast"/>
          <w:jc w:val="center"/>
        </w:trPr>
        <w:tc>
          <w:tcPr>
            <w:tcW w:w="1878" w:type="pct"/>
            <w:gridSpan w:val="2"/>
            <w:shd w:val="clear" w:color="auto" w:fill="auto"/>
            <w:vAlign w:val="center"/>
          </w:tcPr>
          <w:p w14:paraId="3A350B2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总计</w:t>
            </w:r>
          </w:p>
        </w:tc>
        <w:tc>
          <w:tcPr>
            <w:tcW w:w="2303" w:type="pct"/>
            <w:gridSpan w:val="2"/>
            <w:vAlign w:val="center"/>
          </w:tcPr>
          <w:p w14:paraId="1FFABBE7">
            <w:pPr>
              <w:pStyle w:val="143"/>
              <w:rPr>
                <w:snapToGrid w:val="0"/>
                <w:color w:val="000000" w:themeColor="text1"/>
                <w:lang w:val="en-GB"/>
                <w14:textFill>
                  <w14:solidFill>
                    <w14:schemeClr w14:val="tx1"/>
                  </w14:solidFill>
                </w14:textFill>
              </w:rPr>
            </w:pPr>
            <w:r>
              <w:rPr>
                <w:rFonts w:hint="eastAsia"/>
                <w:color w:val="000000" w:themeColor="text1"/>
                <w14:textFill>
                  <w14:solidFill>
                    <w14:schemeClr w14:val="tx1"/>
                  </w14:solidFill>
                </w14:textFill>
              </w:rPr>
              <w:t>项目</w:t>
            </w:r>
            <w:r>
              <w:rPr>
                <w:i/>
                <w:iCs/>
                <w:color w:val="000000" w:themeColor="text1"/>
                <w14:textFill>
                  <w14:solidFill>
                    <w14:schemeClr w14:val="tx1"/>
                  </w14:solidFill>
                </w14:textFill>
              </w:rPr>
              <w:t>Q</w:t>
            </w:r>
            <w:r>
              <w:rPr>
                <w:rFonts w:hint="eastAsia"/>
                <w:color w:val="000000" w:themeColor="text1"/>
                <w14:textFill>
                  <w14:solidFill>
                    <w14:schemeClr w14:val="tx1"/>
                  </w14:solidFill>
                </w14:textFill>
              </w:rPr>
              <w:t>值</w:t>
            </w:r>
            <w:r>
              <w:rPr>
                <w:color w:val="000000" w:themeColor="text1"/>
                <w14:textFill>
                  <w14:solidFill>
                    <w14:schemeClr w14:val="tx1"/>
                  </w14:solidFill>
                </w14:textFill>
              </w:rPr>
              <w:t>Σ</w:t>
            </w:r>
          </w:p>
        </w:tc>
        <w:tc>
          <w:tcPr>
            <w:tcW w:w="819" w:type="pct"/>
            <w:shd w:val="clear" w:color="auto" w:fill="auto"/>
            <w:vAlign w:val="center"/>
          </w:tcPr>
          <w:p w14:paraId="71075EBD">
            <w:pPr>
              <w:pStyle w:val="143"/>
              <w:rPr>
                <w:snapToGrid w:val="0"/>
                <w:color w:val="000000" w:themeColor="text1"/>
                <w14:textFill>
                  <w14:solidFill>
                    <w14:schemeClr w14:val="tx1"/>
                  </w14:solidFill>
                </w14:textFill>
              </w:rPr>
            </w:pPr>
            <w:r>
              <w:rPr>
                <w:color w:val="000000" w:themeColor="text1"/>
                <w14:textFill>
                  <w14:solidFill>
                    <w14:schemeClr w14:val="tx1"/>
                  </w14:solidFill>
                </w14:textFill>
              </w:rPr>
              <w:t>0.056132</w:t>
            </w:r>
          </w:p>
        </w:tc>
      </w:tr>
    </w:tbl>
    <w:p w14:paraId="39433E12">
      <w:pPr>
        <w:pStyle w:val="85"/>
        <w:rPr>
          <w:color w:val="000000" w:themeColor="text1"/>
          <w14:textFill>
            <w14:solidFill>
              <w14:schemeClr w14:val="tx1"/>
            </w14:solidFill>
          </w14:textFill>
        </w:rPr>
      </w:pPr>
      <w:r>
        <w:rPr>
          <w:color w:val="000000" w:themeColor="text1"/>
          <w14:textFill>
            <w14:solidFill>
              <w14:schemeClr w14:val="tx1"/>
            </w14:solidFill>
          </w14:textFill>
        </w:rPr>
        <w:t>根据以上分析，项目Q值</w:t>
      </w:r>
      <w:r>
        <w:rPr>
          <w:rFonts w:hint="eastAsia"/>
          <w:color w:val="000000" w:themeColor="text1"/>
          <w14:textFill>
            <w14:solidFill>
              <w14:schemeClr w14:val="tx1"/>
            </w14:solidFill>
          </w14:textFill>
        </w:rPr>
        <w:t>为</w:t>
      </w:r>
      <w:r>
        <w:rPr>
          <w:color w:val="000000" w:themeColor="text1"/>
          <w14:textFill>
            <w14:solidFill>
              <w14:schemeClr w14:val="tx1"/>
            </w14:solidFill>
          </w14:textFill>
        </w:rPr>
        <w:t>0.056132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小于1，故环境风险潜势为</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1 \* ROMAN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I</w:t>
      </w:r>
      <w:r>
        <w:rPr>
          <w:color w:val="000000" w:themeColor="text1"/>
          <w14:textFill>
            <w14:solidFill>
              <w14:schemeClr w14:val="tx1"/>
            </w14:solidFill>
          </w14:textFill>
        </w:rPr>
        <w:fldChar w:fldCharType="end"/>
      </w:r>
      <w:r>
        <w:rPr>
          <w:color w:val="000000" w:themeColor="text1"/>
          <w14:textFill>
            <w14:solidFill>
              <w14:schemeClr w14:val="tx1"/>
            </w14:solidFill>
          </w14:textFill>
        </w:rPr>
        <w:t>。</w:t>
      </w:r>
    </w:p>
    <w:bookmarkEnd w:id="65"/>
    <w:p w14:paraId="0539AD0A">
      <w:pPr>
        <w:pStyle w:val="85"/>
        <w:rPr>
          <w:color w:val="000000" w:themeColor="text1"/>
          <w14:textFill>
            <w14:solidFill>
              <w14:schemeClr w14:val="tx1"/>
            </w14:solidFill>
          </w14:textFill>
        </w:rPr>
      </w:pPr>
      <w:bookmarkStart w:id="66" w:name="_Hlk11609868"/>
      <w:r>
        <w:rPr>
          <w:rFonts w:hint="eastAsia"/>
          <w:color w:val="000000" w:themeColor="text1"/>
          <w14:textFill>
            <w14:solidFill>
              <w14:schemeClr w14:val="tx1"/>
            </w14:solidFill>
          </w14:textFill>
        </w:rPr>
        <w:t>（3）</w:t>
      </w:r>
      <w:r>
        <w:rPr>
          <w:color w:val="000000" w:themeColor="text1"/>
          <w14:textFill>
            <w14:solidFill>
              <w14:schemeClr w14:val="tx1"/>
            </w14:solidFill>
          </w14:textFill>
        </w:rPr>
        <w:t>评价等级</w:t>
      </w:r>
      <w:r>
        <w:rPr>
          <w:rFonts w:hint="eastAsia"/>
          <w:color w:val="000000" w:themeColor="text1"/>
          <w14:textFill>
            <w14:solidFill>
              <w14:schemeClr w14:val="tx1"/>
            </w14:solidFill>
          </w14:textFill>
        </w:rPr>
        <w:t>判断</w:t>
      </w:r>
    </w:p>
    <w:p w14:paraId="5797A1F9">
      <w:pPr>
        <w:pStyle w:val="85"/>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环境风险评价工作等级划分为一级、二级、三级。根据建设项目涉及的物质及工艺系统危险性和所在地的环境敏感性确定环境风险潜势，按照下表确定评价工作等级。</w:t>
      </w:r>
    </w:p>
    <w:p w14:paraId="6F2DB1B5">
      <w:pPr>
        <w:snapToGrid w:val="0"/>
        <w:spacing w:line="500" w:lineRule="exact"/>
        <w:jc w:val="center"/>
        <w:rPr>
          <w:rFonts w:hint="eastAsia" w:ascii="Times New Roman" w:cs="黑体"/>
          <w:b/>
          <w:color w:val="auto"/>
          <w:szCs w:val="28"/>
          <w:highlight w:val="none"/>
          <w:lang w:val="zh-CN" w:eastAsia="zh-CN" w:bidi="ar"/>
        </w:rPr>
      </w:pPr>
      <w:r>
        <w:rPr>
          <w:rFonts w:hint="eastAsia" w:ascii="Times New Roman" w:cs="黑体"/>
          <w:b/>
          <w:color w:val="auto"/>
          <w:szCs w:val="28"/>
          <w:highlight w:val="none"/>
          <w:lang w:val="zh-CN" w:eastAsia="zh-CN" w:bidi="ar"/>
        </w:rPr>
        <w:t>表2-5-</w:t>
      </w:r>
      <w:r>
        <w:rPr>
          <w:rFonts w:hint="eastAsia" w:cs="黑体"/>
          <w:b/>
          <w:color w:val="auto"/>
          <w:szCs w:val="28"/>
          <w:highlight w:val="none"/>
          <w:lang w:val="en-US" w:eastAsia="zh-CN" w:bidi="ar"/>
        </w:rPr>
        <w:t>20</w:t>
      </w:r>
      <w:r>
        <w:rPr>
          <w:rFonts w:hint="eastAsia" w:ascii="Times New Roman" w:cs="黑体"/>
          <w:b/>
          <w:color w:val="auto"/>
          <w:szCs w:val="28"/>
          <w:highlight w:val="none"/>
          <w:lang w:val="zh-CN" w:eastAsia="zh-CN" w:bidi="ar"/>
        </w:rPr>
        <w:t xml:space="preserve"> 环境风险评价工作等级划分</w:t>
      </w:r>
    </w:p>
    <w:tbl>
      <w:tblPr>
        <w:tblStyle w:val="4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42"/>
        <w:gridCol w:w="1766"/>
        <w:gridCol w:w="1578"/>
        <w:gridCol w:w="1578"/>
        <w:gridCol w:w="1842"/>
      </w:tblGrid>
      <w:tr w14:paraId="7809C3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28" w:type="pct"/>
          </w:tcPr>
          <w:p w14:paraId="47076E4E">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环境风险潜势</w:t>
            </w:r>
          </w:p>
        </w:tc>
        <w:tc>
          <w:tcPr>
            <w:tcW w:w="1063" w:type="pct"/>
          </w:tcPr>
          <w:p w14:paraId="031F826D">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 4 \* ROMAN </w:instrText>
            </w:r>
            <w:r>
              <w:rPr>
                <w:rFonts w:cs="Times New Roman"/>
                <w:color w:val="000000" w:themeColor="text1"/>
                <w14:textFill>
                  <w14:solidFill>
                    <w14:schemeClr w14:val="tx1"/>
                  </w14:solidFill>
                </w14:textFill>
              </w:rPr>
              <w:fldChar w:fldCharType="separate"/>
            </w:r>
            <w:r>
              <w:rPr>
                <w:rFonts w:cs="Times New Roman"/>
                <w:color w:val="000000" w:themeColor="text1"/>
                <w14:textFill>
                  <w14:solidFill>
                    <w14:schemeClr w14:val="tx1"/>
                  </w14:solidFill>
                </w14:textFill>
              </w:rPr>
              <w:t>IV</w:t>
            </w:r>
            <w:r>
              <w:rPr>
                <w:rFonts w:cs="Times New Roman"/>
                <w:color w:val="000000" w:themeColor="text1"/>
                <w14:textFill>
                  <w14:solidFill>
                    <w14:schemeClr w14:val="tx1"/>
                  </w14:solidFill>
                </w14:textFill>
              </w:rPr>
              <w:fldChar w:fldCharType="end"/>
            </w:r>
            <w:r>
              <w:rPr>
                <w:rFonts w:cs="Times New Roman"/>
                <w:color w:val="000000" w:themeColor="text1"/>
                <w14:textFill>
                  <w14:solidFill>
                    <w14:schemeClr w14:val="tx1"/>
                  </w14:solidFill>
                </w14:textFill>
              </w:rPr>
              <w:t>、</w:t>
            </w: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 4 \* ROMAN </w:instrText>
            </w:r>
            <w:r>
              <w:rPr>
                <w:rFonts w:cs="Times New Roman"/>
                <w:color w:val="000000" w:themeColor="text1"/>
                <w14:textFill>
                  <w14:solidFill>
                    <w14:schemeClr w14:val="tx1"/>
                  </w14:solidFill>
                </w14:textFill>
              </w:rPr>
              <w:fldChar w:fldCharType="separate"/>
            </w:r>
            <w:r>
              <w:rPr>
                <w:rFonts w:cs="Times New Roman"/>
                <w:color w:val="000000" w:themeColor="text1"/>
                <w14:textFill>
                  <w14:solidFill>
                    <w14:schemeClr w14:val="tx1"/>
                  </w14:solidFill>
                </w14:textFill>
              </w:rPr>
              <w:t>IV</w:t>
            </w:r>
            <w:r>
              <w:rPr>
                <w:rFonts w:cs="Times New Roman"/>
                <w:color w:val="000000" w:themeColor="text1"/>
                <w14:textFill>
                  <w14:solidFill>
                    <w14:schemeClr w14:val="tx1"/>
                  </w14:solidFill>
                </w14:textFill>
              </w:rPr>
              <w:fldChar w:fldCharType="end"/>
            </w:r>
            <w:r>
              <w:rPr>
                <w:rFonts w:cs="Times New Roman"/>
                <w:color w:val="000000" w:themeColor="text1"/>
                <w14:textFill>
                  <w14:solidFill>
                    <w14:schemeClr w14:val="tx1"/>
                  </w14:solidFill>
                </w14:textFill>
              </w:rPr>
              <w:t>*</w:t>
            </w:r>
          </w:p>
        </w:tc>
        <w:tc>
          <w:tcPr>
            <w:tcW w:w="950" w:type="pct"/>
          </w:tcPr>
          <w:p w14:paraId="6ADB4C23">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 3 \* ROMAN </w:instrText>
            </w:r>
            <w:r>
              <w:rPr>
                <w:rFonts w:cs="Times New Roman"/>
                <w:color w:val="000000" w:themeColor="text1"/>
                <w14:textFill>
                  <w14:solidFill>
                    <w14:schemeClr w14:val="tx1"/>
                  </w14:solidFill>
                </w14:textFill>
              </w:rPr>
              <w:fldChar w:fldCharType="separate"/>
            </w:r>
            <w:r>
              <w:rPr>
                <w:rFonts w:cs="Times New Roman"/>
                <w:color w:val="000000" w:themeColor="text1"/>
                <w14:textFill>
                  <w14:solidFill>
                    <w14:schemeClr w14:val="tx1"/>
                  </w14:solidFill>
                </w14:textFill>
              </w:rPr>
              <w:t>Ⅲ</w:t>
            </w:r>
            <w:r>
              <w:rPr>
                <w:rFonts w:cs="Times New Roman"/>
                <w:color w:val="000000" w:themeColor="text1"/>
                <w14:textFill>
                  <w14:solidFill>
                    <w14:schemeClr w14:val="tx1"/>
                  </w14:solidFill>
                </w14:textFill>
              </w:rPr>
              <w:fldChar w:fldCharType="end"/>
            </w:r>
          </w:p>
        </w:tc>
        <w:tc>
          <w:tcPr>
            <w:tcW w:w="950" w:type="pct"/>
          </w:tcPr>
          <w:p w14:paraId="7A04D1ED">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 2 \* ROMAN </w:instrText>
            </w:r>
            <w:r>
              <w:rPr>
                <w:rFonts w:cs="Times New Roman"/>
                <w:color w:val="000000" w:themeColor="text1"/>
                <w14:textFill>
                  <w14:solidFill>
                    <w14:schemeClr w14:val="tx1"/>
                  </w14:solidFill>
                </w14:textFill>
              </w:rPr>
              <w:fldChar w:fldCharType="separate"/>
            </w:r>
            <w:r>
              <w:rPr>
                <w:rFonts w:cs="Times New Roman"/>
                <w:color w:val="000000" w:themeColor="text1"/>
                <w14:textFill>
                  <w14:solidFill>
                    <w14:schemeClr w14:val="tx1"/>
                  </w14:solidFill>
                </w14:textFill>
              </w:rPr>
              <w:t>II</w:t>
            </w:r>
            <w:r>
              <w:rPr>
                <w:rFonts w:cs="Times New Roman"/>
                <w:color w:val="000000" w:themeColor="text1"/>
                <w14:textFill>
                  <w14:solidFill>
                    <w14:schemeClr w14:val="tx1"/>
                  </w14:solidFill>
                </w14:textFill>
              </w:rPr>
              <w:fldChar w:fldCharType="end"/>
            </w:r>
          </w:p>
        </w:tc>
        <w:tc>
          <w:tcPr>
            <w:tcW w:w="1109" w:type="pct"/>
          </w:tcPr>
          <w:p w14:paraId="25F66191">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 1 \* ROMAN </w:instrText>
            </w:r>
            <w:r>
              <w:rPr>
                <w:rFonts w:cs="Times New Roman"/>
                <w:color w:val="000000" w:themeColor="text1"/>
                <w14:textFill>
                  <w14:solidFill>
                    <w14:schemeClr w14:val="tx1"/>
                  </w14:solidFill>
                </w14:textFill>
              </w:rPr>
              <w:fldChar w:fldCharType="separate"/>
            </w:r>
            <w:r>
              <w:rPr>
                <w:rFonts w:cs="Times New Roman"/>
                <w:color w:val="000000" w:themeColor="text1"/>
                <w14:textFill>
                  <w14:solidFill>
                    <w14:schemeClr w14:val="tx1"/>
                  </w14:solidFill>
                </w14:textFill>
              </w:rPr>
              <w:t>I</w:t>
            </w:r>
            <w:r>
              <w:rPr>
                <w:rFonts w:cs="Times New Roman"/>
                <w:color w:val="000000" w:themeColor="text1"/>
                <w14:textFill>
                  <w14:solidFill>
                    <w14:schemeClr w14:val="tx1"/>
                  </w14:solidFill>
                </w14:textFill>
              </w:rPr>
              <w:fldChar w:fldCharType="end"/>
            </w:r>
          </w:p>
        </w:tc>
      </w:tr>
      <w:tr w14:paraId="67D722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28" w:type="pct"/>
          </w:tcPr>
          <w:p w14:paraId="29AC5E2A">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评价工作等级</w:t>
            </w:r>
          </w:p>
        </w:tc>
        <w:tc>
          <w:tcPr>
            <w:tcW w:w="1063" w:type="pct"/>
          </w:tcPr>
          <w:p w14:paraId="54A5396A">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一</w:t>
            </w:r>
          </w:p>
        </w:tc>
        <w:tc>
          <w:tcPr>
            <w:tcW w:w="950" w:type="pct"/>
          </w:tcPr>
          <w:p w14:paraId="61986E46">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二</w:t>
            </w:r>
          </w:p>
        </w:tc>
        <w:tc>
          <w:tcPr>
            <w:tcW w:w="950" w:type="pct"/>
          </w:tcPr>
          <w:p w14:paraId="2FCB5A4F">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三</w:t>
            </w:r>
          </w:p>
        </w:tc>
        <w:tc>
          <w:tcPr>
            <w:tcW w:w="1109" w:type="pct"/>
          </w:tcPr>
          <w:p w14:paraId="27544B3D">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简单分析*</w:t>
            </w:r>
          </w:p>
        </w:tc>
      </w:tr>
      <w:tr w14:paraId="35D789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00" w:type="pct"/>
            <w:gridSpan w:val="5"/>
          </w:tcPr>
          <w:p w14:paraId="4341293B">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*是相对于详细评价工作内容而言，在描述危险物质、环境影响途径、环境危害后果、风险防范措施等方面给出定性的说明。见附录A</w:t>
            </w:r>
          </w:p>
        </w:tc>
      </w:tr>
    </w:tbl>
    <w:p w14:paraId="527085B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根据以上分析，项目Q值小于1，故环境风险潜势为I。</w:t>
      </w:r>
    </w:p>
    <w:p w14:paraId="7E814F9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本项目风险潜势为I，根据《建设项目环境风险评价技术导则》(HJ169-2018)中表1的评价分级原则，风险潜势为I，可开展简单分析。</w:t>
      </w:r>
    </w:p>
    <w:p w14:paraId="0055D0A4">
      <w:pPr>
        <w:pStyle w:val="6"/>
        <w:rPr>
          <w:rFonts w:cs="Times New Roman"/>
          <w:color w:val="000000" w:themeColor="text1"/>
          <w14:textFill>
            <w14:solidFill>
              <w14:schemeClr w14:val="tx1"/>
            </w14:solidFill>
          </w14:textFill>
        </w:rPr>
      </w:pPr>
      <w:bookmarkStart w:id="67" w:name="_Toc15489049"/>
      <w:bookmarkStart w:id="68" w:name="_Toc17466779"/>
      <w:bookmarkStart w:id="69" w:name="_Toc28718"/>
      <w:bookmarkStart w:id="70" w:name="_Hlk15926866"/>
      <w:r>
        <w:rPr>
          <w:rFonts w:cs="Times New Roman"/>
          <w:color w:val="000000" w:themeColor="text1"/>
          <w14:textFill>
            <w14:solidFill>
              <w14:schemeClr w14:val="tx1"/>
            </w14:solidFill>
          </w14:textFill>
        </w:rPr>
        <w:t>2.5.7土壤环境</w:t>
      </w:r>
      <w:bookmarkEnd w:id="67"/>
      <w:bookmarkEnd w:id="68"/>
      <w:bookmarkEnd w:id="69"/>
    </w:p>
    <w:p w14:paraId="1EDB8344">
      <w:pPr>
        <w:pStyle w:val="85"/>
        <w:adjustRightInd w:val="0"/>
        <w:snapToGrid w:val="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根据《环境影响评价技术导则 土壤环境（试行）》（HJ964-2018）附录A土壤环境影响评价项目类别，本项目行业类别属于“其他行业”，项目类别为Ⅳ类，</w:t>
      </w:r>
      <w:r>
        <w:rPr>
          <w:rFonts w:hint="eastAsia" w:cs="Times New Roman"/>
          <w:color w:val="000000" w:themeColor="text1"/>
          <w14:textFill>
            <w14:solidFill>
              <w14:schemeClr w14:val="tx1"/>
            </w14:solidFill>
          </w14:textFill>
        </w:rPr>
        <w:t>故不</w:t>
      </w:r>
      <w:r>
        <w:rPr>
          <w:rFonts w:cs="Times New Roman"/>
          <w:color w:val="000000" w:themeColor="text1"/>
          <w14:textFill>
            <w14:solidFill>
              <w14:schemeClr w14:val="tx1"/>
            </w14:solidFill>
          </w14:textFill>
        </w:rPr>
        <w:t>开展土壤环境影响评价。</w:t>
      </w:r>
    </w:p>
    <w:bookmarkEnd w:id="66"/>
    <w:bookmarkEnd w:id="70"/>
    <w:p w14:paraId="38885F9D">
      <w:pPr>
        <w:pStyle w:val="5"/>
        <w:rPr>
          <w:snapToGrid w:val="0"/>
          <w:color w:val="000000" w:themeColor="text1"/>
          <w14:textFill>
            <w14:solidFill>
              <w14:schemeClr w14:val="tx1"/>
            </w14:solidFill>
          </w14:textFill>
        </w:rPr>
      </w:pPr>
      <w:bookmarkStart w:id="71" w:name="_Toc8741"/>
      <w:r>
        <w:rPr>
          <w:snapToGrid w:val="0"/>
          <w:color w:val="000000" w:themeColor="text1"/>
          <w14:textFill>
            <w14:solidFill>
              <w14:schemeClr w14:val="tx1"/>
            </w14:solidFill>
          </w14:textFill>
        </w:rPr>
        <w:t>2.6</w:t>
      </w:r>
      <w:r>
        <w:rPr>
          <w:rFonts w:hint="eastAsia"/>
          <w:snapToGrid w:val="0"/>
          <w:color w:val="000000" w:themeColor="text1"/>
          <w14:textFill>
            <w14:solidFill>
              <w14:schemeClr w14:val="tx1"/>
            </w14:solidFill>
          </w14:textFill>
        </w:rPr>
        <w:t>评价范围及</w:t>
      </w:r>
      <w:r>
        <w:rPr>
          <w:snapToGrid w:val="0"/>
          <w:color w:val="000000" w:themeColor="text1"/>
          <w14:textFill>
            <w14:solidFill>
              <w14:schemeClr w14:val="tx1"/>
            </w14:solidFill>
          </w14:textFill>
        </w:rPr>
        <w:t>评价时段</w:t>
      </w:r>
      <w:bookmarkEnd w:id="71"/>
    </w:p>
    <w:p w14:paraId="62C8CC6B">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由于施工期对周围环境影响较小，并且为短期影响，因此施工期只作影响分析；运营期对周围环境影响程度因工序污染物排放不同而不同，而且为长期影响，因此本评价以运营期为重点评价时段。根据评价区域环境特点、建设项目工程污染特征及环境影响评价工作等级要求，确定各环境要素评价范围。</w:t>
      </w:r>
    </w:p>
    <w:p w14:paraId="4C572287">
      <w:pPr>
        <w:pStyle w:val="6"/>
        <w:rPr>
          <w:snapToGrid w:val="0"/>
          <w:color w:val="000000" w:themeColor="text1"/>
          <w:kern w:val="0"/>
          <w14:textFill>
            <w14:solidFill>
              <w14:schemeClr w14:val="tx1"/>
            </w14:solidFill>
          </w14:textFill>
        </w:rPr>
      </w:pPr>
      <w:bookmarkStart w:id="72" w:name="_Toc8245"/>
      <w:r>
        <w:rPr>
          <w:snapToGrid w:val="0"/>
          <w:color w:val="000000" w:themeColor="text1"/>
          <w14:textFill>
            <w14:solidFill>
              <w14:schemeClr w14:val="tx1"/>
            </w14:solidFill>
          </w14:textFill>
        </w:rPr>
        <w:t>2.6.1</w:t>
      </w:r>
      <w:r>
        <w:rPr>
          <w:rFonts w:hint="eastAsia"/>
          <w:snapToGrid w:val="0"/>
          <w:color w:val="000000" w:themeColor="text1"/>
          <w14:textFill>
            <w14:solidFill>
              <w14:schemeClr w14:val="tx1"/>
            </w14:solidFill>
          </w14:textFill>
        </w:rPr>
        <w:t>评价范围</w:t>
      </w:r>
      <w:bookmarkEnd w:id="72"/>
    </w:p>
    <w:p w14:paraId="45D45FF9">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.6.1.1</w:t>
      </w:r>
      <w:r>
        <w:rPr>
          <w:rFonts w:hint="eastAsia"/>
          <w:snapToGrid w:val="0"/>
          <w:color w:val="000000" w:themeColor="text1"/>
          <w14:textFill>
            <w14:solidFill>
              <w14:schemeClr w14:val="tx1"/>
            </w14:solidFill>
          </w14:textFill>
        </w:rPr>
        <w:t>环境</w:t>
      </w:r>
      <w:r>
        <w:rPr>
          <w:snapToGrid w:val="0"/>
          <w:color w:val="000000" w:themeColor="text1"/>
          <w14:textFill>
            <w14:solidFill>
              <w14:schemeClr w14:val="tx1"/>
            </w14:solidFill>
          </w14:textFill>
        </w:rPr>
        <w:t>空气</w:t>
      </w:r>
    </w:p>
    <w:p w14:paraId="7F729F81">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根据评价工作等级要求，考虑本项目所在区域的地形、地理特征，</w:t>
      </w:r>
      <w:bookmarkStart w:id="73" w:name="_Hlk11609889"/>
      <w:r>
        <w:rPr>
          <w:rFonts w:hint="eastAsia"/>
          <w:snapToGrid w:val="0"/>
          <w:color w:val="000000" w:themeColor="text1"/>
          <w14:textFill>
            <w14:solidFill>
              <w14:schemeClr w14:val="tx1"/>
            </w14:solidFill>
          </w14:textFill>
        </w:rPr>
        <w:t>评价范围为以项目场址为中心区域，边长</w:t>
      </w:r>
      <w:r>
        <w:rPr>
          <w:snapToGrid w:val="0"/>
          <w:color w:val="000000" w:themeColor="text1"/>
          <w14:textFill>
            <w14:solidFill>
              <w14:schemeClr w14:val="tx1"/>
            </w14:solidFill>
          </w14:textFill>
        </w:rPr>
        <w:t>为</w:t>
      </w:r>
      <w:r>
        <w:rPr>
          <w:rFonts w:hint="eastAsia"/>
          <w:snapToGrid w:val="0"/>
          <w:color w:val="000000" w:themeColor="text1"/>
          <w14:textFill>
            <w14:solidFill>
              <w14:schemeClr w14:val="tx1"/>
            </w14:solidFill>
          </w14:textFill>
        </w:rPr>
        <w:t>5</w:t>
      </w:r>
      <w:r>
        <w:rPr>
          <w:snapToGrid w:val="0"/>
          <w:color w:val="000000" w:themeColor="text1"/>
          <w14:textFill>
            <w14:solidFill>
              <w14:schemeClr w14:val="tx1"/>
            </w14:solidFill>
          </w14:textFill>
        </w:rPr>
        <w:t>km</w:t>
      </w:r>
      <w:r>
        <w:rPr>
          <w:rFonts w:hint="eastAsia"/>
          <w:snapToGrid w:val="0"/>
          <w:color w:val="000000" w:themeColor="text1"/>
          <w14:textFill>
            <w14:solidFill>
              <w14:schemeClr w14:val="tx1"/>
            </w14:solidFill>
          </w14:textFill>
        </w:rPr>
        <w:t>的矩形区域。</w:t>
      </w:r>
      <w:bookmarkEnd w:id="73"/>
    </w:p>
    <w:p w14:paraId="6B5E2613">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.6.1.2</w:t>
      </w:r>
      <w:r>
        <w:rPr>
          <w:rFonts w:hint="eastAsia"/>
          <w:color w:val="000000" w:themeColor="text1"/>
          <w:lang w:eastAsia="zh-CN"/>
          <w14:textFill>
            <w14:solidFill>
              <w14:schemeClr w14:val="tx1"/>
            </w14:solidFill>
          </w14:textFill>
        </w:rPr>
        <w:t>地表</w:t>
      </w:r>
      <w:r>
        <w:rPr>
          <w:rFonts w:hint="eastAsia"/>
          <w:color w:val="000000" w:themeColor="text1"/>
          <w14:textFill>
            <w14:solidFill>
              <w14:schemeClr w14:val="tx1"/>
            </w14:solidFill>
          </w14:textFill>
        </w:rPr>
        <w:t>水环境</w:t>
      </w:r>
    </w:p>
    <w:p w14:paraId="7A8A60FE">
      <w:pPr>
        <w:spacing w:line="500" w:lineRule="exact"/>
        <w:ind w:firstLine="480" w:firstLineChars="200"/>
        <w:rPr>
          <w:rFonts w:hint="eastAsia" w:eastAsia="宋体"/>
          <w:color w:val="auto"/>
          <w:sz w:val="28"/>
          <w:szCs w:val="28"/>
          <w:highlight w:val="none"/>
          <w:lang w:eastAsia="zh-CN"/>
        </w:rPr>
      </w:pPr>
      <w:bookmarkStart w:id="74" w:name="_Hlk11609896"/>
      <w:r>
        <w:rPr>
          <w:rFonts w:hint="eastAsia" w:ascii="Times New Roman" w:hAnsi="Times New Roman" w:eastAsia="宋体"/>
          <w:color w:val="auto"/>
          <w:highlight w:val="none"/>
        </w:rPr>
        <w:t>根据《环境影响评价技术导则-地表水环境》（HJ2.3-2018）7.1.2“水污染影响型三级B评价可不进行水环境影响预测”，主要评价水污染控制和水环境影响减缓措施的有效性，依托污水处理设施的环境可行性。本项目不设置地表水评价范围</w:t>
      </w:r>
      <w:r>
        <w:rPr>
          <w:rFonts w:hint="eastAsia"/>
          <w:color w:val="auto"/>
          <w:highlight w:val="none"/>
          <w:lang w:eastAsia="zh-CN"/>
        </w:rPr>
        <w:t>。</w:t>
      </w:r>
    </w:p>
    <w:bookmarkEnd w:id="74"/>
    <w:p w14:paraId="0D6F13CC">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2.6.1.3</w:t>
      </w:r>
      <w:r>
        <w:rPr>
          <w:rFonts w:hint="eastAsia"/>
          <w:snapToGrid w:val="0"/>
          <w:color w:val="000000" w:themeColor="text1"/>
          <w14:textFill>
            <w14:solidFill>
              <w14:schemeClr w14:val="tx1"/>
            </w14:solidFill>
          </w14:textFill>
        </w:rPr>
        <w:t>地下水环境</w:t>
      </w:r>
    </w:p>
    <w:p w14:paraId="58C63E11">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评价区水文地质条件相对简单，第四系大面积分布，采用公式法计算评价区边界，参照《环境影响评价技术导则 地下水环境》（</w:t>
      </w:r>
      <w:r>
        <w:rPr>
          <w:rFonts w:hint="default" w:ascii="Times New Roman" w:hAnsi="Times New Roman" w:eastAsia="宋体"/>
          <w:snapToGrid w:val="0"/>
          <w:color w:val="000000" w:themeColor="text1"/>
          <w:lang w:val="en-US" w:eastAsia="zh-CN"/>
          <w14:textFill>
            <w14:solidFill>
              <w14:schemeClr w14:val="tx1"/>
            </w14:solidFill>
          </w14:textFill>
        </w:rPr>
        <w:t>HJ610-2016</w:t>
      </w:r>
      <w:r>
        <w:rPr>
          <w:rFonts w:hint="eastAsia" w:ascii="Times New Roman" w:hAnsi="Times New Roman" w:eastAsia="宋体"/>
          <w:snapToGrid w:val="0"/>
          <w:color w:val="000000" w:themeColor="text1"/>
          <w:lang w:val="en-US" w:eastAsia="zh-CN"/>
          <w14:textFill>
            <w14:solidFill>
              <w14:schemeClr w14:val="tx1"/>
            </w14:solidFill>
          </w14:textFill>
        </w:rPr>
        <w:t xml:space="preserve">）计算公式： </w:t>
      </w:r>
    </w:p>
    <w:p w14:paraId="2B0AEF8D">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default" w:ascii="Times New Roman" w:hAnsi="Times New Roman" w:eastAsia="宋体"/>
          <w:snapToGrid w:val="0"/>
          <w:color w:val="000000" w:themeColor="text1"/>
          <w:lang w:val="en-US" w:eastAsia="zh-CN"/>
          <w14:textFill>
            <w14:solidFill>
              <w14:schemeClr w14:val="tx1"/>
            </w14:solidFill>
          </w14:textFill>
        </w:rPr>
        <w:t xml:space="preserve">L=a×K×I×T/ne </w:t>
      </w:r>
    </w:p>
    <w:p w14:paraId="37335D0E">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default" w:ascii="Times New Roman" w:hAnsi="Times New Roman" w:eastAsia="宋体"/>
          <w:snapToGrid w:val="0"/>
          <w:color w:val="000000" w:themeColor="text1"/>
          <w:lang w:val="en-US" w:eastAsia="zh-CN"/>
          <w14:textFill>
            <w14:solidFill>
              <w14:schemeClr w14:val="tx1"/>
            </w14:solidFill>
          </w14:textFill>
        </w:rPr>
        <w:t>L</w:t>
      </w:r>
      <w:r>
        <w:rPr>
          <w:rFonts w:hint="eastAsia" w:ascii="Times New Roman" w:hAnsi="Times New Roman" w:eastAsia="宋体"/>
          <w:snapToGrid w:val="0"/>
          <w:color w:val="000000" w:themeColor="text1"/>
          <w:lang w:val="en-US" w:eastAsia="zh-CN"/>
          <w14:textFill>
            <w14:solidFill>
              <w14:schemeClr w14:val="tx1"/>
            </w14:solidFill>
          </w14:textFill>
        </w:rPr>
        <w:t>－下游迁移距离，</w:t>
      </w:r>
      <w:r>
        <w:rPr>
          <w:rFonts w:hint="default" w:ascii="Times New Roman" w:hAnsi="Times New Roman" w:eastAsia="宋体"/>
          <w:snapToGrid w:val="0"/>
          <w:color w:val="000000" w:themeColor="text1"/>
          <w:lang w:val="en-US" w:eastAsia="zh-CN"/>
          <w14:textFill>
            <w14:solidFill>
              <w14:schemeClr w14:val="tx1"/>
            </w14:solidFill>
          </w14:textFill>
        </w:rPr>
        <w:t>m</w:t>
      </w:r>
      <w:r>
        <w:rPr>
          <w:rFonts w:hint="eastAsia" w:ascii="Times New Roman" w:hAnsi="Times New Roman" w:eastAsia="宋体"/>
          <w:snapToGrid w:val="0"/>
          <w:color w:val="000000" w:themeColor="text1"/>
          <w:lang w:val="en-US" w:eastAsia="zh-CN"/>
          <w14:textFill>
            <w14:solidFill>
              <w14:schemeClr w14:val="tx1"/>
            </w14:solidFill>
          </w14:textFill>
        </w:rPr>
        <w:t>；</w:t>
      </w:r>
    </w:p>
    <w:p w14:paraId="514CF03B">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default" w:ascii="Times New Roman" w:hAnsi="Times New Roman" w:eastAsia="宋体"/>
          <w:snapToGrid w:val="0"/>
          <w:color w:val="000000" w:themeColor="text1"/>
          <w:lang w:val="en-US" w:eastAsia="zh-CN"/>
          <w14:textFill>
            <w14:solidFill>
              <w14:schemeClr w14:val="tx1"/>
            </w14:solidFill>
          </w14:textFill>
        </w:rPr>
        <w:t>a</w:t>
      </w:r>
      <w:r>
        <w:rPr>
          <w:rFonts w:hint="eastAsia" w:ascii="Times New Roman" w:hAnsi="Times New Roman" w:eastAsia="宋体"/>
          <w:snapToGrid w:val="0"/>
          <w:color w:val="000000" w:themeColor="text1"/>
          <w:lang w:val="en-US" w:eastAsia="zh-CN"/>
          <w14:textFill>
            <w14:solidFill>
              <w14:schemeClr w14:val="tx1"/>
            </w14:solidFill>
          </w14:textFill>
        </w:rPr>
        <w:t>－变化系数，</w:t>
      </w:r>
      <w:r>
        <w:rPr>
          <w:rFonts w:hint="default" w:ascii="Times New Roman" w:hAnsi="Times New Roman" w:eastAsia="宋体"/>
          <w:snapToGrid w:val="0"/>
          <w:color w:val="000000" w:themeColor="text1"/>
          <w:lang w:val="en-US" w:eastAsia="zh-CN"/>
          <w14:textFill>
            <w14:solidFill>
              <w14:schemeClr w14:val="tx1"/>
            </w14:solidFill>
          </w14:textFill>
        </w:rPr>
        <w:t>a≥1</w:t>
      </w:r>
      <w:r>
        <w:rPr>
          <w:rFonts w:hint="eastAsia" w:ascii="Times New Roman" w:hAnsi="Times New Roman" w:eastAsia="宋体"/>
          <w:snapToGrid w:val="0"/>
          <w:color w:val="000000" w:themeColor="text1"/>
          <w:lang w:val="en-US" w:eastAsia="zh-CN"/>
          <w14:textFill>
            <w14:solidFill>
              <w14:schemeClr w14:val="tx1"/>
            </w14:solidFill>
          </w14:textFill>
        </w:rPr>
        <w:t xml:space="preserve">，一般取 </w:t>
      </w:r>
      <w:r>
        <w:rPr>
          <w:rFonts w:hint="default" w:ascii="Times New Roman" w:hAnsi="Times New Roman" w:eastAsia="宋体"/>
          <w:snapToGrid w:val="0"/>
          <w:color w:val="000000" w:themeColor="text1"/>
          <w:lang w:val="en-US" w:eastAsia="zh-CN"/>
          <w14:textFill>
            <w14:solidFill>
              <w14:schemeClr w14:val="tx1"/>
            </w14:solidFill>
          </w14:textFill>
        </w:rPr>
        <w:t>2</w:t>
      </w:r>
      <w:r>
        <w:rPr>
          <w:rFonts w:hint="eastAsia" w:ascii="Times New Roman" w:hAnsi="Times New Roman" w:eastAsia="宋体"/>
          <w:snapToGrid w:val="0"/>
          <w:color w:val="000000" w:themeColor="text1"/>
          <w:lang w:val="en-US" w:eastAsia="zh-CN"/>
          <w14:textFill>
            <w14:solidFill>
              <w14:schemeClr w14:val="tx1"/>
            </w14:solidFill>
          </w14:textFill>
        </w:rPr>
        <w:t xml:space="preserve">； </w:t>
      </w:r>
    </w:p>
    <w:p w14:paraId="75408A85">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default" w:ascii="Times New Roman" w:hAnsi="Times New Roman" w:eastAsia="宋体"/>
          <w:snapToGrid w:val="0"/>
          <w:color w:val="000000" w:themeColor="text1"/>
          <w:lang w:val="en-US" w:eastAsia="zh-CN"/>
          <w14:textFill>
            <w14:solidFill>
              <w14:schemeClr w14:val="tx1"/>
            </w14:solidFill>
          </w14:textFill>
        </w:rPr>
        <w:t>K-</w:t>
      </w:r>
      <w:r>
        <w:rPr>
          <w:rFonts w:hint="eastAsia" w:ascii="Times New Roman" w:hAnsi="Times New Roman" w:eastAsia="宋体"/>
          <w:snapToGrid w:val="0"/>
          <w:color w:val="000000" w:themeColor="text1"/>
          <w:lang w:val="en-US" w:eastAsia="zh-CN"/>
          <w14:textFill>
            <w14:solidFill>
              <w14:schemeClr w14:val="tx1"/>
            </w14:solidFill>
          </w14:textFill>
        </w:rPr>
        <w:t>渗透系数，</w:t>
      </w:r>
      <w:r>
        <w:rPr>
          <w:rFonts w:hint="default" w:ascii="Times New Roman" w:hAnsi="Times New Roman" w:eastAsia="宋体"/>
          <w:snapToGrid w:val="0"/>
          <w:color w:val="000000" w:themeColor="text1"/>
          <w:lang w:val="en-US" w:eastAsia="zh-CN"/>
          <w14:textFill>
            <w14:solidFill>
              <w14:schemeClr w14:val="tx1"/>
            </w14:solidFill>
          </w14:textFill>
        </w:rPr>
        <w:t>m/d</w:t>
      </w:r>
      <w:r>
        <w:rPr>
          <w:rFonts w:hint="eastAsia" w:ascii="Times New Roman" w:hAnsi="Times New Roman" w:eastAsia="宋体"/>
          <w:snapToGrid w:val="0"/>
          <w:color w:val="000000" w:themeColor="text1"/>
          <w:lang w:val="en-US" w:eastAsia="zh-CN"/>
          <w14:textFill>
            <w14:solidFill>
              <w14:schemeClr w14:val="tx1"/>
            </w14:solidFill>
          </w14:textFill>
        </w:rPr>
        <w:t>；</w:t>
      </w:r>
    </w:p>
    <w:p w14:paraId="37CEF22D">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default" w:ascii="Times New Roman" w:hAnsi="Times New Roman" w:eastAsia="宋体"/>
          <w:snapToGrid w:val="0"/>
          <w:color w:val="000000" w:themeColor="text1"/>
          <w:lang w:val="en-US" w:eastAsia="zh-CN"/>
          <w14:textFill>
            <w14:solidFill>
              <w14:schemeClr w14:val="tx1"/>
            </w14:solidFill>
          </w14:textFill>
        </w:rPr>
        <w:t>I</w:t>
      </w:r>
      <w:r>
        <w:rPr>
          <w:rFonts w:hint="eastAsia" w:ascii="Times New Roman" w:hAnsi="Times New Roman" w:eastAsia="宋体"/>
          <w:snapToGrid w:val="0"/>
          <w:color w:val="000000" w:themeColor="text1"/>
          <w:lang w:val="en-US" w:eastAsia="zh-CN"/>
          <w14:textFill>
            <w14:solidFill>
              <w14:schemeClr w14:val="tx1"/>
            </w14:solidFill>
          </w14:textFill>
        </w:rPr>
        <w:t>－水力坡度，无量纲；</w:t>
      </w:r>
    </w:p>
    <w:p w14:paraId="2B77F15A">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default" w:ascii="Times New Roman" w:hAnsi="Times New Roman" w:eastAsia="宋体"/>
          <w:snapToGrid w:val="0"/>
          <w:color w:val="000000" w:themeColor="text1"/>
          <w:lang w:val="en-US" w:eastAsia="zh-CN"/>
          <w14:textFill>
            <w14:solidFill>
              <w14:schemeClr w14:val="tx1"/>
            </w14:solidFill>
          </w14:textFill>
        </w:rPr>
        <w:t>T</w:t>
      </w:r>
      <w:r>
        <w:rPr>
          <w:rFonts w:hint="eastAsia" w:ascii="Times New Roman" w:hAnsi="Times New Roman" w:eastAsia="宋体"/>
          <w:snapToGrid w:val="0"/>
          <w:color w:val="000000" w:themeColor="text1"/>
          <w:lang w:val="en-US" w:eastAsia="zh-CN"/>
          <w14:textFill>
            <w14:solidFill>
              <w14:schemeClr w14:val="tx1"/>
            </w14:solidFill>
          </w14:textFill>
        </w:rPr>
        <w:t xml:space="preserve">－质点运移天数，取值不小于 </w:t>
      </w:r>
      <w:r>
        <w:rPr>
          <w:rFonts w:hint="default" w:ascii="Times New Roman" w:hAnsi="Times New Roman" w:eastAsia="宋体"/>
          <w:snapToGrid w:val="0"/>
          <w:color w:val="000000" w:themeColor="text1"/>
          <w:lang w:val="en-US" w:eastAsia="zh-CN"/>
          <w14:textFill>
            <w14:solidFill>
              <w14:schemeClr w14:val="tx1"/>
            </w14:solidFill>
          </w14:textFill>
        </w:rPr>
        <w:t>5000d</w:t>
      </w:r>
      <w:r>
        <w:rPr>
          <w:rFonts w:hint="eastAsia" w:ascii="Times New Roman" w:hAnsi="Times New Roman" w:eastAsia="宋体"/>
          <w:snapToGrid w:val="0"/>
          <w:color w:val="000000" w:themeColor="text1"/>
          <w:lang w:val="en-US" w:eastAsia="zh-CN"/>
          <w14:textFill>
            <w14:solidFill>
              <w14:schemeClr w14:val="tx1"/>
            </w14:solidFill>
          </w14:textFill>
        </w:rPr>
        <w:t>；</w:t>
      </w:r>
    </w:p>
    <w:p w14:paraId="12F01F8F">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default" w:ascii="Times New Roman" w:hAnsi="Times New Roman" w:eastAsia="宋体"/>
          <w:snapToGrid w:val="0"/>
          <w:color w:val="000000" w:themeColor="text1"/>
          <w:lang w:val="en-US" w:eastAsia="zh-CN"/>
          <w14:textFill>
            <w14:solidFill>
              <w14:schemeClr w14:val="tx1"/>
            </w14:solidFill>
          </w14:textFill>
        </w:rPr>
        <w:t>ne</w:t>
      </w:r>
      <w:r>
        <w:rPr>
          <w:rFonts w:hint="eastAsia" w:ascii="Times New Roman" w:hAnsi="Times New Roman" w:eastAsia="宋体"/>
          <w:snapToGrid w:val="0"/>
          <w:color w:val="000000" w:themeColor="text1"/>
          <w:lang w:val="en-US" w:eastAsia="zh-CN"/>
          <w14:textFill>
            <w14:solidFill>
              <w14:schemeClr w14:val="tx1"/>
            </w14:solidFill>
          </w14:textFill>
        </w:rPr>
        <w:t>－有效孔隙度，无量纲</w:t>
      </w:r>
    </w:p>
    <w:p w14:paraId="7E4A81CA">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 xml:space="preserve">其中，渗透系数由《黑龙江省桦南县地下水资源调查评价报告》水文地质勘探孔抽水试验确定，第四系松散岩类孔隙潜水含水层渗透系数取值为 </w:t>
      </w:r>
      <w:r>
        <w:rPr>
          <w:rFonts w:hint="default" w:ascii="Times New Roman" w:hAnsi="Times New Roman" w:eastAsia="宋体"/>
          <w:snapToGrid w:val="0"/>
          <w:color w:val="000000" w:themeColor="text1"/>
          <w:lang w:val="en-US" w:eastAsia="zh-CN"/>
          <w14:textFill>
            <w14:solidFill>
              <w14:schemeClr w14:val="tx1"/>
            </w14:solidFill>
          </w14:textFill>
        </w:rPr>
        <w:t>20.55m/d</w:t>
      </w:r>
      <w:r>
        <w:rPr>
          <w:rFonts w:hint="eastAsia" w:ascii="Times New Roman" w:hAnsi="Times New Roman" w:eastAsia="宋体"/>
          <w:snapToGrid w:val="0"/>
          <w:color w:val="000000" w:themeColor="text1"/>
          <w:lang w:val="en-US" w:eastAsia="zh-CN"/>
          <w14:textFill>
            <w14:solidFill>
              <w14:schemeClr w14:val="tx1"/>
            </w14:solidFill>
          </w14:textFill>
        </w:rPr>
        <w:t xml:space="preserve">；水力梯度 </w:t>
      </w:r>
      <w:r>
        <w:rPr>
          <w:rFonts w:hint="default" w:ascii="Times New Roman" w:hAnsi="Times New Roman" w:eastAsia="宋体"/>
          <w:snapToGrid w:val="0"/>
          <w:color w:val="000000" w:themeColor="text1"/>
          <w:lang w:val="en-US" w:eastAsia="zh-CN"/>
          <w14:textFill>
            <w14:solidFill>
              <w14:schemeClr w14:val="tx1"/>
            </w14:solidFill>
          </w14:textFill>
        </w:rPr>
        <w:t xml:space="preserve">I </w:t>
      </w:r>
      <w:r>
        <w:rPr>
          <w:rFonts w:hint="eastAsia" w:ascii="Times New Roman" w:hAnsi="Times New Roman" w:eastAsia="宋体"/>
          <w:snapToGrid w:val="0"/>
          <w:color w:val="000000" w:themeColor="text1"/>
          <w:lang w:val="en-US" w:eastAsia="zh-CN"/>
          <w14:textFill>
            <w14:solidFill>
              <w14:schemeClr w14:val="tx1"/>
            </w14:solidFill>
          </w14:textFill>
        </w:rPr>
        <w:t xml:space="preserve">由 </w:t>
      </w:r>
      <w:r>
        <w:rPr>
          <w:rFonts w:hint="default" w:ascii="Times New Roman" w:hAnsi="Times New Roman" w:eastAsia="宋体"/>
          <w:snapToGrid w:val="0"/>
          <w:color w:val="000000" w:themeColor="text1"/>
          <w:lang w:val="en-US" w:eastAsia="zh-CN"/>
          <w14:textFill>
            <w14:solidFill>
              <w14:schemeClr w14:val="tx1"/>
            </w14:solidFill>
          </w14:textFill>
        </w:rPr>
        <w:t xml:space="preserve">1:5 </w:t>
      </w:r>
      <w:r>
        <w:rPr>
          <w:rFonts w:hint="eastAsia" w:ascii="Times New Roman" w:hAnsi="Times New Roman" w:eastAsia="宋体"/>
          <w:snapToGrid w:val="0"/>
          <w:color w:val="000000" w:themeColor="text1"/>
          <w:lang w:val="en-US" w:eastAsia="zh-CN"/>
          <w14:textFill>
            <w14:solidFill>
              <w14:schemeClr w14:val="tx1"/>
            </w14:solidFill>
          </w14:textFill>
        </w:rPr>
        <w:t xml:space="preserve">万等水位线图上量取，为 </w:t>
      </w:r>
      <w:r>
        <w:rPr>
          <w:rFonts w:hint="default" w:ascii="Times New Roman" w:hAnsi="Times New Roman" w:eastAsia="宋体"/>
          <w:snapToGrid w:val="0"/>
          <w:color w:val="000000" w:themeColor="text1"/>
          <w:lang w:val="en-US" w:eastAsia="zh-CN"/>
          <w14:textFill>
            <w14:solidFill>
              <w14:schemeClr w14:val="tx1"/>
            </w14:solidFill>
          </w14:textFill>
        </w:rPr>
        <w:t>0.001</w:t>
      </w:r>
      <w:r>
        <w:rPr>
          <w:rFonts w:hint="eastAsia" w:ascii="Times New Roman" w:hAnsi="Times New Roman" w:eastAsia="宋体"/>
          <w:snapToGrid w:val="0"/>
          <w:color w:val="000000" w:themeColor="text1"/>
          <w:lang w:val="en-US" w:eastAsia="zh-CN"/>
          <w14:textFill>
            <w14:solidFill>
              <w14:schemeClr w14:val="tx1"/>
            </w14:solidFill>
          </w14:textFill>
        </w:rPr>
        <w:t xml:space="preserve">； </w:t>
      </w:r>
    </w:p>
    <w:p w14:paraId="5C0D4D2E">
      <w:pPr>
        <w:adjustRightInd/>
        <w:snapToGrid/>
        <w:spacing w:line="500" w:lineRule="exact"/>
        <w:rPr>
          <w:rFonts w:hint="eastAsia"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 xml:space="preserve">有效孔隙度 </w:t>
      </w:r>
      <w:r>
        <w:rPr>
          <w:rFonts w:hint="default" w:ascii="Times New Roman" w:hAnsi="Times New Roman" w:eastAsia="宋体"/>
          <w:snapToGrid w:val="0"/>
          <w:color w:val="000000" w:themeColor="text1"/>
          <w:lang w:val="en-US" w:eastAsia="zh-CN"/>
          <w14:textFill>
            <w14:solidFill>
              <w14:schemeClr w14:val="tx1"/>
            </w14:solidFill>
          </w14:textFill>
        </w:rPr>
        <w:t>ne</w:t>
      </w:r>
      <w:r>
        <w:rPr>
          <w:rFonts w:hint="eastAsia" w:ascii="Times New Roman" w:hAnsi="Times New Roman" w:eastAsia="宋体"/>
          <w:snapToGrid w:val="0"/>
          <w:color w:val="000000" w:themeColor="text1"/>
          <w:lang w:val="en-US" w:eastAsia="zh-CN"/>
          <w14:textFill>
            <w14:solidFill>
              <w14:schemeClr w14:val="tx1"/>
            </w14:solidFill>
          </w14:textFill>
        </w:rPr>
        <w:t xml:space="preserve">根据《黑龙江省佳木斯市城市供水水文地质勘探报告》取 </w:t>
      </w:r>
      <w:r>
        <w:rPr>
          <w:rFonts w:hint="default" w:ascii="Times New Roman" w:hAnsi="Times New Roman" w:eastAsia="宋体"/>
          <w:snapToGrid w:val="0"/>
          <w:color w:val="000000" w:themeColor="text1"/>
          <w:lang w:val="en-US" w:eastAsia="zh-CN"/>
          <w14:textFill>
            <w14:solidFill>
              <w14:schemeClr w14:val="tx1"/>
            </w14:solidFill>
          </w14:textFill>
        </w:rPr>
        <w:t>0.27</w:t>
      </w:r>
      <w:r>
        <w:rPr>
          <w:rFonts w:hint="eastAsia" w:ascii="Times New Roman" w:hAnsi="Times New Roman" w:eastAsia="宋体"/>
          <w:snapToGrid w:val="0"/>
          <w:color w:val="000000" w:themeColor="text1"/>
          <w:lang w:val="en-US" w:eastAsia="zh-CN"/>
          <w14:textFill>
            <w14:solidFill>
              <w14:schemeClr w14:val="tx1"/>
            </w14:solidFill>
          </w14:textFill>
        </w:rPr>
        <w:t xml:space="preserve">。 </w:t>
      </w:r>
    </w:p>
    <w:p w14:paraId="52982B22">
      <w:pPr>
        <w:adjustRightInd/>
        <w:snapToGrid/>
        <w:spacing w:line="500" w:lineRule="exact"/>
        <w:rPr>
          <w:rFonts w:hint="default" w:ascii="Times New Roman" w:hAnsi="Times New Roman" w:eastAsia="宋体"/>
          <w:snapToGrid w:val="0"/>
          <w:color w:val="000000" w:themeColor="text1"/>
          <w:lang w:val="en-US" w:eastAsia="zh-CN"/>
          <w14:textFill>
            <w14:solidFill>
              <w14:schemeClr w14:val="tx1"/>
            </w14:solidFill>
          </w14:textFill>
        </w:rPr>
      </w:pPr>
      <w:r>
        <w:rPr>
          <w:rFonts w:hint="default" w:ascii="Times New Roman" w:hAnsi="Times New Roman" w:eastAsia="宋体"/>
          <w:snapToGrid w:val="0"/>
          <w:color w:val="000000" w:themeColor="text1"/>
          <w:lang w:val="en-US" w:eastAsia="zh-CN"/>
          <w14:textFill>
            <w14:solidFill>
              <w14:schemeClr w14:val="tx1"/>
            </w14:solidFill>
          </w14:textFill>
        </w:rPr>
        <w:t>L=a×K×I×T/ne=2×20.55×0.001×5000/0.27=761.11m</w:t>
      </w:r>
    </w:p>
    <w:p w14:paraId="58C4052C">
      <w:pPr>
        <w:spacing w:line="500" w:lineRule="exact"/>
        <w:ind w:firstLine="472"/>
        <w:rPr>
          <w:rFonts w:ascii="Times New Roman" w:hAnsi="Times New Roman" w:eastAsia="宋体" w:cs="Times New Roman"/>
          <w:spacing w:val="-2"/>
          <w:sz w:val="24"/>
          <w:szCs w:val="24"/>
        </w:rPr>
      </w:pPr>
      <w:r>
        <w:rPr>
          <w:rFonts w:ascii="Times New Roman" w:hAnsi="Times New Roman" w:eastAsia="宋体" w:cs="Times New Roman"/>
          <w:spacing w:val="-2"/>
          <w:sz w:val="24"/>
          <w:szCs w:val="24"/>
        </w:rPr>
        <w:t>由于公式法确定评价范围较小，本次评价根据地下水流向，划定项目区上游1km、</w:t>
      </w:r>
      <w:r>
        <w:rPr>
          <w:color w:val="000000" w:themeColor="text1"/>
          <w14:textFill>
            <w14:solidFill>
              <w14:schemeClr w14:val="tx1"/>
            </w14:solidFill>
          </w14:textFill>
        </w:rPr>
        <w:t>下游</w:t>
      </w:r>
      <w:r>
        <w:rPr>
          <w:rFonts w:hint="eastAsia"/>
          <w:color w:val="000000" w:themeColor="text1"/>
          <w:lang w:val="en-US" w:eastAsia="zh-CN"/>
          <w14:textFill>
            <w14:solidFill>
              <w14:schemeClr w14:val="tx1"/>
            </w14:solidFill>
          </w14:textFill>
        </w:rPr>
        <w:t>至八虎力河（</w:t>
      </w:r>
      <w:r>
        <w:rPr>
          <w:rFonts w:hint="eastAsia"/>
          <w:color w:val="000000" w:themeColor="text1"/>
          <w14:textFill>
            <w14:solidFill>
              <w14:schemeClr w14:val="tx1"/>
            </w14:solidFill>
          </w14:textFill>
        </w:rPr>
        <w:t>不跨河沟，不超过水文地质单元）</w:t>
      </w:r>
      <w:r>
        <w:rPr>
          <w:rFonts w:ascii="Times New Roman" w:hAnsi="Times New Roman" w:eastAsia="宋体" w:cs="Times New Roman"/>
          <w:spacing w:val="-2"/>
          <w:sz w:val="24"/>
          <w:szCs w:val="24"/>
        </w:rPr>
        <w:t>、左侧1km、右侧1km，面积为</w:t>
      </w:r>
      <w:r>
        <w:rPr>
          <w:rFonts w:hint="eastAsia" w:ascii="Times New Roman" w:hAnsi="Times New Roman" w:eastAsia="宋体" w:cs="Times New Roman"/>
          <w:spacing w:val="-2"/>
          <w:sz w:val="24"/>
          <w:szCs w:val="24"/>
          <w:lang w:val="en-US" w:eastAsia="zh-CN"/>
        </w:rPr>
        <w:t>4.231</w:t>
      </w:r>
      <w:r>
        <w:rPr>
          <w:rFonts w:ascii="Times New Roman" w:hAnsi="Times New Roman" w:eastAsia="宋体" w:cs="Times New Roman"/>
          <w:spacing w:val="-2"/>
          <w:sz w:val="24"/>
          <w:szCs w:val="24"/>
        </w:rPr>
        <w:t>km</w:t>
      </w:r>
      <w:r>
        <w:rPr>
          <w:rFonts w:ascii="Times New Roman" w:hAnsi="Times New Roman" w:eastAsia="宋体" w:cs="Times New Roman"/>
          <w:spacing w:val="-2"/>
          <w:sz w:val="24"/>
          <w:szCs w:val="24"/>
          <w:vertAlign w:val="superscript"/>
        </w:rPr>
        <w:t>2</w:t>
      </w:r>
      <w:r>
        <w:rPr>
          <w:rFonts w:ascii="Times New Roman" w:hAnsi="Times New Roman" w:eastAsia="宋体" w:cs="Times New Roman"/>
          <w:spacing w:val="-2"/>
          <w:sz w:val="24"/>
          <w:szCs w:val="24"/>
        </w:rPr>
        <w:t>。</w:t>
      </w:r>
    </w:p>
    <w:p w14:paraId="59224580">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.6.1.4</w:t>
      </w:r>
      <w:r>
        <w:rPr>
          <w:rFonts w:hint="eastAsia"/>
          <w:color w:val="000000" w:themeColor="text1"/>
          <w14:textFill>
            <w14:solidFill>
              <w14:schemeClr w14:val="tx1"/>
            </w14:solidFill>
          </w14:textFill>
        </w:rPr>
        <w:t>声环境</w:t>
      </w:r>
    </w:p>
    <w:p w14:paraId="1D0AD0F7">
      <w:pPr>
        <w:pStyle w:val="258"/>
        <w:autoSpaceDE w:val="0"/>
        <w:autoSpaceDN w:val="0"/>
        <w:spacing w:line="500" w:lineRule="exact"/>
        <w:ind w:firstLine="480" w:firstLineChars="200"/>
        <w:jc w:val="both"/>
        <w:textAlignment w:val="bottom"/>
        <w:rPr>
          <w:rFonts w:ascii="Times New Roman"/>
          <w:color w:val="auto"/>
          <w:szCs w:val="24"/>
          <w:highlight w:val="none"/>
        </w:rPr>
      </w:pPr>
      <w:r>
        <w:rPr>
          <w:rFonts w:hint="eastAsia" w:ascii="Times New Roman"/>
          <w:color w:val="auto"/>
          <w:szCs w:val="24"/>
          <w:highlight w:val="none"/>
        </w:rPr>
        <w:t>根据《环境影响评价技术导则 声环境》（HJ2.4-2021）中6.1评价范围的确定，确定本项目声环境影响评价范围为以本项目边界向外200m的区域。</w:t>
      </w:r>
    </w:p>
    <w:p w14:paraId="7CF956ED">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.6.1.5</w:t>
      </w:r>
      <w:r>
        <w:rPr>
          <w:rFonts w:hint="eastAsia"/>
          <w:color w:val="000000" w:themeColor="text1"/>
          <w14:textFill>
            <w14:solidFill>
              <w14:schemeClr w14:val="tx1"/>
            </w14:solidFill>
          </w14:textFill>
        </w:rPr>
        <w:t>生态环境</w:t>
      </w:r>
    </w:p>
    <w:p w14:paraId="0488BFC2">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根据评价工作等级要求，考虑本项目所在区域的地形、地理特征，评价范围为场址内部区域。</w:t>
      </w:r>
    </w:p>
    <w:p w14:paraId="76EC9D58">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.6.1.6</w:t>
      </w:r>
      <w:r>
        <w:rPr>
          <w:rFonts w:hint="eastAsia"/>
          <w:color w:val="000000" w:themeColor="text1"/>
          <w:kern w:val="0"/>
          <w:szCs w:val="24"/>
          <w14:textFill>
            <w14:solidFill>
              <w14:schemeClr w14:val="tx1"/>
            </w14:solidFill>
          </w14:textFill>
        </w:rPr>
        <w:t>环境风险</w:t>
      </w:r>
    </w:p>
    <w:p w14:paraId="06C4A3D8">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本项目环境风险评价主要为提出风险防范措施，评价范围不予确定。</w:t>
      </w:r>
    </w:p>
    <w:p w14:paraId="0D311A1F">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综上所述，本项目评价</w:t>
      </w:r>
      <w:r>
        <w:rPr>
          <w:snapToGrid w:val="0"/>
          <w:color w:val="000000" w:themeColor="text1"/>
          <w14:textFill>
            <w14:solidFill>
              <w14:schemeClr w14:val="tx1"/>
            </w14:solidFill>
          </w14:textFill>
        </w:rPr>
        <w:t>范围图见附图3</w:t>
      </w:r>
      <w:r>
        <w:rPr>
          <w:rFonts w:hint="eastAsia"/>
          <w:snapToGrid w:val="0"/>
          <w:color w:val="000000" w:themeColor="text1"/>
          <w14:textFill>
            <w14:solidFill>
              <w14:schemeClr w14:val="tx1"/>
            </w14:solidFill>
          </w14:textFill>
        </w:rPr>
        <w:t>。</w:t>
      </w:r>
    </w:p>
    <w:p w14:paraId="2FC3C3EC">
      <w:pPr>
        <w:snapToGrid w:val="0"/>
        <w:spacing w:line="500" w:lineRule="exact"/>
        <w:jc w:val="center"/>
        <w:rPr>
          <w:rFonts w:hint="eastAsia" w:ascii="Times New Roman" w:cs="黑体"/>
          <w:b/>
          <w:color w:val="auto"/>
          <w:szCs w:val="28"/>
          <w:highlight w:val="none"/>
          <w:lang w:val="zh-CN" w:eastAsia="zh-CN" w:bidi="ar"/>
        </w:rPr>
      </w:pPr>
      <w:r>
        <w:rPr>
          <w:rFonts w:hint="eastAsia" w:ascii="Times New Roman" w:cs="黑体"/>
          <w:b/>
          <w:color w:val="auto"/>
          <w:szCs w:val="28"/>
          <w:highlight w:val="none"/>
          <w:lang w:val="zh-CN" w:eastAsia="zh-CN" w:bidi="ar"/>
        </w:rPr>
        <w:t>表2-6-1评价范围一览表</w:t>
      </w:r>
    </w:p>
    <w:tbl>
      <w:tblPr>
        <w:tblStyle w:val="387"/>
        <w:tblW w:w="829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6"/>
        <w:gridCol w:w="708"/>
        <w:gridCol w:w="1276"/>
        <w:gridCol w:w="1559"/>
        <w:gridCol w:w="4326"/>
      </w:tblGrid>
      <w:tr w14:paraId="78B24F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2410" w:type="dxa"/>
            <w:gridSpan w:val="3"/>
            <w:vAlign w:val="center"/>
          </w:tcPr>
          <w:p w14:paraId="043FF21B">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项目</w:t>
            </w:r>
          </w:p>
        </w:tc>
        <w:tc>
          <w:tcPr>
            <w:tcW w:w="1559" w:type="dxa"/>
            <w:vAlign w:val="center"/>
          </w:tcPr>
          <w:p w14:paraId="2437A03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评价区域</w:t>
            </w:r>
          </w:p>
        </w:tc>
        <w:tc>
          <w:tcPr>
            <w:tcW w:w="4326" w:type="dxa"/>
            <w:vAlign w:val="center"/>
          </w:tcPr>
          <w:p w14:paraId="050A56D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评价范围</w:t>
            </w:r>
          </w:p>
        </w:tc>
      </w:tr>
      <w:tr w14:paraId="4C6895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1134" w:type="dxa"/>
            <w:gridSpan w:val="2"/>
            <w:vMerge w:val="restart"/>
            <w:vAlign w:val="center"/>
          </w:tcPr>
          <w:p w14:paraId="6B9DA97D">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空气环境</w:t>
            </w:r>
          </w:p>
        </w:tc>
        <w:tc>
          <w:tcPr>
            <w:tcW w:w="1276" w:type="dxa"/>
            <w:vAlign w:val="center"/>
          </w:tcPr>
          <w:p w14:paraId="1A7C16B9">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现状调查</w:t>
            </w:r>
          </w:p>
        </w:tc>
        <w:tc>
          <w:tcPr>
            <w:tcW w:w="1559" w:type="dxa"/>
            <w:vMerge w:val="restart"/>
            <w:vAlign w:val="center"/>
          </w:tcPr>
          <w:p w14:paraId="258089DB">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项目所在区域</w:t>
            </w:r>
          </w:p>
        </w:tc>
        <w:tc>
          <w:tcPr>
            <w:tcW w:w="4326" w:type="dxa"/>
            <w:vMerge w:val="restart"/>
            <w:vAlign w:val="center"/>
          </w:tcPr>
          <w:p w14:paraId="4F355772">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以场址为中心区域，边长</w:t>
            </w:r>
            <w:r>
              <w:rPr>
                <w:snapToGrid w:val="0"/>
                <w:color w:val="000000" w:themeColor="text1"/>
                <w:kern w:val="0"/>
                <w14:textFill>
                  <w14:solidFill>
                    <w14:schemeClr w14:val="tx1"/>
                  </w14:solidFill>
                </w14:textFill>
              </w:rPr>
              <w:t>为</w:t>
            </w:r>
            <w:r>
              <w:rPr>
                <w:rFonts w:hint="eastAsia"/>
                <w:snapToGrid w:val="0"/>
                <w:color w:val="000000" w:themeColor="text1"/>
                <w:kern w:val="0"/>
                <w14:textFill>
                  <w14:solidFill>
                    <w14:schemeClr w14:val="tx1"/>
                  </w14:solidFill>
                </w14:textFill>
              </w:rPr>
              <w:t>5</w:t>
            </w:r>
            <w:r>
              <w:rPr>
                <w:snapToGrid w:val="0"/>
                <w:color w:val="000000" w:themeColor="text1"/>
                <w:kern w:val="0"/>
                <w14:textFill>
                  <w14:solidFill>
                    <w14:schemeClr w14:val="tx1"/>
                  </w14:solidFill>
                </w14:textFill>
              </w:rPr>
              <w:t>km</w:t>
            </w:r>
            <w:r>
              <w:rPr>
                <w:rFonts w:hint="eastAsia"/>
                <w:snapToGrid w:val="0"/>
                <w:color w:val="000000" w:themeColor="text1"/>
                <w:kern w:val="0"/>
                <w14:textFill>
                  <w14:solidFill>
                    <w14:schemeClr w14:val="tx1"/>
                  </w14:solidFill>
                </w14:textFill>
              </w:rPr>
              <w:t>的矩形区域</w:t>
            </w:r>
          </w:p>
        </w:tc>
      </w:tr>
      <w:tr w14:paraId="665DEE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 w:hRule="atLeast"/>
        </w:trPr>
        <w:tc>
          <w:tcPr>
            <w:tcW w:w="1134" w:type="dxa"/>
            <w:gridSpan w:val="2"/>
            <w:vMerge w:val="continue"/>
            <w:vAlign w:val="center"/>
          </w:tcPr>
          <w:p w14:paraId="63475D5E">
            <w:pPr>
              <w:pStyle w:val="143"/>
              <w:rPr>
                <w:rFonts w:eastAsia="Times New Roman"/>
                <w:snapToGrid w:val="0"/>
                <w:color w:val="000000" w:themeColor="text1"/>
                <w:kern w:val="0"/>
                <w14:textFill>
                  <w14:solidFill>
                    <w14:schemeClr w14:val="tx1"/>
                  </w14:solidFill>
                </w14:textFill>
              </w:rPr>
            </w:pPr>
          </w:p>
        </w:tc>
        <w:tc>
          <w:tcPr>
            <w:tcW w:w="1276" w:type="dxa"/>
            <w:vAlign w:val="center"/>
          </w:tcPr>
          <w:p w14:paraId="43D5CA12">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影响分析</w:t>
            </w:r>
          </w:p>
        </w:tc>
        <w:tc>
          <w:tcPr>
            <w:tcW w:w="1559" w:type="dxa"/>
            <w:vMerge w:val="continue"/>
            <w:vAlign w:val="center"/>
          </w:tcPr>
          <w:p w14:paraId="7BB5F618">
            <w:pPr>
              <w:pStyle w:val="143"/>
              <w:rPr>
                <w:rFonts w:eastAsia="Times New Roman"/>
                <w:snapToGrid w:val="0"/>
                <w:color w:val="000000" w:themeColor="text1"/>
                <w:kern w:val="0"/>
                <w14:textFill>
                  <w14:solidFill>
                    <w14:schemeClr w14:val="tx1"/>
                  </w14:solidFill>
                </w14:textFill>
              </w:rPr>
            </w:pPr>
          </w:p>
        </w:tc>
        <w:tc>
          <w:tcPr>
            <w:tcW w:w="4326" w:type="dxa"/>
            <w:vMerge w:val="continue"/>
            <w:vAlign w:val="center"/>
          </w:tcPr>
          <w:p w14:paraId="0EAEE398">
            <w:pPr>
              <w:pStyle w:val="143"/>
              <w:rPr>
                <w:rFonts w:eastAsia="Times New Roman"/>
                <w:snapToGrid w:val="0"/>
                <w:color w:val="000000" w:themeColor="text1"/>
                <w:kern w:val="0"/>
                <w14:textFill>
                  <w14:solidFill>
                    <w14:schemeClr w14:val="tx1"/>
                  </w14:solidFill>
                </w14:textFill>
              </w:rPr>
            </w:pPr>
          </w:p>
        </w:tc>
      </w:tr>
      <w:tr w14:paraId="59A18E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1134" w:type="dxa"/>
            <w:gridSpan w:val="2"/>
            <w:vMerge w:val="restart"/>
            <w:vAlign w:val="center"/>
          </w:tcPr>
          <w:p w14:paraId="3CA0D040">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声环境</w:t>
            </w:r>
          </w:p>
        </w:tc>
        <w:tc>
          <w:tcPr>
            <w:tcW w:w="1276" w:type="dxa"/>
            <w:vAlign w:val="center"/>
          </w:tcPr>
          <w:p w14:paraId="006203CA">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现状调查</w:t>
            </w:r>
          </w:p>
        </w:tc>
        <w:tc>
          <w:tcPr>
            <w:tcW w:w="1559" w:type="dxa"/>
            <w:vMerge w:val="restart"/>
            <w:vAlign w:val="center"/>
          </w:tcPr>
          <w:p w14:paraId="4B381C5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项目区及周边</w:t>
            </w:r>
          </w:p>
        </w:tc>
        <w:tc>
          <w:tcPr>
            <w:tcW w:w="4326" w:type="dxa"/>
            <w:vMerge w:val="restart"/>
            <w:vAlign w:val="center"/>
          </w:tcPr>
          <w:p w14:paraId="42A546F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厂界200m范围</w:t>
            </w:r>
          </w:p>
        </w:tc>
      </w:tr>
      <w:tr w14:paraId="405A5A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 w:hRule="atLeast"/>
        </w:trPr>
        <w:tc>
          <w:tcPr>
            <w:tcW w:w="1134" w:type="dxa"/>
            <w:gridSpan w:val="2"/>
            <w:vMerge w:val="continue"/>
            <w:vAlign w:val="center"/>
          </w:tcPr>
          <w:p w14:paraId="25EDA3EE">
            <w:pPr>
              <w:pStyle w:val="143"/>
              <w:rPr>
                <w:rFonts w:eastAsia="Times New Roman"/>
                <w:snapToGrid w:val="0"/>
                <w:color w:val="000000" w:themeColor="text1"/>
                <w:kern w:val="0"/>
                <w14:textFill>
                  <w14:solidFill>
                    <w14:schemeClr w14:val="tx1"/>
                  </w14:solidFill>
                </w14:textFill>
              </w:rPr>
            </w:pPr>
          </w:p>
        </w:tc>
        <w:tc>
          <w:tcPr>
            <w:tcW w:w="1276" w:type="dxa"/>
            <w:vAlign w:val="center"/>
          </w:tcPr>
          <w:p w14:paraId="28B6AEF0">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影响分析</w:t>
            </w:r>
          </w:p>
        </w:tc>
        <w:tc>
          <w:tcPr>
            <w:tcW w:w="1559" w:type="dxa"/>
            <w:vMerge w:val="continue"/>
            <w:vAlign w:val="center"/>
          </w:tcPr>
          <w:p w14:paraId="0361FFFD">
            <w:pPr>
              <w:pStyle w:val="143"/>
              <w:rPr>
                <w:rFonts w:eastAsia="Times New Roman"/>
                <w:snapToGrid w:val="0"/>
                <w:color w:val="000000" w:themeColor="text1"/>
                <w:kern w:val="0"/>
                <w14:textFill>
                  <w14:solidFill>
                    <w14:schemeClr w14:val="tx1"/>
                  </w14:solidFill>
                </w14:textFill>
              </w:rPr>
            </w:pPr>
          </w:p>
        </w:tc>
        <w:tc>
          <w:tcPr>
            <w:tcW w:w="4326" w:type="dxa"/>
            <w:vMerge w:val="continue"/>
            <w:vAlign w:val="center"/>
          </w:tcPr>
          <w:p w14:paraId="61A6355F">
            <w:pPr>
              <w:pStyle w:val="143"/>
              <w:rPr>
                <w:rFonts w:eastAsia="Times New Roman"/>
                <w:snapToGrid w:val="0"/>
                <w:color w:val="000000" w:themeColor="text1"/>
                <w:kern w:val="0"/>
                <w14:textFill>
                  <w14:solidFill>
                    <w14:schemeClr w14:val="tx1"/>
                  </w14:solidFill>
                </w14:textFill>
              </w:rPr>
            </w:pPr>
          </w:p>
        </w:tc>
      </w:tr>
      <w:tr w14:paraId="60D32E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26" w:type="dxa"/>
            <w:vMerge w:val="restart"/>
            <w:vAlign w:val="center"/>
          </w:tcPr>
          <w:p w14:paraId="5DF3B349">
            <w:pPr>
              <w:pStyle w:val="143"/>
              <w:rPr>
                <w:rFonts w:eastAsia="Times New Roman"/>
                <w:snapToGrid w:val="0"/>
                <w:color w:val="000000" w:themeColor="text1"/>
                <w:kern w:val="0"/>
                <w14:textFill>
                  <w14:solidFill>
                    <w14:schemeClr w14:val="tx1"/>
                  </w14:solidFill>
                </w14:textFill>
              </w:rPr>
            </w:pPr>
            <w:r>
              <w:rPr>
                <w:rFonts w:hint="eastAsia" w:cs="宋体"/>
                <w:snapToGrid w:val="0"/>
                <w:color w:val="000000" w:themeColor="text1"/>
                <w:kern w:val="0"/>
                <w14:textFill>
                  <w14:solidFill>
                    <w14:schemeClr w14:val="tx1"/>
                  </w14:solidFill>
                </w14:textFill>
              </w:rPr>
              <w:t>水环境</w:t>
            </w:r>
          </w:p>
        </w:tc>
        <w:tc>
          <w:tcPr>
            <w:tcW w:w="708" w:type="dxa"/>
            <w:vMerge w:val="restart"/>
            <w:vAlign w:val="center"/>
          </w:tcPr>
          <w:p w14:paraId="1FBC24AB">
            <w:pPr>
              <w:pStyle w:val="143"/>
              <w:rPr>
                <w:rFonts w:eastAsia="Times New Roman"/>
                <w:snapToGrid w:val="0"/>
                <w:color w:val="000000" w:themeColor="text1"/>
                <w:kern w:val="0"/>
                <w14:textFill>
                  <w14:solidFill>
                    <w14:schemeClr w14:val="tx1"/>
                  </w14:solidFill>
                </w14:textFill>
              </w:rPr>
            </w:pPr>
            <w:r>
              <w:rPr>
                <w:rFonts w:hint="eastAsia" w:cs="宋体"/>
                <w:snapToGrid w:val="0"/>
                <w:color w:val="000000" w:themeColor="text1"/>
                <w:kern w:val="0"/>
                <w14:textFill>
                  <w14:solidFill>
                    <w14:schemeClr w14:val="tx1"/>
                  </w14:solidFill>
                </w14:textFill>
              </w:rPr>
              <w:t>地表水</w:t>
            </w:r>
          </w:p>
        </w:tc>
        <w:tc>
          <w:tcPr>
            <w:tcW w:w="1276" w:type="dxa"/>
            <w:vAlign w:val="center"/>
          </w:tcPr>
          <w:p w14:paraId="0FD77B4E">
            <w:pPr>
              <w:pStyle w:val="143"/>
              <w:rPr>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现状调查</w:t>
            </w:r>
          </w:p>
        </w:tc>
        <w:tc>
          <w:tcPr>
            <w:tcW w:w="1559" w:type="dxa"/>
            <w:vMerge w:val="restart"/>
            <w:vAlign w:val="center"/>
          </w:tcPr>
          <w:p w14:paraId="58A2283D">
            <w:pPr>
              <w:pStyle w:val="143"/>
              <w:rPr>
                <w:rFonts w:eastAsia="Times New Roman"/>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项目所在区域</w:t>
            </w:r>
          </w:p>
        </w:tc>
        <w:tc>
          <w:tcPr>
            <w:tcW w:w="4326" w:type="dxa"/>
            <w:vMerge w:val="restart"/>
            <w:vAlign w:val="center"/>
          </w:tcPr>
          <w:p w14:paraId="5FEEA23F">
            <w:pPr>
              <w:pStyle w:val="143"/>
              <w:rPr>
                <w:rFonts w:eastAsia="Times New Roman"/>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项目区</w:t>
            </w:r>
            <w:r>
              <w:rPr>
                <w:rFonts w:hint="eastAsia"/>
                <w:snapToGrid w:val="0"/>
                <w:color w:val="000000" w:themeColor="text1"/>
                <w:kern w:val="0"/>
                <w14:textFill>
                  <w14:solidFill>
                    <w14:schemeClr w14:val="tx1"/>
                  </w14:solidFill>
                </w14:textFill>
              </w:rPr>
              <w:t>至</w:t>
            </w:r>
            <w:r>
              <w:rPr>
                <w:rFonts w:hint="default" w:eastAsia="宋体"/>
                <w:snapToGrid w:val="0"/>
                <w:lang w:val="en-US" w:eastAsia="zh-CN"/>
              </w:rPr>
              <w:t>八虎力河</w:t>
            </w:r>
          </w:p>
        </w:tc>
      </w:tr>
      <w:tr w14:paraId="10CB70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26" w:type="dxa"/>
            <w:vMerge w:val="continue"/>
            <w:vAlign w:val="center"/>
          </w:tcPr>
          <w:p w14:paraId="3226156B">
            <w:pPr>
              <w:pStyle w:val="143"/>
              <w:rPr>
                <w:rFonts w:eastAsia="Times New Roman"/>
                <w:snapToGrid w:val="0"/>
                <w:color w:val="000000" w:themeColor="text1"/>
                <w:kern w:val="0"/>
                <w14:textFill>
                  <w14:solidFill>
                    <w14:schemeClr w14:val="tx1"/>
                  </w14:solidFill>
                </w14:textFill>
              </w:rPr>
            </w:pPr>
          </w:p>
        </w:tc>
        <w:tc>
          <w:tcPr>
            <w:tcW w:w="708" w:type="dxa"/>
            <w:vMerge w:val="continue"/>
            <w:vAlign w:val="center"/>
          </w:tcPr>
          <w:p w14:paraId="7A106EF4">
            <w:pPr>
              <w:pStyle w:val="143"/>
              <w:rPr>
                <w:rFonts w:cs="宋体"/>
                <w:snapToGrid w:val="0"/>
                <w:color w:val="000000" w:themeColor="text1"/>
                <w:kern w:val="0"/>
                <w14:textFill>
                  <w14:solidFill>
                    <w14:schemeClr w14:val="tx1"/>
                  </w14:solidFill>
                </w14:textFill>
              </w:rPr>
            </w:pPr>
          </w:p>
        </w:tc>
        <w:tc>
          <w:tcPr>
            <w:tcW w:w="1276" w:type="dxa"/>
            <w:vAlign w:val="center"/>
          </w:tcPr>
          <w:p w14:paraId="637D729C">
            <w:pPr>
              <w:pStyle w:val="143"/>
              <w:rPr>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影响分析</w:t>
            </w:r>
          </w:p>
        </w:tc>
        <w:tc>
          <w:tcPr>
            <w:tcW w:w="1559" w:type="dxa"/>
            <w:vMerge w:val="continue"/>
            <w:vAlign w:val="center"/>
          </w:tcPr>
          <w:p w14:paraId="5EA2C122">
            <w:pPr>
              <w:pStyle w:val="143"/>
              <w:rPr>
                <w:rFonts w:eastAsia="Times New Roman"/>
                <w:snapToGrid w:val="0"/>
                <w:color w:val="000000" w:themeColor="text1"/>
                <w:kern w:val="0"/>
                <w14:textFill>
                  <w14:solidFill>
                    <w14:schemeClr w14:val="tx1"/>
                  </w14:solidFill>
                </w14:textFill>
              </w:rPr>
            </w:pPr>
          </w:p>
        </w:tc>
        <w:tc>
          <w:tcPr>
            <w:tcW w:w="4326" w:type="dxa"/>
            <w:vMerge w:val="continue"/>
            <w:vAlign w:val="center"/>
          </w:tcPr>
          <w:p w14:paraId="24D815DC">
            <w:pPr>
              <w:pStyle w:val="143"/>
              <w:rPr>
                <w:rFonts w:eastAsia="Times New Roman"/>
                <w:snapToGrid w:val="0"/>
                <w:color w:val="000000" w:themeColor="text1"/>
                <w:kern w:val="0"/>
                <w14:textFill>
                  <w14:solidFill>
                    <w14:schemeClr w14:val="tx1"/>
                  </w14:solidFill>
                </w14:textFill>
              </w:rPr>
            </w:pPr>
          </w:p>
        </w:tc>
      </w:tr>
      <w:tr w14:paraId="73E46B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426" w:type="dxa"/>
            <w:vMerge w:val="continue"/>
            <w:vAlign w:val="center"/>
          </w:tcPr>
          <w:p w14:paraId="23A8F307">
            <w:pPr>
              <w:pStyle w:val="143"/>
              <w:rPr>
                <w:snapToGrid w:val="0"/>
                <w:color w:val="000000" w:themeColor="text1"/>
                <w:kern w:val="0"/>
                <w14:textFill>
                  <w14:solidFill>
                    <w14:schemeClr w14:val="tx1"/>
                  </w14:solidFill>
                </w14:textFill>
              </w:rPr>
            </w:pPr>
          </w:p>
        </w:tc>
        <w:tc>
          <w:tcPr>
            <w:tcW w:w="708" w:type="dxa"/>
            <w:vMerge w:val="restart"/>
            <w:vAlign w:val="center"/>
          </w:tcPr>
          <w:p w14:paraId="655463AD">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地下水</w:t>
            </w:r>
            <w:r>
              <w:rPr>
                <w:rFonts w:hint="eastAsia"/>
                <w:snapToGrid w:val="0"/>
                <w:color w:val="000000" w:themeColor="text1"/>
                <w:kern w:val="0"/>
                <w:lang w:eastAsia="zh-CN"/>
                <w14:textFill>
                  <w14:solidFill>
                    <w14:schemeClr w14:val="tx1"/>
                  </w14:solidFill>
                </w14:textFill>
              </w:rPr>
              <w:t>/环境风险</w:t>
            </w:r>
          </w:p>
        </w:tc>
        <w:tc>
          <w:tcPr>
            <w:tcW w:w="1276" w:type="dxa"/>
            <w:vAlign w:val="center"/>
          </w:tcPr>
          <w:p w14:paraId="7180C7B9">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现状调查</w:t>
            </w:r>
          </w:p>
        </w:tc>
        <w:tc>
          <w:tcPr>
            <w:tcW w:w="1559" w:type="dxa"/>
            <w:vMerge w:val="restart"/>
            <w:vAlign w:val="center"/>
          </w:tcPr>
          <w:p w14:paraId="747B0947">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项目评价区域</w:t>
            </w:r>
          </w:p>
        </w:tc>
        <w:tc>
          <w:tcPr>
            <w:tcW w:w="4326" w:type="dxa"/>
            <w:vMerge w:val="restart"/>
            <w:vAlign w:val="center"/>
          </w:tcPr>
          <w:p w14:paraId="2F1FD969">
            <w:pPr>
              <w:pStyle w:val="143"/>
              <w:jc w:val="both"/>
              <w:rPr>
                <w:rFonts w:cs="Times New Roman"/>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项目所在区域</w:t>
            </w:r>
            <w:r>
              <w:rPr>
                <w:rFonts w:hint="eastAsia"/>
                <w:snapToGrid w:val="0"/>
                <w:color w:val="000000" w:themeColor="text1"/>
                <w:kern w:val="0"/>
                <w:lang w:val="en-US" w:eastAsia="zh-CN"/>
                <w14:textFill>
                  <w14:solidFill>
                    <w14:schemeClr w14:val="tx1"/>
                  </w14:solidFill>
                </w14:textFill>
              </w:rPr>
              <w:t>4.231</w:t>
            </w:r>
            <w:r>
              <w:rPr>
                <w:snapToGrid w:val="0"/>
                <w:color w:val="000000" w:themeColor="text1"/>
                <w:kern w:val="0"/>
                <w:lang w:val="en-US"/>
                <w14:textFill>
                  <w14:solidFill>
                    <w14:schemeClr w14:val="tx1"/>
                  </w14:solidFill>
                </w14:textFill>
              </w:rPr>
              <w:t>km</w:t>
            </w:r>
            <w:r>
              <w:rPr>
                <w:snapToGrid w:val="0"/>
                <w:color w:val="000000" w:themeColor="text1"/>
                <w:kern w:val="0"/>
                <w:vertAlign w:val="superscript"/>
                <w:lang w:val="en-US"/>
                <w14:textFill>
                  <w14:solidFill>
                    <w14:schemeClr w14:val="tx1"/>
                  </w14:solidFill>
                </w14:textFill>
              </w:rPr>
              <w:t>2</w:t>
            </w:r>
            <w:r>
              <w:rPr>
                <w:snapToGrid w:val="0"/>
                <w:color w:val="000000" w:themeColor="text1"/>
                <w:kern w:val="0"/>
                <w:lang w:val="en-US"/>
                <w14:textFill>
                  <w14:solidFill>
                    <w14:schemeClr w14:val="tx1"/>
                  </w14:solidFill>
                </w14:textFill>
              </w:rPr>
              <w:t>范围，即项目区上游1km、下游</w:t>
            </w:r>
            <w:r>
              <w:rPr>
                <w:rFonts w:hint="eastAsia"/>
                <w:snapToGrid w:val="0"/>
                <w:color w:val="000000" w:themeColor="text1"/>
                <w:kern w:val="0"/>
                <w:lang w:val="en-US" w:eastAsia="zh-CN"/>
                <w14:textFill>
                  <w14:solidFill>
                    <w14:schemeClr w14:val="tx1"/>
                  </w14:solidFill>
                </w14:textFill>
              </w:rPr>
              <w:t>至八虎力河（</w:t>
            </w:r>
            <w:r>
              <w:rPr>
                <w:rFonts w:hint="eastAsia"/>
                <w:snapToGrid w:val="0"/>
                <w:color w:val="000000" w:themeColor="text1"/>
                <w:kern w:val="0"/>
                <w:lang w:val="en-US"/>
                <w14:textFill>
                  <w14:solidFill>
                    <w14:schemeClr w14:val="tx1"/>
                  </w14:solidFill>
                </w14:textFill>
              </w:rPr>
              <w:t>不跨河沟，不超过水文地质单元）</w:t>
            </w:r>
            <w:r>
              <w:rPr>
                <w:snapToGrid w:val="0"/>
                <w:color w:val="000000" w:themeColor="text1"/>
                <w:kern w:val="0"/>
                <w:lang w:val="en-US"/>
                <w14:textFill>
                  <w14:solidFill>
                    <w14:schemeClr w14:val="tx1"/>
                  </w14:solidFill>
                </w14:textFill>
              </w:rPr>
              <w:t>、左侧1km、右侧1km。</w:t>
            </w:r>
          </w:p>
        </w:tc>
      </w:tr>
      <w:tr w14:paraId="41E37C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 w:hRule="atLeast"/>
        </w:trPr>
        <w:tc>
          <w:tcPr>
            <w:tcW w:w="426" w:type="dxa"/>
            <w:vMerge w:val="continue"/>
            <w:vAlign w:val="center"/>
          </w:tcPr>
          <w:p w14:paraId="12B08504">
            <w:pPr>
              <w:pStyle w:val="143"/>
              <w:rPr>
                <w:rFonts w:eastAsia="Times New Roman"/>
                <w:snapToGrid w:val="0"/>
                <w:color w:val="000000" w:themeColor="text1"/>
                <w:kern w:val="0"/>
                <w14:textFill>
                  <w14:solidFill>
                    <w14:schemeClr w14:val="tx1"/>
                  </w14:solidFill>
                </w14:textFill>
              </w:rPr>
            </w:pPr>
          </w:p>
        </w:tc>
        <w:tc>
          <w:tcPr>
            <w:tcW w:w="708" w:type="dxa"/>
            <w:vMerge w:val="continue"/>
            <w:vAlign w:val="center"/>
          </w:tcPr>
          <w:p w14:paraId="1CF496B4">
            <w:pPr>
              <w:pStyle w:val="143"/>
              <w:rPr>
                <w:rFonts w:eastAsia="Times New Roman"/>
                <w:snapToGrid w:val="0"/>
                <w:color w:val="000000" w:themeColor="text1"/>
                <w:kern w:val="0"/>
                <w14:textFill>
                  <w14:solidFill>
                    <w14:schemeClr w14:val="tx1"/>
                  </w14:solidFill>
                </w14:textFill>
              </w:rPr>
            </w:pPr>
          </w:p>
        </w:tc>
        <w:tc>
          <w:tcPr>
            <w:tcW w:w="1276" w:type="dxa"/>
            <w:vAlign w:val="center"/>
          </w:tcPr>
          <w:p w14:paraId="6E464071">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影响分析</w:t>
            </w:r>
          </w:p>
        </w:tc>
        <w:tc>
          <w:tcPr>
            <w:tcW w:w="1559" w:type="dxa"/>
            <w:vMerge w:val="continue"/>
            <w:vAlign w:val="center"/>
          </w:tcPr>
          <w:p w14:paraId="18233314">
            <w:pPr>
              <w:pStyle w:val="143"/>
              <w:rPr>
                <w:rFonts w:eastAsia="Times New Roman"/>
                <w:snapToGrid w:val="0"/>
                <w:color w:val="000000" w:themeColor="text1"/>
                <w:kern w:val="0"/>
                <w14:textFill>
                  <w14:solidFill>
                    <w14:schemeClr w14:val="tx1"/>
                  </w14:solidFill>
                </w14:textFill>
              </w:rPr>
            </w:pPr>
          </w:p>
        </w:tc>
        <w:tc>
          <w:tcPr>
            <w:tcW w:w="4326" w:type="dxa"/>
            <w:vMerge w:val="continue"/>
            <w:vAlign w:val="center"/>
          </w:tcPr>
          <w:p w14:paraId="196B3BD8">
            <w:pPr>
              <w:pStyle w:val="143"/>
              <w:rPr>
                <w:rFonts w:cs="Times New Roman"/>
                <w:snapToGrid w:val="0"/>
                <w:color w:val="000000" w:themeColor="text1"/>
                <w:kern w:val="0"/>
                <w14:textFill>
                  <w14:solidFill>
                    <w14:schemeClr w14:val="tx1"/>
                  </w14:solidFill>
                </w14:textFill>
              </w:rPr>
            </w:pPr>
          </w:p>
        </w:tc>
      </w:tr>
      <w:tr w14:paraId="2433EF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1134" w:type="dxa"/>
            <w:gridSpan w:val="2"/>
            <w:vMerge w:val="restart"/>
            <w:vAlign w:val="center"/>
          </w:tcPr>
          <w:p w14:paraId="4F1BBDFE">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生态环境</w:t>
            </w:r>
          </w:p>
        </w:tc>
        <w:tc>
          <w:tcPr>
            <w:tcW w:w="1276" w:type="dxa"/>
            <w:vAlign w:val="center"/>
          </w:tcPr>
          <w:p w14:paraId="765491FC">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现状调查</w:t>
            </w:r>
          </w:p>
        </w:tc>
        <w:tc>
          <w:tcPr>
            <w:tcW w:w="1559" w:type="dxa"/>
            <w:vMerge w:val="restart"/>
            <w:vAlign w:val="center"/>
          </w:tcPr>
          <w:p w14:paraId="25717326">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项目区及周边</w:t>
            </w:r>
          </w:p>
        </w:tc>
        <w:tc>
          <w:tcPr>
            <w:tcW w:w="4326" w:type="dxa"/>
            <w:vMerge w:val="restart"/>
            <w:vAlign w:val="center"/>
          </w:tcPr>
          <w:p w14:paraId="0C5B435D">
            <w:pPr>
              <w:pStyle w:val="143"/>
              <w:rPr>
                <w:rFonts w:cs="Times New Roman"/>
                <w:snapToGrid w:val="0"/>
                <w:color w:val="000000" w:themeColor="text1"/>
                <w:kern w:val="0"/>
                <w14:textFill>
                  <w14:solidFill>
                    <w14:schemeClr w14:val="tx1"/>
                  </w14:solidFill>
                </w14:textFill>
              </w:rPr>
            </w:pPr>
            <w:r>
              <w:rPr>
                <w:rFonts w:hint="eastAsia" w:cs="Times New Roman"/>
                <w:snapToGrid w:val="0"/>
                <w:color w:val="000000" w:themeColor="text1"/>
                <w:kern w:val="0"/>
                <w:lang w:val="en-US"/>
                <w14:textFill>
                  <w14:solidFill>
                    <w14:schemeClr w14:val="tx1"/>
                  </w14:solidFill>
                </w14:textFill>
              </w:rPr>
              <w:t>场址内部区域</w:t>
            </w:r>
          </w:p>
        </w:tc>
      </w:tr>
      <w:tr w14:paraId="6B140A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134" w:type="dxa"/>
            <w:gridSpan w:val="2"/>
            <w:vMerge w:val="continue"/>
            <w:vAlign w:val="center"/>
          </w:tcPr>
          <w:p w14:paraId="778ADFBA">
            <w:pPr>
              <w:pStyle w:val="143"/>
              <w:rPr>
                <w:rFonts w:eastAsia="Times New Roman"/>
                <w:snapToGrid w:val="0"/>
                <w:color w:val="000000" w:themeColor="text1"/>
                <w:kern w:val="0"/>
                <w14:textFill>
                  <w14:solidFill>
                    <w14:schemeClr w14:val="tx1"/>
                  </w14:solidFill>
                </w14:textFill>
              </w:rPr>
            </w:pPr>
          </w:p>
        </w:tc>
        <w:tc>
          <w:tcPr>
            <w:tcW w:w="1276" w:type="dxa"/>
            <w:vAlign w:val="center"/>
          </w:tcPr>
          <w:p w14:paraId="25B5D776">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影响分析</w:t>
            </w:r>
          </w:p>
        </w:tc>
        <w:tc>
          <w:tcPr>
            <w:tcW w:w="1559" w:type="dxa"/>
            <w:vMerge w:val="continue"/>
            <w:vAlign w:val="center"/>
          </w:tcPr>
          <w:p w14:paraId="4C178B21">
            <w:pPr>
              <w:pStyle w:val="143"/>
              <w:rPr>
                <w:rFonts w:eastAsia="Times New Roman"/>
                <w:snapToGrid w:val="0"/>
                <w:color w:val="000000" w:themeColor="text1"/>
                <w:kern w:val="0"/>
                <w14:textFill>
                  <w14:solidFill>
                    <w14:schemeClr w14:val="tx1"/>
                  </w14:solidFill>
                </w14:textFill>
              </w:rPr>
            </w:pPr>
          </w:p>
        </w:tc>
        <w:tc>
          <w:tcPr>
            <w:tcW w:w="4326" w:type="dxa"/>
            <w:vMerge w:val="continue"/>
            <w:vAlign w:val="center"/>
          </w:tcPr>
          <w:p w14:paraId="3E4152D8">
            <w:pPr>
              <w:pStyle w:val="143"/>
              <w:rPr>
                <w:rFonts w:eastAsia="Times New Roman"/>
                <w:snapToGrid w:val="0"/>
                <w:color w:val="000000" w:themeColor="text1"/>
                <w:kern w:val="0"/>
                <w14:textFill>
                  <w14:solidFill>
                    <w14:schemeClr w14:val="tx1"/>
                  </w14:solidFill>
                </w14:textFill>
              </w:rPr>
            </w:pPr>
          </w:p>
        </w:tc>
      </w:tr>
    </w:tbl>
    <w:p w14:paraId="7AF113A0">
      <w:pPr>
        <w:pStyle w:val="6"/>
        <w:rPr>
          <w:color w:val="000000" w:themeColor="text1"/>
          <w14:textFill>
            <w14:solidFill>
              <w14:schemeClr w14:val="tx1"/>
            </w14:solidFill>
          </w14:textFill>
        </w:rPr>
      </w:pPr>
      <w:bookmarkStart w:id="75" w:name="_Toc5530"/>
      <w:r>
        <w:rPr>
          <w:color w:val="000000" w:themeColor="text1"/>
          <w14:textFill>
            <w14:solidFill>
              <w14:schemeClr w14:val="tx1"/>
            </w14:solidFill>
          </w14:textFill>
        </w:rPr>
        <w:t>2.6.2</w:t>
      </w:r>
      <w:r>
        <w:rPr>
          <w:rFonts w:hint="eastAsia"/>
          <w:color w:val="000000" w:themeColor="text1"/>
          <w14:textFill>
            <w14:solidFill>
              <w14:schemeClr w14:val="tx1"/>
            </w14:solidFill>
          </w14:textFill>
        </w:rPr>
        <w:t>评价时段</w:t>
      </w:r>
      <w:bookmarkEnd w:id="75"/>
    </w:p>
    <w:p w14:paraId="0D8AD771">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评价时段为施工期、运营期。由于施工期对周围环境影响较小，并且为短期影响，因此施工期只作影响分析；运营期对周围环境影响程度因工序污染物排放不同而不同，而且为长期影响，因此本评价以运营期为重点评价时段。</w:t>
      </w:r>
    </w:p>
    <w:p w14:paraId="2277B656">
      <w:pPr>
        <w:pStyle w:val="5"/>
        <w:rPr>
          <w:color w:val="000000" w:themeColor="text1"/>
          <w14:textFill>
            <w14:solidFill>
              <w14:schemeClr w14:val="tx1"/>
            </w14:solidFill>
          </w14:textFill>
        </w:rPr>
      </w:pPr>
      <w:bookmarkStart w:id="76" w:name="_Toc9312"/>
      <w:r>
        <w:rPr>
          <w:color w:val="000000" w:themeColor="text1"/>
          <w14:textFill>
            <w14:solidFill>
              <w14:schemeClr w14:val="tx1"/>
            </w14:solidFill>
          </w14:textFill>
        </w:rPr>
        <w:t>2.7</w:t>
      </w:r>
      <w:r>
        <w:rPr>
          <w:rFonts w:hint="eastAsia"/>
          <w:color w:val="000000" w:themeColor="text1"/>
          <w14:textFill>
            <w14:solidFill>
              <w14:schemeClr w14:val="tx1"/>
            </w14:solidFill>
          </w14:textFill>
        </w:rPr>
        <w:t>污染控制与环境保护目标</w:t>
      </w:r>
      <w:bookmarkEnd w:id="76"/>
    </w:p>
    <w:p w14:paraId="3F733D0E">
      <w:pPr>
        <w:adjustRightInd/>
        <w:snapToGrid/>
        <w:spacing w:line="500" w:lineRule="exact"/>
        <w:rPr>
          <w:rFonts w:hint="eastAsia"/>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按照突出环境影响评价的源头预防作用，坚持保护和改善环境质量“依法评价、科学评价、突出重点”的原则，贯彻执行我国环境保护相关法律法规、标准、政策和规划等，优化项目建设，服务环境管理，规范环境影响评价方法，科学分析项目建设对环境质量的影响。根据建设项目的工程内容及其特点，明确与环境要素间的作用效应关系，根据规划环境影响评价结论和审查意见，充分利用符合时效的数据资料及成果，对建设项目主要环境影响予以重点分析和评价。</w:t>
      </w:r>
    </w:p>
    <w:p w14:paraId="15C893EE">
      <w:pPr>
        <w:adjustRightInd/>
        <w:snapToGrid/>
        <w:spacing w:line="500" w:lineRule="exact"/>
        <w:rPr>
          <w:rFonts w:hint="eastAsia"/>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本工程污染控制分为施工期和运营期。</w:t>
      </w:r>
    </w:p>
    <w:p w14:paraId="0ECACD7F">
      <w:pPr>
        <w:adjustRightInd/>
        <w:snapToGrid/>
        <w:spacing w:line="500" w:lineRule="exact"/>
        <w:rPr>
          <w:rFonts w:hint="eastAsia"/>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（1）建设期主要控制目标为施工扬尘和施工场界噪声。</w:t>
      </w:r>
    </w:p>
    <w:p w14:paraId="642D67D1">
      <w:pPr>
        <w:adjustRightInd/>
        <w:snapToGrid/>
        <w:spacing w:line="500" w:lineRule="exact"/>
        <w:rPr>
          <w:rFonts w:hint="eastAsia"/>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（2）生产运营期主要控制废气、废水、噪声和固体废物的排放，控制工艺过程不发生或少发生非正常排放。</w:t>
      </w:r>
    </w:p>
    <w:p w14:paraId="659AC221">
      <w:pPr>
        <w:adjustRightInd/>
        <w:snapToGrid/>
        <w:spacing w:line="360" w:lineRule="auto"/>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本评价区域内无国家、省级自然保护区，名胜古迹，以及重要人文设施及水源地，项目占地类型为工业用地。根据项目特点及周边环境要素，确定本项目控制污染与环境保护目标如下。</w:t>
      </w:r>
    </w:p>
    <w:p w14:paraId="5DDE89DC">
      <w:pPr>
        <w:spacing w:line="360" w:lineRule="auto"/>
        <w:ind w:firstLine="480" w:firstLineChars="200"/>
        <w:rPr>
          <w:rFonts w:hint="eastAsia"/>
          <w:snapToGrid w:val="0"/>
          <w:color w:val="000000" w:themeColor="text1"/>
          <w:kern w:val="0"/>
          <w14:textFill>
            <w14:solidFill>
              <w14:schemeClr w14:val="tx1"/>
            </w14:solidFill>
          </w14:textFill>
        </w:rPr>
      </w:pPr>
      <w:r>
        <w:rPr>
          <w:rFonts w:hint="eastAsia" w:ascii="Times New Roman"/>
          <w:color w:val="000000"/>
        </w:rPr>
        <w:t>本项目大气评价范围内环境空气保护目标见表2-7-1所示，其他要素环境保护目标见表2-7-2。</w:t>
      </w:r>
      <w:r>
        <w:rPr>
          <w:snapToGrid w:val="0"/>
          <w:color w:val="000000" w:themeColor="text1"/>
          <w:kern w:val="0"/>
          <w14:textFill>
            <w14:solidFill>
              <w14:schemeClr w14:val="tx1"/>
            </w14:solidFill>
          </w14:textFill>
        </w:rPr>
        <w:t>保护目标分布图见附图</w:t>
      </w:r>
      <w:r>
        <w:rPr>
          <w:rFonts w:hint="eastAsia"/>
          <w:snapToGrid w:val="0"/>
          <w:color w:val="000000" w:themeColor="text1"/>
          <w:kern w:val="0"/>
          <w:lang w:val="en-US" w:eastAsia="zh-CN"/>
          <w14:textFill>
            <w14:solidFill>
              <w14:schemeClr w14:val="tx1"/>
            </w14:solidFill>
          </w14:textFill>
        </w:rPr>
        <w:t>3</w:t>
      </w:r>
      <w:r>
        <w:rPr>
          <w:rFonts w:hint="eastAsia"/>
          <w:snapToGrid w:val="0"/>
          <w:color w:val="000000" w:themeColor="text1"/>
          <w:kern w:val="0"/>
          <w14:textFill>
            <w14:solidFill>
              <w14:schemeClr w14:val="tx1"/>
            </w14:solidFill>
          </w14:textFill>
        </w:rPr>
        <w:t>。</w:t>
      </w:r>
    </w:p>
    <w:p w14:paraId="54BD540D">
      <w:pPr>
        <w:widowControl w:val="0"/>
        <w:spacing w:line="360" w:lineRule="auto"/>
        <w:ind w:firstLine="480" w:firstLineChars="200"/>
        <w:jc w:val="center"/>
        <w:rPr>
          <w:rFonts w:ascii="Times New Roman" w:hAnsi="Times New Roman" w:eastAsia="黑体" w:cs="Times New Roman"/>
          <w:b w:val="0"/>
          <w:bCs/>
          <w:color w:val="000000"/>
          <w:kern w:val="0"/>
          <w:sz w:val="24"/>
          <w:szCs w:val="28"/>
          <w:lang w:val="en-US" w:eastAsia="zh-CN" w:bidi="ar-SA"/>
        </w:rPr>
      </w:pPr>
      <w:r>
        <w:rPr>
          <w:rFonts w:ascii="Times New Roman" w:hAnsi="Times New Roman" w:eastAsia="黑体" w:cs="Times New Roman"/>
          <w:b w:val="0"/>
          <w:bCs/>
          <w:color w:val="000000"/>
          <w:kern w:val="0"/>
          <w:sz w:val="24"/>
          <w:szCs w:val="28"/>
          <w:lang w:val="en-US" w:eastAsia="zh-CN" w:bidi="ar-SA"/>
        </w:rPr>
        <w:t>表2-7-1  本项目环境空气保护目标情况一览表</w:t>
      </w:r>
    </w:p>
    <w:tbl>
      <w:tblPr>
        <w:tblStyle w:val="49"/>
        <w:tblW w:w="8276" w:type="dxa"/>
        <w:jc w:val="center"/>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
      <w:tblGrid>
        <w:gridCol w:w="440"/>
        <w:gridCol w:w="1402"/>
        <w:gridCol w:w="737"/>
        <w:gridCol w:w="777"/>
        <w:gridCol w:w="936"/>
        <w:gridCol w:w="840"/>
        <w:gridCol w:w="1388"/>
        <w:gridCol w:w="850"/>
        <w:gridCol w:w="906"/>
      </w:tblGrid>
      <w:tr w14:paraId="52B85601">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0" w:hRule="atLeast"/>
          <w:jc w:val="center"/>
        </w:trPr>
        <w:tc>
          <w:tcPr>
            <w:tcW w:w="440" w:type="dxa"/>
            <w:vMerge w:val="restart"/>
            <w:noWrap w:val="0"/>
            <w:vAlign w:val="center"/>
          </w:tcPr>
          <w:p w14:paraId="742AA06B">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序号</w:t>
            </w:r>
          </w:p>
        </w:tc>
        <w:tc>
          <w:tcPr>
            <w:tcW w:w="1402" w:type="dxa"/>
            <w:vMerge w:val="restart"/>
            <w:noWrap w:val="0"/>
            <w:vAlign w:val="center"/>
          </w:tcPr>
          <w:p w14:paraId="1FCB14DC">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名称</w:t>
            </w:r>
          </w:p>
        </w:tc>
        <w:tc>
          <w:tcPr>
            <w:tcW w:w="1514" w:type="dxa"/>
            <w:gridSpan w:val="2"/>
            <w:noWrap w:val="0"/>
            <w:vAlign w:val="center"/>
          </w:tcPr>
          <w:p w14:paraId="18EBECB2">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坐标/m</w:t>
            </w:r>
          </w:p>
        </w:tc>
        <w:tc>
          <w:tcPr>
            <w:tcW w:w="936" w:type="dxa"/>
            <w:vMerge w:val="restart"/>
            <w:noWrap w:val="0"/>
            <w:vAlign w:val="center"/>
          </w:tcPr>
          <w:p w14:paraId="1FCBC330">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保护对象</w:t>
            </w:r>
          </w:p>
        </w:tc>
        <w:tc>
          <w:tcPr>
            <w:tcW w:w="840" w:type="dxa"/>
            <w:vMerge w:val="restart"/>
            <w:noWrap w:val="0"/>
            <w:vAlign w:val="center"/>
          </w:tcPr>
          <w:p w14:paraId="439EAFC6">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保护内容</w:t>
            </w:r>
          </w:p>
        </w:tc>
        <w:tc>
          <w:tcPr>
            <w:tcW w:w="1388" w:type="dxa"/>
            <w:vMerge w:val="restart"/>
            <w:noWrap w:val="0"/>
            <w:vAlign w:val="center"/>
          </w:tcPr>
          <w:p w14:paraId="444A4740">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环境功能区</w:t>
            </w:r>
          </w:p>
        </w:tc>
        <w:tc>
          <w:tcPr>
            <w:tcW w:w="850" w:type="dxa"/>
            <w:vMerge w:val="restart"/>
            <w:noWrap w:val="0"/>
            <w:vAlign w:val="center"/>
          </w:tcPr>
          <w:p w14:paraId="02A1F4A4">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相对厂址方位</w:t>
            </w:r>
          </w:p>
        </w:tc>
        <w:tc>
          <w:tcPr>
            <w:tcW w:w="906" w:type="dxa"/>
            <w:vMerge w:val="restart"/>
            <w:noWrap w:val="0"/>
            <w:vAlign w:val="center"/>
          </w:tcPr>
          <w:p w14:paraId="6F8FEE1A">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相对</w:t>
            </w:r>
            <w:r>
              <w:rPr>
                <w:rFonts w:hint="eastAsia" w:ascii="Times New Roman" w:hAnsi="Times New Roman" w:eastAsia="宋体" w:cs="Times New Roman"/>
                <w:color w:val="000000"/>
                <w:kern w:val="2"/>
                <w:sz w:val="21"/>
                <w:szCs w:val="21"/>
                <w:lang w:val="en-US" w:eastAsia="zh-CN" w:bidi="ar-SA"/>
              </w:rPr>
              <w:t>厂界</w:t>
            </w:r>
            <w:r>
              <w:rPr>
                <w:rFonts w:ascii="Times New Roman" w:hAnsi="Times New Roman" w:eastAsia="宋体" w:cs="Times New Roman"/>
                <w:color w:val="000000"/>
                <w:kern w:val="2"/>
                <w:sz w:val="21"/>
                <w:szCs w:val="21"/>
                <w:lang w:val="en-US" w:eastAsia="zh-CN" w:bidi="ar-SA"/>
              </w:rPr>
              <w:t>距离/m</w:t>
            </w:r>
          </w:p>
        </w:tc>
      </w:tr>
      <w:tr w14:paraId="5845390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678" w:hRule="atLeast"/>
          <w:jc w:val="center"/>
        </w:trPr>
        <w:tc>
          <w:tcPr>
            <w:tcW w:w="440" w:type="dxa"/>
            <w:vMerge w:val="continue"/>
            <w:noWrap w:val="0"/>
            <w:vAlign w:val="center"/>
          </w:tcPr>
          <w:p w14:paraId="407325E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1402" w:type="dxa"/>
            <w:vMerge w:val="continue"/>
            <w:noWrap w:val="0"/>
            <w:vAlign w:val="center"/>
          </w:tcPr>
          <w:p w14:paraId="3B07AF84">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737" w:type="dxa"/>
            <w:noWrap w:val="0"/>
            <w:vAlign w:val="center"/>
          </w:tcPr>
          <w:p w14:paraId="1217DD8D">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X</w:t>
            </w:r>
          </w:p>
        </w:tc>
        <w:tc>
          <w:tcPr>
            <w:tcW w:w="777" w:type="dxa"/>
            <w:noWrap w:val="0"/>
            <w:vAlign w:val="center"/>
          </w:tcPr>
          <w:p w14:paraId="66BC9A85">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Y</w:t>
            </w:r>
          </w:p>
        </w:tc>
        <w:tc>
          <w:tcPr>
            <w:tcW w:w="936" w:type="dxa"/>
            <w:vMerge w:val="continue"/>
            <w:noWrap w:val="0"/>
            <w:vAlign w:val="center"/>
          </w:tcPr>
          <w:p w14:paraId="458085CF">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40" w:type="dxa"/>
            <w:vMerge w:val="continue"/>
            <w:noWrap w:val="0"/>
            <w:vAlign w:val="center"/>
          </w:tcPr>
          <w:p w14:paraId="06487946">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1388" w:type="dxa"/>
            <w:vMerge w:val="continue"/>
            <w:noWrap w:val="0"/>
            <w:vAlign w:val="center"/>
          </w:tcPr>
          <w:p w14:paraId="007FC83D">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vMerge w:val="continue"/>
            <w:noWrap w:val="0"/>
            <w:vAlign w:val="center"/>
          </w:tcPr>
          <w:p w14:paraId="68719A85">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906" w:type="dxa"/>
            <w:vMerge w:val="continue"/>
            <w:noWrap w:val="0"/>
            <w:vAlign w:val="center"/>
          </w:tcPr>
          <w:p w14:paraId="689457FA">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r>
      <w:tr w14:paraId="44F80173">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0" w:hRule="atLeast"/>
          <w:jc w:val="center"/>
        </w:trPr>
        <w:tc>
          <w:tcPr>
            <w:tcW w:w="440" w:type="dxa"/>
            <w:noWrap w:val="0"/>
            <w:vAlign w:val="center"/>
          </w:tcPr>
          <w:p w14:paraId="3183A13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0"/>
                <w:sz w:val="21"/>
                <w:szCs w:val="21"/>
                <w:lang w:bidi="ar"/>
              </w:rPr>
              <w:t>1</w:t>
            </w:r>
          </w:p>
        </w:tc>
        <w:tc>
          <w:tcPr>
            <w:tcW w:w="1402" w:type="dxa"/>
            <w:noWrap w:val="0"/>
            <w:vAlign w:val="center"/>
          </w:tcPr>
          <w:p w14:paraId="1900305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snapToGrid w:val="0"/>
                <w:color w:val="000000" w:themeColor="text1"/>
                <w:sz w:val="21"/>
                <w:szCs w:val="21"/>
                <w:lang w:val="en-US" w:eastAsia="zh-CN"/>
                <w14:textFill>
                  <w14:solidFill>
                    <w14:schemeClr w14:val="tx1"/>
                  </w14:solidFill>
                </w14:textFill>
              </w:rPr>
              <w:t>隆胜村小四队屯</w:t>
            </w:r>
          </w:p>
        </w:tc>
        <w:tc>
          <w:tcPr>
            <w:tcW w:w="737" w:type="dxa"/>
            <w:noWrap w:val="0"/>
            <w:vAlign w:val="center"/>
          </w:tcPr>
          <w:p w14:paraId="33A674E7">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450</w:t>
            </w:r>
          </w:p>
        </w:tc>
        <w:tc>
          <w:tcPr>
            <w:tcW w:w="777" w:type="dxa"/>
            <w:noWrap w:val="0"/>
            <w:vAlign w:val="center"/>
          </w:tcPr>
          <w:p w14:paraId="53798BA2">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210</w:t>
            </w:r>
          </w:p>
        </w:tc>
        <w:tc>
          <w:tcPr>
            <w:tcW w:w="936" w:type="dxa"/>
            <w:noWrap w:val="0"/>
            <w:vAlign w:val="center"/>
          </w:tcPr>
          <w:p w14:paraId="2F0449C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7EA2BF8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restart"/>
            <w:noWrap w:val="0"/>
            <w:vAlign w:val="center"/>
          </w:tcPr>
          <w:p w14:paraId="05F0F504">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《环境空气质量标准》（GB3095-2012）</w:t>
            </w:r>
            <w:r>
              <w:rPr>
                <w:rFonts w:hint="eastAsia" w:ascii="Times New Roman" w:hAnsi="Times New Roman" w:eastAsia="宋体" w:cs="Times New Roman"/>
                <w:color w:val="000000"/>
                <w:kern w:val="2"/>
                <w:sz w:val="21"/>
                <w:szCs w:val="21"/>
                <w:lang w:val="en-US" w:eastAsia="zh-CN" w:bidi="ar-SA"/>
              </w:rPr>
              <w:t>中的二类区</w:t>
            </w:r>
          </w:p>
        </w:tc>
        <w:tc>
          <w:tcPr>
            <w:tcW w:w="850" w:type="dxa"/>
            <w:noWrap w:val="0"/>
            <w:vAlign w:val="center"/>
          </w:tcPr>
          <w:p w14:paraId="27A0C7E9">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EN</w:t>
            </w:r>
          </w:p>
        </w:tc>
        <w:tc>
          <w:tcPr>
            <w:tcW w:w="906" w:type="dxa"/>
            <w:noWrap w:val="0"/>
            <w:vAlign w:val="center"/>
          </w:tcPr>
          <w:p w14:paraId="291737BF">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约145</w:t>
            </w:r>
          </w:p>
        </w:tc>
      </w:tr>
      <w:tr w14:paraId="7DEAEAB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0A48566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0"/>
                <w:sz w:val="21"/>
                <w:szCs w:val="21"/>
                <w:lang w:bidi="ar"/>
              </w:rPr>
              <w:t>2</w:t>
            </w:r>
          </w:p>
        </w:tc>
        <w:tc>
          <w:tcPr>
            <w:tcW w:w="1402" w:type="dxa"/>
            <w:noWrap w:val="0"/>
            <w:vAlign w:val="center"/>
          </w:tcPr>
          <w:p w14:paraId="7FB16745">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snapToGrid w:val="0"/>
                <w:color w:val="000000" w:themeColor="text1"/>
                <w:sz w:val="21"/>
                <w:szCs w:val="21"/>
                <w:lang w:val="en-US" w:eastAsia="zh-CN"/>
                <w14:textFill>
                  <w14:solidFill>
                    <w14:schemeClr w14:val="tx1"/>
                  </w14:solidFill>
                </w14:textFill>
              </w:rPr>
              <w:t>隆胜村</w:t>
            </w:r>
          </w:p>
        </w:tc>
        <w:tc>
          <w:tcPr>
            <w:tcW w:w="737" w:type="dxa"/>
            <w:noWrap w:val="0"/>
            <w:vAlign w:val="center"/>
          </w:tcPr>
          <w:p w14:paraId="440C5A2B">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90</w:t>
            </w:r>
          </w:p>
        </w:tc>
        <w:tc>
          <w:tcPr>
            <w:tcW w:w="777" w:type="dxa"/>
            <w:noWrap w:val="0"/>
            <w:vAlign w:val="center"/>
          </w:tcPr>
          <w:p w14:paraId="19CF77DE">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-590</w:t>
            </w:r>
          </w:p>
        </w:tc>
        <w:tc>
          <w:tcPr>
            <w:tcW w:w="936" w:type="dxa"/>
            <w:noWrap w:val="0"/>
            <w:vAlign w:val="center"/>
          </w:tcPr>
          <w:p w14:paraId="77C4A017">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006E3334">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22E4B5D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7DECDE2D">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S</w:t>
            </w:r>
          </w:p>
        </w:tc>
        <w:tc>
          <w:tcPr>
            <w:tcW w:w="906" w:type="dxa"/>
            <w:noWrap w:val="0"/>
            <w:vAlign w:val="center"/>
          </w:tcPr>
          <w:p w14:paraId="75CB517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585</w:t>
            </w:r>
          </w:p>
        </w:tc>
      </w:tr>
      <w:tr w14:paraId="195E22B7">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4F21520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0"/>
                <w:sz w:val="21"/>
                <w:szCs w:val="21"/>
                <w:lang w:bidi="ar"/>
              </w:rPr>
              <w:t>3</w:t>
            </w:r>
          </w:p>
        </w:tc>
        <w:tc>
          <w:tcPr>
            <w:tcW w:w="1402" w:type="dxa"/>
            <w:noWrap w:val="0"/>
            <w:vAlign w:val="center"/>
          </w:tcPr>
          <w:p w14:paraId="5789F6BB">
            <w:pPr>
              <w:keepNext w:val="0"/>
              <w:keepLines w:val="0"/>
              <w:pageBreakBefore w:val="0"/>
              <w:widowControl w:val="0"/>
              <w:kinsoku/>
              <w:wordWrap/>
              <w:overflowPunct/>
              <w:topLinePunct w:val="0"/>
              <w:autoSpaceDE/>
              <w:autoSpaceDN/>
              <w:bidi w:val="0"/>
              <w:spacing w:line="240" w:lineRule="auto"/>
              <w:ind w:firstLine="0" w:firstLineChars="0"/>
              <w:jc w:val="both"/>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原种场三队</w:t>
            </w:r>
          </w:p>
        </w:tc>
        <w:tc>
          <w:tcPr>
            <w:tcW w:w="737" w:type="dxa"/>
            <w:noWrap w:val="0"/>
            <w:vAlign w:val="center"/>
          </w:tcPr>
          <w:p w14:paraId="5422ABC8">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-1312</w:t>
            </w:r>
          </w:p>
        </w:tc>
        <w:tc>
          <w:tcPr>
            <w:tcW w:w="777" w:type="dxa"/>
            <w:noWrap w:val="0"/>
            <w:vAlign w:val="center"/>
          </w:tcPr>
          <w:p w14:paraId="1D72E26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-204</w:t>
            </w:r>
          </w:p>
        </w:tc>
        <w:tc>
          <w:tcPr>
            <w:tcW w:w="936" w:type="dxa"/>
            <w:noWrap w:val="0"/>
            <w:vAlign w:val="center"/>
          </w:tcPr>
          <w:p w14:paraId="4A93E43D">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6CE94EA5">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17E89A0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1DAE1B1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16AA655F">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约1</w:t>
            </w:r>
            <w:r>
              <w:rPr>
                <w:rFonts w:hint="eastAsia" w:ascii="Times New Roman" w:hAnsi="Times New Roman" w:eastAsia="宋体" w:cs="Times New Roman"/>
                <w:color w:val="000000"/>
                <w:kern w:val="2"/>
                <w:sz w:val="21"/>
                <w:szCs w:val="21"/>
                <w:lang w:val="en-US" w:eastAsia="zh-CN"/>
              </w:rPr>
              <w:t>325</w:t>
            </w:r>
          </w:p>
        </w:tc>
      </w:tr>
      <w:tr w14:paraId="5C42835F">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2A9B067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ascii="Times New Roman" w:hAnsi="Times New Roman" w:eastAsia="宋体" w:cs="Times New Roman"/>
                <w:color w:val="000000"/>
                <w:kern w:val="0"/>
                <w:sz w:val="21"/>
                <w:szCs w:val="21"/>
                <w:lang w:bidi="ar"/>
              </w:rPr>
            </w:pPr>
            <w:r>
              <w:rPr>
                <w:rFonts w:ascii="Times New Roman" w:hAnsi="Times New Roman" w:eastAsia="宋体" w:cs="Times New Roman"/>
                <w:color w:val="000000"/>
                <w:kern w:val="0"/>
                <w:sz w:val="21"/>
                <w:szCs w:val="21"/>
                <w:lang w:bidi="ar"/>
              </w:rPr>
              <w:t>4</w:t>
            </w:r>
          </w:p>
        </w:tc>
        <w:tc>
          <w:tcPr>
            <w:tcW w:w="1402" w:type="dxa"/>
            <w:noWrap w:val="0"/>
            <w:vAlign w:val="center"/>
          </w:tcPr>
          <w:p w14:paraId="5C7905F0">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桦南县平房居民</w:t>
            </w:r>
          </w:p>
        </w:tc>
        <w:tc>
          <w:tcPr>
            <w:tcW w:w="737" w:type="dxa"/>
            <w:noWrap w:val="0"/>
            <w:vAlign w:val="center"/>
          </w:tcPr>
          <w:p w14:paraId="2AF737B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-390</w:t>
            </w:r>
          </w:p>
        </w:tc>
        <w:tc>
          <w:tcPr>
            <w:tcW w:w="777" w:type="dxa"/>
            <w:noWrap w:val="0"/>
            <w:vAlign w:val="center"/>
          </w:tcPr>
          <w:p w14:paraId="7005975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-557</w:t>
            </w:r>
          </w:p>
        </w:tc>
        <w:tc>
          <w:tcPr>
            <w:tcW w:w="936" w:type="dxa"/>
            <w:noWrap w:val="0"/>
            <w:vAlign w:val="center"/>
          </w:tcPr>
          <w:p w14:paraId="5FE2D186">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42ED173B">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4690FF37">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4F73789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6BC61A47">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685</w:t>
            </w:r>
          </w:p>
        </w:tc>
      </w:tr>
      <w:tr w14:paraId="5432E05F">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0" w:hRule="atLeast"/>
          <w:jc w:val="center"/>
        </w:trPr>
        <w:tc>
          <w:tcPr>
            <w:tcW w:w="440" w:type="dxa"/>
            <w:noWrap w:val="0"/>
            <w:vAlign w:val="center"/>
          </w:tcPr>
          <w:p w14:paraId="46E2308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0"/>
                <w:sz w:val="21"/>
                <w:szCs w:val="21"/>
                <w:lang w:bidi="ar"/>
              </w:rPr>
              <w:t>5</w:t>
            </w:r>
          </w:p>
        </w:tc>
        <w:tc>
          <w:tcPr>
            <w:tcW w:w="1402" w:type="dxa"/>
            <w:noWrap w:val="0"/>
            <w:vAlign w:val="center"/>
          </w:tcPr>
          <w:p w14:paraId="6F0E3BDC">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西林社区</w:t>
            </w:r>
          </w:p>
        </w:tc>
        <w:tc>
          <w:tcPr>
            <w:tcW w:w="737" w:type="dxa"/>
            <w:noWrap w:val="0"/>
            <w:vAlign w:val="center"/>
          </w:tcPr>
          <w:p w14:paraId="43BBB29E">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1580</w:t>
            </w:r>
          </w:p>
        </w:tc>
        <w:tc>
          <w:tcPr>
            <w:tcW w:w="777" w:type="dxa"/>
            <w:noWrap w:val="0"/>
            <w:vAlign w:val="center"/>
          </w:tcPr>
          <w:p w14:paraId="54FDA8C3">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-1060</w:t>
            </w:r>
          </w:p>
        </w:tc>
        <w:tc>
          <w:tcPr>
            <w:tcW w:w="936" w:type="dxa"/>
            <w:noWrap w:val="0"/>
            <w:vAlign w:val="center"/>
          </w:tcPr>
          <w:p w14:paraId="7A093E62">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1A1BEE7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08D5F20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4E323A6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ES</w:t>
            </w:r>
          </w:p>
        </w:tc>
        <w:tc>
          <w:tcPr>
            <w:tcW w:w="906" w:type="dxa"/>
            <w:noWrap w:val="0"/>
            <w:vAlign w:val="center"/>
          </w:tcPr>
          <w:p w14:paraId="6CDEE546">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2120</w:t>
            </w:r>
          </w:p>
        </w:tc>
      </w:tr>
      <w:tr w14:paraId="79248DE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0" w:hRule="atLeast"/>
          <w:jc w:val="center"/>
        </w:trPr>
        <w:tc>
          <w:tcPr>
            <w:tcW w:w="440" w:type="dxa"/>
            <w:noWrap w:val="0"/>
            <w:vAlign w:val="center"/>
          </w:tcPr>
          <w:p w14:paraId="5B5AE46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000000"/>
                <w:kern w:val="0"/>
                <w:sz w:val="21"/>
                <w:szCs w:val="21"/>
                <w:lang w:bidi="ar"/>
              </w:rPr>
            </w:pPr>
            <w:r>
              <w:rPr>
                <w:rFonts w:hint="eastAsia" w:ascii="Times New Roman" w:hAnsi="Times New Roman" w:eastAsia="宋体" w:cs="Times New Roman"/>
                <w:color w:val="000000"/>
                <w:kern w:val="0"/>
                <w:sz w:val="21"/>
                <w:szCs w:val="21"/>
                <w:lang w:bidi="ar"/>
              </w:rPr>
              <w:t>6</w:t>
            </w:r>
          </w:p>
        </w:tc>
        <w:tc>
          <w:tcPr>
            <w:tcW w:w="1402" w:type="dxa"/>
            <w:noWrap w:val="0"/>
            <w:vAlign w:val="center"/>
          </w:tcPr>
          <w:p w14:paraId="71584335">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西兴屯</w:t>
            </w:r>
          </w:p>
        </w:tc>
        <w:tc>
          <w:tcPr>
            <w:tcW w:w="737" w:type="dxa"/>
            <w:noWrap w:val="0"/>
            <w:vAlign w:val="center"/>
          </w:tcPr>
          <w:p w14:paraId="45AB04FE">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1540</w:t>
            </w:r>
          </w:p>
        </w:tc>
        <w:tc>
          <w:tcPr>
            <w:tcW w:w="777" w:type="dxa"/>
            <w:noWrap w:val="0"/>
            <w:vAlign w:val="center"/>
          </w:tcPr>
          <w:p w14:paraId="2855901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-1780</w:t>
            </w:r>
          </w:p>
        </w:tc>
        <w:tc>
          <w:tcPr>
            <w:tcW w:w="936" w:type="dxa"/>
            <w:noWrap w:val="0"/>
            <w:vAlign w:val="center"/>
          </w:tcPr>
          <w:p w14:paraId="094D05A8">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5686A277">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552464EC">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2633F7CC">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ES</w:t>
            </w:r>
          </w:p>
        </w:tc>
        <w:tc>
          <w:tcPr>
            <w:tcW w:w="906" w:type="dxa"/>
            <w:noWrap w:val="0"/>
            <w:vAlign w:val="center"/>
          </w:tcPr>
          <w:p w14:paraId="61707A7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2660</w:t>
            </w:r>
          </w:p>
        </w:tc>
      </w:tr>
      <w:tr w14:paraId="3DFB2B0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48" w:hRule="atLeast"/>
          <w:jc w:val="center"/>
        </w:trPr>
        <w:tc>
          <w:tcPr>
            <w:tcW w:w="440" w:type="dxa"/>
            <w:noWrap w:val="0"/>
            <w:vAlign w:val="center"/>
          </w:tcPr>
          <w:p w14:paraId="759A78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000000"/>
                <w:kern w:val="0"/>
                <w:sz w:val="21"/>
                <w:szCs w:val="21"/>
                <w:lang w:bidi="ar"/>
              </w:rPr>
            </w:pPr>
            <w:r>
              <w:rPr>
                <w:rFonts w:hint="eastAsia" w:ascii="Times New Roman" w:hAnsi="Times New Roman" w:eastAsia="宋体" w:cs="Times New Roman"/>
                <w:color w:val="000000"/>
                <w:kern w:val="0"/>
                <w:sz w:val="21"/>
                <w:szCs w:val="21"/>
                <w:lang w:bidi="ar"/>
              </w:rPr>
              <w:t>7</w:t>
            </w:r>
          </w:p>
        </w:tc>
        <w:tc>
          <w:tcPr>
            <w:tcW w:w="1402" w:type="dxa"/>
            <w:noWrap w:val="0"/>
            <w:vAlign w:val="center"/>
          </w:tcPr>
          <w:p w14:paraId="6AF68AF5">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桦东新城</w:t>
            </w:r>
          </w:p>
        </w:tc>
        <w:tc>
          <w:tcPr>
            <w:tcW w:w="737" w:type="dxa"/>
            <w:noWrap w:val="0"/>
            <w:vAlign w:val="center"/>
          </w:tcPr>
          <w:p w14:paraId="5AC891F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1275</w:t>
            </w:r>
          </w:p>
        </w:tc>
        <w:tc>
          <w:tcPr>
            <w:tcW w:w="777" w:type="dxa"/>
            <w:noWrap w:val="0"/>
            <w:vAlign w:val="center"/>
          </w:tcPr>
          <w:p w14:paraId="68D74E9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-1445</w:t>
            </w:r>
          </w:p>
        </w:tc>
        <w:tc>
          <w:tcPr>
            <w:tcW w:w="936" w:type="dxa"/>
            <w:noWrap w:val="0"/>
            <w:vAlign w:val="center"/>
          </w:tcPr>
          <w:p w14:paraId="6524BBB0">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41134CE6">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569B223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571D26EE">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ES</w:t>
            </w:r>
          </w:p>
        </w:tc>
        <w:tc>
          <w:tcPr>
            <w:tcW w:w="906" w:type="dxa"/>
            <w:noWrap w:val="0"/>
            <w:vAlign w:val="center"/>
          </w:tcPr>
          <w:p w14:paraId="1001798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1855</w:t>
            </w:r>
          </w:p>
        </w:tc>
      </w:tr>
      <w:tr w14:paraId="5F4477A0">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6809822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000000"/>
                <w:kern w:val="0"/>
                <w:sz w:val="21"/>
                <w:szCs w:val="21"/>
                <w:lang w:bidi="ar"/>
              </w:rPr>
            </w:pPr>
            <w:r>
              <w:rPr>
                <w:rFonts w:hint="eastAsia" w:ascii="Times New Roman" w:hAnsi="Times New Roman" w:eastAsia="宋体" w:cs="Times New Roman"/>
                <w:color w:val="000000"/>
                <w:kern w:val="0"/>
                <w:sz w:val="21"/>
                <w:szCs w:val="21"/>
                <w:lang w:bidi="ar"/>
              </w:rPr>
              <w:t>8</w:t>
            </w:r>
          </w:p>
        </w:tc>
        <w:tc>
          <w:tcPr>
            <w:tcW w:w="1402" w:type="dxa"/>
            <w:noWrap w:val="0"/>
            <w:vAlign w:val="center"/>
          </w:tcPr>
          <w:p w14:paraId="5F0BF241">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桦丰村</w:t>
            </w:r>
          </w:p>
        </w:tc>
        <w:tc>
          <w:tcPr>
            <w:tcW w:w="737" w:type="dxa"/>
            <w:noWrap w:val="0"/>
            <w:vAlign w:val="center"/>
          </w:tcPr>
          <w:p w14:paraId="58DE91AC">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720</w:t>
            </w:r>
          </w:p>
        </w:tc>
        <w:tc>
          <w:tcPr>
            <w:tcW w:w="777" w:type="dxa"/>
            <w:noWrap w:val="0"/>
            <w:vAlign w:val="center"/>
          </w:tcPr>
          <w:p w14:paraId="725EF62A">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-1245</w:t>
            </w:r>
          </w:p>
        </w:tc>
        <w:tc>
          <w:tcPr>
            <w:tcW w:w="936" w:type="dxa"/>
            <w:noWrap w:val="0"/>
            <w:vAlign w:val="center"/>
          </w:tcPr>
          <w:p w14:paraId="445FA8DA">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0B93C5B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557DF2AB">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65640108">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ES</w:t>
            </w:r>
          </w:p>
        </w:tc>
        <w:tc>
          <w:tcPr>
            <w:tcW w:w="906" w:type="dxa"/>
            <w:noWrap w:val="0"/>
            <w:vAlign w:val="center"/>
          </w:tcPr>
          <w:p w14:paraId="09F57D4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1465</w:t>
            </w:r>
          </w:p>
        </w:tc>
      </w:tr>
      <w:tr w14:paraId="701D868C">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57DA587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ascii="Times New Roman" w:hAnsi="Times New Roman" w:eastAsia="宋体" w:cs="Times New Roman"/>
                <w:color w:val="000000"/>
                <w:kern w:val="0"/>
                <w:sz w:val="21"/>
                <w:szCs w:val="21"/>
                <w:lang w:bidi="ar"/>
              </w:rPr>
            </w:pPr>
            <w:r>
              <w:rPr>
                <w:rFonts w:hint="eastAsia" w:ascii="Times New Roman" w:hAnsi="Times New Roman" w:eastAsia="宋体" w:cs="Times New Roman"/>
                <w:color w:val="000000"/>
                <w:kern w:val="0"/>
                <w:sz w:val="21"/>
                <w:szCs w:val="21"/>
                <w:lang w:bidi="ar"/>
              </w:rPr>
              <w:t>9</w:t>
            </w:r>
          </w:p>
        </w:tc>
        <w:tc>
          <w:tcPr>
            <w:tcW w:w="1402" w:type="dxa"/>
            <w:noWrap w:val="0"/>
            <w:vAlign w:val="center"/>
          </w:tcPr>
          <w:p w14:paraId="6445B73C">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新月家园</w:t>
            </w:r>
          </w:p>
        </w:tc>
        <w:tc>
          <w:tcPr>
            <w:tcW w:w="737" w:type="dxa"/>
            <w:noWrap w:val="0"/>
            <w:vAlign w:val="center"/>
          </w:tcPr>
          <w:p w14:paraId="2ACBC2F7">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0</w:t>
            </w:r>
          </w:p>
        </w:tc>
        <w:tc>
          <w:tcPr>
            <w:tcW w:w="777" w:type="dxa"/>
            <w:noWrap w:val="0"/>
            <w:vAlign w:val="center"/>
          </w:tcPr>
          <w:p w14:paraId="0E3BE3AF">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1850</w:t>
            </w:r>
          </w:p>
        </w:tc>
        <w:tc>
          <w:tcPr>
            <w:tcW w:w="936" w:type="dxa"/>
            <w:noWrap w:val="0"/>
            <w:vAlign w:val="center"/>
          </w:tcPr>
          <w:p w14:paraId="58AAB43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0D2AD37F">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1E2A5BB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31AE4375">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S</w:t>
            </w:r>
          </w:p>
        </w:tc>
        <w:tc>
          <w:tcPr>
            <w:tcW w:w="906" w:type="dxa"/>
            <w:noWrap w:val="0"/>
            <w:vAlign w:val="center"/>
          </w:tcPr>
          <w:p w14:paraId="5A5AB467">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1850</w:t>
            </w:r>
          </w:p>
        </w:tc>
      </w:tr>
      <w:tr w14:paraId="0AB2A9CE">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780C228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ascii="Times New Roman" w:hAnsi="Times New Roman" w:eastAsia="宋体" w:cs="Times New Roman"/>
                <w:color w:val="000000"/>
                <w:kern w:val="0"/>
                <w:sz w:val="21"/>
                <w:szCs w:val="21"/>
                <w:lang w:bidi="ar"/>
              </w:rPr>
            </w:pPr>
            <w:r>
              <w:rPr>
                <w:rFonts w:hint="eastAsia" w:ascii="Times New Roman" w:hAnsi="Times New Roman" w:eastAsia="宋体" w:cs="Times New Roman"/>
                <w:color w:val="000000"/>
                <w:kern w:val="0"/>
                <w:sz w:val="21"/>
                <w:szCs w:val="21"/>
                <w:lang w:bidi="ar"/>
              </w:rPr>
              <w:t>10</w:t>
            </w:r>
          </w:p>
        </w:tc>
        <w:tc>
          <w:tcPr>
            <w:tcW w:w="1402" w:type="dxa"/>
            <w:noWrap w:val="0"/>
            <w:vAlign w:val="center"/>
          </w:tcPr>
          <w:p w14:paraId="47DADD4A">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桦兴小区</w:t>
            </w:r>
          </w:p>
        </w:tc>
        <w:tc>
          <w:tcPr>
            <w:tcW w:w="737" w:type="dxa"/>
            <w:noWrap w:val="0"/>
            <w:vAlign w:val="center"/>
          </w:tcPr>
          <w:p w14:paraId="14B75456">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-170</w:t>
            </w:r>
          </w:p>
        </w:tc>
        <w:tc>
          <w:tcPr>
            <w:tcW w:w="777" w:type="dxa"/>
            <w:noWrap w:val="0"/>
            <w:vAlign w:val="center"/>
          </w:tcPr>
          <w:p w14:paraId="590FC69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-1910</w:t>
            </w:r>
          </w:p>
        </w:tc>
        <w:tc>
          <w:tcPr>
            <w:tcW w:w="936" w:type="dxa"/>
            <w:noWrap w:val="0"/>
            <w:vAlign w:val="center"/>
          </w:tcPr>
          <w:p w14:paraId="40D378A0">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3D2CE822">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3CE6544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514EF7EC">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S</w:t>
            </w:r>
          </w:p>
        </w:tc>
        <w:tc>
          <w:tcPr>
            <w:tcW w:w="906" w:type="dxa"/>
            <w:noWrap w:val="0"/>
            <w:vAlign w:val="center"/>
          </w:tcPr>
          <w:p w14:paraId="14EF6DC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w:t>
            </w:r>
            <w:r>
              <w:rPr>
                <w:rFonts w:hint="eastAsia" w:cs="Times New Roman"/>
                <w:color w:val="000000"/>
                <w:kern w:val="2"/>
                <w:sz w:val="21"/>
                <w:szCs w:val="21"/>
                <w:lang w:val="en-US" w:eastAsia="zh-CN"/>
              </w:rPr>
              <w:t>670</w:t>
            </w:r>
          </w:p>
        </w:tc>
      </w:tr>
      <w:tr w14:paraId="2993FF36">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4ACA5BF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bidi="ar"/>
              </w:rPr>
            </w:pPr>
            <w:r>
              <w:rPr>
                <w:rFonts w:hint="eastAsia" w:cs="Times New Roman"/>
                <w:color w:val="000000"/>
                <w:kern w:val="0"/>
                <w:sz w:val="21"/>
                <w:szCs w:val="21"/>
                <w:lang w:val="en-US" w:eastAsia="zh-CN" w:bidi="ar"/>
              </w:rPr>
              <w:t>11</w:t>
            </w:r>
          </w:p>
        </w:tc>
        <w:tc>
          <w:tcPr>
            <w:tcW w:w="1402" w:type="dxa"/>
            <w:noWrap w:val="0"/>
            <w:vAlign w:val="center"/>
          </w:tcPr>
          <w:p w14:paraId="2DC15CD2">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cs="Times New Roman"/>
                <w:color w:val="000000"/>
                <w:kern w:val="2"/>
                <w:sz w:val="21"/>
                <w:szCs w:val="21"/>
                <w:lang w:val="en-US" w:eastAsia="zh-CN" w:bidi="ar-SA"/>
              </w:rPr>
              <w:t>桦安小区</w:t>
            </w:r>
          </w:p>
        </w:tc>
        <w:tc>
          <w:tcPr>
            <w:tcW w:w="737" w:type="dxa"/>
            <w:noWrap w:val="0"/>
            <w:vAlign w:val="center"/>
          </w:tcPr>
          <w:p w14:paraId="28E2ABD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190</w:t>
            </w:r>
          </w:p>
        </w:tc>
        <w:tc>
          <w:tcPr>
            <w:tcW w:w="777" w:type="dxa"/>
            <w:noWrap w:val="0"/>
            <w:vAlign w:val="center"/>
          </w:tcPr>
          <w:p w14:paraId="6726294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-2140</w:t>
            </w:r>
          </w:p>
        </w:tc>
        <w:tc>
          <w:tcPr>
            <w:tcW w:w="936" w:type="dxa"/>
            <w:noWrap w:val="0"/>
            <w:vAlign w:val="center"/>
          </w:tcPr>
          <w:p w14:paraId="4976F1F7">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14D34E6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502B0CEE">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1EE2403C">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cs="Times New Roman"/>
                <w:color w:val="000000"/>
                <w:kern w:val="2"/>
                <w:sz w:val="21"/>
                <w:szCs w:val="21"/>
                <w:lang w:val="en-US" w:eastAsia="zh-CN" w:bidi="ar-SA"/>
              </w:rPr>
              <w:t>S</w:t>
            </w:r>
          </w:p>
        </w:tc>
        <w:tc>
          <w:tcPr>
            <w:tcW w:w="906" w:type="dxa"/>
            <w:noWrap w:val="0"/>
            <w:vAlign w:val="center"/>
          </w:tcPr>
          <w:p w14:paraId="53B5553E">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约1930</w:t>
            </w:r>
          </w:p>
        </w:tc>
      </w:tr>
      <w:tr w14:paraId="0DE80E37">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146C599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bidi="ar"/>
              </w:rPr>
            </w:pPr>
            <w:r>
              <w:rPr>
                <w:rFonts w:hint="eastAsia" w:cs="Times New Roman"/>
                <w:color w:val="000000"/>
                <w:kern w:val="0"/>
                <w:sz w:val="21"/>
                <w:szCs w:val="21"/>
                <w:lang w:val="en-US" w:eastAsia="zh-CN" w:bidi="ar"/>
              </w:rPr>
              <w:t>12</w:t>
            </w:r>
          </w:p>
        </w:tc>
        <w:tc>
          <w:tcPr>
            <w:tcW w:w="1402" w:type="dxa"/>
            <w:noWrap w:val="0"/>
            <w:vAlign w:val="center"/>
          </w:tcPr>
          <w:p w14:paraId="63C673E5">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御景豪庭</w:t>
            </w:r>
          </w:p>
        </w:tc>
        <w:tc>
          <w:tcPr>
            <w:tcW w:w="737" w:type="dxa"/>
            <w:noWrap w:val="0"/>
            <w:vAlign w:val="center"/>
          </w:tcPr>
          <w:p w14:paraId="6C70B6FA">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-230</w:t>
            </w:r>
          </w:p>
        </w:tc>
        <w:tc>
          <w:tcPr>
            <w:tcW w:w="777" w:type="dxa"/>
            <w:noWrap w:val="0"/>
            <w:vAlign w:val="center"/>
          </w:tcPr>
          <w:p w14:paraId="04178A72">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-1670</w:t>
            </w:r>
          </w:p>
        </w:tc>
        <w:tc>
          <w:tcPr>
            <w:tcW w:w="936" w:type="dxa"/>
            <w:noWrap w:val="0"/>
            <w:vAlign w:val="center"/>
          </w:tcPr>
          <w:p w14:paraId="60C3957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1A2BCF7B">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1632C1EC">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0757DE8F">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600DE94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约1</w:t>
            </w:r>
            <w:r>
              <w:rPr>
                <w:rFonts w:hint="eastAsia" w:ascii="Times New Roman" w:hAnsi="Times New Roman" w:eastAsia="宋体" w:cs="Times New Roman"/>
                <w:color w:val="000000"/>
                <w:kern w:val="2"/>
                <w:sz w:val="21"/>
                <w:szCs w:val="21"/>
                <w:lang w:val="en-US" w:eastAsia="zh-CN"/>
              </w:rPr>
              <w:t>695</w:t>
            </w:r>
          </w:p>
        </w:tc>
      </w:tr>
      <w:tr w14:paraId="2D7D20A8">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0" w:hRule="atLeast"/>
          <w:jc w:val="center"/>
        </w:trPr>
        <w:tc>
          <w:tcPr>
            <w:tcW w:w="440" w:type="dxa"/>
            <w:noWrap w:val="0"/>
            <w:vAlign w:val="center"/>
          </w:tcPr>
          <w:p w14:paraId="56E3A3A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1</w:t>
            </w:r>
            <w:r>
              <w:rPr>
                <w:rFonts w:hint="eastAsia" w:cs="Times New Roman"/>
                <w:color w:val="000000"/>
                <w:kern w:val="2"/>
                <w:sz w:val="21"/>
                <w:szCs w:val="21"/>
                <w:lang w:val="en-US" w:eastAsia="zh-CN"/>
              </w:rPr>
              <w:t>3</w:t>
            </w:r>
          </w:p>
        </w:tc>
        <w:tc>
          <w:tcPr>
            <w:tcW w:w="1402" w:type="dxa"/>
            <w:noWrap w:val="0"/>
            <w:vAlign w:val="center"/>
          </w:tcPr>
          <w:p w14:paraId="68883BC8">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莱茵花园</w:t>
            </w:r>
          </w:p>
        </w:tc>
        <w:tc>
          <w:tcPr>
            <w:tcW w:w="737" w:type="dxa"/>
            <w:noWrap w:val="0"/>
            <w:vAlign w:val="center"/>
          </w:tcPr>
          <w:p w14:paraId="0392772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-400</w:t>
            </w:r>
          </w:p>
        </w:tc>
        <w:tc>
          <w:tcPr>
            <w:tcW w:w="777" w:type="dxa"/>
            <w:noWrap w:val="0"/>
            <w:vAlign w:val="center"/>
          </w:tcPr>
          <w:p w14:paraId="62F6325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-1330</w:t>
            </w:r>
          </w:p>
        </w:tc>
        <w:tc>
          <w:tcPr>
            <w:tcW w:w="936" w:type="dxa"/>
            <w:noWrap w:val="0"/>
            <w:vAlign w:val="center"/>
          </w:tcPr>
          <w:p w14:paraId="425806F0">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7FFA3A4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093FEA46">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6817F940">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43311C4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约1</w:t>
            </w:r>
            <w:r>
              <w:rPr>
                <w:rFonts w:hint="eastAsia" w:ascii="Times New Roman" w:hAnsi="Times New Roman" w:eastAsia="宋体" w:cs="Times New Roman"/>
                <w:color w:val="000000"/>
                <w:kern w:val="2"/>
                <w:sz w:val="21"/>
                <w:szCs w:val="21"/>
                <w:lang w:val="en-US" w:eastAsia="zh-CN"/>
              </w:rPr>
              <w:t>430</w:t>
            </w:r>
          </w:p>
        </w:tc>
      </w:tr>
      <w:tr w14:paraId="33E3E808">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0" w:hRule="atLeast"/>
          <w:jc w:val="center"/>
        </w:trPr>
        <w:tc>
          <w:tcPr>
            <w:tcW w:w="440" w:type="dxa"/>
            <w:noWrap w:val="0"/>
            <w:vAlign w:val="center"/>
          </w:tcPr>
          <w:p w14:paraId="5AB254F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14</w:t>
            </w:r>
          </w:p>
        </w:tc>
        <w:tc>
          <w:tcPr>
            <w:tcW w:w="1402" w:type="dxa"/>
            <w:noWrap w:val="0"/>
            <w:vAlign w:val="center"/>
          </w:tcPr>
          <w:p w14:paraId="066E9E98">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cs="Times New Roman"/>
                <w:color w:val="000000"/>
                <w:kern w:val="2"/>
                <w:sz w:val="21"/>
                <w:szCs w:val="21"/>
                <w:lang w:val="en-US" w:eastAsia="zh-CN" w:bidi="ar-SA"/>
              </w:rPr>
              <w:t>秀北小区</w:t>
            </w:r>
          </w:p>
        </w:tc>
        <w:tc>
          <w:tcPr>
            <w:tcW w:w="737" w:type="dxa"/>
            <w:noWrap w:val="0"/>
            <w:vAlign w:val="center"/>
          </w:tcPr>
          <w:p w14:paraId="4D29F87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-265</w:t>
            </w:r>
          </w:p>
        </w:tc>
        <w:tc>
          <w:tcPr>
            <w:tcW w:w="777" w:type="dxa"/>
            <w:noWrap w:val="0"/>
            <w:vAlign w:val="center"/>
          </w:tcPr>
          <w:p w14:paraId="23F867E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-1550</w:t>
            </w:r>
          </w:p>
        </w:tc>
        <w:tc>
          <w:tcPr>
            <w:tcW w:w="936" w:type="dxa"/>
            <w:noWrap w:val="0"/>
            <w:vAlign w:val="center"/>
          </w:tcPr>
          <w:p w14:paraId="163D75D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527EA57E">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0450D1DD">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4226A6A3">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42D553A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1600</w:t>
            </w:r>
          </w:p>
        </w:tc>
      </w:tr>
      <w:tr w14:paraId="3CFAA295">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6563A0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bidi="ar"/>
              </w:rPr>
            </w:pPr>
            <w:r>
              <w:rPr>
                <w:rFonts w:hint="eastAsia" w:cs="Times New Roman"/>
                <w:color w:val="000000"/>
                <w:kern w:val="0"/>
                <w:sz w:val="21"/>
                <w:szCs w:val="21"/>
                <w:lang w:val="en-US" w:eastAsia="zh-CN" w:bidi="ar"/>
              </w:rPr>
              <w:t>15</w:t>
            </w:r>
          </w:p>
        </w:tc>
        <w:tc>
          <w:tcPr>
            <w:tcW w:w="1402" w:type="dxa"/>
            <w:noWrap w:val="0"/>
            <w:vAlign w:val="center"/>
          </w:tcPr>
          <w:p w14:paraId="53C10304">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五环嘉园</w:t>
            </w:r>
          </w:p>
        </w:tc>
        <w:tc>
          <w:tcPr>
            <w:tcW w:w="737" w:type="dxa"/>
            <w:noWrap w:val="0"/>
            <w:vAlign w:val="center"/>
          </w:tcPr>
          <w:p w14:paraId="7080DAA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-665</w:t>
            </w:r>
          </w:p>
        </w:tc>
        <w:tc>
          <w:tcPr>
            <w:tcW w:w="777" w:type="dxa"/>
            <w:noWrap w:val="0"/>
            <w:vAlign w:val="center"/>
          </w:tcPr>
          <w:p w14:paraId="5BE5A9F5">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-1730</w:t>
            </w:r>
          </w:p>
        </w:tc>
        <w:tc>
          <w:tcPr>
            <w:tcW w:w="936" w:type="dxa"/>
            <w:noWrap w:val="0"/>
            <w:vAlign w:val="center"/>
          </w:tcPr>
          <w:p w14:paraId="5A04281B">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166091B5">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2A374642">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65D6648F">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61E43976">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1850</w:t>
            </w:r>
          </w:p>
        </w:tc>
      </w:tr>
      <w:tr w14:paraId="50415704">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34EE0FF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000000"/>
                <w:kern w:val="0"/>
                <w:sz w:val="21"/>
                <w:szCs w:val="21"/>
                <w:lang w:bidi="ar"/>
              </w:rPr>
            </w:pPr>
            <w:r>
              <w:rPr>
                <w:rFonts w:hint="eastAsia" w:ascii="Times New Roman" w:hAnsi="Times New Roman" w:eastAsia="宋体" w:cs="Times New Roman"/>
                <w:color w:val="000000"/>
                <w:kern w:val="2"/>
                <w:sz w:val="21"/>
                <w:szCs w:val="21"/>
                <w:lang w:val="en-US" w:eastAsia="zh-CN"/>
              </w:rPr>
              <w:t>16</w:t>
            </w:r>
          </w:p>
        </w:tc>
        <w:tc>
          <w:tcPr>
            <w:tcW w:w="1402" w:type="dxa"/>
            <w:noWrap w:val="0"/>
            <w:vAlign w:val="center"/>
          </w:tcPr>
          <w:p w14:paraId="23F739D4">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cs="Times New Roman"/>
                <w:color w:val="000000"/>
                <w:kern w:val="2"/>
                <w:sz w:val="21"/>
                <w:szCs w:val="21"/>
                <w:lang w:val="en-US" w:eastAsia="zh-CN" w:bidi="ar-SA"/>
              </w:rPr>
              <w:t>北环新居</w:t>
            </w:r>
          </w:p>
        </w:tc>
        <w:tc>
          <w:tcPr>
            <w:tcW w:w="737" w:type="dxa"/>
            <w:noWrap w:val="0"/>
            <w:vAlign w:val="center"/>
          </w:tcPr>
          <w:p w14:paraId="1D1F02E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-480</w:t>
            </w:r>
          </w:p>
        </w:tc>
        <w:tc>
          <w:tcPr>
            <w:tcW w:w="777" w:type="dxa"/>
            <w:noWrap w:val="0"/>
            <w:vAlign w:val="center"/>
          </w:tcPr>
          <w:p w14:paraId="4B9494B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-1880</w:t>
            </w:r>
          </w:p>
        </w:tc>
        <w:tc>
          <w:tcPr>
            <w:tcW w:w="936" w:type="dxa"/>
            <w:noWrap w:val="0"/>
            <w:vAlign w:val="center"/>
          </w:tcPr>
          <w:p w14:paraId="7E04403A">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72F1281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448E1178">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776B65C8">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698CAD96">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约2005</w:t>
            </w:r>
          </w:p>
        </w:tc>
      </w:tr>
      <w:tr w14:paraId="6246FDBF">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0196826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000000"/>
                <w:kern w:val="0"/>
                <w:sz w:val="21"/>
                <w:szCs w:val="21"/>
                <w:lang w:bidi="ar"/>
              </w:rPr>
            </w:pPr>
            <w:r>
              <w:rPr>
                <w:rFonts w:hint="eastAsia" w:ascii="Times New Roman" w:hAnsi="Times New Roman" w:eastAsia="宋体" w:cs="Times New Roman"/>
                <w:color w:val="000000"/>
                <w:kern w:val="2"/>
                <w:sz w:val="21"/>
                <w:szCs w:val="21"/>
                <w:lang w:val="en-US" w:eastAsia="zh-CN"/>
              </w:rPr>
              <w:t>17</w:t>
            </w:r>
          </w:p>
        </w:tc>
        <w:tc>
          <w:tcPr>
            <w:tcW w:w="1402" w:type="dxa"/>
            <w:noWrap w:val="0"/>
            <w:vAlign w:val="center"/>
          </w:tcPr>
          <w:p w14:paraId="07E662DB">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cs="Times New Roman"/>
                <w:color w:val="000000"/>
                <w:kern w:val="2"/>
                <w:sz w:val="21"/>
                <w:szCs w:val="21"/>
                <w:lang w:val="en-US" w:eastAsia="zh-CN" w:bidi="ar-SA"/>
              </w:rPr>
            </w:pPr>
            <w:r>
              <w:rPr>
                <w:rFonts w:hint="eastAsia" w:cs="Times New Roman"/>
                <w:color w:val="000000"/>
                <w:kern w:val="2"/>
                <w:sz w:val="21"/>
                <w:szCs w:val="21"/>
                <w:lang w:val="en-US" w:eastAsia="zh-CN" w:bidi="ar-SA"/>
              </w:rPr>
              <w:t>福地家园</w:t>
            </w:r>
          </w:p>
        </w:tc>
        <w:tc>
          <w:tcPr>
            <w:tcW w:w="737" w:type="dxa"/>
            <w:noWrap w:val="0"/>
            <w:vAlign w:val="center"/>
          </w:tcPr>
          <w:p w14:paraId="58FDAA43">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cs="Times New Roman"/>
                <w:color w:val="000000"/>
                <w:kern w:val="2"/>
                <w:sz w:val="21"/>
                <w:szCs w:val="21"/>
                <w:lang w:val="en-US" w:eastAsia="zh-CN"/>
              </w:rPr>
            </w:pPr>
            <w:r>
              <w:rPr>
                <w:rFonts w:hint="eastAsia" w:cs="Times New Roman"/>
                <w:color w:val="000000"/>
                <w:kern w:val="2"/>
                <w:sz w:val="21"/>
                <w:szCs w:val="21"/>
                <w:lang w:val="en-US" w:eastAsia="zh-CN"/>
              </w:rPr>
              <w:t>-460</w:t>
            </w:r>
          </w:p>
        </w:tc>
        <w:tc>
          <w:tcPr>
            <w:tcW w:w="777" w:type="dxa"/>
            <w:noWrap w:val="0"/>
            <w:vAlign w:val="center"/>
          </w:tcPr>
          <w:p w14:paraId="6930BE9A">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cs="Times New Roman"/>
                <w:color w:val="000000"/>
                <w:kern w:val="2"/>
                <w:sz w:val="21"/>
                <w:szCs w:val="21"/>
                <w:lang w:val="en-US" w:eastAsia="zh-CN"/>
              </w:rPr>
            </w:pPr>
            <w:r>
              <w:rPr>
                <w:rFonts w:hint="eastAsia" w:cs="Times New Roman"/>
                <w:color w:val="000000"/>
                <w:kern w:val="2"/>
                <w:sz w:val="21"/>
                <w:szCs w:val="21"/>
                <w:lang w:val="en-US" w:eastAsia="zh-CN"/>
              </w:rPr>
              <w:t>-2015</w:t>
            </w:r>
          </w:p>
        </w:tc>
        <w:tc>
          <w:tcPr>
            <w:tcW w:w="936" w:type="dxa"/>
            <w:noWrap w:val="0"/>
            <w:vAlign w:val="center"/>
          </w:tcPr>
          <w:p w14:paraId="55159B5D">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35E263FC">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098D0690">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10EED49D">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02BD336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cs="Times New Roman"/>
                <w:color w:val="000000"/>
                <w:kern w:val="2"/>
                <w:sz w:val="21"/>
                <w:szCs w:val="21"/>
                <w:lang w:val="en-US" w:eastAsia="zh-CN"/>
              </w:rPr>
            </w:pPr>
            <w:r>
              <w:rPr>
                <w:rFonts w:hint="eastAsia" w:cs="Times New Roman"/>
                <w:color w:val="000000"/>
                <w:kern w:val="2"/>
                <w:sz w:val="21"/>
                <w:szCs w:val="21"/>
                <w:lang w:val="en-US" w:eastAsia="zh-CN"/>
              </w:rPr>
              <w:t>约2085</w:t>
            </w:r>
          </w:p>
        </w:tc>
      </w:tr>
      <w:tr w14:paraId="1034D20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341C125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0"/>
                <w:sz w:val="21"/>
                <w:szCs w:val="21"/>
                <w:lang w:val="en-US" w:eastAsia="zh-CN" w:bidi="ar"/>
              </w:rPr>
              <w:t>18</w:t>
            </w:r>
          </w:p>
        </w:tc>
        <w:tc>
          <w:tcPr>
            <w:tcW w:w="1402" w:type="dxa"/>
            <w:noWrap w:val="0"/>
            <w:vAlign w:val="center"/>
          </w:tcPr>
          <w:p w14:paraId="67752518">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北辰铭郡</w:t>
            </w:r>
          </w:p>
        </w:tc>
        <w:tc>
          <w:tcPr>
            <w:tcW w:w="737" w:type="dxa"/>
            <w:noWrap w:val="0"/>
            <w:vAlign w:val="center"/>
          </w:tcPr>
          <w:p w14:paraId="441331DB">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-800</w:t>
            </w:r>
          </w:p>
        </w:tc>
        <w:tc>
          <w:tcPr>
            <w:tcW w:w="777" w:type="dxa"/>
            <w:noWrap w:val="0"/>
            <w:vAlign w:val="center"/>
          </w:tcPr>
          <w:p w14:paraId="6D77CD3E">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-1725</w:t>
            </w:r>
          </w:p>
        </w:tc>
        <w:tc>
          <w:tcPr>
            <w:tcW w:w="936" w:type="dxa"/>
            <w:noWrap w:val="0"/>
            <w:vAlign w:val="center"/>
          </w:tcPr>
          <w:p w14:paraId="72C2CA6E">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0ED96224">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0582A44F">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79B09B64">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53C33EA6">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1970</w:t>
            </w:r>
          </w:p>
        </w:tc>
      </w:tr>
      <w:tr w14:paraId="69450D2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2A31B90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0"/>
                <w:sz w:val="21"/>
                <w:szCs w:val="21"/>
                <w:lang w:val="en-US" w:eastAsia="zh-CN" w:bidi="ar"/>
              </w:rPr>
              <w:t>19</w:t>
            </w:r>
          </w:p>
        </w:tc>
        <w:tc>
          <w:tcPr>
            <w:tcW w:w="1402" w:type="dxa"/>
            <w:noWrap w:val="0"/>
            <w:vAlign w:val="center"/>
          </w:tcPr>
          <w:p w14:paraId="63B0C815">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名和城</w:t>
            </w:r>
          </w:p>
        </w:tc>
        <w:tc>
          <w:tcPr>
            <w:tcW w:w="737" w:type="dxa"/>
            <w:noWrap w:val="0"/>
            <w:vAlign w:val="center"/>
          </w:tcPr>
          <w:p w14:paraId="249B574C">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-465</w:t>
            </w:r>
          </w:p>
        </w:tc>
        <w:tc>
          <w:tcPr>
            <w:tcW w:w="777" w:type="dxa"/>
            <w:noWrap w:val="0"/>
            <w:vAlign w:val="center"/>
          </w:tcPr>
          <w:p w14:paraId="1CE5DAA6">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-1945</w:t>
            </w:r>
          </w:p>
        </w:tc>
        <w:tc>
          <w:tcPr>
            <w:tcW w:w="936" w:type="dxa"/>
            <w:noWrap w:val="0"/>
            <w:vAlign w:val="center"/>
          </w:tcPr>
          <w:p w14:paraId="4CC32F64">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居住区</w:t>
            </w:r>
          </w:p>
        </w:tc>
        <w:tc>
          <w:tcPr>
            <w:tcW w:w="840" w:type="dxa"/>
            <w:noWrap w:val="0"/>
            <w:vAlign w:val="center"/>
          </w:tcPr>
          <w:p w14:paraId="3DD2AFBA">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居民</w:t>
            </w:r>
          </w:p>
        </w:tc>
        <w:tc>
          <w:tcPr>
            <w:tcW w:w="1388" w:type="dxa"/>
            <w:vMerge w:val="continue"/>
            <w:noWrap w:val="0"/>
            <w:vAlign w:val="center"/>
          </w:tcPr>
          <w:p w14:paraId="42996987">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06F3258B">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0FFD7315">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2100</w:t>
            </w:r>
          </w:p>
        </w:tc>
      </w:tr>
      <w:tr w14:paraId="6223B7C7">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67" w:hRule="atLeast"/>
          <w:jc w:val="center"/>
        </w:trPr>
        <w:tc>
          <w:tcPr>
            <w:tcW w:w="440" w:type="dxa"/>
            <w:noWrap w:val="0"/>
            <w:vAlign w:val="center"/>
          </w:tcPr>
          <w:p w14:paraId="626A6C8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20</w:t>
            </w:r>
          </w:p>
        </w:tc>
        <w:tc>
          <w:tcPr>
            <w:tcW w:w="1402" w:type="dxa"/>
            <w:noWrap w:val="0"/>
            <w:vAlign w:val="center"/>
          </w:tcPr>
          <w:p w14:paraId="0A31FE9B">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明德小学</w:t>
            </w:r>
          </w:p>
        </w:tc>
        <w:tc>
          <w:tcPr>
            <w:tcW w:w="737" w:type="dxa"/>
            <w:noWrap w:val="0"/>
            <w:vAlign w:val="center"/>
          </w:tcPr>
          <w:p w14:paraId="711AB045">
            <w:pPr>
              <w:keepNext w:val="0"/>
              <w:keepLines w:val="0"/>
              <w:pageBreakBefore w:val="0"/>
              <w:kinsoku/>
              <w:wordWrap/>
              <w:overflowPunct/>
              <w:topLinePunct w:val="0"/>
              <w:autoSpaceDE/>
              <w:autoSpaceDN/>
              <w:bidi w:val="0"/>
              <w:adjustRightInd/>
              <w:snapToGrid/>
              <w:spacing w:line="240" w:lineRule="auto"/>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895</w:t>
            </w:r>
          </w:p>
        </w:tc>
        <w:tc>
          <w:tcPr>
            <w:tcW w:w="777" w:type="dxa"/>
            <w:noWrap w:val="0"/>
            <w:vAlign w:val="center"/>
          </w:tcPr>
          <w:p w14:paraId="21B5E53E">
            <w:pPr>
              <w:keepNext w:val="0"/>
              <w:keepLines w:val="0"/>
              <w:pageBreakBefore w:val="0"/>
              <w:kinsoku/>
              <w:wordWrap/>
              <w:overflowPunct/>
              <w:topLinePunct w:val="0"/>
              <w:autoSpaceDE/>
              <w:autoSpaceDN/>
              <w:bidi w:val="0"/>
              <w:adjustRightInd/>
              <w:snapToGrid/>
              <w:spacing w:line="240" w:lineRule="auto"/>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1645</w:t>
            </w:r>
          </w:p>
        </w:tc>
        <w:tc>
          <w:tcPr>
            <w:tcW w:w="936" w:type="dxa"/>
            <w:noWrap w:val="0"/>
            <w:vAlign w:val="center"/>
          </w:tcPr>
          <w:p w14:paraId="77EF97E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学校</w:t>
            </w:r>
          </w:p>
        </w:tc>
        <w:tc>
          <w:tcPr>
            <w:tcW w:w="840" w:type="dxa"/>
            <w:noWrap w:val="0"/>
            <w:vAlign w:val="center"/>
          </w:tcPr>
          <w:p w14:paraId="0CEA8B26">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师生</w:t>
            </w:r>
          </w:p>
        </w:tc>
        <w:tc>
          <w:tcPr>
            <w:tcW w:w="1388" w:type="dxa"/>
            <w:vMerge w:val="continue"/>
            <w:noWrap w:val="0"/>
            <w:vAlign w:val="center"/>
          </w:tcPr>
          <w:p w14:paraId="08F538AB">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38BB206A">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EN</w:t>
            </w:r>
          </w:p>
        </w:tc>
        <w:tc>
          <w:tcPr>
            <w:tcW w:w="906" w:type="dxa"/>
            <w:noWrap w:val="0"/>
            <w:vAlign w:val="center"/>
          </w:tcPr>
          <w:p w14:paraId="7311AE36">
            <w:pPr>
              <w:keepNext w:val="0"/>
              <w:keepLines w:val="0"/>
              <w:pageBreakBefore w:val="0"/>
              <w:kinsoku/>
              <w:wordWrap/>
              <w:overflowPunct/>
              <w:topLinePunct w:val="0"/>
              <w:autoSpaceDE/>
              <w:autoSpaceDN/>
              <w:bidi w:val="0"/>
              <w:adjustRightInd/>
              <w:snapToGrid/>
              <w:spacing w:line="240" w:lineRule="auto"/>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约1655</w:t>
            </w:r>
          </w:p>
        </w:tc>
      </w:tr>
      <w:tr w14:paraId="7317E5DB">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55B0FEF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21</w:t>
            </w:r>
          </w:p>
        </w:tc>
        <w:tc>
          <w:tcPr>
            <w:tcW w:w="1402" w:type="dxa"/>
            <w:noWrap w:val="0"/>
            <w:vAlign w:val="center"/>
          </w:tcPr>
          <w:p w14:paraId="2B434736">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桦南县林业中学</w:t>
            </w:r>
          </w:p>
        </w:tc>
        <w:tc>
          <w:tcPr>
            <w:tcW w:w="737" w:type="dxa"/>
            <w:noWrap w:val="0"/>
            <w:vAlign w:val="center"/>
          </w:tcPr>
          <w:p w14:paraId="3680BAC6">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1710</w:t>
            </w:r>
          </w:p>
        </w:tc>
        <w:tc>
          <w:tcPr>
            <w:tcW w:w="777" w:type="dxa"/>
            <w:noWrap w:val="0"/>
            <w:vAlign w:val="center"/>
          </w:tcPr>
          <w:p w14:paraId="3C630E4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-1430</w:t>
            </w:r>
          </w:p>
        </w:tc>
        <w:tc>
          <w:tcPr>
            <w:tcW w:w="936" w:type="dxa"/>
            <w:noWrap w:val="0"/>
            <w:vAlign w:val="center"/>
          </w:tcPr>
          <w:p w14:paraId="40F5F5BF">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学校</w:t>
            </w:r>
          </w:p>
        </w:tc>
        <w:tc>
          <w:tcPr>
            <w:tcW w:w="840" w:type="dxa"/>
            <w:noWrap w:val="0"/>
            <w:vAlign w:val="center"/>
          </w:tcPr>
          <w:p w14:paraId="62743145">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师生</w:t>
            </w:r>
          </w:p>
        </w:tc>
        <w:tc>
          <w:tcPr>
            <w:tcW w:w="1388" w:type="dxa"/>
            <w:vMerge w:val="continue"/>
            <w:noWrap w:val="0"/>
            <w:vAlign w:val="center"/>
          </w:tcPr>
          <w:p w14:paraId="6F3FEF7F">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66849E52">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WN</w:t>
            </w:r>
          </w:p>
        </w:tc>
        <w:tc>
          <w:tcPr>
            <w:tcW w:w="906" w:type="dxa"/>
            <w:noWrap w:val="0"/>
            <w:vAlign w:val="center"/>
          </w:tcPr>
          <w:p w14:paraId="67C7A6DB">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约20</w:t>
            </w:r>
            <w:r>
              <w:rPr>
                <w:rFonts w:hint="eastAsia" w:ascii="Times New Roman" w:hAnsi="Times New Roman" w:eastAsia="宋体" w:cs="Times New Roman"/>
                <w:color w:val="000000"/>
                <w:kern w:val="2"/>
                <w:sz w:val="21"/>
                <w:szCs w:val="21"/>
                <w:lang w:val="en-US" w:eastAsia="zh-CN"/>
              </w:rPr>
              <w:t>85</w:t>
            </w:r>
          </w:p>
        </w:tc>
      </w:tr>
      <w:tr w14:paraId="4007370B">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0CEC928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2"/>
                <w:sz w:val="21"/>
                <w:szCs w:val="21"/>
                <w:lang w:val="en-US" w:eastAsia="zh-CN"/>
              </w:rPr>
              <w:t>22</w:t>
            </w:r>
          </w:p>
        </w:tc>
        <w:tc>
          <w:tcPr>
            <w:tcW w:w="1402" w:type="dxa"/>
            <w:noWrap w:val="0"/>
            <w:vAlign w:val="center"/>
          </w:tcPr>
          <w:p w14:paraId="53108A6F">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桦南县第七小学</w:t>
            </w:r>
          </w:p>
        </w:tc>
        <w:tc>
          <w:tcPr>
            <w:tcW w:w="737" w:type="dxa"/>
            <w:noWrap w:val="0"/>
            <w:vAlign w:val="center"/>
          </w:tcPr>
          <w:p w14:paraId="1F4F0DA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kern w:val="2"/>
                <w:sz w:val="21"/>
                <w:szCs w:val="21"/>
                <w:lang w:eastAsia="zh-CN"/>
              </w:rPr>
            </w:pPr>
            <w:r>
              <w:rPr>
                <w:rFonts w:hint="eastAsia" w:ascii="Times New Roman" w:hAnsi="Times New Roman" w:eastAsia="宋体" w:cs="Times New Roman"/>
                <w:color w:val="000000"/>
                <w:kern w:val="2"/>
                <w:sz w:val="21"/>
                <w:szCs w:val="21"/>
                <w:lang w:val="en-US" w:eastAsia="zh-CN"/>
              </w:rPr>
              <w:t>0</w:t>
            </w:r>
          </w:p>
        </w:tc>
        <w:tc>
          <w:tcPr>
            <w:tcW w:w="777" w:type="dxa"/>
            <w:noWrap w:val="0"/>
            <w:vAlign w:val="center"/>
          </w:tcPr>
          <w:p w14:paraId="0BD4B663">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-1975</w:t>
            </w:r>
          </w:p>
        </w:tc>
        <w:tc>
          <w:tcPr>
            <w:tcW w:w="936" w:type="dxa"/>
            <w:noWrap w:val="0"/>
            <w:vAlign w:val="center"/>
          </w:tcPr>
          <w:p w14:paraId="30F8010C">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学校</w:t>
            </w:r>
          </w:p>
        </w:tc>
        <w:tc>
          <w:tcPr>
            <w:tcW w:w="840" w:type="dxa"/>
            <w:noWrap w:val="0"/>
            <w:vAlign w:val="center"/>
          </w:tcPr>
          <w:p w14:paraId="7C0B1C21">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师生</w:t>
            </w:r>
          </w:p>
        </w:tc>
        <w:tc>
          <w:tcPr>
            <w:tcW w:w="1388" w:type="dxa"/>
            <w:vMerge w:val="continue"/>
            <w:noWrap w:val="0"/>
            <w:vAlign w:val="center"/>
          </w:tcPr>
          <w:p w14:paraId="5C409BC6">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22339725">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S</w:t>
            </w:r>
          </w:p>
        </w:tc>
        <w:tc>
          <w:tcPr>
            <w:tcW w:w="906" w:type="dxa"/>
            <w:noWrap w:val="0"/>
            <w:vAlign w:val="center"/>
          </w:tcPr>
          <w:p w14:paraId="5E418F4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约1</w:t>
            </w:r>
            <w:r>
              <w:rPr>
                <w:rFonts w:hint="eastAsia" w:ascii="Times New Roman" w:hAnsi="Times New Roman" w:eastAsia="宋体" w:cs="Times New Roman"/>
                <w:color w:val="000000"/>
                <w:kern w:val="2"/>
                <w:sz w:val="21"/>
                <w:szCs w:val="21"/>
                <w:lang w:val="en-US" w:eastAsia="zh-CN"/>
              </w:rPr>
              <w:t>975</w:t>
            </w:r>
          </w:p>
        </w:tc>
      </w:tr>
      <w:tr w14:paraId="2B3677B9">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196D655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bidi="ar"/>
              </w:rPr>
            </w:pPr>
            <w:r>
              <w:rPr>
                <w:rFonts w:hint="eastAsia" w:cs="Times New Roman"/>
                <w:color w:val="000000"/>
                <w:kern w:val="0"/>
                <w:sz w:val="21"/>
                <w:szCs w:val="21"/>
                <w:lang w:val="en-US" w:eastAsia="zh-CN" w:bidi="ar"/>
              </w:rPr>
              <w:t>23</w:t>
            </w:r>
          </w:p>
        </w:tc>
        <w:tc>
          <w:tcPr>
            <w:tcW w:w="1402" w:type="dxa"/>
            <w:noWrap w:val="0"/>
            <w:vAlign w:val="center"/>
          </w:tcPr>
          <w:p w14:paraId="080186E7">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桦南县实验小学二校区</w:t>
            </w:r>
          </w:p>
        </w:tc>
        <w:tc>
          <w:tcPr>
            <w:tcW w:w="737" w:type="dxa"/>
            <w:noWrap w:val="0"/>
            <w:vAlign w:val="center"/>
          </w:tcPr>
          <w:p w14:paraId="399CA87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-585</w:t>
            </w:r>
          </w:p>
        </w:tc>
        <w:tc>
          <w:tcPr>
            <w:tcW w:w="777" w:type="dxa"/>
            <w:noWrap w:val="0"/>
            <w:vAlign w:val="center"/>
          </w:tcPr>
          <w:p w14:paraId="23330166">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-2055</w:t>
            </w:r>
          </w:p>
        </w:tc>
        <w:tc>
          <w:tcPr>
            <w:tcW w:w="936" w:type="dxa"/>
            <w:noWrap w:val="0"/>
            <w:vAlign w:val="center"/>
          </w:tcPr>
          <w:p w14:paraId="595AF3B9">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学校</w:t>
            </w:r>
          </w:p>
        </w:tc>
        <w:tc>
          <w:tcPr>
            <w:tcW w:w="840" w:type="dxa"/>
            <w:noWrap w:val="0"/>
            <w:vAlign w:val="center"/>
          </w:tcPr>
          <w:p w14:paraId="26197C29">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师生</w:t>
            </w:r>
          </w:p>
        </w:tc>
        <w:tc>
          <w:tcPr>
            <w:tcW w:w="1388" w:type="dxa"/>
            <w:vMerge w:val="continue"/>
            <w:noWrap w:val="0"/>
            <w:vAlign w:val="center"/>
          </w:tcPr>
          <w:p w14:paraId="7AB00582">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5EBF3426">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EN</w:t>
            </w:r>
          </w:p>
        </w:tc>
        <w:tc>
          <w:tcPr>
            <w:tcW w:w="906" w:type="dxa"/>
            <w:noWrap w:val="0"/>
            <w:vAlign w:val="center"/>
          </w:tcPr>
          <w:p w14:paraId="765FE8D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2205</w:t>
            </w:r>
          </w:p>
        </w:tc>
      </w:tr>
      <w:tr w14:paraId="46CD124D">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6B7237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24</w:t>
            </w:r>
          </w:p>
        </w:tc>
        <w:tc>
          <w:tcPr>
            <w:tcW w:w="1402" w:type="dxa"/>
            <w:noWrap w:val="0"/>
            <w:vAlign w:val="center"/>
          </w:tcPr>
          <w:p w14:paraId="17CC51C5">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桦南县铁东医院</w:t>
            </w:r>
          </w:p>
        </w:tc>
        <w:tc>
          <w:tcPr>
            <w:tcW w:w="737" w:type="dxa"/>
            <w:noWrap w:val="0"/>
            <w:vAlign w:val="center"/>
          </w:tcPr>
          <w:p w14:paraId="3A76757C">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1260</w:t>
            </w:r>
          </w:p>
        </w:tc>
        <w:tc>
          <w:tcPr>
            <w:tcW w:w="777" w:type="dxa"/>
            <w:noWrap w:val="0"/>
            <w:vAlign w:val="center"/>
          </w:tcPr>
          <w:p w14:paraId="6FD7984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-2040</w:t>
            </w:r>
          </w:p>
        </w:tc>
        <w:tc>
          <w:tcPr>
            <w:tcW w:w="936" w:type="dxa"/>
            <w:noWrap w:val="0"/>
            <w:vAlign w:val="center"/>
          </w:tcPr>
          <w:p w14:paraId="5FEC927C">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医院</w:t>
            </w:r>
          </w:p>
        </w:tc>
        <w:tc>
          <w:tcPr>
            <w:tcW w:w="840" w:type="dxa"/>
            <w:noWrap w:val="0"/>
            <w:vAlign w:val="center"/>
          </w:tcPr>
          <w:p w14:paraId="4E03EDB2">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医护及病患人员</w:t>
            </w:r>
          </w:p>
        </w:tc>
        <w:tc>
          <w:tcPr>
            <w:tcW w:w="1388" w:type="dxa"/>
            <w:vMerge w:val="continue"/>
            <w:noWrap w:val="0"/>
            <w:vAlign w:val="center"/>
          </w:tcPr>
          <w:p w14:paraId="73C22945">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3ACDC585">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ES</w:t>
            </w:r>
          </w:p>
        </w:tc>
        <w:tc>
          <w:tcPr>
            <w:tcW w:w="906" w:type="dxa"/>
            <w:noWrap w:val="0"/>
            <w:vAlign w:val="center"/>
          </w:tcPr>
          <w:p w14:paraId="2AA6BD27">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2310</w:t>
            </w:r>
          </w:p>
        </w:tc>
      </w:tr>
      <w:tr w14:paraId="1F7CB0A2">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72B3927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25</w:t>
            </w:r>
          </w:p>
        </w:tc>
        <w:tc>
          <w:tcPr>
            <w:tcW w:w="1402" w:type="dxa"/>
            <w:noWrap w:val="0"/>
            <w:vAlign w:val="center"/>
          </w:tcPr>
          <w:p w14:paraId="3F78D04A">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桦南德惠居医院</w:t>
            </w:r>
          </w:p>
        </w:tc>
        <w:tc>
          <w:tcPr>
            <w:tcW w:w="737" w:type="dxa"/>
            <w:noWrap w:val="0"/>
            <w:vAlign w:val="center"/>
          </w:tcPr>
          <w:p w14:paraId="2AE36A7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0</w:t>
            </w:r>
          </w:p>
        </w:tc>
        <w:tc>
          <w:tcPr>
            <w:tcW w:w="777" w:type="dxa"/>
            <w:noWrap w:val="0"/>
            <w:vAlign w:val="center"/>
          </w:tcPr>
          <w:p w14:paraId="5DC02FAA">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-1775</w:t>
            </w:r>
          </w:p>
        </w:tc>
        <w:tc>
          <w:tcPr>
            <w:tcW w:w="936" w:type="dxa"/>
            <w:noWrap w:val="0"/>
            <w:vAlign w:val="center"/>
          </w:tcPr>
          <w:p w14:paraId="0AB8A38A">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医院</w:t>
            </w:r>
          </w:p>
        </w:tc>
        <w:tc>
          <w:tcPr>
            <w:tcW w:w="840" w:type="dxa"/>
            <w:noWrap w:val="0"/>
            <w:vAlign w:val="center"/>
          </w:tcPr>
          <w:p w14:paraId="1D2C5C4E">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医护及病患人员</w:t>
            </w:r>
          </w:p>
        </w:tc>
        <w:tc>
          <w:tcPr>
            <w:tcW w:w="1388" w:type="dxa"/>
            <w:vMerge w:val="continue"/>
            <w:noWrap w:val="0"/>
            <w:vAlign w:val="center"/>
          </w:tcPr>
          <w:p w14:paraId="350DBF20">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147D1610">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S</w:t>
            </w:r>
          </w:p>
        </w:tc>
        <w:tc>
          <w:tcPr>
            <w:tcW w:w="906" w:type="dxa"/>
            <w:noWrap w:val="0"/>
            <w:vAlign w:val="center"/>
          </w:tcPr>
          <w:p w14:paraId="24C7437C">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1775</w:t>
            </w:r>
          </w:p>
        </w:tc>
      </w:tr>
      <w:tr w14:paraId="2782732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34" w:hRule="atLeast"/>
          <w:jc w:val="center"/>
        </w:trPr>
        <w:tc>
          <w:tcPr>
            <w:tcW w:w="440" w:type="dxa"/>
            <w:noWrap w:val="0"/>
            <w:vAlign w:val="center"/>
          </w:tcPr>
          <w:p w14:paraId="6734641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26</w:t>
            </w:r>
          </w:p>
        </w:tc>
        <w:tc>
          <w:tcPr>
            <w:tcW w:w="1402" w:type="dxa"/>
            <w:noWrap w:val="0"/>
            <w:vAlign w:val="center"/>
          </w:tcPr>
          <w:p w14:paraId="0627257F">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桦南县中医医院</w:t>
            </w:r>
          </w:p>
        </w:tc>
        <w:tc>
          <w:tcPr>
            <w:tcW w:w="737" w:type="dxa"/>
            <w:noWrap w:val="0"/>
            <w:vAlign w:val="center"/>
          </w:tcPr>
          <w:p w14:paraId="29F7926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-460</w:t>
            </w:r>
          </w:p>
        </w:tc>
        <w:tc>
          <w:tcPr>
            <w:tcW w:w="777" w:type="dxa"/>
            <w:noWrap w:val="0"/>
            <w:vAlign w:val="center"/>
          </w:tcPr>
          <w:p w14:paraId="511288D3">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-1205</w:t>
            </w:r>
          </w:p>
        </w:tc>
        <w:tc>
          <w:tcPr>
            <w:tcW w:w="936" w:type="dxa"/>
            <w:noWrap w:val="0"/>
            <w:vAlign w:val="center"/>
          </w:tcPr>
          <w:p w14:paraId="0AEF50FB">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医院</w:t>
            </w:r>
          </w:p>
        </w:tc>
        <w:tc>
          <w:tcPr>
            <w:tcW w:w="840" w:type="dxa"/>
            <w:noWrap w:val="0"/>
            <w:vAlign w:val="center"/>
          </w:tcPr>
          <w:p w14:paraId="3CD1ADAA">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医护及病患人员</w:t>
            </w:r>
          </w:p>
        </w:tc>
        <w:tc>
          <w:tcPr>
            <w:tcW w:w="1388" w:type="dxa"/>
            <w:vMerge w:val="continue"/>
            <w:noWrap w:val="0"/>
            <w:vAlign w:val="center"/>
          </w:tcPr>
          <w:p w14:paraId="0A4750E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65492199">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509A4E7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1365</w:t>
            </w:r>
          </w:p>
        </w:tc>
      </w:tr>
      <w:tr w14:paraId="07B826A1">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4906027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27</w:t>
            </w:r>
          </w:p>
        </w:tc>
        <w:tc>
          <w:tcPr>
            <w:tcW w:w="1402" w:type="dxa"/>
            <w:noWrap w:val="0"/>
            <w:vAlign w:val="center"/>
          </w:tcPr>
          <w:p w14:paraId="4A0E5862">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桦南县交通运输局</w:t>
            </w:r>
          </w:p>
        </w:tc>
        <w:tc>
          <w:tcPr>
            <w:tcW w:w="737" w:type="dxa"/>
            <w:noWrap w:val="0"/>
            <w:vAlign w:val="center"/>
          </w:tcPr>
          <w:p w14:paraId="2C2F7A8F">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-210</w:t>
            </w:r>
          </w:p>
        </w:tc>
        <w:tc>
          <w:tcPr>
            <w:tcW w:w="777" w:type="dxa"/>
            <w:noWrap w:val="0"/>
            <w:vAlign w:val="center"/>
          </w:tcPr>
          <w:p w14:paraId="649E1647">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-2140</w:t>
            </w:r>
          </w:p>
        </w:tc>
        <w:tc>
          <w:tcPr>
            <w:tcW w:w="936" w:type="dxa"/>
            <w:noWrap w:val="0"/>
            <w:vAlign w:val="center"/>
          </w:tcPr>
          <w:p w14:paraId="12B58AA4">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行政</w:t>
            </w:r>
          </w:p>
          <w:p w14:paraId="3389855D">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w:t>
            </w:r>
          </w:p>
        </w:tc>
        <w:tc>
          <w:tcPr>
            <w:tcW w:w="840" w:type="dxa"/>
            <w:noWrap w:val="0"/>
            <w:vAlign w:val="center"/>
          </w:tcPr>
          <w:p w14:paraId="43700B0D">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办公人员</w:t>
            </w:r>
          </w:p>
        </w:tc>
        <w:tc>
          <w:tcPr>
            <w:tcW w:w="1388" w:type="dxa"/>
            <w:vMerge w:val="continue"/>
            <w:noWrap w:val="0"/>
            <w:vAlign w:val="center"/>
          </w:tcPr>
          <w:p w14:paraId="2EEB4B40">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5D53D169">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276B850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2190</w:t>
            </w:r>
          </w:p>
        </w:tc>
      </w:tr>
      <w:tr w14:paraId="3FBA82F0">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736A840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28</w:t>
            </w:r>
          </w:p>
        </w:tc>
        <w:tc>
          <w:tcPr>
            <w:tcW w:w="1402" w:type="dxa"/>
            <w:noWrap w:val="0"/>
            <w:vAlign w:val="center"/>
          </w:tcPr>
          <w:p w14:paraId="1E31E511">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桦南县消防大队</w:t>
            </w:r>
          </w:p>
        </w:tc>
        <w:tc>
          <w:tcPr>
            <w:tcW w:w="737" w:type="dxa"/>
            <w:noWrap w:val="0"/>
            <w:vAlign w:val="center"/>
          </w:tcPr>
          <w:p w14:paraId="7522C34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-370</w:t>
            </w:r>
          </w:p>
        </w:tc>
        <w:tc>
          <w:tcPr>
            <w:tcW w:w="777" w:type="dxa"/>
            <w:noWrap w:val="0"/>
            <w:vAlign w:val="center"/>
          </w:tcPr>
          <w:p w14:paraId="2B798E4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-735</w:t>
            </w:r>
          </w:p>
        </w:tc>
        <w:tc>
          <w:tcPr>
            <w:tcW w:w="936" w:type="dxa"/>
            <w:noWrap w:val="0"/>
            <w:vAlign w:val="center"/>
          </w:tcPr>
          <w:p w14:paraId="51DBDC72">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行政</w:t>
            </w:r>
          </w:p>
          <w:p w14:paraId="6688273C">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w:t>
            </w:r>
          </w:p>
        </w:tc>
        <w:tc>
          <w:tcPr>
            <w:tcW w:w="840" w:type="dxa"/>
            <w:noWrap w:val="0"/>
            <w:vAlign w:val="center"/>
          </w:tcPr>
          <w:p w14:paraId="3E271FB7">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办公人员</w:t>
            </w:r>
          </w:p>
        </w:tc>
        <w:tc>
          <w:tcPr>
            <w:tcW w:w="1388" w:type="dxa"/>
            <w:vMerge w:val="continue"/>
            <w:noWrap w:val="0"/>
            <w:vAlign w:val="center"/>
          </w:tcPr>
          <w:p w14:paraId="72FE9D4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1EA9BCC1">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06EAE1A5">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845</w:t>
            </w:r>
          </w:p>
        </w:tc>
      </w:tr>
      <w:tr w14:paraId="4FF423F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1795C7D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29</w:t>
            </w:r>
          </w:p>
        </w:tc>
        <w:tc>
          <w:tcPr>
            <w:tcW w:w="1402" w:type="dxa"/>
            <w:noWrap w:val="0"/>
            <w:vAlign w:val="center"/>
          </w:tcPr>
          <w:p w14:paraId="7E3DB789">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桦南县公安局</w:t>
            </w:r>
          </w:p>
        </w:tc>
        <w:tc>
          <w:tcPr>
            <w:tcW w:w="737" w:type="dxa"/>
            <w:noWrap w:val="0"/>
            <w:vAlign w:val="center"/>
          </w:tcPr>
          <w:p w14:paraId="22CCA8DD">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-800</w:t>
            </w:r>
          </w:p>
        </w:tc>
        <w:tc>
          <w:tcPr>
            <w:tcW w:w="777" w:type="dxa"/>
            <w:noWrap w:val="0"/>
            <w:vAlign w:val="center"/>
          </w:tcPr>
          <w:p w14:paraId="5D4B023C">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-700</w:t>
            </w:r>
          </w:p>
        </w:tc>
        <w:tc>
          <w:tcPr>
            <w:tcW w:w="936" w:type="dxa"/>
            <w:noWrap w:val="0"/>
            <w:vAlign w:val="center"/>
          </w:tcPr>
          <w:p w14:paraId="79DB454A">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行政</w:t>
            </w:r>
          </w:p>
          <w:p w14:paraId="68896F56">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w:t>
            </w:r>
          </w:p>
        </w:tc>
        <w:tc>
          <w:tcPr>
            <w:tcW w:w="840" w:type="dxa"/>
            <w:noWrap w:val="0"/>
            <w:vAlign w:val="center"/>
          </w:tcPr>
          <w:p w14:paraId="07FCCBE6">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办公人员</w:t>
            </w:r>
          </w:p>
        </w:tc>
        <w:tc>
          <w:tcPr>
            <w:tcW w:w="1388" w:type="dxa"/>
            <w:vMerge w:val="continue"/>
            <w:noWrap w:val="0"/>
            <w:vAlign w:val="center"/>
          </w:tcPr>
          <w:p w14:paraId="7B8FEAC5">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41053E72">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WS</w:t>
            </w:r>
          </w:p>
        </w:tc>
        <w:tc>
          <w:tcPr>
            <w:tcW w:w="906" w:type="dxa"/>
            <w:noWrap w:val="0"/>
            <w:vAlign w:val="center"/>
          </w:tcPr>
          <w:p w14:paraId="68C21EDA">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1075</w:t>
            </w:r>
          </w:p>
        </w:tc>
      </w:tr>
      <w:tr w14:paraId="5F2E1E4B">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5133879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30</w:t>
            </w:r>
          </w:p>
        </w:tc>
        <w:tc>
          <w:tcPr>
            <w:tcW w:w="1402" w:type="dxa"/>
            <w:noWrap w:val="0"/>
            <w:vAlign w:val="center"/>
          </w:tcPr>
          <w:p w14:paraId="1A0748AA">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桦南县市场监督管理局</w:t>
            </w:r>
          </w:p>
        </w:tc>
        <w:tc>
          <w:tcPr>
            <w:tcW w:w="737" w:type="dxa"/>
            <w:noWrap w:val="0"/>
            <w:vAlign w:val="center"/>
          </w:tcPr>
          <w:p w14:paraId="470DAE1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-870</w:t>
            </w:r>
          </w:p>
        </w:tc>
        <w:tc>
          <w:tcPr>
            <w:tcW w:w="777" w:type="dxa"/>
            <w:noWrap w:val="0"/>
            <w:vAlign w:val="center"/>
          </w:tcPr>
          <w:p w14:paraId="1A5989EC">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0</w:t>
            </w:r>
          </w:p>
        </w:tc>
        <w:tc>
          <w:tcPr>
            <w:tcW w:w="936" w:type="dxa"/>
            <w:noWrap w:val="0"/>
            <w:vAlign w:val="center"/>
          </w:tcPr>
          <w:p w14:paraId="2DE92B6F">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行政</w:t>
            </w:r>
          </w:p>
          <w:p w14:paraId="728D05C7">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w:t>
            </w:r>
          </w:p>
        </w:tc>
        <w:tc>
          <w:tcPr>
            <w:tcW w:w="840" w:type="dxa"/>
            <w:noWrap w:val="0"/>
            <w:vAlign w:val="center"/>
          </w:tcPr>
          <w:p w14:paraId="6AE734E1">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办公人员</w:t>
            </w:r>
          </w:p>
        </w:tc>
        <w:tc>
          <w:tcPr>
            <w:tcW w:w="1388" w:type="dxa"/>
            <w:vMerge w:val="continue"/>
            <w:noWrap w:val="0"/>
            <w:vAlign w:val="center"/>
          </w:tcPr>
          <w:p w14:paraId="0C36BCE3">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44E1511B">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W</w:t>
            </w:r>
          </w:p>
        </w:tc>
        <w:tc>
          <w:tcPr>
            <w:tcW w:w="906" w:type="dxa"/>
            <w:noWrap w:val="0"/>
            <w:vAlign w:val="center"/>
          </w:tcPr>
          <w:p w14:paraId="105D6D3F">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rPr>
              <w:t>约</w:t>
            </w:r>
            <w:r>
              <w:rPr>
                <w:rFonts w:hint="eastAsia" w:ascii="Times New Roman" w:hAnsi="Times New Roman" w:eastAsia="宋体" w:cs="Times New Roman"/>
                <w:color w:val="000000"/>
                <w:kern w:val="2"/>
                <w:sz w:val="21"/>
                <w:szCs w:val="21"/>
                <w:lang w:val="en-US" w:eastAsia="zh-CN"/>
              </w:rPr>
              <w:t>870</w:t>
            </w:r>
          </w:p>
        </w:tc>
      </w:tr>
      <w:tr w14:paraId="4DE44B7A">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003A0E0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31</w:t>
            </w:r>
          </w:p>
        </w:tc>
        <w:tc>
          <w:tcPr>
            <w:tcW w:w="1402" w:type="dxa"/>
            <w:noWrap w:val="0"/>
            <w:vAlign w:val="center"/>
          </w:tcPr>
          <w:p w14:paraId="677E8408">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cs="Times New Roman"/>
                <w:color w:val="000000"/>
                <w:kern w:val="2"/>
                <w:sz w:val="21"/>
                <w:szCs w:val="21"/>
                <w:lang w:val="en-US" w:eastAsia="zh-CN" w:bidi="ar-SA"/>
              </w:rPr>
              <w:t>桦南县生态环境局</w:t>
            </w:r>
          </w:p>
        </w:tc>
        <w:tc>
          <w:tcPr>
            <w:tcW w:w="737" w:type="dxa"/>
            <w:noWrap w:val="0"/>
            <w:vAlign w:val="center"/>
          </w:tcPr>
          <w:p w14:paraId="3523EF1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-460</w:t>
            </w:r>
          </w:p>
        </w:tc>
        <w:tc>
          <w:tcPr>
            <w:tcW w:w="777" w:type="dxa"/>
            <w:noWrap w:val="0"/>
            <w:vAlign w:val="center"/>
          </w:tcPr>
          <w:p w14:paraId="1544307C">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-1790</w:t>
            </w:r>
          </w:p>
        </w:tc>
        <w:tc>
          <w:tcPr>
            <w:tcW w:w="936" w:type="dxa"/>
            <w:noWrap w:val="0"/>
            <w:vAlign w:val="center"/>
          </w:tcPr>
          <w:p w14:paraId="5A9EE9DC">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行政</w:t>
            </w:r>
          </w:p>
          <w:p w14:paraId="3AD10196">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w:t>
            </w:r>
          </w:p>
        </w:tc>
        <w:tc>
          <w:tcPr>
            <w:tcW w:w="840" w:type="dxa"/>
            <w:noWrap w:val="0"/>
            <w:vAlign w:val="center"/>
          </w:tcPr>
          <w:p w14:paraId="225FCD9A">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办公人员</w:t>
            </w:r>
          </w:p>
        </w:tc>
        <w:tc>
          <w:tcPr>
            <w:tcW w:w="1388" w:type="dxa"/>
            <w:vMerge w:val="continue"/>
            <w:noWrap w:val="0"/>
            <w:vAlign w:val="center"/>
          </w:tcPr>
          <w:p w14:paraId="35658FCC">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3632B211">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cs="Times New Roman"/>
                <w:color w:val="000000"/>
                <w:kern w:val="2"/>
                <w:sz w:val="21"/>
                <w:szCs w:val="21"/>
                <w:lang w:val="en-US" w:eastAsia="zh-CN" w:bidi="ar-SA"/>
              </w:rPr>
              <w:t>WS</w:t>
            </w:r>
          </w:p>
        </w:tc>
        <w:tc>
          <w:tcPr>
            <w:tcW w:w="906" w:type="dxa"/>
            <w:noWrap w:val="0"/>
            <w:vAlign w:val="center"/>
          </w:tcPr>
          <w:p w14:paraId="079435F7">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约1920</w:t>
            </w:r>
          </w:p>
        </w:tc>
      </w:tr>
      <w:tr w14:paraId="07E57426">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440" w:type="dxa"/>
            <w:noWrap w:val="0"/>
            <w:vAlign w:val="center"/>
          </w:tcPr>
          <w:p w14:paraId="7422753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32</w:t>
            </w:r>
          </w:p>
        </w:tc>
        <w:tc>
          <w:tcPr>
            <w:tcW w:w="1402" w:type="dxa"/>
            <w:noWrap w:val="0"/>
            <w:vAlign w:val="center"/>
          </w:tcPr>
          <w:p w14:paraId="05A67189">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cs="Times New Roman"/>
                <w:color w:val="000000"/>
                <w:kern w:val="2"/>
                <w:sz w:val="21"/>
                <w:szCs w:val="21"/>
                <w:lang w:val="en-US" w:eastAsia="zh-CN" w:bidi="ar-SA"/>
              </w:rPr>
              <w:t>柳毛河镇人民政府</w:t>
            </w:r>
          </w:p>
        </w:tc>
        <w:tc>
          <w:tcPr>
            <w:tcW w:w="737" w:type="dxa"/>
            <w:noWrap w:val="0"/>
            <w:vAlign w:val="center"/>
          </w:tcPr>
          <w:p w14:paraId="43F055C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1500</w:t>
            </w:r>
          </w:p>
        </w:tc>
        <w:tc>
          <w:tcPr>
            <w:tcW w:w="777" w:type="dxa"/>
            <w:noWrap w:val="0"/>
            <w:vAlign w:val="center"/>
          </w:tcPr>
          <w:p w14:paraId="495F9E3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-1950</w:t>
            </w:r>
          </w:p>
        </w:tc>
        <w:tc>
          <w:tcPr>
            <w:tcW w:w="936" w:type="dxa"/>
            <w:noWrap w:val="0"/>
            <w:vAlign w:val="center"/>
          </w:tcPr>
          <w:p w14:paraId="0B6FD71D">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行政</w:t>
            </w:r>
          </w:p>
          <w:p w14:paraId="32E1570D">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w:t>
            </w:r>
          </w:p>
        </w:tc>
        <w:tc>
          <w:tcPr>
            <w:tcW w:w="840" w:type="dxa"/>
            <w:noWrap w:val="0"/>
            <w:vAlign w:val="center"/>
          </w:tcPr>
          <w:p w14:paraId="3CE3ABF7">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办公人员</w:t>
            </w:r>
          </w:p>
        </w:tc>
        <w:tc>
          <w:tcPr>
            <w:tcW w:w="1388" w:type="dxa"/>
            <w:vMerge w:val="continue"/>
            <w:noWrap w:val="0"/>
            <w:vAlign w:val="center"/>
          </w:tcPr>
          <w:p w14:paraId="50C7DE66">
            <w:pPr>
              <w:keepNext w:val="0"/>
              <w:keepLines w:val="0"/>
              <w:pageBreakBefore w:val="0"/>
              <w:widowControl w:val="0"/>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kern w:val="2"/>
                <w:sz w:val="21"/>
                <w:szCs w:val="21"/>
                <w:lang w:val="en-US" w:eastAsia="zh-CN" w:bidi="ar-SA"/>
              </w:rPr>
            </w:pPr>
          </w:p>
        </w:tc>
        <w:tc>
          <w:tcPr>
            <w:tcW w:w="850" w:type="dxa"/>
            <w:noWrap w:val="0"/>
            <w:vAlign w:val="center"/>
          </w:tcPr>
          <w:p w14:paraId="059DF1F5">
            <w:pPr>
              <w:keepNext w:val="0"/>
              <w:keepLines w:val="0"/>
              <w:pageBreakBefore w:val="0"/>
              <w:widowControl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kern w:val="2"/>
                <w:sz w:val="21"/>
                <w:szCs w:val="21"/>
                <w:lang w:val="en-US" w:eastAsia="zh-CN" w:bidi="ar-SA"/>
              </w:rPr>
            </w:pPr>
            <w:r>
              <w:rPr>
                <w:rFonts w:hint="eastAsia" w:cs="Times New Roman"/>
                <w:color w:val="000000"/>
                <w:kern w:val="2"/>
                <w:sz w:val="21"/>
                <w:szCs w:val="21"/>
                <w:lang w:val="en-US" w:eastAsia="zh-CN" w:bidi="ar-SA"/>
              </w:rPr>
              <w:t>ES</w:t>
            </w:r>
          </w:p>
        </w:tc>
        <w:tc>
          <w:tcPr>
            <w:tcW w:w="906" w:type="dxa"/>
            <w:noWrap w:val="0"/>
            <w:vAlign w:val="center"/>
          </w:tcPr>
          <w:p w14:paraId="632F6EB1">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kern w:val="2"/>
                <w:sz w:val="21"/>
                <w:szCs w:val="21"/>
                <w:lang w:val="en-US" w:eastAsia="zh-CN"/>
              </w:rPr>
            </w:pPr>
            <w:r>
              <w:rPr>
                <w:rFonts w:hint="eastAsia" w:cs="Times New Roman"/>
                <w:color w:val="000000"/>
                <w:kern w:val="2"/>
                <w:sz w:val="21"/>
                <w:szCs w:val="21"/>
                <w:lang w:val="en-US" w:eastAsia="zh-CN"/>
              </w:rPr>
              <w:t>约2315</w:t>
            </w:r>
          </w:p>
        </w:tc>
      </w:tr>
      <w:tr w14:paraId="576FF2DB">
        <w:tblPrEx>
          <w:tblBorders>
            <w:top w:val="single" w:color="auto"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53" w:hRule="atLeast"/>
          <w:jc w:val="center"/>
        </w:trPr>
        <w:tc>
          <w:tcPr>
            <w:tcW w:w="8276" w:type="dxa"/>
            <w:gridSpan w:val="9"/>
            <w:noWrap w:val="0"/>
            <w:vAlign w:val="center"/>
          </w:tcPr>
          <w:p w14:paraId="4052161C">
            <w:pPr>
              <w:keepNext w:val="0"/>
              <w:keepLines w:val="0"/>
              <w:pageBreakBefore w:val="0"/>
              <w:kinsoku/>
              <w:wordWrap/>
              <w:overflowPunct/>
              <w:topLinePunct w:val="0"/>
              <w:autoSpaceDE/>
              <w:autoSpaceDN/>
              <w:bidi w:val="0"/>
              <w:adjustRightInd/>
              <w:snapToGrid/>
              <w:spacing w:line="240" w:lineRule="auto"/>
              <w:ind w:firstLine="0" w:firstLineChars="0"/>
              <w:jc w:val="left"/>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注：以厂界西南角为中心坐标（0,0）</w:t>
            </w:r>
          </w:p>
        </w:tc>
      </w:tr>
    </w:tbl>
    <w:p w14:paraId="6A3AFBE7">
      <w:pPr>
        <w:pStyle w:val="206"/>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表2-</w:t>
      </w:r>
      <w:r>
        <w:rPr>
          <w:snapToGrid w:val="0"/>
          <w:color w:val="000000" w:themeColor="text1"/>
          <w:kern w:val="0"/>
          <w14:textFill>
            <w14:solidFill>
              <w14:schemeClr w14:val="tx1"/>
            </w14:solidFill>
          </w14:textFill>
        </w:rPr>
        <w:t>7</w:t>
      </w:r>
      <w:r>
        <w:rPr>
          <w:rFonts w:hint="eastAsia"/>
          <w:snapToGrid w:val="0"/>
          <w:color w:val="000000" w:themeColor="text1"/>
          <w:kern w:val="0"/>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2其他要素</w:t>
      </w:r>
      <w:r>
        <w:rPr>
          <w:rFonts w:hint="eastAsia"/>
          <w:color w:val="000000" w:themeColor="text1"/>
          <w14:textFill>
            <w14:solidFill>
              <w14:schemeClr w14:val="tx1"/>
            </w14:solidFill>
          </w14:textFill>
        </w:rPr>
        <w:t>环境保护目标一览表</w:t>
      </w:r>
    </w:p>
    <w:tbl>
      <w:tblPr>
        <w:tblStyle w:val="49"/>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41"/>
        <w:gridCol w:w="1034"/>
        <w:gridCol w:w="1424"/>
        <w:gridCol w:w="1319"/>
        <w:gridCol w:w="749"/>
        <w:gridCol w:w="548"/>
        <w:gridCol w:w="1131"/>
        <w:gridCol w:w="510"/>
        <w:gridCol w:w="545"/>
      </w:tblGrid>
      <w:tr w14:paraId="1A838B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87" w:type="pct"/>
            <w:vMerge w:val="restart"/>
            <w:vAlign w:val="center"/>
          </w:tcPr>
          <w:p w14:paraId="73DEC57A">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环境要素</w:t>
            </w:r>
          </w:p>
        </w:tc>
        <w:tc>
          <w:tcPr>
            <w:tcW w:w="683" w:type="pct"/>
            <w:vMerge w:val="restart"/>
            <w:shd w:val="clear" w:color="auto" w:fill="auto"/>
            <w:vAlign w:val="center"/>
          </w:tcPr>
          <w:p w14:paraId="444ABD20">
            <w:pPr>
              <w:pStyle w:val="143"/>
              <w:rPr>
                <w:snapToGrid w:val="0"/>
                <w:color w:val="000000" w:themeColor="text1"/>
                <w:szCs w:val="21"/>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名称</w:t>
            </w:r>
          </w:p>
        </w:tc>
        <w:tc>
          <w:tcPr>
            <w:tcW w:w="1232" w:type="pct"/>
            <w:gridSpan w:val="2"/>
            <w:vAlign w:val="center"/>
          </w:tcPr>
          <w:p w14:paraId="02464C5F">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坐标</w:t>
            </w:r>
          </w:p>
        </w:tc>
        <w:tc>
          <w:tcPr>
            <w:tcW w:w="511" w:type="pct"/>
            <w:vMerge w:val="restart"/>
            <w:vAlign w:val="center"/>
          </w:tcPr>
          <w:p w14:paraId="5DEC8086">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保护对象</w:t>
            </w:r>
          </w:p>
        </w:tc>
        <w:tc>
          <w:tcPr>
            <w:tcW w:w="390" w:type="pct"/>
            <w:vMerge w:val="restart"/>
            <w:vAlign w:val="center"/>
          </w:tcPr>
          <w:p w14:paraId="550B6E5F">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保护内容</w:t>
            </w:r>
          </w:p>
        </w:tc>
        <w:tc>
          <w:tcPr>
            <w:tcW w:w="741" w:type="pct"/>
            <w:vMerge w:val="restart"/>
            <w:vAlign w:val="center"/>
          </w:tcPr>
          <w:p w14:paraId="32960D40">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环境功能区</w:t>
            </w:r>
          </w:p>
        </w:tc>
        <w:tc>
          <w:tcPr>
            <w:tcW w:w="367" w:type="pct"/>
            <w:vMerge w:val="restart"/>
            <w:vAlign w:val="center"/>
          </w:tcPr>
          <w:p w14:paraId="418728D1">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相对厂址方位</w:t>
            </w:r>
          </w:p>
        </w:tc>
        <w:tc>
          <w:tcPr>
            <w:tcW w:w="385" w:type="pct"/>
            <w:vMerge w:val="restart"/>
            <w:shd w:val="clear" w:color="auto" w:fill="auto"/>
            <w:vAlign w:val="center"/>
          </w:tcPr>
          <w:p w14:paraId="7935A839">
            <w:pPr>
              <w:pStyle w:val="143"/>
              <w:rPr>
                <w:snapToGrid w:val="0"/>
                <w:color w:val="000000" w:themeColor="text1"/>
                <w:szCs w:val="21"/>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相对厂界</w:t>
            </w:r>
            <w:r>
              <w:rPr>
                <w:snapToGrid w:val="0"/>
                <w:color w:val="000000" w:themeColor="text1"/>
                <w:szCs w:val="21"/>
                <w14:textFill>
                  <w14:solidFill>
                    <w14:schemeClr w14:val="tx1"/>
                  </w14:solidFill>
                </w14:textFill>
              </w:rPr>
              <w:t>距离</w:t>
            </w:r>
            <w:r>
              <w:rPr>
                <w:rFonts w:hint="eastAsia"/>
                <w:snapToGrid w:val="0"/>
                <w:color w:val="000000" w:themeColor="text1"/>
                <w:szCs w:val="21"/>
                <w:lang w:eastAsia="zh-CN"/>
                <w14:textFill>
                  <w14:solidFill>
                    <w14:schemeClr w14:val="tx1"/>
                  </w14:solidFill>
                </w14:textFill>
              </w:rPr>
              <w:t>/</w:t>
            </w:r>
            <w:r>
              <w:rPr>
                <w:snapToGrid w:val="0"/>
                <w:color w:val="000000" w:themeColor="text1"/>
                <w:szCs w:val="21"/>
                <w14:textFill>
                  <w14:solidFill>
                    <w14:schemeClr w14:val="tx1"/>
                  </w14:solidFill>
                </w14:textFill>
              </w:rPr>
              <w:t>m</w:t>
            </w:r>
          </w:p>
        </w:tc>
      </w:tr>
      <w:tr w14:paraId="4C9E19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87" w:type="pct"/>
            <w:vMerge w:val="continue"/>
            <w:vAlign w:val="center"/>
          </w:tcPr>
          <w:p w14:paraId="4396B29A">
            <w:pPr>
              <w:pStyle w:val="143"/>
              <w:rPr>
                <w:snapToGrid w:val="0"/>
                <w:color w:val="000000" w:themeColor="text1"/>
                <w:szCs w:val="21"/>
                <w:lang w:eastAsia="zh-CN"/>
                <w14:textFill>
                  <w14:solidFill>
                    <w14:schemeClr w14:val="tx1"/>
                  </w14:solidFill>
                </w14:textFill>
              </w:rPr>
            </w:pPr>
          </w:p>
        </w:tc>
        <w:tc>
          <w:tcPr>
            <w:tcW w:w="683" w:type="pct"/>
            <w:vMerge w:val="continue"/>
            <w:shd w:val="clear" w:color="auto" w:fill="auto"/>
            <w:vAlign w:val="center"/>
          </w:tcPr>
          <w:p w14:paraId="074E9F35">
            <w:pPr>
              <w:pStyle w:val="143"/>
              <w:rPr>
                <w:snapToGrid w:val="0"/>
                <w:color w:val="000000" w:themeColor="text1"/>
                <w:szCs w:val="21"/>
                <w:lang w:eastAsia="zh-CN"/>
                <w14:textFill>
                  <w14:solidFill>
                    <w14:schemeClr w14:val="tx1"/>
                  </w14:solidFill>
                </w14:textFill>
              </w:rPr>
            </w:pPr>
          </w:p>
        </w:tc>
        <w:tc>
          <w:tcPr>
            <w:tcW w:w="540" w:type="pct"/>
            <w:vAlign w:val="center"/>
          </w:tcPr>
          <w:p w14:paraId="6E3E5EE3">
            <w:pPr>
              <w:pStyle w:val="143"/>
              <w:rPr>
                <w:snapToGrid w:val="0"/>
                <w:color w:val="000000" w:themeColor="text1"/>
                <w:kern w:val="0"/>
                <w:szCs w:val="21"/>
                <w:lang w:eastAsia="zh-CN"/>
                <w14:textFill>
                  <w14:solidFill>
                    <w14:schemeClr w14:val="tx1"/>
                  </w14:solidFill>
                </w14:textFill>
              </w:rPr>
            </w:pPr>
            <w:r>
              <w:rPr>
                <w:snapToGrid w:val="0"/>
                <w:color w:val="000000" w:themeColor="text1"/>
                <w:kern w:val="0"/>
                <w:szCs w:val="21"/>
                <w:lang w:eastAsia="zh-CN"/>
                <w14:textFill>
                  <w14:solidFill>
                    <w14:schemeClr w14:val="tx1"/>
                  </w14:solidFill>
                </w14:textFill>
              </w:rPr>
              <w:t>东经</w:t>
            </w:r>
            <w:r>
              <w:rPr>
                <w:rFonts w:hint="eastAsia"/>
                <w:snapToGrid w:val="0"/>
                <w:color w:val="000000" w:themeColor="text1"/>
                <w:kern w:val="0"/>
                <w:szCs w:val="21"/>
                <w:lang w:eastAsia="zh-CN"/>
                <w14:textFill>
                  <w14:solidFill>
                    <w14:schemeClr w14:val="tx1"/>
                  </w14:solidFill>
                </w14:textFill>
              </w:rPr>
              <w:t>/°</w:t>
            </w:r>
          </w:p>
        </w:tc>
        <w:tc>
          <w:tcPr>
            <w:tcW w:w="692" w:type="pct"/>
            <w:vAlign w:val="center"/>
          </w:tcPr>
          <w:p w14:paraId="69CB11DD">
            <w:pPr>
              <w:pStyle w:val="143"/>
              <w:rPr>
                <w:snapToGrid w:val="0"/>
                <w:color w:val="000000" w:themeColor="text1"/>
                <w:kern w:val="0"/>
                <w:szCs w:val="21"/>
                <w:lang w:eastAsia="zh-CN"/>
                <w14:textFill>
                  <w14:solidFill>
                    <w14:schemeClr w14:val="tx1"/>
                  </w14:solidFill>
                </w14:textFill>
              </w:rPr>
            </w:pPr>
            <w:r>
              <w:rPr>
                <w:snapToGrid w:val="0"/>
                <w:color w:val="000000" w:themeColor="text1"/>
                <w:kern w:val="0"/>
                <w:szCs w:val="21"/>
                <w:lang w:eastAsia="zh-CN"/>
                <w14:textFill>
                  <w14:solidFill>
                    <w14:schemeClr w14:val="tx1"/>
                  </w14:solidFill>
                </w14:textFill>
              </w:rPr>
              <w:t>北纬</w:t>
            </w:r>
            <w:r>
              <w:rPr>
                <w:rFonts w:hint="eastAsia"/>
                <w:snapToGrid w:val="0"/>
                <w:color w:val="000000" w:themeColor="text1"/>
                <w:kern w:val="0"/>
                <w:szCs w:val="21"/>
                <w:lang w:eastAsia="zh-CN"/>
                <w14:textFill>
                  <w14:solidFill>
                    <w14:schemeClr w14:val="tx1"/>
                  </w14:solidFill>
                </w14:textFill>
              </w:rPr>
              <w:t>/°</w:t>
            </w:r>
          </w:p>
        </w:tc>
        <w:tc>
          <w:tcPr>
            <w:tcW w:w="511" w:type="pct"/>
            <w:vMerge w:val="continue"/>
            <w:vAlign w:val="center"/>
          </w:tcPr>
          <w:p w14:paraId="2E793E9A">
            <w:pPr>
              <w:pStyle w:val="143"/>
              <w:rPr>
                <w:snapToGrid w:val="0"/>
                <w:color w:val="000000" w:themeColor="text1"/>
                <w:szCs w:val="21"/>
                <w:lang w:eastAsia="zh-CN"/>
                <w14:textFill>
                  <w14:solidFill>
                    <w14:schemeClr w14:val="tx1"/>
                  </w14:solidFill>
                </w14:textFill>
              </w:rPr>
            </w:pPr>
          </w:p>
        </w:tc>
        <w:tc>
          <w:tcPr>
            <w:tcW w:w="390" w:type="pct"/>
            <w:vMerge w:val="continue"/>
            <w:vAlign w:val="center"/>
          </w:tcPr>
          <w:p w14:paraId="7C636253">
            <w:pPr>
              <w:pStyle w:val="143"/>
              <w:rPr>
                <w:snapToGrid w:val="0"/>
                <w:color w:val="000000" w:themeColor="text1"/>
                <w:szCs w:val="21"/>
                <w:lang w:eastAsia="zh-CN"/>
                <w14:textFill>
                  <w14:solidFill>
                    <w14:schemeClr w14:val="tx1"/>
                  </w14:solidFill>
                </w14:textFill>
              </w:rPr>
            </w:pPr>
          </w:p>
        </w:tc>
        <w:tc>
          <w:tcPr>
            <w:tcW w:w="741" w:type="pct"/>
            <w:vMerge w:val="continue"/>
            <w:vAlign w:val="center"/>
          </w:tcPr>
          <w:p w14:paraId="0BBFF5D4">
            <w:pPr>
              <w:pStyle w:val="143"/>
              <w:rPr>
                <w:snapToGrid w:val="0"/>
                <w:color w:val="000000" w:themeColor="text1"/>
                <w:szCs w:val="21"/>
                <w:lang w:eastAsia="zh-CN"/>
                <w14:textFill>
                  <w14:solidFill>
                    <w14:schemeClr w14:val="tx1"/>
                  </w14:solidFill>
                </w14:textFill>
              </w:rPr>
            </w:pPr>
          </w:p>
        </w:tc>
        <w:tc>
          <w:tcPr>
            <w:tcW w:w="367" w:type="pct"/>
            <w:vMerge w:val="continue"/>
            <w:vAlign w:val="center"/>
          </w:tcPr>
          <w:p w14:paraId="5E467A3D">
            <w:pPr>
              <w:pStyle w:val="143"/>
              <w:rPr>
                <w:snapToGrid w:val="0"/>
                <w:color w:val="000000" w:themeColor="text1"/>
                <w:szCs w:val="21"/>
                <w:lang w:eastAsia="zh-CN"/>
                <w14:textFill>
                  <w14:solidFill>
                    <w14:schemeClr w14:val="tx1"/>
                  </w14:solidFill>
                </w14:textFill>
              </w:rPr>
            </w:pPr>
          </w:p>
        </w:tc>
        <w:tc>
          <w:tcPr>
            <w:tcW w:w="385" w:type="pct"/>
            <w:vMerge w:val="continue"/>
            <w:shd w:val="clear" w:color="auto" w:fill="auto"/>
            <w:vAlign w:val="center"/>
          </w:tcPr>
          <w:p w14:paraId="50CC6727">
            <w:pPr>
              <w:pStyle w:val="143"/>
              <w:rPr>
                <w:snapToGrid w:val="0"/>
                <w:color w:val="000000" w:themeColor="text1"/>
                <w:szCs w:val="21"/>
                <w:lang w:eastAsia="zh-CN"/>
                <w14:textFill>
                  <w14:solidFill>
                    <w14:schemeClr w14:val="tx1"/>
                  </w14:solidFill>
                </w14:textFill>
              </w:rPr>
            </w:pPr>
          </w:p>
        </w:tc>
      </w:tr>
      <w:tr w14:paraId="4BB399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87" w:type="pct"/>
            <w:vAlign w:val="center"/>
          </w:tcPr>
          <w:p w14:paraId="5EEA5606">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地表水环境</w:t>
            </w:r>
          </w:p>
        </w:tc>
        <w:tc>
          <w:tcPr>
            <w:tcW w:w="683" w:type="pct"/>
            <w:shd w:val="clear" w:color="auto" w:fill="auto"/>
            <w:vAlign w:val="center"/>
          </w:tcPr>
          <w:p w14:paraId="5EF30283">
            <w:pPr>
              <w:pStyle w:val="143"/>
              <w:rPr>
                <w:snapToGrid w:val="0"/>
                <w:color w:val="000000" w:themeColor="text1"/>
                <w:szCs w:val="21"/>
                <w:lang w:eastAsia="zh-CN"/>
                <w14:textFill>
                  <w14:solidFill>
                    <w14:schemeClr w14:val="tx1"/>
                  </w14:solidFill>
                </w14:textFill>
              </w:rPr>
            </w:pPr>
            <w:r>
              <w:rPr>
                <w:rFonts w:hint="default" w:eastAsia="宋体"/>
                <w:lang w:val="en-US" w:eastAsia="zh-CN"/>
              </w:rPr>
              <w:t>八虎力河</w:t>
            </w:r>
          </w:p>
        </w:tc>
        <w:tc>
          <w:tcPr>
            <w:tcW w:w="540" w:type="pct"/>
            <w:vAlign w:val="center"/>
          </w:tcPr>
          <w:p w14:paraId="2BB44FBB">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130.57737980</w:t>
            </w:r>
          </w:p>
        </w:tc>
        <w:tc>
          <w:tcPr>
            <w:tcW w:w="692" w:type="pct"/>
            <w:vAlign w:val="center"/>
          </w:tcPr>
          <w:p w14:paraId="3F63813D">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46.27483067</w:t>
            </w:r>
          </w:p>
        </w:tc>
        <w:tc>
          <w:tcPr>
            <w:tcW w:w="511" w:type="pct"/>
            <w:vAlign w:val="center"/>
          </w:tcPr>
          <w:p w14:paraId="6761E5DD">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地表水体</w:t>
            </w:r>
          </w:p>
        </w:tc>
        <w:tc>
          <w:tcPr>
            <w:tcW w:w="390" w:type="pct"/>
            <w:vAlign w:val="center"/>
          </w:tcPr>
          <w:p w14:paraId="31BC2DEC">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水环境</w:t>
            </w:r>
          </w:p>
        </w:tc>
        <w:tc>
          <w:tcPr>
            <w:tcW w:w="741" w:type="pct"/>
            <w:vAlign w:val="center"/>
          </w:tcPr>
          <w:p w14:paraId="1B3A7A06">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Ⅲ类</w:t>
            </w:r>
          </w:p>
        </w:tc>
        <w:tc>
          <w:tcPr>
            <w:tcW w:w="367" w:type="pct"/>
            <w:vAlign w:val="center"/>
          </w:tcPr>
          <w:p w14:paraId="2D67F001">
            <w:pPr>
              <w:pStyle w:val="143"/>
              <w:rPr>
                <w:snapToGrid w:val="0"/>
                <w:color w:val="000000" w:themeColor="text1"/>
                <w:szCs w:val="21"/>
                <w:lang w:eastAsia="zh-CN"/>
                <w14:textFill>
                  <w14:solidFill>
                    <w14:schemeClr w14:val="tx1"/>
                  </w14:solidFill>
                </w14:textFill>
              </w:rPr>
            </w:pPr>
            <w:r>
              <w:rPr>
                <w:rFonts w:hint="eastAsia" w:cs="Times New Roman"/>
                <w:snapToGrid w:val="0"/>
                <w:color w:val="000000" w:themeColor="text1"/>
                <w:lang w:eastAsia="zh-CN"/>
                <w14:textFill>
                  <w14:solidFill>
                    <w14:schemeClr w14:val="tx1"/>
                  </w14:solidFill>
                </w14:textFill>
              </w:rPr>
              <w:t>N</w:t>
            </w:r>
          </w:p>
        </w:tc>
        <w:tc>
          <w:tcPr>
            <w:tcW w:w="385" w:type="pct"/>
            <w:shd w:val="clear" w:color="auto" w:fill="auto"/>
            <w:vAlign w:val="center"/>
          </w:tcPr>
          <w:p w14:paraId="076F1635">
            <w:pPr>
              <w:pStyle w:val="143"/>
              <w:rPr>
                <w:rFonts w:hint="default"/>
                <w:snapToGrid w:val="0"/>
                <w:color w:val="000000" w:themeColor="text1"/>
                <w:szCs w:val="21"/>
                <w:lang w:val="en-US" w:eastAsia="zh-CN"/>
                <w14:textFill>
                  <w14:solidFill>
                    <w14:schemeClr w14:val="tx1"/>
                  </w14:solidFill>
                </w14:textFill>
              </w:rPr>
            </w:pPr>
            <w:r>
              <w:rPr>
                <w:rFonts w:hint="eastAsia"/>
                <w:snapToGrid w:val="0"/>
                <w:color w:val="000000" w:themeColor="text1"/>
                <w:szCs w:val="21"/>
                <w:lang w:val="en-US" w:eastAsia="zh-CN"/>
                <w14:textFill>
                  <w14:solidFill>
                    <w14:schemeClr w14:val="tx1"/>
                  </w14:solidFill>
                </w14:textFill>
              </w:rPr>
              <w:t>515</w:t>
            </w:r>
          </w:p>
        </w:tc>
      </w:tr>
      <w:tr w14:paraId="5FE198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84" w:hRule="atLeast"/>
          <w:jc w:val="center"/>
        </w:trPr>
        <w:tc>
          <w:tcPr>
            <w:tcW w:w="687" w:type="pct"/>
            <w:vAlign w:val="center"/>
          </w:tcPr>
          <w:p w14:paraId="15587E75">
            <w:pPr>
              <w:pStyle w:val="143"/>
              <w:rPr>
                <w:rFonts w:hint="eastAsia"/>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声环境</w:t>
            </w:r>
          </w:p>
        </w:tc>
        <w:tc>
          <w:tcPr>
            <w:tcW w:w="683" w:type="pct"/>
            <w:shd w:val="clear" w:color="auto" w:fill="auto"/>
            <w:vAlign w:val="center"/>
          </w:tcPr>
          <w:p w14:paraId="7D22C77F">
            <w:pPr>
              <w:pStyle w:val="143"/>
              <w:rPr>
                <w:rFonts w:hint="default" w:eastAsia="宋体"/>
                <w:lang w:val="en-US" w:eastAsia="zh-CN"/>
              </w:rPr>
            </w:pPr>
            <w:r>
              <w:rPr>
                <w:rFonts w:hint="eastAsia"/>
                <w:snapToGrid w:val="0"/>
                <w:color w:val="000000" w:themeColor="text1"/>
                <w:lang w:val="en-US" w:eastAsia="zh-CN"/>
                <w14:textFill>
                  <w14:solidFill>
                    <w14:schemeClr w14:val="tx1"/>
                  </w14:solidFill>
                </w14:textFill>
              </w:rPr>
              <w:t>隆胜村小四队屯</w:t>
            </w:r>
          </w:p>
        </w:tc>
        <w:tc>
          <w:tcPr>
            <w:tcW w:w="540" w:type="pct"/>
            <w:vAlign w:val="center"/>
          </w:tcPr>
          <w:p w14:paraId="4F7D014F">
            <w:pPr>
              <w:pStyle w:val="143"/>
              <w:rPr>
                <w:rFonts w:hint="eastAsia"/>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130.57925371</w:t>
            </w:r>
          </w:p>
        </w:tc>
        <w:tc>
          <w:tcPr>
            <w:tcW w:w="692" w:type="pct"/>
            <w:vAlign w:val="center"/>
          </w:tcPr>
          <w:p w14:paraId="4BA51A9F">
            <w:pPr>
              <w:pStyle w:val="143"/>
              <w:rPr>
                <w:rFonts w:hint="eastAsia"/>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46.27034224</w:t>
            </w:r>
          </w:p>
        </w:tc>
        <w:tc>
          <w:tcPr>
            <w:tcW w:w="511" w:type="pct"/>
            <w:vAlign w:val="center"/>
          </w:tcPr>
          <w:p w14:paraId="400D1B08">
            <w:pPr>
              <w:widowControl w:val="0"/>
              <w:spacing w:line="240" w:lineRule="auto"/>
              <w:ind w:left="0" w:leftChars="0" w:firstLine="0" w:firstLineChars="0"/>
              <w:jc w:val="both"/>
              <w:rPr>
                <w:rFonts w:hint="eastAsia"/>
                <w:snapToGrid w:val="0"/>
                <w:color w:val="000000" w:themeColor="text1"/>
                <w:szCs w:val="21"/>
                <w:lang w:eastAsia="zh-CN"/>
                <w14:textFill>
                  <w14:solidFill>
                    <w14:schemeClr w14:val="tx1"/>
                  </w14:solidFill>
                </w14:textFill>
              </w:rPr>
            </w:pPr>
            <w:r>
              <w:rPr>
                <w:rFonts w:ascii="Times New Roman" w:hAnsi="Times New Roman" w:eastAsia="宋体" w:cs="Times New Roman"/>
                <w:color w:val="000000"/>
                <w:kern w:val="2"/>
                <w:sz w:val="21"/>
                <w:lang w:val="en-US" w:eastAsia="zh-CN" w:bidi="ar-SA"/>
              </w:rPr>
              <w:t>居住区</w:t>
            </w:r>
          </w:p>
        </w:tc>
        <w:tc>
          <w:tcPr>
            <w:tcW w:w="390" w:type="pct"/>
            <w:vAlign w:val="center"/>
          </w:tcPr>
          <w:p w14:paraId="2CD2B25A">
            <w:pPr>
              <w:widowControl w:val="0"/>
              <w:spacing w:line="240" w:lineRule="auto"/>
              <w:ind w:left="0" w:leftChars="0" w:firstLine="0" w:firstLineChars="0"/>
              <w:jc w:val="both"/>
              <w:rPr>
                <w:rFonts w:hint="default"/>
                <w:snapToGrid w:val="0"/>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kern w:val="2"/>
                <w:sz w:val="21"/>
                <w:lang w:val="en-US" w:eastAsia="zh-CN" w:bidi="ar-SA"/>
              </w:rPr>
              <w:t>居民</w:t>
            </w:r>
          </w:p>
        </w:tc>
        <w:tc>
          <w:tcPr>
            <w:tcW w:w="741" w:type="pct"/>
            <w:vAlign w:val="center"/>
          </w:tcPr>
          <w:p w14:paraId="62663682">
            <w:pPr>
              <w:pStyle w:val="143"/>
              <w:rPr>
                <w:rFonts w:hint="default"/>
                <w:snapToGrid w:val="0"/>
                <w:color w:val="000000" w:themeColor="text1"/>
                <w:szCs w:val="21"/>
                <w:lang w:val="en-US" w:eastAsia="zh-CN"/>
                <w14:textFill>
                  <w14:solidFill>
                    <w14:schemeClr w14:val="tx1"/>
                  </w14:solidFill>
                </w14:textFill>
              </w:rPr>
            </w:pPr>
            <w:r>
              <w:rPr>
                <w:rFonts w:hint="eastAsia"/>
                <w:snapToGrid w:val="0"/>
                <w:color w:val="000000" w:themeColor="text1"/>
                <w:szCs w:val="21"/>
                <w:lang w:val="en-US" w:eastAsia="zh-CN"/>
                <w14:textFill>
                  <w14:solidFill>
                    <w14:schemeClr w14:val="tx1"/>
                  </w14:solidFill>
                </w14:textFill>
              </w:rPr>
              <w:t>2类</w:t>
            </w:r>
          </w:p>
        </w:tc>
        <w:tc>
          <w:tcPr>
            <w:tcW w:w="367" w:type="pct"/>
            <w:vAlign w:val="center"/>
          </w:tcPr>
          <w:p w14:paraId="4C7CAFBF">
            <w:pPr>
              <w:pStyle w:val="143"/>
              <w:rPr>
                <w:rFonts w:hint="eastAsia" w:cs="Times New Roman"/>
                <w:snapToGrid w:val="0"/>
                <w:color w:val="000000" w:themeColor="text1"/>
                <w:lang w:eastAsia="zh-CN"/>
                <w14:textFill>
                  <w14:solidFill>
                    <w14:schemeClr w14:val="tx1"/>
                  </w14:solidFill>
                </w14:textFill>
              </w:rPr>
            </w:pPr>
            <w:r>
              <w:rPr>
                <w:rFonts w:hint="eastAsia" w:ascii="Times New Roman" w:hAnsi="Times New Roman" w:eastAsia="宋体" w:cs="Times New Roman"/>
                <w:color w:val="000000"/>
                <w:kern w:val="2"/>
                <w:sz w:val="21"/>
                <w:lang w:val="en-US" w:eastAsia="zh-CN" w:bidi="ar-SA"/>
              </w:rPr>
              <w:t>EN</w:t>
            </w:r>
          </w:p>
        </w:tc>
        <w:tc>
          <w:tcPr>
            <w:tcW w:w="385" w:type="pct"/>
            <w:shd w:val="clear" w:color="auto" w:fill="auto"/>
            <w:vAlign w:val="center"/>
          </w:tcPr>
          <w:p w14:paraId="2B5F216B">
            <w:pPr>
              <w:pStyle w:val="143"/>
              <w:rPr>
                <w:rFonts w:hint="default"/>
                <w:snapToGrid w:val="0"/>
                <w:color w:val="000000" w:themeColor="text1"/>
                <w:szCs w:val="21"/>
                <w:lang w:val="en-US" w:eastAsia="zh-CN"/>
                <w14:textFill>
                  <w14:solidFill>
                    <w14:schemeClr w14:val="tx1"/>
                  </w14:solidFill>
                </w14:textFill>
              </w:rPr>
            </w:pPr>
            <w:r>
              <w:rPr>
                <w:rFonts w:hint="eastAsia"/>
                <w:snapToGrid w:val="0"/>
                <w:color w:val="000000" w:themeColor="text1"/>
                <w:szCs w:val="21"/>
                <w:lang w:val="en-US" w:eastAsia="zh-CN"/>
                <w14:textFill>
                  <w14:solidFill>
                    <w14:schemeClr w14:val="tx1"/>
                  </w14:solidFill>
                </w14:textFill>
              </w:rPr>
              <w:t>145</w:t>
            </w:r>
          </w:p>
        </w:tc>
      </w:tr>
      <w:tr w14:paraId="0286AC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84" w:hRule="atLeast"/>
          <w:jc w:val="center"/>
        </w:trPr>
        <w:tc>
          <w:tcPr>
            <w:tcW w:w="687" w:type="pct"/>
            <w:vAlign w:val="center"/>
          </w:tcPr>
          <w:p w14:paraId="03BF8B87">
            <w:pPr>
              <w:pStyle w:val="143"/>
              <w:rPr>
                <w:rFonts w:hint="eastAsia"/>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地下水环境</w:t>
            </w:r>
          </w:p>
        </w:tc>
        <w:tc>
          <w:tcPr>
            <w:tcW w:w="683" w:type="pct"/>
            <w:shd w:val="clear" w:color="auto" w:fill="auto"/>
            <w:vAlign w:val="center"/>
          </w:tcPr>
          <w:p w14:paraId="41E46275">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隆胜村小四队屯分散式水源井</w:t>
            </w:r>
          </w:p>
        </w:tc>
        <w:tc>
          <w:tcPr>
            <w:tcW w:w="540" w:type="pct"/>
            <w:vAlign w:val="center"/>
          </w:tcPr>
          <w:p w14:paraId="19FAFA1E">
            <w:pPr>
              <w:pStyle w:val="143"/>
              <w:rPr>
                <w:rFonts w:hint="eastAsia"/>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130.58155760</w:t>
            </w:r>
          </w:p>
        </w:tc>
        <w:tc>
          <w:tcPr>
            <w:tcW w:w="692" w:type="pct"/>
            <w:vAlign w:val="center"/>
          </w:tcPr>
          <w:p w14:paraId="7DB79B49">
            <w:pPr>
              <w:pStyle w:val="143"/>
              <w:rPr>
                <w:rFonts w:hint="eastAsia"/>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46.27186361</w:t>
            </w:r>
          </w:p>
        </w:tc>
        <w:tc>
          <w:tcPr>
            <w:tcW w:w="511" w:type="pct"/>
            <w:vAlign w:val="center"/>
          </w:tcPr>
          <w:p w14:paraId="076D9672">
            <w:pPr>
              <w:widowControl w:val="0"/>
              <w:spacing w:line="240" w:lineRule="auto"/>
              <w:ind w:left="0" w:leftChars="0" w:firstLine="0" w:firstLineChars="0"/>
              <w:jc w:val="both"/>
              <w:rPr>
                <w:rFonts w:hint="default" w:ascii="Times New Roman" w:hAnsi="Times New Roman" w:eastAsia="宋体" w:cs="Times New Roman"/>
                <w:color w:val="000000"/>
                <w:kern w:val="2"/>
                <w:sz w:val="21"/>
                <w:lang w:val="en-US" w:eastAsia="zh-CN" w:bidi="ar-SA"/>
              </w:rPr>
            </w:pPr>
            <w:r>
              <w:rPr>
                <w:rFonts w:hint="eastAsia" w:ascii="Times New Roman" w:hAnsi="Times New Roman" w:eastAsia="宋体" w:cs="Times New Roman"/>
                <w:color w:val="000000"/>
                <w:kern w:val="2"/>
                <w:sz w:val="21"/>
                <w:lang w:val="en-US" w:eastAsia="zh-CN" w:bidi="ar-SA"/>
              </w:rPr>
              <w:t>饮用水</w:t>
            </w:r>
          </w:p>
        </w:tc>
        <w:tc>
          <w:tcPr>
            <w:tcW w:w="390" w:type="pct"/>
            <w:vAlign w:val="center"/>
          </w:tcPr>
          <w:p w14:paraId="122540FD">
            <w:pPr>
              <w:widowControl w:val="0"/>
              <w:spacing w:line="240" w:lineRule="auto"/>
              <w:ind w:left="0" w:leftChars="0" w:firstLine="0" w:firstLineChars="0"/>
              <w:jc w:val="both"/>
              <w:rPr>
                <w:rFonts w:hint="default" w:ascii="Times New Roman" w:hAnsi="Times New Roman" w:eastAsia="宋体" w:cs="Times New Roman"/>
                <w:color w:val="000000"/>
                <w:kern w:val="2"/>
                <w:sz w:val="21"/>
                <w:lang w:val="en-US" w:eastAsia="zh-CN" w:bidi="ar-SA"/>
              </w:rPr>
            </w:pPr>
            <w:r>
              <w:rPr>
                <w:rFonts w:hint="eastAsia" w:ascii="Times New Roman" w:hAnsi="Times New Roman" w:eastAsia="宋体" w:cs="Times New Roman"/>
                <w:color w:val="000000"/>
                <w:kern w:val="2"/>
                <w:sz w:val="21"/>
                <w:lang w:val="en-US" w:eastAsia="zh-CN" w:bidi="ar-SA"/>
              </w:rPr>
              <w:t>水质</w:t>
            </w:r>
          </w:p>
        </w:tc>
        <w:tc>
          <w:tcPr>
            <w:tcW w:w="741" w:type="pct"/>
            <w:vAlign w:val="center"/>
          </w:tcPr>
          <w:p w14:paraId="0D6E39CA">
            <w:pPr>
              <w:pStyle w:val="143"/>
              <w:rPr>
                <w:rFonts w:hint="eastAsia"/>
                <w:snapToGrid w:val="0"/>
                <w:color w:val="000000" w:themeColor="text1"/>
                <w:szCs w:val="21"/>
                <w:lang w:val="en-US" w:eastAsia="zh-CN"/>
                <w14:textFill>
                  <w14:solidFill>
                    <w14:schemeClr w14:val="tx1"/>
                  </w14:solidFill>
                </w14:textFill>
              </w:rPr>
            </w:pPr>
            <w:r>
              <w:rPr>
                <w:rFonts w:hint="eastAsia"/>
                <w:color w:val="000000" w:themeColor="text1"/>
                <w14:textFill>
                  <w14:solidFill>
                    <w14:schemeClr w14:val="tx1"/>
                  </w14:solidFill>
                </w14:textFill>
              </w:rPr>
              <w:t>Ⅲ类</w:t>
            </w:r>
          </w:p>
        </w:tc>
        <w:tc>
          <w:tcPr>
            <w:tcW w:w="367" w:type="pct"/>
            <w:vAlign w:val="center"/>
          </w:tcPr>
          <w:p w14:paraId="7AB0D940">
            <w:pPr>
              <w:pStyle w:val="143"/>
              <w:rPr>
                <w:rFonts w:hint="eastAsia" w:ascii="Times New Roman" w:hAnsi="Times New Roman" w:eastAsia="宋体" w:cs="Times New Roman"/>
                <w:color w:val="000000"/>
                <w:kern w:val="2"/>
                <w:sz w:val="21"/>
                <w:lang w:val="en-US" w:eastAsia="zh-CN" w:bidi="ar-SA"/>
              </w:rPr>
            </w:pPr>
            <w:r>
              <w:rPr>
                <w:rFonts w:hint="eastAsia" w:ascii="Times New Roman" w:hAnsi="Times New Roman" w:eastAsia="宋体" w:cs="Times New Roman"/>
                <w:color w:val="000000"/>
                <w:kern w:val="2"/>
                <w:sz w:val="21"/>
                <w:lang w:val="en-US" w:eastAsia="zh-CN" w:bidi="ar-SA"/>
              </w:rPr>
              <w:t>EN</w:t>
            </w:r>
          </w:p>
        </w:tc>
        <w:tc>
          <w:tcPr>
            <w:tcW w:w="385" w:type="pct"/>
            <w:shd w:val="clear" w:color="auto" w:fill="auto"/>
            <w:vAlign w:val="center"/>
          </w:tcPr>
          <w:p w14:paraId="39722404">
            <w:pPr>
              <w:pStyle w:val="143"/>
              <w:rPr>
                <w:rFonts w:hint="default"/>
                <w:snapToGrid w:val="0"/>
                <w:color w:val="000000" w:themeColor="text1"/>
                <w:szCs w:val="21"/>
                <w:lang w:val="en-US" w:eastAsia="zh-CN"/>
                <w14:textFill>
                  <w14:solidFill>
                    <w14:schemeClr w14:val="tx1"/>
                  </w14:solidFill>
                </w14:textFill>
              </w:rPr>
            </w:pPr>
            <w:r>
              <w:rPr>
                <w:rFonts w:hint="eastAsia"/>
                <w:snapToGrid w:val="0"/>
                <w:color w:val="000000" w:themeColor="text1"/>
                <w:szCs w:val="21"/>
                <w:lang w:val="en-US" w:eastAsia="zh-CN"/>
                <w14:textFill>
                  <w14:solidFill>
                    <w14:schemeClr w14:val="tx1"/>
                  </w14:solidFill>
                </w14:textFill>
              </w:rPr>
              <w:t>327</w:t>
            </w:r>
          </w:p>
        </w:tc>
      </w:tr>
      <w:tr w14:paraId="505769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87" w:type="pct"/>
            <w:vAlign w:val="center"/>
          </w:tcPr>
          <w:p w14:paraId="309A1C07">
            <w:pPr>
              <w:pStyle w:val="143"/>
              <w:rPr>
                <w:snapToGrid w:val="0"/>
                <w:color w:val="000000" w:themeColor="text1"/>
                <w:szCs w:val="21"/>
                <w:lang w:eastAsia="zh-CN"/>
                <w14:textFill>
                  <w14:solidFill>
                    <w14:schemeClr w14:val="tx1"/>
                  </w14:solidFill>
                </w14:textFill>
              </w:rPr>
            </w:pPr>
            <w:r>
              <w:rPr>
                <w:rFonts w:hint="eastAsia"/>
                <w:snapToGrid w:val="0"/>
                <w:color w:val="000000" w:themeColor="text1"/>
                <w:szCs w:val="21"/>
                <w:lang w:eastAsia="zh-CN"/>
                <w14:textFill>
                  <w14:solidFill>
                    <w14:schemeClr w14:val="tx1"/>
                  </w14:solidFill>
                </w14:textFill>
              </w:rPr>
              <w:t>生态环境</w:t>
            </w:r>
          </w:p>
        </w:tc>
        <w:tc>
          <w:tcPr>
            <w:tcW w:w="4312" w:type="pct"/>
            <w:gridSpan w:val="8"/>
            <w:shd w:val="clear" w:color="auto" w:fill="auto"/>
            <w:vAlign w:val="center"/>
          </w:tcPr>
          <w:p w14:paraId="233200DA">
            <w:pPr>
              <w:pStyle w:val="143"/>
              <w:rPr>
                <w:color w:val="000000" w:themeColor="text1"/>
                <w:szCs w:val="21"/>
                <w:lang w:eastAsia="zh-CN"/>
                <w14:textFill>
                  <w14:solidFill>
                    <w14:schemeClr w14:val="tx1"/>
                  </w14:solidFill>
                </w14:textFill>
              </w:rPr>
            </w:pPr>
            <w:r>
              <w:rPr>
                <w:rFonts w:hint="eastAsia"/>
                <w:color w:val="000000" w:themeColor="text1"/>
                <w:szCs w:val="21"/>
                <w:lang w:eastAsia="zh-CN"/>
                <w14:textFill>
                  <w14:solidFill>
                    <w14:schemeClr w14:val="tx1"/>
                  </w14:solidFill>
                </w14:textFill>
              </w:rPr>
              <w:t>厂区内及周边生态环境</w:t>
            </w:r>
          </w:p>
        </w:tc>
      </w:tr>
    </w:tbl>
    <w:p w14:paraId="1EFB81F3">
      <w:pPr>
        <w:pStyle w:val="5"/>
        <w:rPr>
          <w:snapToGrid w:val="0"/>
          <w:color w:val="000000" w:themeColor="text1"/>
          <w14:textFill>
            <w14:solidFill>
              <w14:schemeClr w14:val="tx1"/>
            </w14:solidFill>
          </w14:textFill>
        </w:rPr>
      </w:pPr>
      <w:bookmarkStart w:id="77" w:name="_Toc12830"/>
      <w:r>
        <w:rPr>
          <w:snapToGrid w:val="0"/>
          <w:color w:val="000000" w:themeColor="text1"/>
          <w14:textFill>
            <w14:solidFill>
              <w14:schemeClr w14:val="tx1"/>
            </w14:solidFill>
          </w14:textFill>
        </w:rPr>
        <w:t>2.8</w:t>
      </w:r>
      <w:r>
        <w:rPr>
          <w:rFonts w:hint="eastAsia"/>
          <w:snapToGrid w:val="0"/>
          <w:color w:val="000000" w:themeColor="text1"/>
          <w14:textFill>
            <w14:solidFill>
              <w14:schemeClr w14:val="tx1"/>
            </w14:solidFill>
          </w14:textFill>
        </w:rPr>
        <w:t>环境功能区划及评价标准</w:t>
      </w:r>
      <w:bookmarkEnd w:id="77"/>
    </w:p>
    <w:p w14:paraId="2F02BCF7">
      <w:pPr>
        <w:pStyle w:val="6"/>
        <w:rPr>
          <w:color w:val="000000" w:themeColor="text1"/>
          <w14:textFill>
            <w14:solidFill>
              <w14:schemeClr w14:val="tx1"/>
            </w14:solidFill>
          </w14:textFill>
        </w:rPr>
      </w:pPr>
      <w:bookmarkStart w:id="78" w:name="_Toc1505"/>
      <w:r>
        <w:rPr>
          <w:rFonts w:hint="eastAsia"/>
          <w:color w:val="000000" w:themeColor="text1"/>
          <w14:textFill>
            <w14:solidFill>
              <w14:schemeClr w14:val="tx1"/>
            </w14:solidFill>
          </w14:textFill>
        </w:rPr>
        <w:t>2</w:t>
      </w:r>
      <w:r>
        <w:rPr>
          <w:color w:val="000000" w:themeColor="text1"/>
          <w14:textFill>
            <w14:solidFill>
              <w14:schemeClr w14:val="tx1"/>
            </w14:solidFill>
          </w14:textFill>
        </w:rPr>
        <w:t>.8.1</w:t>
      </w:r>
      <w:r>
        <w:rPr>
          <w:rFonts w:hint="eastAsia"/>
          <w:color w:val="000000" w:themeColor="text1"/>
          <w14:textFill>
            <w14:solidFill>
              <w14:schemeClr w14:val="tx1"/>
            </w14:solidFill>
          </w14:textFill>
        </w:rPr>
        <w:t>区域环境功能区划</w:t>
      </w:r>
      <w:bookmarkEnd w:id="78"/>
    </w:p>
    <w:p w14:paraId="31A95060">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根据《</w:t>
      </w:r>
      <w:r>
        <w:rPr>
          <w:rFonts w:hint="eastAsia"/>
          <w:color w:val="000000" w:themeColor="text1"/>
          <w:lang w:eastAsia="zh-CN"/>
          <w14:textFill>
            <w14:solidFill>
              <w14:schemeClr w14:val="tx1"/>
            </w14:solidFill>
          </w14:textFill>
        </w:rPr>
        <w:t>黑龙江桦南经济开发区总体规划（2021-2035 年）环境影响报告书</w:t>
      </w:r>
      <w:r>
        <w:rPr>
          <w:rFonts w:hint="eastAsia"/>
          <w:color w:val="000000" w:themeColor="text1"/>
          <w14:textFill>
            <w14:solidFill>
              <w14:schemeClr w14:val="tx1"/>
            </w14:solidFill>
          </w14:textFill>
        </w:rPr>
        <w:t>》及其审查意见，本项目位于黑龙江</w:t>
      </w:r>
      <w:r>
        <w:rPr>
          <w:rFonts w:hint="eastAsia"/>
          <w:color w:val="000000" w:themeColor="text1"/>
          <w:lang w:val="en-US" w:eastAsia="zh-CN"/>
          <w14:textFill>
            <w14:solidFill>
              <w14:schemeClr w14:val="tx1"/>
            </w14:solidFill>
          </w14:textFill>
        </w:rPr>
        <w:t>省</w:t>
      </w:r>
      <w:r>
        <w:rPr>
          <w:rFonts w:hint="eastAsia"/>
          <w:snapToGrid w:val="0"/>
          <w:color w:val="000000" w:themeColor="text1"/>
          <w:kern w:val="0"/>
          <w:lang w:eastAsia="zh-CN"/>
          <w14:textFill>
            <w14:solidFill>
              <w14:schemeClr w14:val="tx1"/>
            </w14:solidFill>
          </w14:textFill>
        </w:rPr>
        <w:t>佳木斯市桦南县经济开发区</w:t>
      </w:r>
      <w:r>
        <w:rPr>
          <w:rFonts w:hint="eastAsia"/>
          <w:color w:val="000000" w:themeColor="text1"/>
          <w14:textFill>
            <w14:solidFill>
              <w14:schemeClr w14:val="tx1"/>
            </w14:solidFill>
          </w14:textFill>
        </w:rPr>
        <w:t>范围内，环境功能区划如下。</w:t>
      </w:r>
    </w:p>
    <w:p w14:paraId="477D42A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（1）环境空气：评价范围属于环境空气功能区中二类区，执行《环境空气质量标准》（</w:t>
      </w:r>
      <w:r>
        <w:rPr>
          <w:rFonts w:hint="eastAsia"/>
          <w:color w:val="000000" w:themeColor="text1"/>
          <w:lang w:eastAsia="zh-CN"/>
          <w14:textFill>
            <w14:solidFill>
              <w14:schemeClr w14:val="tx1"/>
            </w14:solidFill>
          </w14:textFill>
        </w:rPr>
        <w:t>GB3095-2026</w:t>
      </w:r>
      <w:r>
        <w:rPr>
          <w:rFonts w:hint="eastAsia"/>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r>
        <w:rPr>
          <w:rFonts w:hint="eastAsia"/>
          <w:color w:val="000000" w:themeColor="text1"/>
          <w14:textFill>
            <w14:solidFill>
              <w14:schemeClr w14:val="tx1"/>
            </w14:solidFill>
          </w14:textFill>
        </w:rPr>
        <w:t>。另外，规划区域不在酸雨和二氧化硫控制区内。</w:t>
      </w:r>
    </w:p>
    <w:p w14:paraId="2B73AB7C">
      <w:pPr>
        <w:pStyle w:val="85"/>
        <w:rPr>
          <w:color w:val="000000" w:themeColor="text1"/>
          <w:highlight w:val="green"/>
          <w14:textFill>
            <w14:solidFill>
              <w14:schemeClr w14:val="tx1"/>
            </w14:solidFill>
          </w14:textFill>
        </w:rPr>
      </w:pPr>
      <w:r>
        <w:rPr>
          <w:rFonts w:hint="eastAsia"/>
          <w:color w:val="000000" w:themeColor="text1"/>
          <w:highlight w:val="none"/>
          <w14:textFill>
            <w14:solidFill>
              <w14:schemeClr w14:val="tx1"/>
            </w14:solidFill>
          </w14:textFill>
        </w:rPr>
        <w:t>（2）地表水环境：</w:t>
      </w:r>
      <w:r>
        <w:rPr>
          <w:rFonts w:hint="eastAsia" w:cs="Times New Roman"/>
          <w:snapToGrid w:val="0"/>
          <w:color w:val="000000" w:themeColor="text1"/>
          <w:kern w:val="0"/>
          <w:lang w:val="en-US" w:eastAsia="zh-CN"/>
          <w14:textFill>
            <w14:solidFill>
              <w14:schemeClr w14:val="tx1"/>
            </w14:solidFill>
          </w14:textFill>
        </w:rPr>
        <w:t>八虎力河为倭肯河右岸一级支流，根据《全国重要江河湖泊水功能区划（2011—2030 年）》，八虎力河未划分水功能区，入倭肯河河口所在的水功能二级区为倭肯河依兰县农业用水区（三道岗镇～入松花江河口），水质目标为Ⅳ类。</w:t>
      </w:r>
    </w:p>
    <w:p w14:paraId="0F86763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（3）地下水环境：评价范围内执行《地下水质量标准》（GB/T14848-2017）中Ⅲ类地下水质量。</w:t>
      </w:r>
    </w:p>
    <w:p w14:paraId="54F8F87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（4）声环境：</w:t>
      </w:r>
      <w:r>
        <w:rPr>
          <w:rFonts w:ascii="Times New Roman" w:hAnsi="Times New Roman"/>
          <w:color w:val="000000" w:themeColor="text1"/>
          <w:szCs w:val="24"/>
          <w:highlight w:val="none"/>
          <w14:textFill>
            <w14:solidFill>
              <w14:schemeClr w14:val="tx1"/>
            </w14:solidFill>
          </w14:textFill>
        </w:rPr>
        <w:t>根据</w:t>
      </w:r>
      <w:r>
        <w:rPr>
          <w:rFonts w:hint="eastAsia" w:ascii="Times New Roman"/>
          <w:color w:val="000000" w:themeColor="text1"/>
          <w:szCs w:val="24"/>
          <w:highlight w:val="none"/>
          <w:lang w:eastAsia="zh-CN"/>
          <w14:textFill>
            <w14:solidFill>
              <w14:schemeClr w14:val="tx1"/>
            </w14:solidFill>
          </w14:textFill>
        </w:rPr>
        <w:t>《</w:t>
      </w:r>
      <w:r>
        <w:rPr>
          <w:rFonts w:hint="eastAsia" w:ascii="Times New Roman"/>
          <w:color w:val="000000" w:themeColor="text1"/>
          <w:szCs w:val="24"/>
          <w:highlight w:val="none"/>
          <w:lang w:val="en-US" w:eastAsia="zh-CN"/>
          <w14:textFill>
            <w14:solidFill>
              <w14:schemeClr w14:val="tx1"/>
            </w14:solidFill>
          </w14:textFill>
        </w:rPr>
        <w:t>黑龙江桦南经济开发区总体规划（2021-2035年）环境影响报告书</w:t>
      </w:r>
      <w:r>
        <w:rPr>
          <w:rFonts w:hint="eastAsia" w:ascii="Times New Roman"/>
          <w:color w:val="000000" w:themeColor="text1"/>
          <w:szCs w:val="24"/>
          <w:highlight w:val="none"/>
          <w:lang w:eastAsia="zh-CN"/>
          <w14:textFill>
            <w14:solidFill>
              <w14:schemeClr w14:val="tx1"/>
            </w14:solidFill>
          </w14:textFill>
        </w:rPr>
        <w:t>》</w:t>
      </w:r>
      <w:r>
        <w:rPr>
          <w:rFonts w:ascii="Times New Roman" w:hAnsi="Times New Roman"/>
          <w:color w:val="000000" w:themeColor="text1"/>
          <w:szCs w:val="24"/>
          <w:highlight w:val="none"/>
          <w14:textFill>
            <w14:solidFill>
              <w14:schemeClr w14:val="tx1"/>
            </w14:solidFill>
          </w14:textFill>
        </w:rPr>
        <w:t>，本项目</w:t>
      </w:r>
      <w:r>
        <w:rPr>
          <w:rFonts w:hint="eastAsia" w:ascii="Times New Roman" w:hAnsi="Times New Roman"/>
          <w:color w:val="000000" w:themeColor="text1"/>
          <w:szCs w:val="24"/>
          <w:highlight w:val="none"/>
          <w14:textFill>
            <w14:solidFill>
              <w14:schemeClr w14:val="tx1"/>
            </w14:solidFill>
          </w14:textFill>
        </w:rPr>
        <w:t>厂界北侧、南侧、</w:t>
      </w:r>
      <w:r>
        <w:rPr>
          <w:rFonts w:hint="eastAsia"/>
          <w:color w:val="000000" w:themeColor="text1"/>
          <w:szCs w:val="24"/>
          <w:highlight w:val="none"/>
          <w:lang w:val="en-US" w:eastAsia="zh-CN"/>
          <w14:textFill>
            <w14:solidFill>
              <w14:schemeClr w14:val="tx1"/>
            </w14:solidFill>
          </w14:textFill>
        </w:rPr>
        <w:t>东</w:t>
      </w:r>
      <w:r>
        <w:rPr>
          <w:rFonts w:hint="eastAsia" w:ascii="Times New Roman" w:hAnsi="Times New Roman"/>
          <w:color w:val="000000" w:themeColor="text1"/>
          <w:szCs w:val="24"/>
          <w:highlight w:val="none"/>
          <w14:textFill>
            <w14:solidFill>
              <w14:schemeClr w14:val="tx1"/>
            </w14:solidFill>
          </w14:textFill>
        </w:rPr>
        <w:t>侧</w:t>
      </w:r>
      <w:r>
        <w:rPr>
          <w:rFonts w:ascii="Times New Roman" w:hAnsi="Times New Roman"/>
          <w:color w:val="000000" w:themeColor="text1"/>
          <w:szCs w:val="24"/>
          <w:highlight w:val="none"/>
          <w14:textFill>
            <w14:solidFill>
              <w14:schemeClr w14:val="tx1"/>
            </w14:solidFill>
          </w14:textFill>
        </w:rPr>
        <w:t>为声环境功能区划的3类区</w:t>
      </w:r>
      <w:r>
        <w:rPr>
          <w:rFonts w:hint="eastAsia" w:ascii="Times New Roman" w:hAnsi="Times New Roman"/>
          <w:color w:val="000000" w:themeColor="text1"/>
          <w:szCs w:val="24"/>
          <w:highlight w:val="none"/>
          <w14:textFill>
            <w14:solidFill>
              <w14:schemeClr w14:val="tx1"/>
            </w14:solidFill>
          </w14:textFill>
        </w:rPr>
        <w:t>；厂界</w:t>
      </w:r>
      <w:r>
        <w:rPr>
          <w:rFonts w:hint="eastAsia"/>
          <w:color w:val="000000" w:themeColor="text1"/>
          <w:szCs w:val="24"/>
          <w:highlight w:val="none"/>
          <w:lang w:val="en-US" w:eastAsia="zh-CN"/>
          <w14:textFill>
            <w14:solidFill>
              <w14:schemeClr w14:val="tx1"/>
            </w14:solidFill>
          </w14:textFill>
        </w:rPr>
        <w:t>西</w:t>
      </w:r>
      <w:r>
        <w:rPr>
          <w:rFonts w:hint="eastAsia" w:ascii="Times New Roman" w:hAnsi="Times New Roman"/>
          <w:color w:val="000000" w:themeColor="text1"/>
          <w:szCs w:val="24"/>
          <w:highlight w:val="none"/>
          <w14:textFill>
            <w14:solidFill>
              <w14:schemeClr w14:val="tx1"/>
            </w14:solidFill>
          </w14:textFill>
        </w:rPr>
        <w:t>侧为声环境功能规划的4</w:t>
      </w:r>
      <w:r>
        <w:rPr>
          <w:rFonts w:hint="eastAsia" w:ascii="Times New Roman"/>
          <w:color w:val="000000" w:themeColor="text1"/>
          <w:szCs w:val="24"/>
          <w:highlight w:val="none"/>
          <w:lang w:val="en-US" w:eastAsia="zh-CN"/>
          <w14:textFill>
            <w14:solidFill>
              <w14:schemeClr w14:val="tx1"/>
            </w14:solidFill>
          </w14:textFill>
        </w:rPr>
        <w:t>a</w:t>
      </w:r>
      <w:r>
        <w:rPr>
          <w:rFonts w:hint="eastAsia" w:ascii="Times New Roman" w:hAnsi="Times New Roman"/>
          <w:color w:val="000000" w:themeColor="text1"/>
          <w:szCs w:val="24"/>
          <w:highlight w:val="none"/>
          <w14:textFill>
            <w14:solidFill>
              <w14:schemeClr w14:val="tx1"/>
            </w14:solidFill>
          </w14:textFill>
        </w:rPr>
        <w:t>类区</w:t>
      </w:r>
      <w:r>
        <w:rPr>
          <w:rFonts w:hint="eastAsia"/>
          <w:color w:val="000000" w:themeColor="text1"/>
          <w14:textFill>
            <w14:solidFill>
              <w14:schemeClr w14:val="tx1"/>
            </w14:solidFill>
          </w14:textFill>
        </w:rPr>
        <w:t>。</w:t>
      </w:r>
    </w:p>
    <w:p w14:paraId="24D0CD9A">
      <w:pPr>
        <w:pStyle w:val="6"/>
        <w:rPr>
          <w:snapToGrid w:val="0"/>
          <w:color w:val="000000" w:themeColor="text1"/>
          <w14:textFill>
            <w14:solidFill>
              <w14:schemeClr w14:val="tx1"/>
            </w14:solidFill>
          </w14:textFill>
        </w:rPr>
      </w:pPr>
      <w:bookmarkStart w:id="79" w:name="_Toc21010"/>
      <w:r>
        <w:rPr>
          <w:snapToGrid w:val="0"/>
          <w:color w:val="000000" w:themeColor="text1"/>
          <w14:textFill>
            <w14:solidFill>
              <w14:schemeClr w14:val="tx1"/>
            </w14:solidFill>
          </w14:textFill>
        </w:rPr>
        <w:t>2.8.2环境质量标准</w:t>
      </w:r>
      <w:bookmarkEnd w:id="79"/>
    </w:p>
    <w:p w14:paraId="796C4F7A">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.8.2.1</w:t>
      </w:r>
      <w:r>
        <w:rPr>
          <w:rFonts w:hint="eastAsia"/>
          <w:color w:val="000000" w:themeColor="text1"/>
          <w14:textFill>
            <w14:solidFill>
              <w14:schemeClr w14:val="tx1"/>
            </w14:solidFill>
          </w14:textFill>
        </w:rPr>
        <w:t>环境空气</w:t>
      </w:r>
    </w:p>
    <w:p w14:paraId="4B3206E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本项目所在区域</w:t>
      </w:r>
      <w:r>
        <w:rPr>
          <w:rFonts w:hint="eastAsia"/>
          <w:snapToGrid w:val="0"/>
          <w:color w:val="000000" w:themeColor="text1"/>
          <w14:textFill>
            <w14:solidFill>
              <w14:schemeClr w14:val="tx1"/>
            </w14:solidFill>
          </w14:textFill>
        </w:rPr>
        <w:t>基本</w:t>
      </w:r>
      <w:r>
        <w:rPr>
          <w:snapToGrid w:val="0"/>
          <w:color w:val="000000" w:themeColor="text1"/>
          <w14:textFill>
            <w14:solidFill>
              <w14:schemeClr w14:val="tx1"/>
            </w14:solidFill>
          </w14:textFill>
        </w:rPr>
        <w:t>污染物</w:t>
      </w:r>
      <w:r>
        <w:rPr>
          <w:rFonts w:hint="eastAsia"/>
          <w:snapToGrid w:val="0"/>
          <w:color w:val="000000" w:themeColor="text1"/>
          <w14:textFill>
            <w14:solidFill>
              <w14:schemeClr w14:val="tx1"/>
            </w14:solidFill>
          </w14:textFill>
        </w:rPr>
        <w:t>NO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、SO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、PM</w:t>
      </w:r>
      <w:r>
        <w:rPr>
          <w:rFonts w:hint="eastAsia"/>
          <w:snapToGrid w:val="0"/>
          <w:color w:val="000000" w:themeColor="text1"/>
          <w:vertAlign w:val="subscript"/>
          <w14:textFill>
            <w14:solidFill>
              <w14:schemeClr w14:val="tx1"/>
            </w14:solidFill>
          </w14:textFill>
        </w:rPr>
        <w:t>1</w:t>
      </w:r>
      <w:r>
        <w:rPr>
          <w:snapToGrid w:val="0"/>
          <w:color w:val="000000" w:themeColor="text1"/>
          <w:vertAlign w:val="subscript"/>
          <w14:textFill>
            <w14:solidFill>
              <w14:schemeClr w14:val="tx1"/>
            </w14:solidFill>
          </w14:textFill>
        </w:rPr>
        <w:t>0</w:t>
      </w:r>
      <w:r>
        <w:rPr>
          <w:rFonts w:hint="eastAsia"/>
          <w:snapToGrid w:val="0"/>
          <w:color w:val="000000" w:themeColor="text1"/>
          <w14:textFill>
            <w14:solidFill>
              <w14:schemeClr w14:val="tx1"/>
            </w14:solidFill>
          </w14:textFill>
        </w:rPr>
        <w:t>、PM</w:t>
      </w:r>
      <w:r>
        <w:rPr>
          <w:rFonts w:hint="eastAsia"/>
          <w:snapToGrid w:val="0"/>
          <w:color w:val="000000" w:themeColor="text1"/>
          <w:vertAlign w:val="subscript"/>
          <w14:textFill>
            <w14:solidFill>
              <w14:schemeClr w14:val="tx1"/>
            </w14:solidFill>
          </w14:textFill>
        </w:rPr>
        <w:t>2</w:t>
      </w:r>
      <w:r>
        <w:rPr>
          <w:snapToGrid w:val="0"/>
          <w:color w:val="000000" w:themeColor="text1"/>
          <w:vertAlign w:val="subscript"/>
          <w14:textFill>
            <w14:solidFill>
              <w14:schemeClr w14:val="tx1"/>
            </w14:solidFill>
          </w14:textFill>
        </w:rPr>
        <w:t>.5</w:t>
      </w:r>
      <w:r>
        <w:rPr>
          <w:rFonts w:hint="eastAsia"/>
          <w:snapToGrid w:val="0"/>
          <w:color w:val="000000" w:themeColor="text1"/>
          <w14:textFill>
            <w14:solidFill>
              <w14:schemeClr w14:val="tx1"/>
            </w14:solidFill>
          </w14:textFill>
        </w:rPr>
        <w:t>、C</w:t>
      </w:r>
      <w:r>
        <w:rPr>
          <w:snapToGrid w:val="0"/>
          <w:color w:val="000000" w:themeColor="text1"/>
          <w14:textFill>
            <w14:solidFill>
              <w14:schemeClr w14:val="tx1"/>
            </w14:solidFill>
          </w14:textFill>
        </w:rPr>
        <w:t>O</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执行《环境空气质量标准》（</w:t>
      </w:r>
      <w:r>
        <w:rPr>
          <w:rFonts w:hint="eastAsia"/>
          <w:snapToGrid w:val="0"/>
          <w:color w:val="000000" w:themeColor="text1"/>
          <w:lang w:eastAsia="zh-CN"/>
          <w14:textFill>
            <w14:solidFill>
              <w14:schemeClr w14:val="tx1"/>
            </w14:solidFill>
          </w14:textFill>
        </w:rPr>
        <w:t>GB3095-2026</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二级标准浓度限值；其他</w:t>
      </w:r>
      <w:r>
        <w:rPr>
          <w:snapToGrid w:val="0"/>
          <w:color w:val="000000" w:themeColor="text1"/>
          <w14:textFill>
            <w14:solidFill>
              <w14:schemeClr w14:val="tx1"/>
            </w14:solidFill>
          </w14:textFill>
        </w:rPr>
        <w:t>污染物</w:t>
      </w:r>
      <w:r>
        <w:rPr>
          <w:rFonts w:hint="eastAsia"/>
          <w:snapToGrid w:val="0"/>
          <w:color w:val="000000" w:themeColor="text1"/>
          <w14:textFill>
            <w14:solidFill>
              <w14:schemeClr w14:val="tx1"/>
            </w14:solidFill>
          </w14:textFill>
        </w:rPr>
        <w:t>H</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S、NH</w:t>
      </w:r>
      <w:r>
        <w:rPr>
          <w:rFonts w:hint="eastAsia"/>
          <w:snapToGrid w:val="0"/>
          <w:color w:val="000000" w:themeColor="text1"/>
          <w:vertAlign w:val="subscript"/>
          <w14:textFill>
            <w14:solidFill>
              <w14:schemeClr w14:val="tx1"/>
            </w14:solidFill>
          </w14:textFill>
        </w:rPr>
        <w:t>3</w:t>
      </w:r>
      <w:r>
        <w:rPr>
          <w:rFonts w:hint="eastAsia"/>
          <w:snapToGrid w:val="0"/>
          <w:color w:val="000000" w:themeColor="text1"/>
          <w14:textFill>
            <w14:solidFill>
              <w14:schemeClr w14:val="tx1"/>
            </w14:solidFill>
          </w14:textFill>
        </w:rPr>
        <w:t>执行</w:t>
      </w:r>
      <w:r>
        <w:rPr>
          <w:snapToGrid w:val="0"/>
          <w:color w:val="000000" w:themeColor="text1"/>
          <w14:textFill>
            <w14:solidFill>
              <w14:schemeClr w14:val="tx1"/>
            </w14:solidFill>
          </w14:textFill>
        </w:rPr>
        <w:t>《环境影响评价技术导则 大气环境》（HJ2.2-2018）中</w:t>
      </w:r>
      <w:r>
        <w:rPr>
          <w:rFonts w:hint="eastAsia"/>
          <w:snapToGrid w:val="0"/>
          <w:color w:val="000000" w:themeColor="text1"/>
          <w14:textFill>
            <w14:solidFill>
              <w14:schemeClr w14:val="tx1"/>
            </w14:solidFill>
          </w14:textFill>
        </w:rPr>
        <w:t>附录D</w:t>
      </w:r>
      <w:r>
        <w:rPr>
          <w:color w:val="000000" w:themeColor="text1"/>
          <w14:textFill>
            <w14:solidFill>
              <w14:schemeClr w14:val="tx1"/>
            </w14:solidFill>
          </w14:textFill>
        </w:rPr>
        <w:t>表</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其他污染物空气质量浓度参考限值要求</w:t>
      </w:r>
      <w:r>
        <w:rPr>
          <w:rFonts w:hint="eastAsia"/>
          <w:snapToGrid w:val="0"/>
          <w:color w:val="000000" w:themeColor="text1"/>
          <w14:textFill>
            <w14:solidFill>
              <w14:schemeClr w14:val="tx1"/>
            </w14:solidFill>
          </w14:textFill>
        </w:rPr>
        <w:t>，T</w:t>
      </w:r>
      <w:r>
        <w:rPr>
          <w:snapToGrid w:val="0"/>
          <w:color w:val="000000" w:themeColor="text1"/>
          <w14:textFill>
            <w14:solidFill>
              <w14:schemeClr w14:val="tx1"/>
            </w14:solidFill>
          </w14:textFill>
        </w:rPr>
        <w:t>SP执行《环境空气质量标准》（</w:t>
      </w:r>
      <w:r>
        <w:rPr>
          <w:rFonts w:hint="eastAsia"/>
          <w:snapToGrid w:val="0"/>
          <w:color w:val="000000" w:themeColor="text1"/>
          <w:lang w:eastAsia="zh-CN"/>
          <w14:textFill>
            <w14:solidFill>
              <w14:schemeClr w14:val="tx1"/>
            </w14:solidFill>
          </w14:textFill>
        </w:rPr>
        <w:t>GB3095-2026</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p>
    <w:p w14:paraId="594001C5">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.8.2.2</w:t>
      </w:r>
      <w:r>
        <w:rPr>
          <w:rFonts w:hint="eastAsia"/>
          <w:color w:val="000000" w:themeColor="text1"/>
          <w14:textFill>
            <w14:solidFill>
              <w14:schemeClr w14:val="tx1"/>
            </w14:solidFill>
          </w14:textFill>
        </w:rPr>
        <w:t>地表水环境</w:t>
      </w:r>
    </w:p>
    <w:p w14:paraId="3E733B25">
      <w:pPr>
        <w:adjustRightInd/>
        <w:snapToGrid/>
        <w:spacing w:line="500" w:lineRule="exact"/>
        <w:rPr>
          <w:snapToGrid w:val="0"/>
          <w:color w:val="000000" w:themeColor="text1"/>
          <w:highlight w:val="green"/>
          <w14:textFill>
            <w14:solidFill>
              <w14:schemeClr w14:val="tx1"/>
            </w14:solidFill>
          </w14:textFill>
        </w:rPr>
      </w:pPr>
      <w:r>
        <w:rPr>
          <w:rFonts w:hint="eastAsia" w:cs="Times New Roman"/>
          <w:color w:val="auto"/>
        </w:rPr>
        <w:t>项目所在区域地表水体为</w:t>
      </w:r>
      <w:r>
        <w:rPr>
          <w:rFonts w:hint="eastAsia"/>
          <w:color w:val="auto"/>
          <w:lang w:val="en-US" w:eastAsia="zh-CN"/>
        </w:rPr>
        <w:t>八虎力河</w:t>
      </w:r>
      <w:r>
        <w:rPr>
          <w:rFonts w:hint="eastAsia" w:cs="Times New Roman"/>
          <w:color w:val="auto"/>
        </w:rPr>
        <w:t>，</w:t>
      </w:r>
      <w:r>
        <w:rPr>
          <w:rFonts w:hint="eastAsia"/>
          <w:color w:val="auto"/>
          <w:lang w:val="en-US" w:eastAsia="zh-CN"/>
        </w:rPr>
        <w:t>八虎力河</w:t>
      </w:r>
      <w:r>
        <w:rPr>
          <w:rFonts w:hint="eastAsia" w:cs="Times New Roman"/>
          <w:color w:val="auto"/>
        </w:rPr>
        <w:t>汇入</w:t>
      </w:r>
      <w:r>
        <w:rPr>
          <w:rFonts w:hint="default" w:eastAsia="宋体"/>
          <w:color w:val="auto"/>
          <w:lang w:val="en-US" w:eastAsia="zh-CN"/>
        </w:rPr>
        <w:t>倭肯河</w:t>
      </w:r>
      <w:r>
        <w:rPr>
          <w:rFonts w:hint="eastAsia" w:cs="Times New Roman"/>
          <w:color w:val="auto"/>
        </w:rPr>
        <w:t>，</w:t>
      </w:r>
      <w:r>
        <w:rPr>
          <w:rFonts w:hint="eastAsia" w:cs="Times New Roman"/>
          <w:snapToGrid w:val="0"/>
          <w:color w:val="auto"/>
          <w:kern w:val="0"/>
          <w:lang w:val="en-US" w:eastAsia="zh-CN"/>
        </w:rPr>
        <w:t>根据</w:t>
      </w:r>
      <w:r>
        <w:rPr>
          <w:rFonts w:hint="eastAsia" w:ascii="Times New Roman" w:hAnsi="Times New Roman" w:eastAsia="宋体"/>
          <w:color w:val="auto"/>
          <w:highlight w:val="none"/>
        </w:rPr>
        <w:t>《佳木斯市生态环境质量简报（2024年）》可知</w:t>
      </w:r>
      <w:r>
        <w:rPr>
          <w:rFonts w:hint="eastAsia"/>
          <w:color w:val="auto"/>
          <w:highlight w:val="none"/>
          <w:lang w:eastAsia="zh-CN"/>
        </w:rPr>
        <w:t>：</w:t>
      </w:r>
      <w:r>
        <w:rPr>
          <w:rFonts w:hint="eastAsia" w:cs="Times New Roman"/>
          <w:snapToGrid w:val="0"/>
          <w:color w:val="auto"/>
          <w:kern w:val="0"/>
        </w:rPr>
        <w:t>2024年，黑龙江佳木斯江段干流及支流共4个断面，Ⅰ-Ⅲ类水质 比例为50.0%，无劣Ⅴ类水质断</w:t>
      </w:r>
      <w:r>
        <w:rPr>
          <w:rFonts w:hint="eastAsia" w:cs="Times New Roman"/>
          <w:snapToGrid w:val="0"/>
          <w:color w:val="000000" w:themeColor="text1"/>
          <w:kern w:val="0"/>
          <w14:textFill>
            <w14:solidFill>
              <w14:schemeClr w14:val="tx1"/>
            </w14:solidFill>
          </w14:textFill>
        </w:rPr>
        <w:t>。</w:t>
      </w:r>
    </w:p>
    <w:p w14:paraId="494D37A8">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.8.2.3</w:t>
      </w:r>
      <w:r>
        <w:rPr>
          <w:rFonts w:hint="eastAsia"/>
          <w:color w:val="000000" w:themeColor="text1"/>
          <w14:textFill>
            <w14:solidFill>
              <w14:schemeClr w14:val="tx1"/>
            </w14:solidFill>
          </w14:textFill>
        </w:rPr>
        <w:t>地下水</w:t>
      </w:r>
      <w:r>
        <w:rPr>
          <w:rFonts w:hint="eastAsia"/>
          <w:color w:val="000000" w:themeColor="text1"/>
          <w:lang w:eastAsia="zh-CN"/>
          <w14:textFill>
            <w14:solidFill>
              <w14:schemeClr w14:val="tx1"/>
            </w14:solidFill>
          </w14:textFill>
        </w:rPr>
        <w:t>环境</w:t>
      </w:r>
    </w:p>
    <w:p w14:paraId="325D150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项目所在区域地下水执行《地下水质量标准》（GB/T14848-2017）中</w:t>
      </w:r>
      <w:r>
        <w:rPr>
          <w:rFonts w:cs="Times New Roman"/>
          <w:snapToGrid w:val="0"/>
          <w:color w:val="000000" w:themeColor="text1"/>
          <w14:textFill>
            <w14:solidFill>
              <w14:schemeClr w14:val="tx1"/>
            </w14:solidFill>
          </w14:textFill>
        </w:rPr>
        <w:t>Ⅲ</w:t>
      </w:r>
      <w:r>
        <w:rPr>
          <w:snapToGrid w:val="0"/>
          <w:color w:val="000000" w:themeColor="text1"/>
          <w14:textFill>
            <w14:solidFill>
              <w14:schemeClr w14:val="tx1"/>
            </w14:solidFill>
          </w14:textFill>
        </w:rPr>
        <w:t>类标准</w:t>
      </w:r>
      <w:r>
        <w:rPr>
          <w:rFonts w:hint="eastAsia"/>
          <w:snapToGrid w:val="0"/>
          <w:color w:val="000000" w:themeColor="text1"/>
          <w14:textFill>
            <w14:solidFill>
              <w14:schemeClr w14:val="tx1"/>
            </w14:solidFill>
          </w14:textFill>
        </w:rPr>
        <w:t>。</w:t>
      </w:r>
    </w:p>
    <w:p w14:paraId="7167D2B6">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.8.2.4</w:t>
      </w:r>
      <w:r>
        <w:rPr>
          <w:rFonts w:hint="eastAsia"/>
          <w:color w:val="000000" w:themeColor="text1"/>
          <w14:textFill>
            <w14:solidFill>
              <w14:schemeClr w14:val="tx1"/>
            </w14:solidFill>
          </w14:textFill>
        </w:rPr>
        <w:t>声环境</w:t>
      </w:r>
    </w:p>
    <w:p w14:paraId="7A49D43F">
      <w:pPr>
        <w:pStyle w:val="85"/>
        <w:rPr>
          <w:rFonts w:hint="eastAsia" w:eastAsia="宋体"/>
          <w:snapToGrid w:val="0"/>
          <w:color w:val="000000" w:themeColor="text1"/>
          <w:lang w:eastAsia="zh-CN"/>
          <w14:textFill>
            <w14:solidFill>
              <w14:schemeClr w14:val="tx1"/>
            </w14:solidFill>
          </w14:textFill>
        </w:rPr>
      </w:pPr>
      <w:r>
        <w:rPr>
          <w:snapToGrid w:val="0"/>
          <w:color w:val="000000" w:themeColor="text1"/>
          <w14:textFill>
            <w14:solidFill>
              <w14:schemeClr w14:val="tx1"/>
            </w14:solidFill>
          </w14:textFill>
        </w:rPr>
        <w:t>项目</w:t>
      </w:r>
      <w:r>
        <w:rPr>
          <w:rFonts w:hint="eastAsia"/>
          <w:snapToGrid w:val="0"/>
          <w:color w:val="000000" w:themeColor="text1"/>
          <w:lang w:val="en-US" w:eastAsia="zh-CN"/>
          <w14:textFill>
            <w14:solidFill>
              <w14:schemeClr w14:val="tx1"/>
            </w14:solidFill>
          </w14:textFill>
        </w:rPr>
        <w:t>东侧、南侧、北侧厂界</w:t>
      </w:r>
      <w:r>
        <w:rPr>
          <w:snapToGrid w:val="0"/>
          <w:color w:val="000000" w:themeColor="text1"/>
          <w14:textFill>
            <w14:solidFill>
              <w14:schemeClr w14:val="tx1"/>
            </w14:solidFill>
          </w14:textFill>
        </w:rPr>
        <w:t>声环境执行《声环境质量标准》（GB3096-2008）中的3类标准</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西侧厂界</w:t>
      </w:r>
      <w:r>
        <w:rPr>
          <w:snapToGrid w:val="0"/>
          <w:color w:val="000000" w:themeColor="text1"/>
          <w14:textFill>
            <w14:solidFill>
              <w14:schemeClr w14:val="tx1"/>
            </w14:solidFill>
          </w14:textFill>
        </w:rPr>
        <w:t>声环境执行《声环境质量标准》（GB3096-2008）中的</w:t>
      </w:r>
      <w:r>
        <w:rPr>
          <w:rFonts w:hint="eastAsia"/>
          <w:snapToGrid w:val="0"/>
          <w:color w:val="000000" w:themeColor="text1"/>
          <w:lang w:val="en-US" w:eastAsia="zh-CN"/>
          <w14:textFill>
            <w14:solidFill>
              <w14:schemeClr w14:val="tx1"/>
            </w14:solidFill>
          </w14:textFill>
        </w:rPr>
        <w:t>4a</w:t>
      </w:r>
      <w:r>
        <w:rPr>
          <w:snapToGrid w:val="0"/>
          <w:color w:val="000000" w:themeColor="text1"/>
          <w14:textFill>
            <w14:solidFill>
              <w14:schemeClr w14:val="tx1"/>
            </w14:solidFill>
          </w14:textFill>
        </w:rPr>
        <w:t>类标准</w:t>
      </w:r>
      <w:r>
        <w:rPr>
          <w:rFonts w:hint="eastAsia"/>
          <w:snapToGrid w:val="0"/>
          <w:color w:val="000000" w:themeColor="text1"/>
          <w:lang w:eastAsia="zh-CN"/>
          <w14:textFill>
            <w14:solidFill>
              <w14:schemeClr w14:val="tx1"/>
            </w14:solidFill>
          </w14:textFill>
        </w:rPr>
        <w:t>。</w:t>
      </w:r>
    </w:p>
    <w:p w14:paraId="528121F7">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所执行的环境质量标准见表2-8-1。</w:t>
      </w:r>
    </w:p>
    <w:p w14:paraId="3F00E309">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eastAsia="黑体"/>
          <w:snapToGrid w:val="0"/>
          <w:color w:val="000000" w:themeColor="text1"/>
          <w:kern w:val="0"/>
          <w:lang w:val="zh-CN" w:eastAsia="zh-CN"/>
          <w14:textFill>
            <w14:solidFill>
              <w14:schemeClr w14:val="tx1"/>
            </w14:solidFill>
          </w14:textFill>
        </w:rPr>
        <w:t>表2-8-1 环境质量标准</w:t>
      </w:r>
    </w:p>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88"/>
        <w:gridCol w:w="2130"/>
        <w:gridCol w:w="2120"/>
        <w:gridCol w:w="1130"/>
        <w:gridCol w:w="1424"/>
        <w:gridCol w:w="814"/>
      </w:tblGrid>
      <w:tr w14:paraId="3E81D1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restart"/>
            <w:vAlign w:val="center"/>
          </w:tcPr>
          <w:p w14:paraId="2012B61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w:t>
            </w:r>
          </w:p>
          <w:p w14:paraId="08E0B12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要素</w:t>
            </w:r>
          </w:p>
        </w:tc>
        <w:tc>
          <w:tcPr>
            <w:tcW w:w="1282" w:type="pct"/>
            <w:vMerge w:val="restart"/>
            <w:vAlign w:val="center"/>
          </w:tcPr>
          <w:p w14:paraId="2EF8F75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标准名称及级别</w:t>
            </w:r>
          </w:p>
        </w:tc>
        <w:tc>
          <w:tcPr>
            <w:tcW w:w="1276" w:type="pct"/>
            <w:vMerge w:val="restart"/>
            <w:vAlign w:val="center"/>
          </w:tcPr>
          <w:p w14:paraId="20368E9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w:t>
            </w:r>
          </w:p>
        </w:tc>
        <w:tc>
          <w:tcPr>
            <w:tcW w:w="2027" w:type="pct"/>
            <w:gridSpan w:val="3"/>
            <w:vAlign w:val="center"/>
          </w:tcPr>
          <w:p w14:paraId="68090E9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标准值</w:t>
            </w:r>
          </w:p>
        </w:tc>
      </w:tr>
      <w:tr w14:paraId="541E90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15607DB2">
            <w:pPr>
              <w:pStyle w:val="143"/>
              <w:rPr>
                <w:snapToGrid w:val="0"/>
                <w:color w:val="000000" w:themeColor="text1"/>
                <w:kern w:val="0"/>
                <w14:textFill>
                  <w14:solidFill>
                    <w14:schemeClr w14:val="tx1"/>
                  </w14:solidFill>
                </w14:textFill>
              </w:rPr>
            </w:pPr>
          </w:p>
        </w:tc>
        <w:tc>
          <w:tcPr>
            <w:tcW w:w="1282" w:type="pct"/>
            <w:vMerge w:val="continue"/>
            <w:vAlign w:val="center"/>
          </w:tcPr>
          <w:p w14:paraId="31C2D967">
            <w:pPr>
              <w:pStyle w:val="143"/>
              <w:rPr>
                <w:snapToGrid w:val="0"/>
                <w:color w:val="000000" w:themeColor="text1"/>
                <w:kern w:val="0"/>
                <w14:textFill>
                  <w14:solidFill>
                    <w14:schemeClr w14:val="tx1"/>
                  </w14:solidFill>
                </w14:textFill>
              </w:rPr>
            </w:pPr>
          </w:p>
        </w:tc>
        <w:tc>
          <w:tcPr>
            <w:tcW w:w="1276" w:type="pct"/>
            <w:vMerge w:val="continue"/>
            <w:vAlign w:val="center"/>
          </w:tcPr>
          <w:p w14:paraId="1B1AFFB0">
            <w:pPr>
              <w:pStyle w:val="143"/>
              <w:rPr>
                <w:snapToGrid w:val="0"/>
                <w:color w:val="000000" w:themeColor="text1"/>
                <w:kern w:val="0"/>
                <w14:textFill>
                  <w14:solidFill>
                    <w14:schemeClr w14:val="tx1"/>
                  </w14:solidFill>
                </w14:textFill>
              </w:rPr>
            </w:pPr>
          </w:p>
        </w:tc>
        <w:tc>
          <w:tcPr>
            <w:tcW w:w="680" w:type="pct"/>
            <w:vAlign w:val="center"/>
          </w:tcPr>
          <w:p w14:paraId="75CFD06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单位</w:t>
            </w:r>
          </w:p>
        </w:tc>
        <w:tc>
          <w:tcPr>
            <w:tcW w:w="1347" w:type="pct"/>
            <w:gridSpan w:val="2"/>
            <w:vAlign w:val="center"/>
          </w:tcPr>
          <w:p w14:paraId="407B454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数值</w:t>
            </w:r>
          </w:p>
        </w:tc>
      </w:tr>
      <w:tr w14:paraId="5CEBE4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restart"/>
            <w:vAlign w:val="center"/>
          </w:tcPr>
          <w:p w14:paraId="1DC8506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w:t>
            </w:r>
          </w:p>
          <w:p w14:paraId="28C0FB9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境</w:t>
            </w:r>
          </w:p>
          <w:p w14:paraId="3EA496E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空</w:t>
            </w:r>
          </w:p>
          <w:p w14:paraId="0A25459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气</w:t>
            </w:r>
          </w:p>
        </w:tc>
        <w:tc>
          <w:tcPr>
            <w:tcW w:w="1282" w:type="pct"/>
            <w:vMerge w:val="restart"/>
            <w:vAlign w:val="center"/>
          </w:tcPr>
          <w:p w14:paraId="52EA815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《环境空气质量标准》（</w:t>
            </w:r>
            <w:r>
              <w:rPr>
                <w:rFonts w:hint="eastAsia"/>
                <w:snapToGrid w:val="0"/>
                <w:color w:val="000000" w:themeColor="text1"/>
                <w:kern w:val="0"/>
                <w:lang w:eastAsia="zh-CN"/>
                <w14:textFill>
                  <w14:solidFill>
                    <w14:schemeClr w14:val="tx1"/>
                  </w14:solidFill>
                </w14:textFill>
              </w:rPr>
              <w:t>GB3095-2026</w:t>
            </w:r>
            <w:r>
              <w:rPr>
                <w:snapToGrid w:val="0"/>
                <w:color w:val="000000" w:themeColor="text1"/>
                <w:kern w:val="0"/>
                <w14:textFill>
                  <w14:solidFill>
                    <w14:schemeClr w14:val="tx1"/>
                  </w14:solidFill>
                </w14:textFill>
              </w:rPr>
              <w:t>）</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p>
        </w:tc>
        <w:tc>
          <w:tcPr>
            <w:tcW w:w="1276" w:type="pct"/>
            <w:vAlign w:val="center"/>
          </w:tcPr>
          <w:p w14:paraId="0970291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PM</w:t>
            </w:r>
            <w:r>
              <w:rPr>
                <w:snapToGrid w:val="0"/>
                <w:color w:val="000000" w:themeColor="text1"/>
                <w:kern w:val="0"/>
                <w:vertAlign w:val="subscript"/>
                <w14:textFill>
                  <w14:solidFill>
                    <w14:schemeClr w14:val="tx1"/>
                  </w14:solidFill>
                </w14:textFill>
              </w:rPr>
              <w:t>10</w:t>
            </w:r>
          </w:p>
        </w:tc>
        <w:tc>
          <w:tcPr>
            <w:tcW w:w="680" w:type="pct"/>
            <w:vMerge w:val="restart"/>
            <w:vAlign w:val="center"/>
          </w:tcPr>
          <w:p w14:paraId="2EE52C5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μg/m</w:t>
            </w:r>
            <w:r>
              <w:rPr>
                <w:snapToGrid w:val="0"/>
                <w:color w:val="000000" w:themeColor="text1"/>
                <w:kern w:val="0"/>
                <w:vertAlign w:val="superscript"/>
                <w14:textFill>
                  <w14:solidFill>
                    <w14:schemeClr w14:val="tx1"/>
                  </w14:solidFill>
                </w14:textFill>
              </w:rPr>
              <w:t>3</w:t>
            </w:r>
          </w:p>
        </w:tc>
        <w:tc>
          <w:tcPr>
            <w:tcW w:w="857" w:type="pct"/>
            <w:vAlign w:val="center"/>
          </w:tcPr>
          <w:p w14:paraId="28E2453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24小时平均</w:t>
            </w:r>
          </w:p>
        </w:tc>
        <w:tc>
          <w:tcPr>
            <w:tcW w:w="490" w:type="pct"/>
            <w:vAlign w:val="center"/>
          </w:tcPr>
          <w:p w14:paraId="0B87343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150</w:t>
            </w:r>
          </w:p>
        </w:tc>
      </w:tr>
      <w:tr w14:paraId="4DB556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7B58D078">
            <w:pPr>
              <w:pStyle w:val="143"/>
              <w:rPr>
                <w:snapToGrid w:val="0"/>
                <w:color w:val="000000" w:themeColor="text1"/>
                <w:kern w:val="0"/>
                <w14:textFill>
                  <w14:solidFill>
                    <w14:schemeClr w14:val="tx1"/>
                  </w14:solidFill>
                </w14:textFill>
              </w:rPr>
            </w:pPr>
          </w:p>
        </w:tc>
        <w:tc>
          <w:tcPr>
            <w:tcW w:w="1282" w:type="pct"/>
            <w:vMerge w:val="continue"/>
            <w:vAlign w:val="center"/>
          </w:tcPr>
          <w:p w14:paraId="19429085">
            <w:pPr>
              <w:pStyle w:val="143"/>
              <w:rPr>
                <w:snapToGrid w:val="0"/>
                <w:color w:val="000000" w:themeColor="text1"/>
                <w:kern w:val="0"/>
                <w14:textFill>
                  <w14:solidFill>
                    <w14:schemeClr w14:val="tx1"/>
                  </w14:solidFill>
                </w14:textFill>
              </w:rPr>
            </w:pPr>
          </w:p>
        </w:tc>
        <w:tc>
          <w:tcPr>
            <w:tcW w:w="1276" w:type="pct"/>
            <w:vAlign w:val="center"/>
          </w:tcPr>
          <w:p w14:paraId="29AEFAC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PM</w:t>
            </w:r>
            <w:r>
              <w:rPr>
                <w:snapToGrid w:val="0"/>
                <w:color w:val="000000" w:themeColor="text1"/>
                <w:kern w:val="0"/>
                <w:vertAlign w:val="subscript"/>
                <w14:textFill>
                  <w14:solidFill>
                    <w14:schemeClr w14:val="tx1"/>
                  </w14:solidFill>
                </w14:textFill>
              </w:rPr>
              <w:t>2.5</w:t>
            </w:r>
          </w:p>
        </w:tc>
        <w:tc>
          <w:tcPr>
            <w:tcW w:w="680" w:type="pct"/>
            <w:vMerge w:val="continue"/>
            <w:vAlign w:val="center"/>
          </w:tcPr>
          <w:p w14:paraId="38D7BAE6">
            <w:pPr>
              <w:pStyle w:val="143"/>
              <w:rPr>
                <w:snapToGrid w:val="0"/>
                <w:color w:val="000000" w:themeColor="text1"/>
                <w:kern w:val="0"/>
                <w14:textFill>
                  <w14:solidFill>
                    <w14:schemeClr w14:val="tx1"/>
                  </w14:solidFill>
                </w14:textFill>
              </w:rPr>
            </w:pPr>
          </w:p>
        </w:tc>
        <w:tc>
          <w:tcPr>
            <w:tcW w:w="857" w:type="pct"/>
            <w:vAlign w:val="center"/>
          </w:tcPr>
          <w:p w14:paraId="4729E72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24小时平均</w:t>
            </w:r>
          </w:p>
        </w:tc>
        <w:tc>
          <w:tcPr>
            <w:tcW w:w="490" w:type="pct"/>
            <w:vAlign w:val="center"/>
          </w:tcPr>
          <w:p w14:paraId="2D9524E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750</w:t>
            </w:r>
          </w:p>
        </w:tc>
      </w:tr>
      <w:tr w14:paraId="260314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14" w:type="pct"/>
            <w:vMerge w:val="continue"/>
            <w:vAlign w:val="center"/>
          </w:tcPr>
          <w:p w14:paraId="60A5E788">
            <w:pPr>
              <w:pStyle w:val="143"/>
              <w:rPr>
                <w:snapToGrid w:val="0"/>
                <w:color w:val="000000" w:themeColor="text1"/>
                <w:kern w:val="0"/>
                <w14:textFill>
                  <w14:solidFill>
                    <w14:schemeClr w14:val="tx1"/>
                  </w14:solidFill>
                </w14:textFill>
              </w:rPr>
            </w:pPr>
          </w:p>
        </w:tc>
        <w:tc>
          <w:tcPr>
            <w:tcW w:w="1282" w:type="pct"/>
            <w:vMerge w:val="continue"/>
            <w:vAlign w:val="center"/>
          </w:tcPr>
          <w:p w14:paraId="57B03B60">
            <w:pPr>
              <w:pStyle w:val="143"/>
              <w:rPr>
                <w:snapToGrid w:val="0"/>
                <w:color w:val="000000" w:themeColor="text1"/>
                <w:kern w:val="0"/>
                <w14:textFill>
                  <w14:solidFill>
                    <w14:schemeClr w14:val="tx1"/>
                  </w14:solidFill>
                </w14:textFill>
              </w:rPr>
            </w:pPr>
          </w:p>
        </w:tc>
        <w:tc>
          <w:tcPr>
            <w:tcW w:w="1276" w:type="pct"/>
            <w:vMerge w:val="restart"/>
            <w:vAlign w:val="center"/>
          </w:tcPr>
          <w:p w14:paraId="1EE2AC1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NO</w:t>
            </w:r>
            <w:r>
              <w:rPr>
                <w:snapToGrid w:val="0"/>
                <w:color w:val="000000" w:themeColor="text1"/>
                <w:kern w:val="0"/>
                <w:vertAlign w:val="subscript"/>
                <w14:textFill>
                  <w14:solidFill>
                    <w14:schemeClr w14:val="tx1"/>
                  </w14:solidFill>
                </w14:textFill>
              </w:rPr>
              <w:t>2</w:t>
            </w:r>
          </w:p>
        </w:tc>
        <w:tc>
          <w:tcPr>
            <w:tcW w:w="680" w:type="pct"/>
            <w:vMerge w:val="continue"/>
            <w:vAlign w:val="center"/>
          </w:tcPr>
          <w:p w14:paraId="78F0BC81">
            <w:pPr>
              <w:pStyle w:val="143"/>
              <w:rPr>
                <w:snapToGrid w:val="0"/>
                <w:color w:val="000000" w:themeColor="text1"/>
                <w:kern w:val="0"/>
                <w14:textFill>
                  <w14:solidFill>
                    <w14:schemeClr w14:val="tx1"/>
                  </w14:solidFill>
                </w14:textFill>
              </w:rPr>
            </w:pPr>
          </w:p>
        </w:tc>
        <w:tc>
          <w:tcPr>
            <w:tcW w:w="857" w:type="pct"/>
            <w:vAlign w:val="center"/>
          </w:tcPr>
          <w:p w14:paraId="467C8C03">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小时平均</w:t>
            </w:r>
          </w:p>
        </w:tc>
        <w:tc>
          <w:tcPr>
            <w:tcW w:w="490" w:type="pct"/>
            <w:vAlign w:val="center"/>
          </w:tcPr>
          <w:p w14:paraId="33141F5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200</w:t>
            </w:r>
          </w:p>
        </w:tc>
      </w:tr>
      <w:tr w14:paraId="6E8C83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14" w:type="pct"/>
            <w:vMerge w:val="continue"/>
            <w:vAlign w:val="center"/>
          </w:tcPr>
          <w:p w14:paraId="5F3D73BC">
            <w:pPr>
              <w:pStyle w:val="143"/>
              <w:rPr>
                <w:snapToGrid w:val="0"/>
                <w:color w:val="000000" w:themeColor="text1"/>
                <w:kern w:val="0"/>
                <w14:textFill>
                  <w14:solidFill>
                    <w14:schemeClr w14:val="tx1"/>
                  </w14:solidFill>
                </w14:textFill>
              </w:rPr>
            </w:pPr>
          </w:p>
        </w:tc>
        <w:tc>
          <w:tcPr>
            <w:tcW w:w="1282" w:type="pct"/>
            <w:vMerge w:val="continue"/>
            <w:vAlign w:val="center"/>
          </w:tcPr>
          <w:p w14:paraId="538DDE4B">
            <w:pPr>
              <w:pStyle w:val="143"/>
              <w:rPr>
                <w:snapToGrid w:val="0"/>
                <w:color w:val="000000" w:themeColor="text1"/>
                <w:kern w:val="0"/>
                <w14:textFill>
                  <w14:solidFill>
                    <w14:schemeClr w14:val="tx1"/>
                  </w14:solidFill>
                </w14:textFill>
              </w:rPr>
            </w:pPr>
          </w:p>
        </w:tc>
        <w:tc>
          <w:tcPr>
            <w:tcW w:w="1276" w:type="pct"/>
            <w:vMerge w:val="continue"/>
            <w:vAlign w:val="center"/>
          </w:tcPr>
          <w:p w14:paraId="0495CBC6">
            <w:pPr>
              <w:pStyle w:val="143"/>
              <w:rPr>
                <w:snapToGrid w:val="0"/>
                <w:color w:val="000000" w:themeColor="text1"/>
                <w:kern w:val="0"/>
                <w14:textFill>
                  <w14:solidFill>
                    <w14:schemeClr w14:val="tx1"/>
                  </w14:solidFill>
                </w14:textFill>
              </w:rPr>
            </w:pPr>
          </w:p>
        </w:tc>
        <w:tc>
          <w:tcPr>
            <w:tcW w:w="680" w:type="pct"/>
            <w:vMerge w:val="continue"/>
            <w:vAlign w:val="center"/>
          </w:tcPr>
          <w:p w14:paraId="01B72D52">
            <w:pPr>
              <w:pStyle w:val="143"/>
              <w:rPr>
                <w:snapToGrid w:val="0"/>
                <w:color w:val="000000" w:themeColor="text1"/>
                <w:kern w:val="0"/>
                <w14:textFill>
                  <w14:solidFill>
                    <w14:schemeClr w14:val="tx1"/>
                  </w14:solidFill>
                </w14:textFill>
              </w:rPr>
            </w:pPr>
          </w:p>
        </w:tc>
        <w:tc>
          <w:tcPr>
            <w:tcW w:w="857" w:type="pct"/>
            <w:vAlign w:val="center"/>
          </w:tcPr>
          <w:p w14:paraId="6B5253B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24小时平均</w:t>
            </w:r>
          </w:p>
        </w:tc>
        <w:tc>
          <w:tcPr>
            <w:tcW w:w="490" w:type="pct"/>
            <w:vAlign w:val="center"/>
          </w:tcPr>
          <w:p w14:paraId="506284C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80</w:t>
            </w:r>
          </w:p>
        </w:tc>
      </w:tr>
      <w:tr w14:paraId="15CD48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1F8CBC34">
            <w:pPr>
              <w:pStyle w:val="143"/>
              <w:rPr>
                <w:snapToGrid w:val="0"/>
                <w:color w:val="000000" w:themeColor="text1"/>
                <w:kern w:val="0"/>
                <w14:textFill>
                  <w14:solidFill>
                    <w14:schemeClr w14:val="tx1"/>
                  </w14:solidFill>
                </w14:textFill>
              </w:rPr>
            </w:pPr>
          </w:p>
        </w:tc>
        <w:tc>
          <w:tcPr>
            <w:tcW w:w="1282" w:type="pct"/>
            <w:vMerge w:val="continue"/>
            <w:vAlign w:val="center"/>
          </w:tcPr>
          <w:p w14:paraId="751CE424">
            <w:pPr>
              <w:pStyle w:val="143"/>
              <w:rPr>
                <w:snapToGrid w:val="0"/>
                <w:color w:val="000000" w:themeColor="text1"/>
                <w:kern w:val="0"/>
                <w14:textFill>
                  <w14:solidFill>
                    <w14:schemeClr w14:val="tx1"/>
                  </w14:solidFill>
                </w14:textFill>
              </w:rPr>
            </w:pPr>
          </w:p>
        </w:tc>
        <w:tc>
          <w:tcPr>
            <w:tcW w:w="1276" w:type="pct"/>
            <w:vMerge w:val="restart"/>
            <w:vAlign w:val="center"/>
          </w:tcPr>
          <w:p w14:paraId="70691D5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SO</w:t>
            </w:r>
            <w:r>
              <w:rPr>
                <w:snapToGrid w:val="0"/>
                <w:color w:val="000000" w:themeColor="text1"/>
                <w:kern w:val="0"/>
                <w:vertAlign w:val="subscript"/>
                <w14:textFill>
                  <w14:solidFill>
                    <w14:schemeClr w14:val="tx1"/>
                  </w14:solidFill>
                </w14:textFill>
              </w:rPr>
              <w:t>2</w:t>
            </w:r>
          </w:p>
        </w:tc>
        <w:tc>
          <w:tcPr>
            <w:tcW w:w="680" w:type="pct"/>
            <w:vMerge w:val="continue"/>
            <w:vAlign w:val="center"/>
          </w:tcPr>
          <w:p w14:paraId="0B972138">
            <w:pPr>
              <w:pStyle w:val="143"/>
              <w:rPr>
                <w:snapToGrid w:val="0"/>
                <w:color w:val="000000" w:themeColor="text1"/>
                <w:kern w:val="0"/>
                <w14:textFill>
                  <w14:solidFill>
                    <w14:schemeClr w14:val="tx1"/>
                  </w14:solidFill>
                </w14:textFill>
              </w:rPr>
            </w:pPr>
          </w:p>
        </w:tc>
        <w:tc>
          <w:tcPr>
            <w:tcW w:w="857" w:type="pct"/>
            <w:vAlign w:val="center"/>
          </w:tcPr>
          <w:p w14:paraId="3FE22501">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小时平均</w:t>
            </w:r>
          </w:p>
        </w:tc>
        <w:tc>
          <w:tcPr>
            <w:tcW w:w="490" w:type="pct"/>
            <w:vAlign w:val="center"/>
          </w:tcPr>
          <w:p w14:paraId="61B2720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500</w:t>
            </w:r>
          </w:p>
        </w:tc>
      </w:tr>
      <w:tr w14:paraId="287A8D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7F555F7F">
            <w:pPr>
              <w:pStyle w:val="143"/>
              <w:rPr>
                <w:snapToGrid w:val="0"/>
                <w:color w:val="000000" w:themeColor="text1"/>
                <w:kern w:val="0"/>
                <w14:textFill>
                  <w14:solidFill>
                    <w14:schemeClr w14:val="tx1"/>
                  </w14:solidFill>
                </w14:textFill>
              </w:rPr>
            </w:pPr>
          </w:p>
        </w:tc>
        <w:tc>
          <w:tcPr>
            <w:tcW w:w="1282" w:type="pct"/>
            <w:vMerge w:val="continue"/>
            <w:vAlign w:val="center"/>
          </w:tcPr>
          <w:p w14:paraId="093D83DA">
            <w:pPr>
              <w:pStyle w:val="143"/>
              <w:rPr>
                <w:snapToGrid w:val="0"/>
                <w:color w:val="000000" w:themeColor="text1"/>
                <w:kern w:val="0"/>
                <w14:textFill>
                  <w14:solidFill>
                    <w14:schemeClr w14:val="tx1"/>
                  </w14:solidFill>
                </w14:textFill>
              </w:rPr>
            </w:pPr>
          </w:p>
        </w:tc>
        <w:tc>
          <w:tcPr>
            <w:tcW w:w="1276" w:type="pct"/>
            <w:vMerge w:val="continue"/>
            <w:vAlign w:val="center"/>
          </w:tcPr>
          <w:p w14:paraId="17F7E74A">
            <w:pPr>
              <w:pStyle w:val="143"/>
              <w:rPr>
                <w:snapToGrid w:val="0"/>
                <w:color w:val="000000" w:themeColor="text1"/>
                <w:kern w:val="0"/>
                <w14:textFill>
                  <w14:solidFill>
                    <w14:schemeClr w14:val="tx1"/>
                  </w14:solidFill>
                </w14:textFill>
              </w:rPr>
            </w:pPr>
          </w:p>
        </w:tc>
        <w:tc>
          <w:tcPr>
            <w:tcW w:w="680" w:type="pct"/>
            <w:vMerge w:val="continue"/>
            <w:vAlign w:val="center"/>
          </w:tcPr>
          <w:p w14:paraId="1C70B1FD">
            <w:pPr>
              <w:pStyle w:val="143"/>
              <w:rPr>
                <w:snapToGrid w:val="0"/>
                <w:color w:val="000000" w:themeColor="text1"/>
                <w:kern w:val="0"/>
                <w14:textFill>
                  <w14:solidFill>
                    <w14:schemeClr w14:val="tx1"/>
                  </w14:solidFill>
                </w14:textFill>
              </w:rPr>
            </w:pPr>
          </w:p>
        </w:tc>
        <w:tc>
          <w:tcPr>
            <w:tcW w:w="857" w:type="pct"/>
            <w:vAlign w:val="center"/>
          </w:tcPr>
          <w:p w14:paraId="2A6901E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24小时平均</w:t>
            </w:r>
          </w:p>
        </w:tc>
        <w:tc>
          <w:tcPr>
            <w:tcW w:w="490" w:type="pct"/>
            <w:vAlign w:val="center"/>
          </w:tcPr>
          <w:p w14:paraId="197B410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150</w:t>
            </w:r>
          </w:p>
        </w:tc>
      </w:tr>
      <w:tr w14:paraId="3F86F5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6737FC65">
            <w:pPr>
              <w:pStyle w:val="143"/>
              <w:rPr>
                <w:snapToGrid w:val="0"/>
                <w:color w:val="000000" w:themeColor="text1"/>
                <w:kern w:val="0"/>
                <w14:textFill>
                  <w14:solidFill>
                    <w14:schemeClr w14:val="tx1"/>
                  </w14:solidFill>
                </w14:textFill>
              </w:rPr>
            </w:pPr>
          </w:p>
        </w:tc>
        <w:tc>
          <w:tcPr>
            <w:tcW w:w="1282" w:type="pct"/>
            <w:vMerge w:val="continue"/>
            <w:vAlign w:val="center"/>
          </w:tcPr>
          <w:p w14:paraId="69DA95CA">
            <w:pPr>
              <w:pStyle w:val="143"/>
              <w:rPr>
                <w:snapToGrid w:val="0"/>
                <w:color w:val="000000" w:themeColor="text1"/>
                <w:kern w:val="0"/>
                <w14:textFill>
                  <w14:solidFill>
                    <w14:schemeClr w14:val="tx1"/>
                  </w14:solidFill>
                </w14:textFill>
              </w:rPr>
            </w:pPr>
          </w:p>
        </w:tc>
        <w:tc>
          <w:tcPr>
            <w:tcW w:w="1276" w:type="pct"/>
            <w:vAlign w:val="center"/>
          </w:tcPr>
          <w:p w14:paraId="01B16431">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O</w:t>
            </w:r>
            <w:r>
              <w:rPr>
                <w:snapToGrid w:val="0"/>
                <w:color w:val="000000" w:themeColor="text1"/>
                <w:kern w:val="0"/>
                <w:vertAlign w:val="subscript"/>
                <w14:textFill>
                  <w14:solidFill>
                    <w14:schemeClr w14:val="tx1"/>
                  </w14:solidFill>
                </w14:textFill>
              </w:rPr>
              <w:t>3</w:t>
            </w:r>
          </w:p>
        </w:tc>
        <w:tc>
          <w:tcPr>
            <w:tcW w:w="680" w:type="pct"/>
            <w:vMerge w:val="continue"/>
            <w:vAlign w:val="center"/>
          </w:tcPr>
          <w:p w14:paraId="0D5D5E4E">
            <w:pPr>
              <w:pStyle w:val="143"/>
              <w:rPr>
                <w:snapToGrid w:val="0"/>
                <w:color w:val="000000" w:themeColor="text1"/>
                <w:kern w:val="0"/>
                <w14:textFill>
                  <w14:solidFill>
                    <w14:schemeClr w14:val="tx1"/>
                  </w14:solidFill>
                </w14:textFill>
              </w:rPr>
            </w:pPr>
          </w:p>
        </w:tc>
        <w:tc>
          <w:tcPr>
            <w:tcW w:w="857" w:type="pct"/>
            <w:vAlign w:val="center"/>
          </w:tcPr>
          <w:p w14:paraId="51F79A26">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日最大8小时平均</w:t>
            </w:r>
          </w:p>
        </w:tc>
        <w:tc>
          <w:tcPr>
            <w:tcW w:w="490" w:type="pct"/>
            <w:vAlign w:val="center"/>
          </w:tcPr>
          <w:p w14:paraId="22E17D0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160</w:t>
            </w:r>
          </w:p>
        </w:tc>
      </w:tr>
      <w:tr w14:paraId="0653D2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378AB54D">
            <w:pPr>
              <w:pStyle w:val="143"/>
              <w:rPr>
                <w:snapToGrid w:val="0"/>
                <w:color w:val="000000" w:themeColor="text1"/>
                <w:kern w:val="0"/>
                <w14:textFill>
                  <w14:solidFill>
                    <w14:schemeClr w14:val="tx1"/>
                  </w14:solidFill>
                </w14:textFill>
              </w:rPr>
            </w:pPr>
          </w:p>
        </w:tc>
        <w:tc>
          <w:tcPr>
            <w:tcW w:w="1282" w:type="pct"/>
            <w:vMerge w:val="continue"/>
            <w:vAlign w:val="center"/>
          </w:tcPr>
          <w:p w14:paraId="5F5A1633">
            <w:pPr>
              <w:pStyle w:val="143"/>
              <w:rPr>
                <w:snapToGrid w:val="0"/>
                <w:color w:val="000000" w:themeColor="text1"/>
                <w:kern w:val="0"/>
                <w14:textFill>
                  <w14:solidFill>
                    <w14:schemeClr w14:val="tx1"/>
                  </w14:solidFill>
                </w14:textFill>
              </w:rPr>
            </w:pPr>
          </w:p>
        </w:tc>
        <w:tc>
          <w:tcPr>
            <w:tcW w:w="1276" w:type="pct"/>
            <w:vAlign w:val="center"/>
          </w:tcPr>
          <w:p w14:paraId="1E128A7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CO</w:t>
            </w:r>
            <w:r>
              <w:rPr>
                <w:rFonts w:hint="eastAsia"/>
                <w:snapToGrid w:val="0"/>
                <w:color w:val="000000" w:themeColor="text1"/>
                <w:kern w:val="0"/>
                <w14:textFill>
                  <w14:solidFill>
                    <w14:schemeClr w14:val="tx1"/>
                  </w14:solidFill>
                </w14:textFill>
              </w:rPr>
              <w:t>（m</w:t>
            </w:r>
            <w:r>
              <w:rPr>
                <w:snapToGrid w:val="0"/>
                <w:color w:val="000000" w:themeColor="text1"/>
                <w:kern w:val="0"/>
                <w14:textFill>
                  <w14:solidFill>
                    <w14:schemeClr w14:val="tx1"/>
                  </w14:solidFill>
                </w14:textFill>
              </w:rPr>
              <w:t>g/m</w:t>
            </w:r>
            <w:r>
              <w:rPr>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w:t>
            </w:r>
          </w:p>
        </w:tc>
        <w:tc>
          <w:tcPr>
            <w:tcW w:w="680" w:type="pct"/>
            <w:vMerge w:val="continue"/>
            <w:vAlign w:val="center"/>
          </w:tcPr>
          <w:p w14:paraId="48565B82">
            <w:pPr>
              <w:pStyle w:val="143"/>
              <w:rPr>
                <w:snapToGrid w:val="0"/>
                <w:color w:val="000000" w:themeColor="text1"/>
                <w:kern w:val="0"/>
                <w14:textFill>
                  <w14:solidFill>
                    <w14:schemeClr w14:val="tx1"/>
                  </w14:solidFill>
                </w14:textFill>
              </w:rPr>
            </w:pPr>
          </w:p>
        </w:tc>
        <w:tc>
          <w:tcPr>
            <w:tcW w:w="857" w:type="pct"/>
            <w:vAlign w:val="center"/>
          </w:tcPr>
          <w:p w14:paraId="34015C2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24小时平均</w:t>
            </w:r>
          </w:p>
        </w:tc>
        <w:tc>
          <w:tcPr>
            <w:tcW w:w="490" w:type="pct"/>
            <w:vAlign w:val="center"/>
          </w:tcPr>
          <w:p w14:paraId="3337FF8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w:t>
            </w:r>
          </w:p>
        </w:tc>
      </w:tr>
      <w:tr w14:paraId="499A47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4CB727C8">
            <w:pPr>
              <w:pStyle w:val="143"/>
              <w:rPr>
                <w:snapToGrid w:val="0"/>
                <w:color w:val="000000" w:themeColor="text1"/>
                <w:kern w:val="0"/>
                <w14:textFill>
                  <w14:solidFill>
                    <w14:schemeClr w14:val="tx1"/>
                  </w14:solidFill>
                </w14:textFill>
              </w:rPr>
            </w:pPr>
          </w:p>
        </w:tc>
        <w:tc>
          <w:tcPr>
            <w:tcW w:w="1282" w:type="pct"/>
            <w:vAlign w:val="center"/>
          </w:tcPr>
          <w:p w14:paraId="297E083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《环境空气质量标准》（</w:t>
            </w:r>
            <w:r>
              <w:rPr>
                <w:rFonts w:hint="eastAsia"/>
                <w:snapToGrid w:val="0"/>
                <w:color w:val="000000" w:themeColor="text1"/>
                <w:kern w:val="0"/>
                <w:lang w:eastAsia="zh-CN"/>
                <w14:textFill>
                  <w14:solidFill>
                    <w14:schemeClr w14:val="tx1"/>
                  </w14:solidFill>
                </w14:textFill>
              </w:rPr>
              <w:t>GB3095-2026</w:t>
            </w:r>
            <w:r>
              <w:rPr>
                <w:snapToGrid w:val="0"/>
                <w:color w:val="000000" w:themeColor="text1"/>
                <w:kern w:val="0"/>
                <w14:textFill>
                  <w14:solidFill>
                    <w14:schemeClr w14:val="tx1"/>
                  </w14:solidFill>
                </w14:textFill>
              </w:rPr>
              <w:t>）</w:t>
            </w:r>
            <w:r>
              <w:rPr>
                <w:rFonts w:hint="eastAsia"/>
                <w:snapToGrid w:val="0"/>
                <w:color w:val="000000" w:themeColor="text1"/>
                <w14:textFill>
                  <w14:solidFill>
                    <w14:schemeClr w14:val="tx1"/>
                  </w14:solidFill>
                </w14:textFill>
              </w:rPr>
              <w:t>二级标准浓度限值</w:t>
            </w:r>
          </w:p>
        </w:tc>
        <w:tc>
          <w:tcPr>
            <w:tcW w:w="1276" w:type="pct"/>
            <w:vAlign w:val="center"/>
          </w:tcPr>
          <w:p w14:paraId="630DD050">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T</w:t>
            </w:r>
            <w:r>
              <w:rPr>
                <w:snapToGrid w:val="0"/>
                <w:color w:val="000000" w:themeColor="text1"/>
                <w:kern w:val="0"/>
                <w14:textFill>
                  <w14:solidFill>
                    <w14:schemeClr w14:val="tx1"/>
                  </w14:solidFill>
                </w14:textFill>
              </w:rPr>
              <w:t>SP</w:t>
            </w:r>
          </w:p>
        </w:tc>
        <w:tc>
          <w:tcPr>
            <w:tcW w:w="680" w:type="pct"/>
            <w:vMerge w:val="continue"/>
            <w:vAlign w:val="center"/>
          </w:tcPr>
          <w:p w14:paraId="23FD7EF5">
            <w:pPr>
              <w:pStyle w:val="143"/>
              <w:rPr>
                <w:snapToGrid w:val="0"/>
                <w:color w:val="000000" w:themeColor="text1"/>
                <w:kern w:val="0"/>
                <w14:textFill>
                  <w14:solidFill>
                    <w14:schemeClr w14:val="tx1"/>
                  </w14:solidFill>
                </w14:textFill>
              </w:rPr>
            </w:pPr>
          </w:p>
        </w:tc>
        <w:tc>
          <w:tcPr>
            <w:tcW w:w="857" w:type="pct"/>
            <w:vAlign w:val="center"/>
          </w:tcPr>
          <w:p w14:paraId="4EFC341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24小时平均</w:t>
            </w:r>
          </w:p>
        </w:tc>
        <w:tc>
          <w:tcPr>
            <w:tcW w:w="490" w:type="pct"/>
            <w:vAlign w:val="center"/>
          </w:tcPr>
          <w:p w14:paraId="3C66AA26">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3</w:t>
            </w:r>
            <w:r>
              <w:rPr>
                <w:snapToGrid w:val="0"/>
                <w:color w:val="000000" w:themeColor="text1"/>
                <w:kern w:val="0"/>
                <w14:textFill>
                  <w14:solidFill>
                    <w14:schemeClr w14:val="tx1"/>
                  </w14:solidFill>
                </w14:textFill>
              </w:rPr>
              <w:t>00</w:t>
            </w:r>
          </w:p>
        </w:tc>
      </w:tr>
      <w:tr w14:paraId="0A394B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414" w:type="pct"/>
            <w:vMerge w:val="continue"/>
            <w:vAlign w:val="center"/>
          </w:tcPr>
          <w:p w14:paraId="008A8735">
            <w:pPr>
              <w:pStyle w:val="143"/>
              <w:rPr>
                <w:snapToGrid w:val="0"/>
                <w:color w:val="000000" w:themeColor="text1"/>
                <w:kern w:val="0"/>
                <w14:textFill>
                  <w14:solidFill>
                    <w14:schemeClr w14:val="tx1"/>
                  </w14:solidFill>
                </w14:textFill>
              </w:rPr>
            </w:pPr>
          </w:p>
        </w:tc>
        <w:tc>
          <w:tcPr>
            <w:tcW w:w="1282" w:type="pct"/>
            <w:vMerge w:val="restart"/>
            <w:vAlign w:val="center"/>
          </w:tcPr>
          <w:p w14:paraId="5D71A863">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《环境影响评价技术导则 大气环境》（HJ2.2-2018）中</w:t>
            </w:r>
            <w:r>
              <w:rPr>
                <w:rFonts w:hint="eastAsia"/>
                <w:snapToGrid w:val="0"/>
                <w:color w:val="000000" w:themeColor="text1"/>
                <w:kern w:val="0"/>
                <w14:textFill>
                  <w14:solidFill>
                    <w14:schemeClr w14:val="tx1"/>
                  </w14:solidFill>
                </w14:textFill>
              </w:rPr>
              <w:t>附录D</w:t>
            </w:r>
            <w:r>
              <w:rPr>
                <w:snapToGrid w:val="0"/>
                <w:color w:val="000000" w:themeColor="text1"/>
                <w:kern w:val="0"/>
                <w14:textFill>
                  <w14:solidFill>
                    <w14:schemeClr w14:val="tx1"/>
                  </w14:solidFill>
                </w14:textFill>
              </w:rPr>
              <w:t>）</w:t>
            </w:r>
          </w:p>
        </w:tc>
        <w:tc>
          <w:tcPr>
            <w:tcW w:w="1276" w:type="pct"/>
            <w:vAlign w:val="center"/>
          </w:tcPr>
          <w:p w14:paraId="6C55B74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NH</w:t>
            </w:r>
            <w:r>
              <w:rPr>
                <w:snapToGrid w:val="0"/>
                <w:color w:val="000000" w:themeColor="text1"/>
                <w:kern w:val="0"/>
                <w:vertAlign w:val="subscript"/>
                <w14:textFill>
                  <w14:solidFill>
                    <w14:schemeClr w14:val="tx1"/>
                  </w14:solidFill>
                </w14:textFill>
              </w:rPr>
              <w:t>3</w:t>
            </w:r>
          </w:p>
        </w:tc>
        <w:tc>
          <w:tcPr>
            <w:tcW w:w="680" w:type="pct"/>
            <w:vMerge w:val="restart"/>
            <w:vAlign w:val="center"/>
          </w:tcPr>
          <w:p w14:paraId="2F6517E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μg/m</w:t>
            </w:r>
            <w:r>
              <w:rPr>
                <w:snapToGrid w:val="0"/>
                <w:color w:val="000000" w:themeColor="text1"/>
                <w:kern w:val="0"/>
                <w:vertAlign w:val="superscript"/>
                <w14:textFill>
                  <w14:solidFill>
                    <w14:schemeClr w14:val="tx1"/>
                  </w14:solidFill>
                </w14:textFill>
              </w:rPr>
              <w:t>3</w:t>
            </w:r>
          </w:p>
        </w:tc>
        <w:tc>
          <w:tcPr>
            <w:tcW w:w="857" w:type="pct"/>
            <w:vAlign w:val="center"/>
          </w:tcPr>
          <w:p w14:paraId="5451DA9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小时平均</w:t>
            </w:r>
          </w:p>
        </w:tc>
        <w:tc>
          <w:tcPr>
            <w:tcW w:w="490" w:type="pct"/>
            <w:vAlign w:val="center"/>
          </w:tcPr>
          <w:p w14:paraId="633BDA79">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w:t>
            </w:r>
            <w:r>
              <w:rPr>
                <w:snapToGrid w:val="0"/>
                <w:color w:val="000000" w:themeColor="text1"/>
                <w:kern w:val="0"/>
                <w14:textFill>
                  <w14:solidFill>
                    <w14:schemeClr w14:val="tx1"/>
                  </w14:solidFill>
                </w14:textFill>
              </w:rPr>
              <w:t>00</w:t>
            </w:r>
          </w:p>
        </w:tc>
      </w:tr>
      <w:tr w14:paraId="748166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530B49D3">
            <w:pPr>
              <w:pStyle w:val="143"/>
              <w:rPr>
                <w:snapToGrid w:val="0"/>
                <w:color w:val="000000" w:themeColor="text1"/>
                <w:kern w:val="0"/>
                <w14:textFill>
                  <w14:solidFill>
                    <w14:schemeClr w14:val="tx1"/>
                  </w14:solidFill>
                </w14:textFill>
              </w:rPr>
            </w:pPr>
          </w:p>
        </w:tc>
        <w:tc>
          <w:tcPr>
            <w:tcW w:w="1282" w:type="pct"/>
            <w:vMerge w:val="continue"/>
            <w:vAlign w:val="center"/>
          </w:tcPr>
          <w:p w14:paraId="731C16F7">
            <w:pPr>
              <w:pStyle w:val="143"/>
              <w:rPr>
                <w:snapToGrid w:val="0"/>
                <w:color w:val="000000" w:themeColor="text1"/>
                <w:kern w:val="0"/>
                <w14:textFill>
                  <w14:solidFill>
                    <w14:schemeClr w14:val="tx1"/>
                  </w14:solidFill>
                </w14:textFill>
              </w:rPr>
            </w:pPr>
          </w:p>
        </w:tc>
        <w:tc>
          <w:tcPr>
            <w:tcW w:w="1276" w:type="pct"/>
            <w:vAlign w:val="center"/>
          </w:tcPr>
          <w:p w14:paraId="17A9F07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H</w:t>
            </w:r>
            <w:r>
              <w:rPr>
                <w:snapToGrid w:val="0"/>
                <w:color w:val="000000" w:themeColor="text1"/>
                <w:kern w:val="0"/>
                <w:vertAlign w:val="subscript"/>
                <w14:textFill>
                  <w14:solidFill>
                    <w14:schemeClr w14:val="tx1"/>
                  </w14:solidFill>
                </w14:textFill>
              </w:rPr>
              <w:t>2</w:t>
            </w:r>
            <w:r>
              <w:rPr>
                <w:snapToGrid w:val="0"/>
                <w:color w:val="000000" w:themeColor="text1"/>
                <w:kern w:val="0"/>
                <w14:textFill>
                  <w14:solidFill>
                    <w14:schemeClr w14:val="tx1"/>
                  </w14:solidFill>
                </w14:textFill>
              </w:rPr>
              <w:t>S</w:t>
            </w:r>
          </w:p>
        </w:tc>
        <w:tc>
          <w:tcPr>
            <w:tcW w:w="680" w:type="pct"/>
            <w:vMerge w:val="continue"/>
            <w:vAlign w:val="center"/>
          </w:tcPr>
          <w:p w14:paraId="6D7B3DC7">
            <w:pPr>
              <w:pStyle w:val="143"/>
              <w:rPr>
                <w:snapToGrid w:val="0"/>
                <w:color w:val="000000" w:themeColor="text1"/>
                <w:kern w:val="0"/>
                <w14:textFill>
                  <w14:solidFill>
                    <w14:schemeClr w14:val="tx1"/>
                  </w14:solidFill>
                </w14:textFill>
              </w:rPr>
            </w:pPr>
          </w:p>
        </w:tc>
        <w:tc>
          <w:tcPr>
            <w:tcW w:w="857" w:type="pct"/>
            <w:vAlign w:val="center"/>
          </w:tcPr>
          <w:p w14:paraId="2BFDE3B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小时平均</w:t>
            </w:r>
          </w:p>
        </w:tc>
        <w:tc>
          <w:tcPr>
            <w:tcW w:w="490" w:type="pct"/>
            <w:vAlign w:val="center"/>
          </w:tcPr>
          <w:p w14:paraId="4616D1F4">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0</w:t>
            </w:r>
          </w:p>
        </w:tc>
      </w:tr>
      <w:tr w14:paraId="17F01B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68" w:hRule="atLeast"/>
        </w:trPr>
        <w:tc>
          <w:tcPr>
            <w:tcW w:w="414" w:type="pct"/>
            <w:vMerge w:val="restart"/>
            <w:vAlign w:val="center"/>
          </w:tcPr>
          <w:p w14:paraId="2358E09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地</w:t>
            </w:r>
          </w:p>
          <w:p w14:paraId="23ACAAE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表</w:t>
            </w:r>
          </w:p>
          <w:p w14:paraId="3224C2D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水</w:t>
            </w:r>
          </w:p>
          <w:p w14:paraId="4753C66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w:t>
            </w:r>
          </w:p>
          <w:p w14:paraId="73EEAFB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境</w:t>
            </w:r>
          </w:p>
        </w:tc>
        <w:tc>
          <w:tcPr>
            <w:tcW w:w="1282" w:type="pct"/>
            <w:vMerge w:val="restart"/>
            <w:vAlign w:val="center"/>
          </w:tcPr>
          <w:p w14:paraId="26D7BA9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《地表水环境质量标准》（GB3838-2002）</w:t>
            </w:r>
            <w:r>
              <w:rPr>
                <w:rFonts w:cs="Times New Roman"/>
                <w:snapToGrid w:val="0"/>
                <w:color w:val="000000" w:themeColor="text1"/>
                <w:kern w:val="0"/>
                <w14:textFill>
                  <w14:solidFill>
                    <w14:schemeClr w14:val="tx1"/>
                  </w14:solidFill>
                </w14:textFill>
              </w:rPr>
              <w:t>中Ⅲ类</w:t>
            </w:r>
            <w:r>
              <w:rPr>
                <w:snapToGrid w:val="0"/>
                <w:color w:val="000000" w:themeColor="text1"/>
                <w:kern w:val="0"/>
                <w14:textFill>
                  <w14:solidFill>
                    <w14:schemeClr w14:val="tx1"/>
                  </w14:solidFill>
                </w14:textFill>
              </w:rPr>
              <w:t>标准</w:t>
            </w:r>
          </w:p>
        </w:tc>
        <w:tc>
          <w:tcPr>
            <w:tcW w:w="1276" w:type="pct"/>
            <w:vAlign w:val="center"/>
          </w:tcPr>
          <w:p w14:paraId="3D1E658F">
            <w:pPr>
              <w:pStyle w:val="143"/>
              <w:rPr>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水温</w:t>
            </w:r>
          </w:p>
        </w:tc>
        <w:tc>
          <w:tcPr>
            <w:tcW w:w="680" w:type="pct"/>
            <w:vAlign w:val="center"/>
          </w:tcPr>
          <w:p w14:paraId="522B00F4">
            <w:pPr>
              <w:pStyle w:val="143"/>
              <w:rPr>
                <w:rFonts w:cs="Times New Roman"/>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w:t>
            </w:r>
          </w:p>
        </w:tc>
        <w:tc>
          <w:tcPr>
            <w:tcW w:w="1347" w:type="pct"/>
            <w:gridSpan w:val="2"/>
            <w:vAlign w:val="center"/>
          </w:tcPr>
          <w:p w14:paraId="56D080F5">
            <w:pPr>
              <w:pStyle w:val="143"/>
              <w:jc w:val="both"/>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人为造成的环境水温变化应限制在：周平均最大温升≤1℃周平均最大温降≤2℃</w:t>
            </w:r>
          </w:p>
        </w:tc>
      </w:tr>
      <w:tr w14:paraId="30C383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715E0DA5">
            <w:pPr>
              <w:pStyle w:val="143"/>
              <w:rPr>
                <w:snapToGrid w:val="0"/>
                <w:color w:val="000000" w:themeColor="text1"/>
                <w:kern w:val="0"/>
                <w14:textFill>
                  <w14:solidFill>
                    <w14:schemeClr w14:val="tx1"/>
                  </w14:solidFill>
                </w14:textFill>
              </w:rPr>
            </w:pPr>
          </w:p>
        </w:tc>
        <w:tc>
          <w:tcPr>
            <w:tcW w:w="1282" w:type="pct"/>
            <w:vMerge w:val="continue"/>
            <w:vAlign w:val="center"/>
          </w:tcPr>
          <w:p w14:paraId="403E64D5">
            <w:pPr>
              <w:pStyle w:val="143"/>
              <w:rPr>
                <w:snapToGrid w:val="0"/>
                <w:color w:val="000000" w:themeColor="text1"/>
                <w:kern w:val="0"/>
                <w14:textFill>
                  <w14:solidFill>
                    <w14:schemeClr w14:val="tx1"/>
                  </w14:solidFill>
                </w14:textFill>
              </w:rPr>
            </w:pPr>
          </w:p>
        </w:tc>
        <w:tc>
          <w:tcPr>
            <w:tcW w:w="1276" w:type="pct"/>
            <w:vAlign w:val="center"/>
          </w:tcPr>
          <w:p w14:paraId="34AF1CD1">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pH</w:t>
            </w:r>
          </w:p>
        </w:tc>
        <w:tc>
          <w:tcPr>
            <w:tcW w:w="680" w:type="pct"/>
            <w:vAlign w:val="center"/>
          </w:tcPr>
          <w:p w14:paraId="3CF144CF">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无量纲</w:t>
            </w:r>
          </w:p>
        </w:tc>
        <w:tc>
          <w:tcPr>
            <w:tcW w:w="1347" w:type="pct"/>
            <w:gridSpan w:val="2"/>
            <w:vAlign w:val="center"/>
          </w:tcPr>
          <w:p w14:paraId="0EE98C99">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6~9</w:t>
            </w:r>
          </w:p>
        </w:tc>
      </w:tr>
      <w:tr w14:paraId="0F353B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5795CF21">
            <w:pPr>
              <w:pStyle w:val="143"/>
              <w:rPr>
                <w:snapToGrid w:val="0"/>
                <w:color w:val="000000" w:themeColor="text1"/>
                <w:kern w:val="0"/>
                <w14:textFill>
                  <w14:solidFill>
                    <w14:schemeClr w14:val="tx1"/>
                  </w14:solidFill>
                </w14:textFill>
              </w:rPr>
            </w:pPr>
          </w:p>
        </w:tc>
        <w:tc>
          <w:tcPr>
            <w:tcW w:w="1282" w:type="pct"/>
            <w:vMerge w:val="continue"/>
            <w:vAlign w:val="center"/>
          </w:tcPr>
          <w:p w14:paraId="2937F95C">
            <w:pPr>
              <w:pStyle w:val="143"/>
              <w:rPr>
                <w:snapToGrid w:val="0"/>
                <w:color w:val="000000" w:themeColor="text1"/>
                <w:kern w:val="0"/>
                <w14:textFill>
                  <w14:solidFill>
                    <w14:schemeClr w14:val="tx1"/>
                  </w14:solidFill>
                </w14:textFill>
              </w:rPr>
            </w:pPr>
          </w:p>
        </w:tc>
        <w:tc>
          <w:tcPr>
            <w:tcW w:w="1276" w:type="pct"/>
            <w:vAlign w:val="center"/>
          </w:tcPr>
          <w:p w14:paraId="63660620">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溶解氧</w:t>
            </w:r>
          </w:p>
        </w:tc>
        <w:tc>
          <w:tcPr>
            <w:tcW w:w="680" w:type="pct"/>
            <w:vMerge w:val="restart"/>
            <w:vAlign w:val="center"/>
          </w:tcPr>
          <w:p w14:paraId="5C05F34F">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mg/L</w:t>
            </w:r>
          </w:p>
        </w:tc>
        <w:tc>
          <w:tcPr>
            <w:tcW w:w="1347" w:type="pct"/>
            <w:gridSpan w:val="2"/>
            <w:vAlign w:val="center"/>
          </w:tcPr>
          <w:p w14:paraId="6B53F6F0">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≥5</w:t>
            </w:r>
          </w:p>
        </w:tc>
      </w:tr>
      <w:tr w14:paraId="16CC9A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08457B41">
            <w:pPr>
              <w:pStyle w:val="143"/>
              <w:rPr>
                <w:snapToGrid w:val="0"/>
                <w:color w:val="000000" w:themeColor="text1"/>
                <w:kern w:val="0"/>
                <w14:textFill>
                  <w14:solidFill>
                    <w14:schemeClr w14:val="tx1"/>
                  </w14:solidFill>
                </w14:textFill>
              </w:rPr>
            </w:pPr>
          </w:p>
        </w:tc>
        <w:tc>
          <w:tcPr>
            <w:tcW w:w="1282" w:type="pct"/>
            <w:vMerge w:val="continue"/>
            <w:vAlign w:val="center"/>
          </w:tcPr>
          <w:p w14:paraId="6C961F6A">
            <w:pPr>
              <w:pStyle w:val="143"/>
              <w:rPr>
                <w:snapToGrid w:val="0"/>
                <w:color w:val="000000" w:themeColor="text1"/>
                <w:kern w:val="0"/>
                <w14:textFill>
                  <w14:solidFill>
                    <w14:schemeClr w14:val="tx1"/>
                  </w14:solidFill>
                </w14:textFill>
              </w:rPr>
            </w:pPr>
          </w:p>
        </w:tc>
        <w:tc>
          <w:tcPr>
            <w:tcW w:w="1276" w:type="pct"/>
            <w:vAlign w:val="center"/>
          </w:tcPr>
          <w:p w14:paraId="56400531">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高锰酸盐指数</w:t>
            </w:r>
          </w:p>
        </w:tc>
        <w:tc>
          <w:tcPr>
            <w:tcW w:w="680" w:type="pct"/>
            <w:vMerge w:val="continue"/>
            <w:vAlign w:val="center"/>
          </w:tcPr>
          <w:p w14:paraId="711400FD">
            <w:pPr>
              <w:pStyle w:val="143"/>
              <w:rPr>
                <w:snapToGrid w:val="0"/>
                <w:color w:val="000000" w:themeColor="text1"/>
                <w:kern w:val="0"/>
                <w14:textFill>
                  <w14:solidFill>
                    <w14:schemeClr w14:val="tx1"/>
                  </w14:solidFill>
                </w14:textFill>
              </w:rPr>
            </w:pPr>
          </w:p>
        </w:tc>
        <w:tc>
          <w:tcPr>
            <w:tcW w:w="1347" w:type="pct"/>
            <w:gridSpan w:val="2"/>
            <w:vAlign w:val="center"/>
          </w:tcPr>
          <w:p w14:paraId="2776E219">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≤6</w:t>
            </w:r>
          </w:p>
        </w:tc>
      </w:tr>
      <w:tr w14:paraId="1CE5ED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423E8458">
            <w:pPr>
              <w:pStyle w:val="143"/>
              <w:rPr>
                <w:snapToGrid w:val="0"/>
                <w:color w:val="000000" w:themeColor="text1"/>
                <w:kern w:val="0"/>
                <w14:textFill>
                  <w14:solidFill>
                    <w14:schemeClr w14:val="tx1"/>
                  </w14:solidFill>
                </w14:textFill>
              </w:rPr>
            </w:pPr>
          </w:p>
        </w:tc>
        <w:tc>
          <w:tcPr>
            <w:tcW w:w="1282" w:type="pct"/>
            <w:vMerge w:val="continue"/>
            <w:vAlign w:val="center"/>
          </w:tcPr>
          <w:p w14:paraId="7367F078">
            <w:pPr>
              <w:pStyle w:val="143"/>
              <w:rPr>
                <w:snapToGrid w:val="0"/>
                <w:color w:val="000000" w:themeColor="text1"/>
                <w:kern w:val="0"/>
                <w14:textFill>
                  <w14:solidFill>
                    <w14:schemeClr w14:val="tx1"/>
                  </w14:solidFill>
                </w14:textFill>
              </w:rPr>
            </w:pPr>
          </w:p>
        </w:tc>
        <w:tc>
          <w:tcPr>
            <w:tcW w:w="1276" w:type="pct"/>
            <w:vAlign w:val="center"/>
          </w:tcPr>
          <w:p w14:paraId="758116E3">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COD</w:t>
            </w:r>
          </w:p>
        </w:tc>
        <w:tc>
          <w:tcPr>
            <w:tcW w:w="680" w:type="pct"/>
            <w:vMerge w:val="continue"/>
            <w:vAlign w:val="center"/>
          </w:tcPr>
          <w:p w14:paraId="745806DC">
            <w:pPr>
              <w:pStyle w:val="143"/>
              <w:rPr>
                <w:snapToGrid w:val="0"/>
                <w:color w:val="000000" w:themeColor="text1"/>
                <w:kern w:val="0"/>
                <w14:textFill>
                  <w14:solidFill>
                    <w14:schemeClr w14:val="tx1"/>
                  </w14:solidFill>
                </w14:textFill>
              </w:rPr>
            </w:pPr>
          </w:p>
        </w:tc>
        <w:tc>
          <w:tcPr>
            <w:tcW w:w="1347" w:type="pct"/>
            <w:gridSpan w:val="2"/>
            <w:vAlign w:val="center"/>
          </w:tcPr>
          <w:p w14:paraId="700C249F">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≤20</w:t>
            </w:r>
          </w:p>
        </w:tc>
      </w:tr>
      <w:tr w14:paraId="60F4AE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3BE6B622">
            <w:pPr>
              <w:pStyle w:val="143"/>
              <w:rPr>
                <w:snapToGrid w:val="0"/>
                <w:color w:val="000000" w:themeColor="text1"/>
                <w:kern w:val="0"/>
                <w14:textFill>
                  <w14:solidFill>
                    <w14:schemeClr w14:val="tx1"/>
                  </w14:solidFill>
                </w14:textFill>
              </w:rPr>
            </w:pPr>
          </w:p>
        </w:tc>
        <w:tc>
          <w:tcPr>
            <w:tcW w:w="1282" w:type="pct"/>
            <w:vMerge w:val="continue"/>
            <w:vAlign w:val="center"/>
          </w:tcPr>
          <w:p w14:paraId="1CE5FFEF">
            <w:pPr>
              <w:pStyle w:val="143"/>
              <w:rPr>
                <w:snapToGrid w:val="0"/>
                <w:color w:val="000000" w:themeColor="text1"/>
                <w:kern w:val="0"/>
                <w14:textFill>
                  <w14:solidFill>
                    <w14:schemeClr w14:val="tx1"/>
                  </w14:solidFill>
                </w14:textFill>
              </w:rPr>
            </w:pPr>
          </w:p>
        </w:tc>
        <w:tc>
          <w:tcPr>
            <w:tcW w:w="1276" w:type="pct"/>
            <w:vAlign w:val="center"/>
          </w:tcPr>
          <w:p w14:paraId="3E983589">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BOD</w:t>
            </w:r>
            <w:r>
              <w:rPr>
                <w:rFonts w:cs="Times New Roman"/>
                <w:snapToGrid w:val="0"/>
                <w:color w:val="000000" w:themeColor="text1"/>
                <w:kern w:val="0"/>
                <w:vertAlign w:val="subscript"/>
                <w:lang w:val="zh-CN"/>
                <w14:textFill>
                  <w14:solidFill>
                    <w14:schemeClr w14:val="tx1"/>
                  </w14:solidFill>
                </w14:textFill>
              </w:rPr>
              <w:t>5</w:t>
            </w:r>
          </w:p>
        </w:tc>
        <w:tc>
          <w:tcPr>
            <w:tcW w:w="680" w:type="pct"/>
            <w:vMerge w:val="continue"/>
            <w:vAlign w:val="center"/>
          </w:tcPr>
          <w:p w14:paraId="704AAE12">
            <w:pPr>
              <w:pStyle w:val="143"/>
              <w:rPr>
                <w:snapToGrid w:val="0"/>
                <w:color w:val="000000" w:themeColor="text1"/>
                <w:kern w:val="0"/>
                <w14:textFill>
                  <w14:solidFill>
                    <w14:schemeClr w14:val="tx1"/>
                  </w14:solidFill>
                </w14:textFill>
              </w:rPr>
            </w:pPr>
          </w:p>
        </w:tc>
        <w:tc>
          <w:tcPr>
            <w:tcW w:w="1347" w:type="pct"/>
            <w:gridSpan w:val="2"/>
            <w:vAlign w:val="center"/>
          </w:tcPr>
          <w:p w14:paraId="7C04D88E">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≤4</w:t>
            </w:r>
          </w:p>
        </w:tc>
      </w:tr>
      <w:tr w14:paraId="33B44C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4" w:type="pct"/>
            <w:vMerge w:val="continue"/>
            <w:vAlign w:val="center"/>
          </w:tcPr>
          <w:p w14:paraId="25DF179E">
            <w:pPr>
              <w:pStyle w:val="143"/>
              <w:rPr>
                <w:snapToGrid w:val="0"/>
                <w:color w:val="000000" w:themeColor="text1"/>
                <w:kern w:val="0"/>
                <w14:textFill>
                  <w14:solidFill>
                    <w14:schemeClr w14:val="tx1"/>
                  </w14:solidFill>
                </w14:textFill>
              </w:rPr>
            </w:pPr>
          </w:p>
        </w:tc>
        <w:tc>
          <w:tcPr>
            <w:tcW w:w="1282" w:type="pct"/>
            <w:vMerge w:val="continue"/>
            <w:vAlign w:val="center"/>
          </w:tcPr>
          <w:p w14:paraId="7A99D546">
            <w:pPr>
              <w:pStyle w:val="143"/>
              <w:rPr>
                <w:snapToGrid w:val="0"/>
                <w:color w:val="000000" w:themeColor="text1"/>
                <w:kern w:val="0"/>
                <w14:textFill>
                  <w14:solidFill>
                    <w14:schemeClr w14:val="tx1"/>
                  </w14:solidFill>
                </w14:textFill>
              </w:rPr>
            </w:pPr>
          </w:p>
        </w:tc>
        <w:tc>
          <w:tcPr>
            <w:tcW w:w="1276" w:type="pct"/>
            <w:vAlign w:val="center"/>
          </w:tcPr>
          <w:p w14:paraId="7A97C634">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氨氮</w:t>
            </w:r>
          </w:p>
        </w:tc>
        <w:tc>
          <w:tcPr>
            <w:tcW w:w="680" w:type="pct"/>
            <w:vMerge w:val="continue"/>
            <w:vAlign w:val="center"/>
          </w:tcPr>
          <w:p w14:paraId="2B9BA8C3">
            <w:pPr>
              <w:pStyle w:val="143"/>
              <w:rPr>
                <w:snapToGrid w:val="0"/>
                <w:color w:val="000000" w:themeColor="text1"/>
                <w:kern w:val="0"/>
                <w14:textFill>
                  <w14:solidFill>
                    <w14:schemeClr w14:val="tx1"/>
                  </w14:solidFill>
                </w14:textFill>
              </w:rPr>
            </w:pPr>
          </w:p>
        </w:tc>
        <w:tc>
          <w:tcPr>
            <w:tcW w:w="1347" w:type="pct"/>
            <w:gridSpan w:val="2"/>
            <w:vAlign w:val="center"/>
          </w:tcPr>
          <w:p w14:paraId="0DA5FBA9">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≤1.0</w:t>
            </w:r>
          </w:p>
        </w:tc>
      </w:tr>
      <w:tr w14:paraId="0C7269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26E4B6C2">
            <w:pPr>
              <w:pStyle w:val="143"/>
              <w:rPr>
                <w:snapToGrid w:val="0"/>
                <w:color w:val="000000" w:themeColor="text1"/>
                <w:kern w:val="0"/>
                <w14:textFill>
                  <w14:solidFill>
                    <w14:schemeClr w14:val="tx1"/>
                  </w14:solidFill>
                </w14:textFill>
              </w:rPr>
            </w:pPr>
          </w:p>
        </w:tc>
        <w:tc>
          <w:tcPr>
            <w:tcW w:w="1282" w:type="pct"/>
            <w:vMerge w:val="continue"/>
            <w:vAlign w:val="center"/>
          </w:tcPr>
          <w:p w14:paraId="2F43FD0E">
            <w:pPr>
              <w:pStyle w:val="143"/>
              <w:rPr>
                <w:snapToGrid w:val="0"/>
                <w:color w:val="000000" w:themeColor="text1"/>
                <w:kern w:val="0"/>
                <w14:textFill>
                  <w14:solidFill>
                    <w14:schemeClr w14:val="tx1"/>
                  </w14:solidFill>
                </w14:textFill>
              </w:rPr>
            </w:pPr>
          </w:p>
        </w:tc>
        <w:tc>
          <w:tcPr>
            <w:tcW w:w="1276" w:type="pct"/>
            <w:vAlign w:val="center"/>
          </w:tcPr>
          <w:p w14:paraId="5E4FCDFD">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总磷</w:t>
            </w:r>
          </w:p>
        </w:tc>
        <w:tc>
          <w:tcPr>
            <w:tcW w:w="680" w:type="pct"/>
            <w:vMerge w:val="continue"/>
            <w:vAlign w:val="center"/>
          </w:tcPr>
          <w:p w14:paraId="369E3CD3">
            <w:pPr>
              <w:pStyle w:val="143"/>
              <w:rPr>
                <w:snapToGrid w:val="0"/>
                <w:color w:val="000000" w:themeColor="text1"/>
                <w:kern w:val="0"/>
                <w14:textFill>
                  <w14:solidFill>
                    <w14:schemeClr w14:val="tx1"/>
                  </w14:solidFill>
                </w14:textFill>
              </w:rPr>
            </w:pPr>
          </w:p>
        </w:tc>
        <w:tc>
          <w:tcPr>
            <w:tcW w:w="1347" w:type="pct"/>
            <w:gridSpan w:val="2"/>
            <w:vAlign w:val="center"/>
          </w:tcPr>
          <w:p w14:paraId="6F90434A">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≤0.1</w:t>
            </w:r>
          </w:p>
        </w:tc>
      </w:tr>
      <w:tr w14:paraId="5B0C4E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4C119FA0">
            <w:pPr>
              <w:pStyle w:val="143"/>
              <w:rPr>
                <w:snapToGrid w:val="0"/>
                <w:color w:val="000000" w:themeColor="text1"/>
                <w:kern w:val="0"/>
                <w14:textFill>
                  <w14:solidFill>
                    <w14:schemeClr w14:val="tx1"/>
                  </w14:solidFill>
                </w14:textFill>
              </w:rPr>
            </w:pPr>
          </w:p>
        </w:tc>
        <w:tc>
          <w:tcPr>
            <w:tcW w:w="1282" w:type="pct"/>
            <w:vMerge w:val="continue"/>
            <w:vAlign w:val="center"/>
          </w:tcPr>
          <w:p w14:paraId="2508E404">
            <w:pPr>
              <w:pStyle w:val="143"/>
              <w:rPr>
                <w:snapToGrid w:val="0"/>
                <w:color w:val="000000" w:themeColor="text1"/>
                <w:kern w:val="0"/>
                <w14:textFill>
                  <w14:solidFill>
                    <w14:schemeClr w14:val="tx1"/>
                  </w14:solidFill>
                </w14:textFill>
              </w:rPr>
            </w:pPr>
          </w:p>
        </w:tc>
        <w:tc>
          <w:tcPr>
            <w:tcW w:w="1276" w:type="pct"/>
            <w:vAlign w:val="center"/>
          </w:tcPr>
          <w:p w14:paraId="30357B38">
            <w:pPr>
              <w:pStyle w:val="143"/>
              <w:rPr>
                <w:rFonts w:hint="eastAsia" w:eastAsia="宋体" w:cs="Times New Roman"/>
                <w:snapToGrid w:val="0"/>
                <w:color w:val="000000" w:themeColor="text1"/>
                <w:kern w:val="0"/>
                <w:lang w:val="en-US" w:eastAsia="zh-CN"/>
                <w14:textFill>
                  <w14:solidFill>
                    <w14:schemeClr w14:val="tx1"/>
                  </w14:solidFill>
                </w14:textFill>
              </w:rPr>
            </w:pPr>
            <w:r>
              <w:rPr>
                <w:rFonts w:hint="eastAsia" w:cs="Times New Roman"/>
                <w:snapToGrid w:val="0"/>
                <w:color w:val="000000" w:themeColor="text1"/>
                <w:kern w:val="0"/>
                <w:lang w:val="en-US" w:eastAsia="zh-CN"/>
                <w14:textFill>
                  <w14:solidFill>
                    <w14:schemeClr w14:val="tx1"/>
                  </w14:solidFill>
                </w14:textFill>
              </w:rPr>
              <w:t>总氮</w:t>
            </w:r>
          </w:p>
        </w:tc>
        <w:tc>
          <w:tcPr>
            <w:tcW w:w="680" w:type="pct"/>
            <w:vMerge w:val="continue"/>
            <w:vAlign w:val="center"/>
          </w:tcPr>
          <w:p w14:paraId="459348A0">
            <w:pPr>
              <w:pStyle w:val="143"/>
              <w:rPr>
                <w:snapToGrid w:val="0"/>
                <w:color w:val="000000" w:themeColor="text1"/>
                <w:kern w:val="0"/>
                <w14:textFill>
                  <w14:solidFill>
                    <w14:schemeClr w14:val="tx1"/>
                  </w14:solidFill>
                </w14:textFill>
              </w:rPr>
            </w:pPr>
          </w:p>
        </w:tc>
        <w:tc>
          <w:tcPr>
            <w:tcW w:w="1347" w:type="pct"/>
            <w:gridSpan w:val="2"/>
            <w:vAlign w:val="center"/>
          </w:tcPr>
          <w:p w14:paraId="78651207">
            <w:pPr>
              <w:pStyle w:val="143"/>
              <w:rPr>
                <w:rFonts w:cs="Times New Roman"/>
                <w:snapToGrid w:val="0"/>
                <w:color w:val="000000" w:themeColor="text1"/>
                <w:kern w:val="0"/>
                <w:lang w:val="zh-CN"/>
                <w14:textFill>
                  <w14:solidFill>
                    <w14:schemeClr w14:val="tx1"/>
                  </w14:solidFill>
                </w14:textFill>
              </w:rPr>
            </w:pPr>
            <w:r>
              <w:rPr>
                <w:rFonts w:cs="Times New Roman"/>
                <w:snapToGrid w:val="0"/>
                <w:color w:val="000000" w:themeColor="text1"/>
                <w:kern w:val="0"/>
                <w:lang w:val="zh-CN"/>
                <w14:textFill>
                  <w14:solidFill>
                    <w14:schemeClr w14:val="tx1"/>
                  </w14:solidFill>
                </w14:textFill>
              </w:rPr>
              <w:t>≤</w:t>
            </w:r>
            <w:r>
              <w:rPr>
                <w:rFonts w:hint="eastAsia" w:cs="Times New Roman"/>
                <w:snapToGrid w:val="0"/>
                <w:color w:val="000000" w:themeColor="text1"/>
                <w:kern w:val="0"/>
                <w:lang w:val="zh-CN"/>
                <w14:textFill>
                  <w14:solidFill>
                    <w14:schemeClr w14:val="tx1"/>
                  </w14:solidFill>
                </w14:textFill>
              </w:rPr>
              <w:t>1</w:t>
            </w:r>
            <w:r>
              <w:rPr>
                <w:rFonts w:cs="Times New Roman"/>
                <w:snapToGrid w:val="0"/>
                <w:color w:val="000000" w:themeColor="text1"/>
                <w:kern w:val="0"/>
                <w:lang w:val="zh-CN"/>
                <w14:textFill>
                  <w14:solidFill>
                    <w14:schemeClr w14:val="tx1"/>
                  </w14:solidFill>
                </w14:textFill>
              </w:rPr>
              <w:t>.0</w:t>
            </w:r>
          </w:p>
        </w:tc>
      </w:tr>
      <w:tr w14:paraId="52BA64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553645A6">
            <w:pPr>
              <w:pStyle w:val="143"/>
              <w:rPr>
                <w:snapToGrid w:val="0"/>
                <w:color w:val="000000" w:themeColor="text1"/>
                <w:kern w:val="0"/>
                <w14:textFill>
                  <w14:solidFill>
                    <w14:schemeClr w14:val="tx1"/>
                  </w14:solidFill>
                </w14:textFill>
              </w:rPr>
            </w:pPr>
          </w:p>
        </w:tc>
        <w:tc>
          <w:tcPr>
            <w:tcW w:w="1282" w:type="pct"/>
            <w:vMerge w:val="continue"/>
            <w:vAlign w:val="center"/>
          </w:tcPr>
          <w:p w14:paraId="609BBE8E">
            <w:pPr>
              <w:pStyle w:val="143"/>
              <w:rPr>
                <w:snapToGrid w:val="0"/>
                <w:color w:val="000000" w:themeColor="text1"/>
                <w:kern w:val="0"/>
                <w14:textFill>
                  <w14:solidFill>
                    <w14:schemeClr w14:val="tx1"/>
                  </w14:solidFill>
                </w14:textFill>
              </w:rPr>
            </w:pPr>
          </w:p>
        </w:tc>
        <w:tc>
          <w:tcPr>
            <w:tcW w:w="1276" w:type="pct"/>
            <w:vAlign w:val="center"/>
          </w:tcPr>
          <w:p w14:paraId="51EA4971">
            <w:pPr>
              <w:pStyle w:val="143"/>
              <w:rPr>
                <w:snapToGrid w:val="0"/>
                <w:color w:val="000000" w:themeColor="text1"/>
                <w:kern w:val="0"/>
                <w14:textFill>
                  <w14:solidFill>
                    <w14:schemeClr w14:val="tx1"/>
                  </w14:solidFill>
                </w14:textFill>
              </w:rPr>
            </w:pPr>
            <w:r>
              <w:rPr>
                <w:rFonts w:hint="eastAsia" w:cs="Times New Roman"/>
                <w:snapToGrid w:val="0"/>
                <w:color w:val="000000" w:themeColor="text1"/>
                <w:kern w:val="0"/>
                <w:lang w:val="zh-CN"/>
                <w14:textFill>
                  <w14:solidFill>
                    <w14:schemeClr w14:val="tx1"/>
                  </w14:solidFill>
                </w14:textFill>
              </w:rPr>
              <w:t>氟化物</w:t>
            </w:r>
          </w:p>
        </w:tc>
        <w:tc>
          <w:tcPr>
            <w:tcW w:w="680" w:type="pct"/>
            <w:vMerge w:val="continue"/>
            <w:vAlign w:val="center"/>
          </w:tcPr>
          <w:p w14:paraId="2410578F">
            <w:pPr>
              <w:pStyle w:val="143"/>
              <w:rPr>
                <w:snapToGrid w:val="0"/>
                <w:color w:val="000000" w:themeColor="text1"/>
                <w:kern w:val="0"/>
                <w14:textFill>
                  <w14:solidFill>
                    <w14:schemeClr w14:val="tx1"/>
                  </w14:solidFill>
                </w14:textFill>
              </w:rPr>
            </w:pPr>
          </w:p>
        </w:tc>
        <w:tc>
          <w:tcPr>
            <w:tcW w:w="1347" w:type="pct"/>
            <w:gridSpan w:val="2"/>
            <w:vAlign w:val="center"/>
          </w:tcPr>
          <w:p w14:paraId="21FBC4D2">
            <w:pPr>
              <w:pStyle w:val="143"/>
              <w:rPr>
                <w:snapToGrid w:val="0"/>
                <w:color w:val="000000" w:themeColor="text1"/>
                <w:kern w:val="0"/>
                <w14:textFill>
                  <w14:solidFill>
                    <w14:schemeClr w14:val="tx1"/>
                  </w14:solidFill>
                </w14:textFill>
              </w:rPr>
            </w:pPr>
            <w:r>
              <w:rPr>
                <w:rFonts w:cs="Times New Roman"/>
                <w:snapToGrid w:val="0"/>
                <w:color w:val="000000" w:themeColor="text1"/>
                <w:kern w:val="0"/>
                <w:lang w:val="zh-CN"/>
                <w14:textFill>
                  <w14:solidFill>
                    <w14:schemeClr w14:val="tx1"/>
                  </w14:solidFill>
                </w14:textFill>
              </w:rPr>
              <w:t>≤</w:t>
            </w:r>
            <w:r>
              <w:rPr>
                <w:rFonts w:hint="eastAsia" w:cs="Times New Roman"/>
                <w:snapToGrid w:val="0"/>
                <w:color w:val="000000" w:themeColor="text1"/>
                <w:kern w:val="0"/>
                <w:lang w:val="zh-CN"/>
                <w14:textFill>
                  <w14:solidFill>
                    <w14:schemeClr w14:val="tx1"/>
                  </w14:solidFill>
                </w14:textFill>
              </w:rPr>
              <w:t>1</w:t>
            </w:r>
            <w:r>
              <w:rPr>
                <w:rFonts w:cs="Times New Roman"/>
                <w:snapToGrid w:val="0"/>
                <w:color w:val="000000" w:themeColor="text1"/>
                <w:kern w:val="0"/>
                <w:lang w:val="zh-CN"/>
                <w14:textFill>
                  <w14:solidFill>
                    <w14:schemeClr w14:val="tx1"/>
                  </w14:solidFill>
                </w14:textFill>
              </w:rPr>
              <w:t>.0</w:t>
            </w:r>
          </w:p>
        </w:tc>
      </w:tr>
      <w:tr w14:paraId="16744E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79AC33AF">
            <w:pPr>
              <w:pStyle w:val="143"/>
              <w:rPr>
                <w:snapToGrid w:val="0"/>
                <w:color w:val="000000" w:themeColor="text1"/>
                <w:kern w:val="0"/>
                <w14:textFill>
                  <w14:solidFill>
                    <w14:schemeClr w14:val="tx1"/>
                  </w14:solidFill>
                </w14:textFill>
              </w:rPr>
            </w:pPr>
          </w:p>
        </w:tc>
        <w:tc>
          <w:tcPr>
            <w:tcW w:w="1282" w:type="pct"/>
            <w:vMerge w:val="continue"/>
            <w:vAlign w:val="center"/>
          </w:tcPr>
          <w:p w14:paraId="5E47C220">
            <w:pPr>
              <w:pStyle w:val="143"/>
              <w:rPr>
                <w:snapToGrid w:val="0"/>
                <w:color w:val="000000" w:themeColor="text1"/>
                <w:kern w:val="0"/>
                <w14:textFill>
                  <w14:solidFill>
                    <w14:schemeClr w14:val="tx1"/>
                  </w14:solidFill>
                </w14:textFill>
              </w:rPr>
            </w:pPr>
          </w:p>
        </w:tc>
        <w:tc>
          <w:tcPr>
            <w:tcW w:w="1276" w:type="pct"/>
            <w:vAlign w:val="center"/>
          </w:tcPr>
          <w:p w14:paraId="01EF21B7">
            <w:pPr>
              <w:pStyle w:val="143"/>
              <w:rPr>
                <w:rFonts w:cs="Times New Roman"/>
                <w:snapToGrid w:val="0"/>
                <w:color w:val="000000" w:themeColor="text1"/>
                <w:kern w:val="0"/>
                <w:lang w:val="zh-CN"/>
                <w14:textFill>
                  <w14:solidFill>
                    <w14:schemeClr w14:val="tx1"/>
                  </w14:solidFill>
                </w14:textFill>
              </w:rPr>
            </w:pPr>
            <w:r>
              <w:rPr>
                <w:rFonts w:hint="eastAsia" w:cs="Times New Roman"/>
                <w:snapToGrid w:val="0"/>
                <w:color w:val="000000" w:themeColor="text1"/>
                <w:kern w:val="0"/>
                <w:lang w:val="zh-CN"/>
                <w14:textFill>
                  <w14:solidFill>
                    <w14:schemeClr w14:val="tx1"/>
                  </w14:solidFill>
                </w14:textFill>
              </w:rPr>
              <w:t>石油类</w:t>
            </w:r>
          </w:p>
        </w:tc>
        <w:tc>
          <w:tcPr>
            <w:tcW w:w="680" w:type="pct"/>
            <w:vMerge w:val="continue"/>
            <w:vAlign w:val="center"/>
          </w:tcPr>
          <w:p w14:paraId="4DED2606">
            <w:pPr>
              <w:pStyle w:val="143"/>
              <w:rPr>
                <w:snapToGrid w:val="0"/>
                <w:color w:val="000000" w:themeColor="text1"/>
                <w:kern w:val="0"/>
                <w14:textFill>
                  <w14:solidFill>
                    <w14:schemeClr w14:val="tx1"/>
                  </w14:solidFill>
                </w14:textFill>
              </w:rPr>
            </w:pPr>
          </w:p>
        </w:tc>
        <w:tc>
          <w:tcPr>
            <w:tcW w:w="1347" w:type="pct"/>
            <w:gridSpan w:val="2"/>
            <w:vAlign w:val="center"/>
          </w:tcPr>
          <w:p w14:paraId="1DD88508">
            <w:pPr>
              <w:pStyle w:val="143"/>
              <w:rPr>
                <w:rFonts w:cs="Times New Roman"/>
                <w:snapToGrid w:val="0"/>
                <w:color w:val="000000" w:themeColor="text1"/>
                <w:kern w:val="0"/>
                <w:lang w:val="zh-CN"/>
                <w14:textFill>
                  <w14:solidFill>
                    <w14:schemeClr w14:val="tx1"/>
                  </w14:solidFill>
                </w14:textFill>
              </w:rPr>
            </w:pPr>
            <w:r>
              <w:rPr>
                <w:rFonts w:cs="Times New Roman"/>
                <w:snapToGrid w:val="0"/>
                <w:color w:val="000000" w:themeColor="text1"/>
                <w:kern w:val="0"/>
                <w:lang w:val="zh-CN"/>
                <w14:textFill>
                  <w14:solidFill>
                    <w14:schemeClr w14:val="tx1"/>
                  </w14:solidFill>
                </w14:textFill>
              </w:rPr>
              <w:t>≤</w:t>
            </w:r>
            <w:r>
              <w:rPr>
                <w:rFonts w:hint="eastAsia" w:cs="Times New Roman"/>
                <w:snapToGrid w:val="0"/>
                <w:color w:val="000000" w:themeColor="text1"/>
                <w:kern w:val="0"/>
                <w:lang w:val="zh-CN"/>
                <w14:textFill>
                  <w14:solidFill>
                    <w14:schemeClr w14:val="tx1"/>
                  </w14:solidFill>
                </w14:textFill>
              </w:rPr>
              <w:t>0</w:t>
            </w:r>
            <w:r>
              <w:rPr>
                <w:rFonts w:cs="Times New Roman"/>
                <w:snapToGrid w:val="0"/>
                <w:color w:val="000000" w:themeColor="text1"/>
                <w:kern w:val="0"/>
                <w:lang w:val="zh-CN"/>
                <w14:textFill>
                  <w14:solidFill>
                    <w14:schemeClr w14:val="tx1"/>
                  </w14:solidFill>
                </w14:textFill>
              </w:rPr>
              <w:t>.05</w:t>
            </w:r>
          </w:p>
        </w:tc>
      </w:tr>
      <w:tr w14:paraId="6ECBE9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5" w:hRule="atLeast"/>
        </w:trPr>
        <w:tc>
          <w:tcPr>
            <w:tcW w:w="414" w:type="pct"/>
            <w:vMerge w:val="restart"/>
            <w:vAlign w:val="center"/>
          </w:tcPr>
          <w:p w14:paraId="07161BA4">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地</w:t>
            </w:r>
          </w:p>
          <w:p w14:paraId="08D81877">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下</w:t>
            </w:r>
          </w:p>
          <w:p w14:paraId="636D136C">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水</w:t>
            </w:r>
          </w:p>
          <w:p w14:paraId="08FE962E">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环</w:t>
            </w:r>
          </w:p>
          <w:p w14:paraId="20361031">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境</w:t>
            </w:r>
          </w:p>
        </w:tc>
        <w:tc>
          <w:tcPr>
            <w:tcW w:w="1282" w:type="pct"/>
            <w:vMerge w:val="restart"/>
            <w:vAlign w:val="center"/>
          </w:tcPr>
          <w:p w14:paraId="5517ECBC">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《地下水质量标准》（GB/T14848-2017）中</w:t>
            </w:r>
            <w:r>
              <w:rPr>
                <w:snapToGrid w:val="0"/>
                <w:color w:val="000000" w:themeColor="text1"/>
                <w:kern w:val="0"/>
                <w14:textFill>
                  <w14:solidFill>
                    <w14:schemeClr w14:val="tx1"/>
                  </w14:solidFill>
                </w14:textFill>
              </w:rPr>
              <w:fldChar w:fldCharType="begin"/>
            </w:r>
            <w:r>
              <w:rPr>
                <w:snapToGrid w:val="0"/>
                <w:color w:val="000000" w:themeColor="text1"/>
                <w:kern w:val="0"/>
                <w14:textFill>
                  <w14:solidFill>
                    <w14:schemeClr w14:val="tx1"/>
                  </w14:solidFill>
                </w14:textFill>
              </w:rPr>
              <w:instrText xml:space="preserve"> </w:instrText>
            </w:r>
            <w:r>
              <w:rPr>
                <w:rFonts w:hint="eastAsia"/>
                <w:snapToGrid w:val="0"/>
                <w:color w:val="000000" w:themeColor="text1"/>
                <w:kern w:val="0"/>
                <w14:textFill>
                  <w14:solidFill>
                    <w14:schemeClr w14:val="tx1"/>
                  </w14:solidFill>
                </w14:textFill>
              </w:rPr>
              <w:instrText xml:space="preserve">= 3 \* ROMAN</w:instrText>
            </w:r>
            <w:r>
              <w:rPr>
                <w:snapToGrid w:val="0"/>
                <w:color w:val="000000" w:themeColor="text1"/>
                <w:kern w:val="0"/>
                <w14:textFill>
                  <w14:solidFill>
                    <w14:schemeClr w14:val="tx1"/>
                  </w14:solidFill>
                </w14:textFill>
              </w:rPr>
              <w:instrText xml:space="preserve"> </w:instrText>
            </w:r>
            <w:r>
              <w:rPr>
                <w:snapToGrid w:val="0"/>
                <w:color w:val="000000" w:themeColor="text1"/>
                <w:kern w:val="0"/>
                <w14:textFill>
                  <w14:solidFill>
                    <w14:schemeClr w14:val="tx1"/>
                  </w14:solidFill>
                </w14:textFill>
              </w:rPr>
              <w:fldChar w:fldCharType="separate"/>
            </w:r>
            <w:r>
              <w:rPr>
                <w:snapToGrid w:val="0"/>
                <w:color w:val="000000" w:themeColor="text1"/>
                <w:kern w:val="0"/>
                <w14:textFill>
                  <w14:solidFill>
                    <w14:schemeClr w14:val="tx1"/>
                  </w14:solidFill>
                </w14:textFill>
              </w:rPr>
              <w:t>Ⅲ</w:t>
            </w:r>
            <w:r>
              <w:rPr>
                <w:snapToGrid w:val="0"/>
                <w:color w:val="000000" w:themeColor="text1"/>
                <w:kern w:val="0"/>
                <w14:textFill>
                  <w14:solidFill>
                    <w14:schemeClr w14:val="tx1"/>
                  </w14:solidFill>
                </w14:textFill>
              </w:rPr>
              <w:fldChar w:fldCharType="end"/>
            </w:r>
            <w:r>
              <w:rPr>
                <w:rFonts w:hint="eastAsia"/>
                <w:snapToGrid w:val="0"/>
                <w:color w:val="000000" w:themeColor="text1"/>
                <w:kern w:val="0"/>
                <w14:textFill>
                  <w14:solidFill>
                    <w14:schemeClr w14:val="tx1"/>
                  </w14:solidFill>
                </w14:textFill>
              </w:rPr>
              <w:t>类标准</w:t>
            </w:r>
          </w:p>
        </w:tc>
        <w:tc>
          <w:tcPr>
            <w:tcW w:w="1276" w:type="pct"/>
            <w:vAlign w:val="center"/>
          </w:tcPr>
          <w:p w14:paraId="11E1C65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pH值</w:t>
            </w:r>
          </w:p>
        </w:tc>
        <w:tc>
          <w:tcPr>
            <w:tcW w:w="680" w:type="pct"/>
            <w:vAlign w:val="center"/>
          </w:tcPr>
          <w:p w14:paraId="1D82832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无量纲</w:t>
            </w:r>
          </w:p>
        </w:tc>
        <w:tc>
          <w:tcPr>
            <w:tcW w:w="1347" w:type="pct"/>
            <w:gridSpan w:val="2"/>
            <w:vAlign w:val="center"/>
          </w:tcPr>
          <w:p w14:paraId="32EDFB3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6.5～8.5</w:t>
            </w:r>
          </w:p>
        </w:tc>
      </w:tr>
      <w:tr w14:paraId="101579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1FCEFEF0">
            <w:pPr>
              <w:pStyle w:val="143"/>
              <w:rPr>
                <w:snapToGrid w:val="0"/>
                <w:color w:val="000000" w:themeColor="text1"/>
                <w:kern w:val="0"/>
                <w14:textFill>
                  <w14:solidFill>
                    <w14:schemeClr w14:val="tx1"/>
                  </w14:solidFill>
                </w14:textFill>
              </w:rPr>
            </w:pPr>
          </w:p>
        </w:tc>
        <w:tc>
          <w:tcPr>
            <w:tcW w:w="1282" w:type="pct"/>
            <w:vMerge w:val="continue"/>
            <w:vAlign w:val="center"/>
          </w:tcPr>
          <w:p w14:paraId="6317063E">
            <w:pPr>
              <w:pStyle w:val="143"/>
              <w:rPr>
                <w:snapToGrid w:val="0"/>
                <w:color w:val="000000" w:themeColor="text1"/>
                <w:kern w:val="0"/>
                <w14:textFill>
                  <w14:solidFill>
                    <w14:schemeClr w14:val="tx1"/>
                  </w14:solidFill>
                </w14:textFill>
              </w:rPr>
            </w:pPr>
          </w:p>
        </w:tc>
        <w:tc>
          <w:tcPr>
            <w:tcW w:w="1276" w:type="pct"/>
            <w:vAlign w:val="center"/>
          </w:tcPr>
          <w:p w14:paraId="0557563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总硬度</w:t>
            </w:r>
          </w:p>
        </w:tc>
        <w:tc>
          <w:tcPr>
            <w:tcW w:w="680" w:type="pct"/>
            <w:vMerge w:val="restart"/>
            <w:vAlign w:val="center"/>
          </w:tcPr>
          <w:p w14:paraId="029224D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347" w:type="pct"/>
            <w:gridSpan w:val="2"/>
            <w:vAlign w:val="center"/>
          </w:tcPr>
          <w:p w14:paraId="3B9CF95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≤450</w:t>
            </w:r>
          </w:p>
        </w:tc>
      </w:tr>
      <w:tr w14:paraId="0D1A26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22ECF673">
            <w:pPr>
              <w:pStyle w:val="143"/>
              <w:rPr>
                <w:snapToGrid w:val="0"/>
                <w:color w:val="000000" w:themeColor="text1"/>
                <w:kern w:val="0"/>
                <w14:textFill>
                  <w14:solidFill>
                    <w14:schemeClr w14:val="tx1"/>
                  </w14:solidFill>
                </w14:textFill>
              </w:rPr>
            </w:pPr>
          </w:p>
        </w:tc>
        <w:tc>
          <w:tcPr>
            <w:tcW w:w="1282" w:type="pct"/>
            <w:vMerge w:val="continue"/>
            <w:vAlign w:val="center"/>
          </w:tcPr>
          <w:p w14:paraId="77B74DA0">
            <w:pPr>
              <w:pStyle w:val="143"/>
              <w:rPr>
                <w:snapToGrid w:val="0"/>
                <w:color w:val="000000" w:themeColor="text1"/>
                <w:kern w:val="0"/>
                <w14:textFill>
                  <w14:solidFill>
                    <w14:schemeClr w14:val="tx1"/>
                  </w14:solidFill>
                </w14:textFill>
              </w:rPr>
            </w:pPr>
          </w:p>
        </w:tc>
        <w:tc>
          <w:tcPr>
            <w:tcW w:w="1276" w:type="pct"/>
            <w:vAlign w:val="center"/>
          </w:tcPr>
          <w:p w14:paraId="4E29E7A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铁</w:t>
            </w:r>
          </w:p>
        </w:tc>
        <w:tc>
          <w:tcPr>
            <w:tcW w:w="680" w:type="pct"/>
            <w:vMerge w:val="continue"/>
            <w:vAlign w:val="center"/>
          </w:tcPr>
          <w:p w14:paraId="38A84370">
            <w:pPr>
              <w:pStyle w:val="143"/>
              <w:rPr>
                <w:snapToGrid w:val="0"/>
                <w:color w:val="000000" w:themeColor="text1"/>
                <w:kern w:val="0"/>
                <w14:textFill>
                  <w14:solidFill>
                    <w14:schemeClr w14:val="tx1"/>
                  </w14:solidFill>
                </w14:textFill>
              </w:rPr>
            </w:pPr>
          </w:p>
        </w:tc>
        <w:tc>
          <w:tcPr>
            <w:tcW w:w="1347" w:type="pct"/>
            <w:gridSpan w:val="2"/>
            <w:vAlign w:val="center"/>
          </w:tcPr>
          <w:p w14:paraId="2A2FF6C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≤0.3</w:t>
            </w:r>
          </w:p>
        </w:tc>
      </w:tr>
      <w:tr w14:paraId="271C50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3F43D4EA">
            <w:pPr>
              <w:pStyle w:val="143"/>
              <w:rPr>
                <w:snapToGrid w:val="0"/>
                <w:color w:val="000000" w:themeColor="text1"/>
                <w:kern w:val="0"/>
                <w14:textFill>
                  <w14:solidFill>
                    <w14:schemeClr w14:val="tx1"/>
                  </w14:solidFill>
                </w14:textFill>
              </w:rPr>
            </w:pPr>
          </w:p>
        </w:tc>
        <w:tc>
          <w:tcPr>
            <w:tcW w:w="1282" w:type="pct"/>
            <w:vMerge w:val="continue"/>
            <w:vAlign w:val="center"/>
          </w:tcPr>
          <w:p w14:paraId="284BFBBC">
            <w:pPr>
              <w:pStyle w:val="143"/>
              <w:rPr>
                <w:snapToGrid w:val="0"/>
                <w:color w:val="000000" w:themeColor="text1"/>
                <w:kern w:val="0"/>
                <w14:textFill>
                  <w14:solidFill>
                    <w14:schemeClr w14:val="tx1"/>
                  </w14:solidFill>
                </w14:textFill>
              </w:rPr>
            </w:pPr>
          </w:p>
        </w:tc>
        <w:tc>
          <w:tcPr>
            <w:tcW w:w="1276" w:type="pct"/>
            <w:vAlign w:val="center"/>
          </w:tcPr>
          <w:p w14:paraId="0605364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锰</w:t>
            </w:r>
          </w:p>
        </w:tc>
        <w:tc>
          <w:tcPr>
            <w:tcW w:w="680" w:type="pct"/>
            <w:vMerge w:val="continue"/>
            <w:vAlign w:val="center"/>
          </w:tcPr>
          <w:p w14:paraId="10FF6F73">
            <w:pPr>
              <w:pStyle w:val="143"/>
              <w:rPr>
                <w:snapToGrid w:val="0"/>
                <w:color w:val="000000" w:themeColor="text1"/>
                <w:kern w:val="0"/>
                <w14:textFill>
                  <w14:solidFill>
                    <w14:schemeClr w14:val="tx1"/>
                  </w14:solidFill>
                </w14:textFill>
              </w:rPr>
            </w:pPr>
          </w:p>
        </w:tc>
        <w:tc>
          <w:tcPr>
            <w:tcW w:w="1347" w:type="pct"/>
            <w:gridSpan w:val="2"/>
            <w:vAlign w:val="center"/>
          </w:tcPr>
          <w:p w14:paraId="326350B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≤0.1</w:t>
            </w:r>
          </w:p>
        </w:tc>
      </w:tr>
      <w:tr w14:paraId="414A82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044263D0">
            <w:pPr>
              <w:pStyle w:val="143"/>
              <w:rPr>
                <w:snapToGrid w:val="0"/>
                <w:color w:val="000000" w:themeColor="text1"/>
                <w:kern w:val="0"/>
                <w14:textFill>
                  <w14:solidFill>
                    <w14:schemeClr w14:val="tx1"/>
                  </w14:solidFill>
                </w14:textFill>
              </w:rPr>
            </w:pPr>
          </w:p>
        </w:tc>
        <w:tc>
          <w:tcPr>
            <w:tcW w:w="1282" w:type="pct"/>
            <w:vMerge w:val="continue"/>
            <w:vAlign w:val="center"/>
          </w:tcPr>
          <w:p w14:paraId="01FBC602">
            <w:pPr>
              <w:pStyle w:val="143"/>
              <w:rPr>
                <w:snapToGrid w:val="0"/>
                <w:color w:val="000000" w:themeColor="text1"/>
                <w:kern w:val="0"/>
                <w14:textFill>
                  <w14:solidFill>
                    <w14:schemeClr w14:val="tx1"/>
                  </w14:solidFill>
                </w14:textFill>
              </w:rPr>
            </w:pPr>
          </w:p>
        </w:tc>
        <w:tc>
          <w:tcPr>
            <w:tcW w:w="1276" w:type="pct"/>
            <w:vAlign w:val="center"/>
          </w:tcPr>
          <w:p w14:paraId="32E7EAF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溶解性总固体</w:t>
            </w:r>
          </w:p>
        </w:tc>
        <w:tc>
          <w:tcPr>
            <w:tcW w:w="680" w:type="pct"/>
            <w:vMerge w:val="continue"/>
            <w:vAlign w:val="center"/>
          </w:tcPr>
          <w:p w14:paraId="062E7821">
            <w:pPr>
              <w:pStyle w:val="143"/>
              <w:rPr>
                <w:snapToGrid w:val="0"/>
                <w:color w:val="000000" w:themeColor="text1"/>
                <w:kern w:val="0"/>
                <w14:textFill>
                  <w14:solidFill>
                    <w14:schemeClr w14:val="tx1"/>
                  </w14:solidFill>
                </w14:textFill>
              </w:rPr>
            </w:pPr>
          </w:p>
        </w:tc>
        <w:tc>
          <w:tcPr>
            <w:tcW w:w="1347" w:type="pct"/>
            <w:gridSpan w:val="2"/>
            <w:vAlign w:val="center"/>
          </w:tcPr>
          <w:p w14:paraId="3FC3456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≤1000</w:t>
            </w:r>
          </w:p>
        </w:tc>
      </w:tr>
      <w:tr w14:paraId="33E98B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627182B7">
            <w:pPr>
              <w:pStyle w:val="143"/>
              <w:rPr>
                <w:snapToGrid w:val="0"/>
                <w:color w:val="000000" w:themeColor="text1"/>
                <w:kern w:val="0"/>
                <w14:textFill>
                  <w14:solidFill>
                    <w14:schemeClr w14:val="tx1"/>
                  </w14:solidFill>
                </w14:textFill>
              </w:rPr>
            </w:pPr>
          </w:p>
        </w:tc>
        <w:tc>
          <w:tcPr>
            <w:tcW w:w="1282" w:type="pct"/>
            <w:vMerge w:val="continue"/>
            <w:vAlign w:val="center"/>
          </w:tcPr>
          <w:p w14:paraId="37B09C6B">
            <w:pPr>
              <w:pStyle w:val="143"/>
              <w:rPr>
                <w:snapToGrid w:val="0"/>
                <w:color w:val="000000" w:themeColor="text1"/>
                <w:kern w:val="0"/>
                <w14:textFill>
                  <w14:solidFill>
                    <w14:schemeClr w14:val="tx1"/>
                  </w14:solidFill>
                </w14:textFill>
              </w:rPr>
            </w:pPr>
          </w:p>
        </w:tc>
        <w:tc>
          <w:tcPr>
            <w:tcW w:w="1276" w:type="pct"/>
            <w:vAlign w:val="center"/>
          </w:tcPr>
          <w:p w14:paraId="0D6D8AF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挥发酚类</w:t>
            </w:r>
          </w:p>
        </w:tc>
        <w:tc>
          <w:tcPr>
            <w:tcW w:w="680" w:type="pct"/>
            <w:vMerge w:val="continue"/>
            <w:vAlign w:val="center"/>
          </w:tcPr>
          <w:p w14:paraId="3E78F441">
            <w:pPr>
              <w:pStyle w:val="143"/>
              <w:rPr>
                <w:snapToGrid w:val="0"/>
                <w:color w:val="000000" w:themeColor="text1"/>
                <w:kern w:val="0"/>
                <w14:textFill>
                  <w14:solidFill>
                    <w14:schemeClr w14:val="tx1"/>
                  </w14:solidFill>
                </w14:textFill>
              </w:rPr>
            </w:pPr>
          </w:p>
        </w:tc>
        <w:tc>
          <w:tcPr>
            <w:tcW w:w="1347" w:type="pct"/>
            <w:gridSpan w:val="2"/>
            <w:vAlign w:val="center"/>
          </w:tcPr>
          <w:p w14:paraId="413F493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≤0.002</w:t>
            </w:r>
          </w:p>
        </w:tc>
      </w:tr>
      <w:tr w14:paraId="78BD23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2186FAD6">
            <w:pPr>
              <w:pStyle w:val="143"/>
              <w:rPr>
                <w:snapToGrid w:val="0"/>
                <w:color w:val="000000" w:themeColor="text1"/>
                <w:kern w:val="0"/>
                <w14:textFill>
                  <w14:solidFill>
                    <w14:schemeClr w14:val="tx1"/>
                  </w14:solidFill>
                </w14:textFill>
              </w:rPr>
            </w:pPr>
          </w:p>
        </w:tc>
        <w:tc>
          <w:tcPr>
            <w:tcW w:w="1282" w:type="pct"/>
            <w:vMerge w:val="continue"/>
            <w:vAlign w:val="center"/>
          </w:tcPr>
          <w:p w14:paraId="5251AA2D">
            <w:pPr>
              <w:pStyle w:val="143"/>
              <w:rPr>
                <w:snapToGrid w:val="0"/>
                <w:color w:val="000000" w:themeColor="text1"/>
                <w:kern w:val="0"/>
                <w14:textFill>
                  <w14:solidFill>
                    <w14:schemeClr w14:val="tx1"/>
                  </w14:solidFill>
                </w14:textFill>
              </w:rPr>
            </w:pPr>
          </w:p>
        </w:tc>
        <w:tc>
          <w:tcPr>
            <w:tcW w:w="1276" w:type="pct"/>
            <w:vAlign w:val="center"/>
          </w:tcPr>
          <w:p w14:paraId="21FA504C">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耗氧量（C</w:t>
            </w:r>
            <w:r>
              <w:rPr>
                <w:snapToGrid w:val="0"/>
                <w:color w:val="000000" w:themeColor="text1"/>
                <w:kern w:val="0"/>
                <w14:textFill>
                  <w14:solidFill>
                    <w14:schemeClr w14:val="tx1"/>
                  </w14:solidFill>
                </w14:textFill>
              </w:rPr>
              <w:t>OD</w:t>
            </w:r>
            <w:r>
              <w:rPr>
                <w:snapToGrid w:val="0"/>
                <w:color w:val="000000" w:themeColor="text1"/>
                <w:kern w:val="0"/>
                <w:vertAlign w:val="subscript"/>
                <w14:textFill>
                  <w14:solidFill>
                    <w14:schemeClr w14:val="tx1"/>
                  </w14:solidFill>
                </w14:textFill>
              </w:rPr>
              <w:t>M</w:t>
            </w:r>
            <w:r>
              <w:rPr>
                <w:rFonts w:hint="eastAsia"/>
                <w:snapToGrid w:val="0"/>
                <w:color w:val="000000" w:themeColor="text1"/>
                <w:kern w:val="0"/>
                <w:vertAlign w:val="subscript"/>
                <w14:textFill>
                  <w14:solidFill>
                    <w14:schemeClr w14:val="tx1"/>
                  </w14:solidFill>
                </w14:textFill>
              </w:rPr>
              <w:t>n</w:t>
            </w:r>
            <w:r>
              <w:rPr>
                <w:rFonts w:hint="eastAsia"/>
                <w:snapToGrid w:val="0"/>
                <w:color w:val="000000" w:themeColor="text1"/>
                <w:kern w:val="0"/>
                <w14:textFill>
                  <w14:solidFill>
                    <w14:schemeClr w14:val="tx1"/>
                  </w14:solidFill>
                </w14:textFill>
              </w:rPr>
              <w:t>法，以O</w:t>
            </w:r>
            <w:r>
              <w:rPr>
                <w:snapToGrid w:val="0"/>
                <w:color w:val="000000" w:themeColor="text1"/>
                <w:kern w:val="0"/>
                <w:vertAlign w:val="subscript"/>
                <w14:textFill>
                  <w14:solidFill>
                    <w14:schemeClr w14:val="tx1"/>
                  </w14:solidFill>
                </w14:textFill>
              </w:rPr>
              <w:t>2</w:t>
            </w:r>
            <w:r>
              <w:rPr>
                <w:rFonts w:hint="eastAsia"/>
                <w:snapToGrid w:val="0"/>
                <w:color w:val="000000" w:themeColor="text1"/>
                <w:kern w:val="0"/>
                <w14:textFill>
                  <w14:solidFill>
                    <w14:schemeClr w14:val="tx1"/>
                  </w14:solidFill>
                </w14:textFill>
              </w:rPr>
              <w:t>计）</w:t>
            </w:r>
          </w:p>
        </w:tc>
        <w:tc>
          <w:tcPr>
            <w:tcW w:w="680" w:type="pct"/>
            <w:vMerge w:val="continue"/>
            <w:vAlign w:val="center"/>
          </w:tcPr>
          <w:p w14:paraId="1AE7462F">
            <w:pPr>
              <w:pStyle w:val="143"/>
              <w:rPr>
                <w:snapToGrid w:val="0"/>
                <w:color w:val="000000" w:themeColor="text1"/>
                <w:kern w:val="0"/>
                <w14:textFill>
                  <w14:solidFill>
                    <w14:schemeClr w14:val="tx1"/>
                  </w14:solidFill>
                </w14:textFill>
              </w:rPr>
            </w:pPr>
          </w:p>
        </w:tc>
        <w:tc>
          <w:tcPr>
            <w:tcW w:w="1347" w:type="pct"/>
            <w:gridSpan w:val="2"/>
            <w:vAlign w:val="center"/>
          </w:tcPr>
          <w:p w14:paraId="357C32F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≤3.0</w:t>
            </w:r>
          </w:p>
        </w:tc>
      </w:tr>
      <w:tr w14:paraId="284446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0B12332E">
            <w:pPr>
              <w:pStyle w:val="143"/>
              <w:rPr>
                <w:snapToGrid w:val="0"/>
                <w:color w:val="000000" w:themeColor="text1"/>
                <w:kern w:val="0"/>
                <w14:textFill>
                  <w14:solidFill>
                    <w14:schemeClr w14:val="tx1"/>
                  </w14:solidFill>
                </w14:textFill>
              </w:rPr>
            </w:pPr>
          </w:p>
        </w:tc>
        <w:tc>
          <w:tcPr>
            <w:tcW w:w="1282" w:type="pct"/>
            <w:vMerge w:val="continue"/>
            <w:vAlign w:val="center"/>
          </w:tcPr>
          <w:p w14:paraId="544233DE">
            <w:pPr>
              <w:pStyle w:val="143"/>
              <w:rPr>
                <w:snapToGrid w:val="0"/>
                <w:color w:val="000000" w:themeColor="text1"/>
                <w:kern w:val="0"/>
                <w14:textFill>
                  <w14:solidFill>
                    <w14:schemeClr w14:val="tx1"/>
                  </w14:solidFill>
                </w14:textFill>
              </w:rPr>
            </w:pPr>
          </w:p>
        </w:tc>
        <w:tc>
          <w:tcPr>
            <w:tcW w:w="1276" w:type="pct"/>
            <w:vAlign w:val="center"/>
          </w:tcPr>
          <w:p w14:paraId="0ACCA26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铅</w:t>
            </w:r>
          </w:p>
        </w:tc>
        <w:tc>
          <w:tcPr>
            <w:tcW w:w="680" w:type="pct"/>
            <w:vMerge w:val="continue"/>
            <w:vAlign w:val="center"/>
          </w:tcPr>
          <w:p w14:paraId="677FA362">
            <w:pPr>
              <w:pStyle w:val="143"/>
              <w:rPr>
                <w:snapToGrid w:val="0"/>
                <w:color w:val="000000" w:themeColor="text1"/>
                <w:kern w:val="0"/>
                <w14:textFill>
                  <w14:solidFill>
                    <w14:schemeClr w14:val="tx1"/>
                  </w14:solidFill>
                </w14:textFill>
              </w:rPr>
            </w:pPr>
          </w:p>
        </w:tc>
        <w:tc>
          <w:tcPr>
            <w:tcW w:w="1347" w:type="pct"/>
            <w:gridSpan w:val="2"/>
            <w:vAlign w:val="center"/>
          </w:tcPr>
          <w:p w14:paraId="26ABCF8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≤0.01</w:t>
            </w:r>
          </w:p>
        </w:tc>
      </w:tr>
      <w:tr w14:paraId="47389B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5E5A369E">
            <w:pPr>
              <w:pStyle w:val="143"/>
              <w:rPr>
                <w:snapToGrid w:val="0"/>
                <w:color w:val="000000" w:themeColor="text1"/>
                <w:kern w:val="0"/>
                <w14:textFill>
                  <w14:solidFill>
                    <w14:schemeClr w14:val="tx1"/>
                  </w14:solidFill>
                </w14:textFill>
              </w:rPr>
            </w:pPr>
          </w:p>
        </w:tc>
        <w:tc>
          <w:tcPr>
            <w:tcW w:w="1282" w:type="pct"/>
            <w:vMerge w:val="continue"/>
            <w:vAlign w:val="center"/>
          </w:tcPr>
          <w:p w14:paraId="45EE3E90">
            <w:pPr>
              <w:pStyle w:val="143"/>
              <w:rPr>
                <w:snapToGrid w:val="0"/>
                <w:color w:val="000000" w:themeColor="text1"/>
                <w:kern w:val="0"/>
                <w14:textFill>
                  <w14:solidFill>
                    <w14:schemeClr w14:val="tx1"/>
                  </w14:solidFill>
                </w14:textFill>
              </w:rPr>
            </w:pPr>
          </w:p>
        </w:tc>
        <w:tc>
          <w:tcPr>
            <w:tcW w:w="1276" w:type="pct"/>
            <w:vAlign w:val="center"/>
          </w:tcPr>
          <w:p w14:paraId="5FE2FB1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六价铬</w:t>
            </w:r>
          </w:p>
        </w:tc>
        <w:tc>
          <w:tcPr>
            <w:tcW w:w="680" w:type="pct"/>
            <w:vMerge w:val="continue"/>
            <w:vAlign w:val="center"/>
          </w:tcPr>
          <w:p w14:paraId="21C8A1D1">
            <w:pPr>
              <w:pStyle w:val="143"/>
              <w:rPr>
                <w:snapToGrid w:val="0"/>
                <w:color w:val="000000" w:themeColor="text1"/>
                <w:kern w:val="0"/>
                <w14:textFill>
                  <w14:solidFill>
                    <w14:schemeClr w14:val="tx1"/>
                  </w14:solidFill>
                </w14:textFill>
              </w:rPr>
            </w:pPr>
          </w:p>
        </w:tc>
        <w:tc>
          <w:tcPr>
            <w:tcW w:w="1347" w:type="pct"/>
            <w:gridSpan w:val="2"/>
            <w:vAlign w:val="center"/>
          </w:tcPr>
          <w:p w14:paraId="28F4825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≤0.05</w:t>
            </w:r>
          </w:p>
        </w:tc>
      </w:tr>
      <w:tr w14:paraId="6E39CF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61A790DA">
            <w:pPr>
              <w:pStyle w:val="143"/>
              <w:rPr>
                <w:snapToGrid w:val="0"/>
                <w:color w:val="000000" w:themeColor="text1"/>
                <w:kern w:val="0"/>
                <w14:textFill>
                  <w14:solidFill>
                    <w14:schemeClr w14:val="tx1"/>
                  </w14:solidFill>
                </w14:textFill>
              </w:rPr>
            </w:pPr>
          </w:p>
        </w:tc>
        <w:tc>
          <w:tcPr>
            <w:tcW w:w="1282" w:type="pct"/>
            <w:vMerge w:val="continue"/>
            <w:vAlign w:val="center"/>
          </w:tcPr>
          <w:p w14:paraId="746CEF68">
            <w:pPr>
              <w:pStyle w:val="143"/>
              <w:rPr>
                <w:snapToGrid w:val="0"/>
                <w:color w:val="000000" w:themeColor="text1"/>
                <w:kern w:val="0"/>
                <w14:textFill>
                  <w14:solidFill>
                    <w14:schemeClr w14:val="tx1"/>
                  </w14:solidFill>
                </w14:textFill>
              </w:rPr>
            </w:pPr>
          </w:p>
        </w:tc>
        <w:tc>
          <w:tcPr>
            <w:tcW w:w="1276" w:type="pct"/>
            <w:vAlign w:val="center"/>
          </w:tcPr>
          <w:p w14:paraId="12295E6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镉</w:t>
            </w:r>
          </w:p>
        </w:tc>
        <w:tc>
          <w:tcPr>
            <w:tcW w:w="680" w:type="pct"/>
            <w:vMerge w:val="continue"/>
            <w:vAlign w:val="center"/>
          </w:tcPr>
          <w:p w14:paraId="58180F9A">
            <w:pPr>
              <w:pStyle w:val="143"/>
              <w:rPr>
                <w:snapToGrid w:val="0"/>
                <w:color w:val="000000" w:themeColor="text1"/>
                <w:kern w:val="0"/>
                <w14:textFill>
                  <w14:solidFill>
                    <w14:schemeClr w14:val="tx1"/>
                  </w14:solidFill>
                </w14:textFill>
              </w:rPr>
            </w:pPr>
          </w:p>
        </w:tc>
        <w:tc>
          <w:tcPr>
            <w:tcW w:w="1347" w:type="pct"/>
            <w:gridSpan w:val="2"/>
            <w:vAlign w:val="center"/>
          </w:tcPr>
          <w:p w14:paraId="2E1B73E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≤0.005</w:t>
            </w:r>
          </w:p>
        </w:tc>
      </w:tr>
      <w:tr w14:paraId="6F2A64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3AE269CF">
            <w:pPr>
              <w:pStyle w:val="143"/>
              <w:rPr>
                <w:snapToGrid w:val="0"/>
                <w:color w:val="000000" w:themeColor="text1"/>
                <w:kern w:val="0"/>
                <w14:textFill>
                  <w14:solidFill>
                    <w14:schemeClr w14:val="tx1"/>
                  </w14:solidFill>
                </w14:textFill>
              </w:rPr>
            </w:pPr>
          </w:p>
        </w:tc>
        <w:tc>
          <w:tcPr>
            <w:tcW w:w="1282" w:type="pct"/>
            <w:vMerge w:val="continue"/>
            <w:vAlign w:val="center"/>
          </w:tcPr>
          <w:p w14:paraId="1B020B3C">
            <w:pPr>
              <w:pStyle w:val="143"/>
              <w:rPr>
                <w:snapToGrid w:val="0"/>
                <w:color w:val="000000" w:themeColor="text1"/>
                <w:kern w:val="0"/>
                <w14:textFill>
                  <w14:solidFill>
                    <w14:schemeClr w14:val="tx1"/>
                  </w14:solidFill>
                </w14:textFill>
              </w:rPr>
            </w:pPr>
          </w:p>
        </w:tc>
        <w:tc>
          <w:tcPr>
            <w:tcW w:w="1276" w:type="pct"/>
            <w:vAlign w:val="center"/>
          </w:tcPr>
          <w:p w14:paraId="3875B8E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砷</w:t>
            </w:r>
          </w:p>
        </w:tc>
        <w:tc>
          <w:tcPr>
            <w:tcW w:w="680" w:type="pct"/>
            <w:vMerge w:val="continue"/>
            <w:vAlign w:val="center"/>
          </w:tcPr>
          <w:p w14:paraId="1742D03B">
            <w:pPr>
              <w:pStyle w:val="143"/>
              <w:rPr>
                <w:snapToGrid w:val="0"/>
                <w:color w:val="000000" w:themeColor="text1"/>
                <w:kern w:val="0"/>
                <w14:textFill>
                  <w14:solidFill>
                    <w14:schemeClr w14:val="tx1"/>
                  </w14:solidFill>
                </w14:textFill>
              </w:rPr>
            </w:pPr>
          </w:p>
        </w:tc>
        <w:tc>
          <w:tcPr>
            <w:tcW w:w="1347" w:type="pct"/>
            <w:gridSpan w:val="2"/>
            <w:vAlign w:val="center"/>
          </w:tcPr>
          <w:p w14:paraId="793B334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≤0.01</w:t>
            </w:r>
          </w:p>
        </w:tc>
      </w:tr>
      <w:tr w14:paraId="6884EB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4856215B">
            <w:pPr>
              <w:pStyle w:val="143"/>
              <w:rPr>
                <w:snapToGrid w:val="0"/>
                <w:color w:val="000000" w:themeColor="text1"/>
                <w:kern w:val="0"/>
                <w14:textFill>
                  <w14:solidFill>
                    <w14:schemeClr w14:val="tx1"/>
                  </w14:solidFill>
                </w14:textFill>
              </w:rPr>
            </w:pPr>
          </w:p>
        </w:tc>
        <w:tc>
          <w:tcPr>
            <w:tcW w:w="1282" w:type="pct"/>
            <w:vMerge w:val="continue"/>
            <w:vAlign w:val="center"/>
          </w:tcPr>
          <w:p w14:paraId="2B4A7BFF">
            <w:pPr>
              <w:pStyle w:val="143"/>
              <w:rPr>
                <w:snapToGrid w:val="0"/>
                <w:color w:val="000000" w:themeColor="text1"/>
                <w:kern w:val="0"/>
                <w14:textFill>
                  <w14:solidFill>
                    <w14:schemeClr w14:val="tx1"/>
                  </w14:solidFill>
                </w14:textFill>
              </w:rPr>
            </w:pPr>
          </w:p>
        </w:tc>
        <w:tc>
          <w:tcPr>
            <w:tcW w:w="1276" w:type="pct"/>
            <w:vAlign w:val="center"/>
          </w:tcPr>
          <w:p w14:paraId="6383BA9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汞</w:t>
            </w:r>
          </w:p>
        </w:tc>
        <w:tc>
          <w:tcPr>
            <w:tcW w:w="680" w:type="pct"/>
            <w:vMerge w:val="continue"/>
            <w:vAlign w:val="center"/>
          </w:tcPr>
          <w:p w14:paraId="4F9AA566">
            <w:pPr>
              <w:pStyle w:val="143"/>
              <w:rPr>
                <w:snapToGrid w:val="0"/>
                <w:color w:val="000000" w:themeColor="text1"/>
                <w:kern w:val="0"/>
                <w14:textFill>
                  <w14:solidFill>
                    <w14:schemeClr w14:val="tx1"/>
                  </w14:solidFill>
                </w14:textFill>
              </w:rPr>
            </w:pPr>
          </w:p>
        </w:tc>
        <w:tc>
          <w:tcPr>
            <w:tcW w:w="1347" w:type="pct"/>
            <w:gridSpan w:val="2"/>
            <w:vAlign w:val="center"/>
          </w:tcPr>
          <w:p w14:paraId="7AC812C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≤0.001</w:t>
            </w:r>
          </w:p>
        </w:tc>
      </w:tr>
      <w:tr w14:paraId="1ABF05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4E570864">
            <w:pPr>
              <w:pStyle w:val="143"/>
              <w:rPr>
                <w:snapToGrid w:val="0"/>
                <w:color w:val="000000" w:themeColor="text1"/>
                <w:kern w:val="0"/>
                <w14:textFill>
                  <w14:solidFill>
                    <w14:schemeClr w14:val="tx1"/>
                  </w14:solidFill>
                </w14:textFill>
              </w:rPr>
            </w:pPr>
          </w:p>
        </w:tc>
        <w:tc>
          <w:tcPr>
            <w:tcW w:w="1282" w:type="pct"/>
            <w:vMerge w:val="continue"/>
            <w:vAlign w:val="center"/>
          </w:tcPr>
          <w:p w14:paraId="7BE9B3E6">
            <w:pPr>
              <w:pStyle w:val="143"/>
              <w:rPr>
                <w:snapToGrid w:val="0"/>
                <w:color w:val="000000" w:themeColor="text1"/>
                <w:kern w:val="0"/>
                <w14:textFill>
                  <w14:solidFill>
                    <w14:schemeClr w14:val="tx1"/>
                  </w14:solidFill>
                </w14:textFill>
              </w:rPr>
            </w:pPr>
          </w:p>
        </w:tc>
        <w:tc>
          <w:tcPr>
            <w:tcW w:w="1276" w:type="pct"/>
            <w:vAlign w:val="center"/>
          </w:tcPr>
          <w:p w14:paraId="4FA77B0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硝酸盐</w:t>
            </w:r>
          </w:p>
        </w:tc>
        <w:tc>
          <w:tcPr>
            <w:tcW w:w="680" w:type="pct"/>
            <w:vMerge w:val="continue"/>
            <w:vAlign w:val="center"/>
          </w:tcPr>
          <w:p w14:paraId="6726F0B0">
            <w:pPr>
              <w:pStyle w:val="143"/>
              <w:rPr>
                <w:snapToGrid w:val="0"/>
                <w:color w:val="000000" w:themeColor="text1"/>
                <w:kern w:val="0"/>
                <w14:textFill>
                  <w14:solidFill>
                    <w14:schemeClr w14:val="tx1"/>
                  </w14:solidFill>
                </w14:textFill>
              </w:rPr>
            </w:pPr>
          </w:p>
        </w:tc>
        <w:tc>
          <w:tcPr>
            <w:tcW w:w="1347" w:type="pct"/>
            <w:gridSpan w:val="2"/>
            <w:vAlign w:val="center"/>
          </w:tcPr>
          <w:p w14:paraId="5BEC7E8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≤20.0</w:t>
            </w:r>
          </w:p>
        </w:tc>
      </w:tr>
      <w:tr w14:paraId="536F5F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2D3518D6">
            <w:pPr>
              <w:pStyle w:val="143"/>
              <w:rPr>
                <w:snapToGrid w:val="0"/>
                <w:color w:val="000000" w:themeColor="text1"/>
                <w:kern w:val="0"/>
                <w14:textFill>
                  <w14:solidFill>
                    <w14:schemeClr w14:val="tx1"/>
                  </w14:solidFill>
                </w14:textFill>
              </w:rPr>
            </w:pPr>
          </w:p>
        </w:tc>
        <w:tc>
          <w:tcPr>
            <w:tcW w:w="1282" w:type="pct"/>
            <w:vMerge w:val="continue"/>
            <w:vAlign w:val="center"/>
          </w:tcPr>
          <w:p w14:paraId="69068CA7">
            <w:pPr>
              <w:pStyle w:val="143"/>
              <w:rPr>
                <w:snapToGrid w:val="0"/>
                <w:color w:val="000000" w:themeColor="text1"/>
                <w:kern w:val="0"/>
                <w14:textFill>
                  <w14:solidFill>
                    <w14:schemeClr w14:val="tx1"/>
                  </w14:solidFill>
                </w14:textFill>
              </w:rPr>
            </w:pPr>
          </w:p>
        </w:tc>
        <w:tc>
          <w:tcPr>
            <w:tcW w:w="1276" w:type="pct"/>
            <w:vAlign w:val="center"/>
          </w:tcPr>
          <w:p w14:paraId="3B4EC46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亚硝酸盐</w:t>
            </w:r>
          </w:p>
        </w:tc>
        <w:tc>
          <w:tcPr>
            <w:tcW w:w="680" w:type="pct"/>
            <w:vMerge w:val="continue"/>
            <w:vAlign w:val="center"/>
          </w:tcPr>
          <w:p w14:paraId="57D06B51">
            <w:pPr>
              <w:pStyle w:val="143"/>
              <w:rPr>
                <w:snapToGrid w:val="0"/>
                <w:color w:val="000000" w:themeColor="text1"/>
                <w:kern w:val="0"/>
                <w14:textFill>
                  <w14:solidFill>
                    <w14:schemeClr w14:val="tx1"/>
                  </w14:solidFill>
                </w14:textFill>
              </w:rPr>
            </w:pPr>
          </w:p>
        </w:tc>
        <w:tc>
          <w:tcPr>
            <w:tcW w:w="1347" w:type="pct"/>
            <w:gridSpan w:val="2"/>
            <w:vAlign w:val="center"/>
          </w:tcPr>
          <w:p w14:paraId="71B1F77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≤1.0</w:t>
            </w:r>
          </w:p>
        </w:tc>
      </w:tr>
      <w:tr w14:paraId="3C671A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72ACD8A6">
            <w:pPr>
              <w:pStyle w:val="143"/>
              <w:rPr>
                <w:snapToGrid w:val="0"/>
                <w:color w:val="000000" w:themeColor="text1"/>
                <w:kern w:val="0"/>
                <w14:textFill>
                  <w14:solidFill>
                    <w14:schemeClr w14:val="tx1"/>
                  </w14:solidFill>
                </w14:textFill>
              </w:rPr>
            </w:pPr>
          </w:p>
        </w:tc>
        <w:tc>
          <w:tcPr>
            <w:tcW w:w="1282" w:type="pct"/>
            <w:vMerge w:val="continue"/>
            <w:vAlign w:val="center"/>
          </w:tcPr>
          <w:p w14:paraId="6C004267">
            <w:pPr>
              <w:pStyle w:val="143"/>
              <w:rPr>
                <w:snapToGrid w:val="0"/>
                <w:color w:val="000000" w:themeColor="text1"/>
                <w:kern w:val="0"/>
                <w14:textFill>
                  <w14:solidFill>
                    <w14:schemeClr w14:val="tx1"/>
                  </w14:solidFill>
                </w14:textFill>
              </w:rPr>
            </w:pPr>
          </w:p>
        </w:tc>
        <w:tc>
          <w:tcPr>
            <w:tcW w:w="1276" w:type="pct"/>
            <w:vAlign w:val="center"/>
          </w:tcPr>
          <w:p w14:paraId="61004B0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氨氮</w:t>
            </w:r>
          </w:p>
        </w:tc>
        <w:tc>
          <w:tcPr>
            <w:tcW w:w="680" w:type="pct"/>
            <w:vMerge w:val="continue"/>
            <w:vAlign w:val="center"/>
          </w:tcPr>
          <w:p w14:paraId="634BFF46">
            <w:pPr>
              <w:pStyle w:val="143"/>
              <w:rPr>
                <w:snapToGrid w:val="0"/>
                <w:color w:val="000000" w:themeColor="text1"/>
                <w:kern w:val="0"/>
                <w14:textFill>
                  <w14:solidFill>
                    <w14:schemeClr w14:val="tx1"/>
                  </w14:solidFill>
                </w14:textFill>
              </w:rPr>
            </w:pPr>
          </w:p>
        </w:tc>
        <w:tc>
          <w:tcPr>
            <w:tcW w:w="1347" w:type="pct"/>
            <w:gridSpan w:val="2"/>
            <w:vAlign w:val="center"/>
          </w:tcPr>
          <w:p w14:paraId="758CFA3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≤0.5</w:t>
            </w:r>
          </w:p>
        </w:tc>
      </w:tr>
      <w:tr w14:paraId="2C9296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5A7E943C">
            <w:pPr>
              <w:pStyle w:val="143"/>
              <w:rPr>
                <w:snapToGrid w:val="0"/>
                <w:color w:val="000000" w:themeColor="text1"/>
                <w:kern w:val="0"/>
                <w14:textFill>
                  <w14:solidFill>
                    <w14:schemeClr w14:val="tx1"/>
                  </w14:solidFill>
                </w14:textFill>
              </w:rPr>
            </w:pPr>
          </w:p>
        </w:tc>
        <w:tc>
          <w:tcPr>
            <w:tcW w:w="1282" w:type="pct"/>
            <w:vMerge w:val="continue"/>
            <w:vAlign w:val="center"/>
          </w:tcPr>
          <w:p w14:paraId="4509969E">
            <w:pPr>
              <w:pStyle w:val="143"/>
              <w:rPr>
                <w:snapToGrid w:val="0"/>
                <w:color w:val="000000" w:themeColor="text1"/>
                <w:kern w:val="0"/>
                <w14:textFill>
                  <w14:solidFill>
                    <w14:schemeClr w14:val="tx1"/>
                  </w14:solidFill>
                </w14:textFill>
              </w:rPr>
            </w:pPr>
          </w:p>
        </w:tc>
        <w:tc>
          <w:tcPr>
            <w:tcW w:w="1276" w:type="pct"/>
            <w:vAlign w:val="center"/>
          </w:tcPr>
          <w:p w14:paraId="1BE3F68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氟化物</w:t>
            </w:r>
          </w:p>
        </w:tc>
        <w:tc>
          <w:tcPr>
            <w:tcW w:w="680" w:type="pct"/>
            <w:vMerge w:val="continue"/>
            <w:vAlign w:val="center"/>
          </w:tcPr>
          <w:p w14:paraId="1376602F">
            <w:pPr>
              <w:pStyle w:val="143"/>
              <w:rPr>
                <w:snapToGrid w:val="0"/>
                <w:color w:val="000000" w:themeColor="text1"/>
                <w:kern w:val="0"/>
                <w14:textFill>
                  <w14:solidFill>
                    <w14:schemeClr w14:val="tx1"/>
                  </w14:solidFill>
                </w14:textFill>
              </w:rPr>
            </w:pPr>
          </w:p>
        </w:tc>
        <w:tc>
          <w:tcPr>
            <w:tcW w:w="1347" w:type="pct"/>
            <w:gridSpan w:val="2"/>
            <w:vAlign w:val="center"/>
          </w:tcPr>
          <w:p w14:paraId="3F54A03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≤1.0</w:t>
            </w:r>
          </w:p>
        </w:tc>
      </w:tr>
      <w:tr w14:paraId="77A78E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0E933C2E">
            <w:pPr>
              <w:pStyle w:val="143"/>
              <w:rPr>
                <w:snapToGrid w:val="0"/>
                <w:color w:val="000000" w:themeColor="text1"/>
                <w:kern w:val="0"/>
                <w14:textFill>
                  <w14:solidFill>
                    <w14:schemeClr w14:val="tx1"/>
                  </w14:solidFill>
                </w14:textFill>
              </w:rPr>
            </w:pPr>
          </w:p>
        </w:tc>
        <w:tc>
          <w:tcPr>
            <w:tcW w:w="1282" w:type="pct"/>
            <w:vMerge w:val="continue"/>
            <w:vAlign w:val="center"/>
          </w:tcPr>
          <w:p w14:paraId="417860D1">
            <w:pPr>
              <w:pStyle w:val="143"/>
              <w:rPr>
                <w:snapToGrid w:val="0"/>
                <w:color w:val="000000" w:themeColor="text1"/>
                <w:kern w:val="0"/>
                <w14:textFill>
                  <w14:solidFill>
                    <w14:schemeClr w14:val="tx1"/>
                  </w14:solidFill>
                </w14:textFill>
              </w:rPr>
            </w:pPr>
          </w:p>
        </w:tc>
        <w:tc>
          <w:tcPr>
            <w:tcW w:w="1276" w:type="pct"/>
            <w:vAlign w:val="center"/>
          </w:tcPr>
          <w:p w14:paraId="4226FCE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氰化物</w:t>
            </w:r>
          </w:p>
        </w:tc>
        <w:tc>
          <w:tcPr>
            <w:tcW w:w="680" w:type="pct"/>
            <w:vMerge w:val="continue"/>
            <w:vAlign w:val="center"/>
          </w:tcPr>
          <w:p w14:paraId="6CC2097B">
            <w:pPr>
              <w:pStyle w:val="143"/>
              <w:rPr>
                <w:snapToGrid w:val="0"/>
                <w:color w:val="000000" w:themeColor="text1"/>
                <w:kern w:val="0"/>
                <w14:textFill>
                  <w14:solidFill>
                    <w14:schemeClr w14:val="tx1"/>
                  </w14:solidFill>
                </w14:textFill>
              </w:rPr>
            </w:pPr>
          </w:p>
        </w:tc>
        <w:tc>
          <w:tcPr>
            <w:tcW w:w="1347" w:type="pct"/>
            <w:gridSpan w:val="2"/>
            <w:vAlign w:val="center"/>
          </w:tcPr>
          <w:p w14:paraId="6AF2976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≤0.05</w:t>
            </w:r>
          </w:p>
        </w:tc>
      </w:tr>
      <w:tr w14:paraId="2245E1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720D1298">
            <w:pPr>
              <w:pStyle w:val="143"/>
              <w:rPr>
                <w:snapToGrid w:val="0"/>
                <w:color w:val="000000" w:themeColor="text1"/>
                <w:kern w:val="0"/>
                <w14:textFill>
                  <w14:solidFill>
                    <w14:schemeClr w14:val="tx1"/>
                  </w14:solidFill>
                </w14:textFill>
              </w:rPr>
            </w:pPr>
          </w:p>
        </w:tc>
        <w:tc>
          <w:tcPr>
            <w:tcW w:w="1282" w:type="pct"/>
            <w:vMerge w:val="continue"/>
            <w:vAlign w:val="center"/>
          </w:tcPr>
          <w:p w14:paraId="7A8F53D1">
            <w:pPr>
              <w:pStyle w:val="143"/>
              <w:rPr>
                <w:snapToGrid w:val="0"/>
                <w:color w:val="000000" w:themeColor="text1"/>
                <w:kern w:val="0"/>
                <w14:textFill>
                  <w14:solidFill>
                    <w14:schemeClr w14:val="tx1"/>
                  </w14:solidFill>
                </w14:textFill>
              </w:rPr>
            </w:pPr>
          </w:p>
        </w:tc>
        <w:tc>
          <w:tcPr>
            <w:tcW w:w="1276" w:type="pct"/>
            <w:vAlign w:val="center"/>
          </w:tcPr>
          <w:p w14:paraId="678F69D7">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氯化物</w:t>
            </w:r>
          </w:p>
        </w:tc>
        <w:tc>
          <w:tcPr>
            <w:tcW w:w="680" w:type="pct"/>
            <w:vMerge w:val="continue"/>
            <w:vAlign w:val="center"/>
          </w:tcPr>
          <w:p w14:paraId="03DC531F">
            <w:pPr>
              <w:pStyle w:val="143"/>
              <w:rPr>
                <w:snapToGrid w:val="0"/>
                <w:color w:val="000000" w:themeColor="text1"/>
                <w:kern w:val="0"/>
                <w14:textFill>
                  <w14:solidFill>
                    <w14:schemeClr w14:val="tx1"/>
                  </w14:solidFill>
                </w14:textFill>
              </w:rPr>
            </w:pPr>
          </w:p>
        </w:tc>
        <w:tc>
          <w:tcPr>
            <w:tcW w:w="1347" w:type="pct"/>
            <w:gridSpan w:val="2"/>
            <w:vAlign w:val="center"/>
          </w:tcPr>
          <w:p w14:paraId="366D82F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≤250</w:t>
            </w:r>
          </w:p>
        </w:tc>
      </w:tr>
      <w:tr w14:paraId="5DC556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6DF32A90">
            <w:pPr>
              <w:pStyle w:val="143"/>
              <w:rPr>
                <w:snapToGrid w:val="0"/>
                <w:color w:val="000000" w:themeColor="text1"/>
                <w:kern w:val="0"/>
                <w14:textFill>
                  <w14:solidFill>
                    <w14:schemeClr w14:val="tx1"/>
                  </w14:solidFill>
                </w14:textFill>
              </w:rPr>
            </w:pPr>
          </w:p>
        </w:tc>
        <w:tc>
          <w:tcPr>
            <w:tcW w:w="1282" w:type="pct"/>
            <w:vMerge w:val="continue"/>
            <w:vAlign w:val="center"/>
          </w:tcPr>
          <w:p w14:paraId="24B4DB03">
            <w:pPr>
              <w:pStyle w:val="143"/>
              <w:rPr>
                <w:snapToGrid w:val="0"/>
                <w:color w:val="000000" w:themeColor="text1"/>
                <w:kern w:val="0"/>
                <w14:textFill>
                  <w14:solidFill>
                    <w14:schemeClr w14:val="tx1"/>
                  </w14:solidFill>
                </w14:textFill>
              </w:rPr>
            </w:pPr>
          </w:p>
        </w:tc>
        <w:tc>
          <w:tcPr>
            <w:tcW w:w="1276" w:type="pct"/>
            <w:vAlign w:val="center"/>
          </w:tcPr>
          <w:p w14:paraId="4942CFF1">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硫酸盐</w:t>
            </w:r>
          </w:p>
        </w:tc>
        <w:tc>
          <w:tcPr>
            <w:tcW w:w="680" w:type="pct"/>
            <w:vMerge w:val="continue"/>
            <w:vAlign w:val="center"/>
          </w:tcPr>
          <w:p w14:paraId="23301FD4">
            <w:pPr>
              <w:pStyle w:val="143"/>
              <w:rPr>
                <w:snapToGrid w:val="0"/>
                <w:color w:val="000000" w:themeColor="text1"/>
                <w:kern w:val="0"/>
                <w14:textFill>
                  <w14:solidFill>
                    <w14:schemeClr w14:val="tx1"/>
                  </w14:solidFill>
                </w14:textFill>
              </w:rPr>
            </w:pPr>
          </w:p>
        </w:tc>
        <w:tc>
          <w:tcPr>
            <w:tcW w:w="1347" w:type="pct"/>
            <w:gridSpan w:val="2"/>
            <w:vAlign w:val="center"/>
          </w:tcPr>
          <w:p w14:paraId="0841C23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≤250</w:t>
            </w:r>
          </w:p>
        </w:tc>
      </w:tr>
      <w:tr w14:paraId="3F4250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099544AA">
            <w:pPr>
              <w:pStyle w:val="143"/>
              <w:rPr>
                <w:snapToGrid w:val="0"/>
                <w:color w:val="000000" w:themeColor="text1"/>
                <w:kern w:val="0"/>
                <w14:textFill>
                  <w14:solidFill>
                    <w14:schemeClr w14:val="tx1"/>
                  </w14:solidFill>
                </w14:textFill>
              </w:rPr>
            </w:pPr>
          </w:p>
        </w:tc>
        <w:tc>
          <w:tcPr>
            <w:tcW w:w="1282" w:type="pct"/>
            <w:vMerge w:val="continue"/>
            <w:vAlign w:val="center"/>
          </w:tcPr>
          <w:p w14:paraId="3E77E2A8">
            <w:pPr>
              <w:pStyle w:val="143"/>
              <w:rPr>
                <w:snapToGrid w:val="0"/>
                <w:color w:val="000000" w:themeColor="text1"/>
                <w:kern w:val="0"/>
                <w14:textFill>
                  <w14:solidFill>
                    <w14:schemeClr w14:val="tx1"/>
                  </w14:solidFill>
                </w14:textFill>
              </w:rPr>
            </w:pPr>
          </w:p>
        </w:tc>
        <w:tc>
          <w:tcPr>
            <w:tcW w:w="1276" w:type="pct"/>
            <w:vAlign w:val="center"/>
          </w:tcPr>
          <w:p w14:paraId="183F2A04">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钠</w:t>
            </w:r>
          </w:p>
        </w:tc>
        <w:tc>
          <w:tcPr>
            <w:tcW w:w="680" w:type="pct"/>
            <w:vMerge w:val="continue"/>
            <w:vAlign w:val="center"/>
          </w:tcPr>
          <w:p w14:paraId="4A3B8CE8">
            <w:pPr>
              <w:pStyle w:val="143"/>
              <w:rPr>
                <w:snapToGrid w:val="0"/>
                <w:color w:val="000000" w:themeColor="text1"/>
                <w:kern w:val="0"/>
                <w14:textFill>
                  <w14:solidFill>
                    <w14:schemeClr w14:val="tx1"/>
                  </w14:solidFill>
                </w14:textFill>
              </w:rPr>
            </w:pPr>
          </w:p>
        </w:tc>
        <w:tc>
          <w:tcPr>
            <w:tcW w:w="1347" w:type="pct"/>
            <w:gridSpan w:val="2"/>
            <w:vAlign w:val="center"/>
          </w:tcPr>
          <w:p w14:paraId="6999759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≤200</w:t>
            </w:r>
          </w:p>
        </w:tc>
      </w:tr>
      <w:tr w14:paraId="159246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76A002F6">
            <w:pPr>
              <w:pStyle w:val="143"/>
              <w:rPr>
                <w:snapToGrid w:val="0"/>
                <w:color w:val="000000" w:themeColor="text1"/>
                <w:kern w:val="0"/>
                <w14:textFill>
                  <w14:solidFill>
                    <w14:schemeClr w14:val="tx1"/>
                  </w14:solidFill>
                </w14:textFill>
              </w:rPr>
            </w:pPr>
          </w:p>
        </w:tc>
        <w:tc>
          <w:tcPr>
            <w:tcW w:w="1282" w:type="pct"/>
            <w:vMerge w:val="continue"/>
            <w:vAlign w:val="center"/>
          </w:tcPr>
          <w:p w14:paraId="739E874F">
            <w:pPr>
              <w:pStyle w:val="143"/>
              <w:rPr>
                <w:snapToGrid w:val="0"/>
                <w:color w:val="000000" w:themeColor="text1"/>
                <w:kern w:val="0"/>
                <w14:textFill>
                  <w14:solidFill>
                    <w14:schemeClr w14:val="tx1"/>
                  </w14:solidFill>
                </w14:textFill>
              </w:rPr>
            </w:pPr>
          </w:p>
        </w:tc>
        <w:tc>
          <w:tcPr>
            <w:tcW w:w="1276" w:type="pct"/>
            <w:vAlign w:val="center"/>
          </w:tcPr>
          <w:p w14:paraId="23B9C9ED">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菌落</w:t>
            </w:r>
            <w:r>
              <w:rPr>
                <w:snapToGrid w:val="0"/>
                <w:color w:val="000000" w:themeColor="text1"/>
                <w:kern w:val="0"/>
                <w14:textFill>
                  <w14:solidFill>
                    <w14:schemeClr w14:val="tx1"/>
                  </w14:solidFill>
                </w14:textFill>
              </w:rPr>
              <w:t>总数</w:t>
            </w:r>
          </w:p>
        </w:tc>
        <w:tc>
          <w:tcPr>
            <w:tcW w:w="680" w:type="pct"/>
            <w:vMerge w:val="restart"/>
            <w:vAlign w:val="center"/>
          </w:tcPr>
          <w:p w14:paraId="2984560D">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个/L</w:t>
            </w:r>
          </w:p>
        </w:tc>
        <w:tc>
          <w:tcPr>
            <w:tcW w:w="1347" w:type="pct"/>
            <w:gridSpan w:val="2"/>
            <w:vAlign w:val="center"/>
          </w:tcPr>
          <w:p w14:paraId="54E5F91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≤100</w:t>
            </w:r>
          </w:p>
        </w:tc>
      </w:tr>
      <w:tr w14:paraId="54CD18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2798C76A">
            <w:pPr>
              <w:pStyle w:val="143"/>
              <w:rPr>
                <w:snapToGrid w:val="0"/>
                <w:color w:val="000000" w:themeColor="text1"/>
                <w:kern w:val="0"/>
                <w14:textFill>
                  <w14:solidFill>
                    <w14:schemeClr w14:val="tx1"/>
                  </w14:solidFill>
                </w14:textFill>
              </w:rPr>
            </w:pPr>
          </w:p>
        </w:tc>
        <w:tc>
          <w:tcPr>
            <w:tcW w:w="1282" w:type="pct"/>
            <w:vMerge w:val="continue"/>
            <w:vAlign w:val="center"/>
          </w:tcPr>
          <w:p w14:paraId="2B26F12B">
            <w:pPr>
              <w:pStyle w:val="143"/>
              <w:rPr>
                <w:snapToGrid w:val="0"/>
                <w:color w:val="000000" w:themeColor="text1"/>
                <w:kern w:val="0"/>
                <w14:textFill>
                  <w14:solidFill>
                    <w14:schemeClr w14:val="tx1"/>
                  </w14:solidFill>
                </w14:textFill>
              </w:rPr>
            </w:pPr>
          </w:p>
        </w:tc>
        <w:tc>
          <w:tcPr>
            <w:tcW w:w="1276" w:type="pct"/>
            <w:vAlign w:val="center"/>
          </w:tcPr>
          <w:p w14:paraId="0FFED94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总大肠菌群</w:t>
            </w:r>
          </w:p>
        </w:tc>
        <w:tc>
          <w:tcPr>
            <w:tcW w:w="680" w:type="pct"/>
            <w:vMerge w:val="continue"/>
            <w:vAlign w:val="center"/>
          </w:tcPr>
          <w:p w14:paraId="3EE2971E">
            <w:pPr>
              <w:pStyle w:val="143"/>
              <w:rPr>
                <w:snapToGrid w:val="0"/>
                <w:color w:val="000000" w:themeColor="text1"/>
                <w:kern w:val="0"/>
                <w14:textFill>
                  <w14:solidFill>
                    <w14:schemeClr w14:val="tx1"/>
                  </w14:solidFill>
                </w14:textFill>
              </w:rPr>
            </w:pPr>
          </w:p>
        </w:tc>
        <w:tc>
          <w:tcPr>
            <w:tcW w:w="1347" w:type="pct"/>
            <w:gridSpan w:val="2"/>
            <w:vAlign w:val="center"/>
          </w:tcPr>
          <w:p w14:paraId="15CC2C5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≤3.0</w:t>
            </w:r>
          </w:p>
        </w:tc>
      </w:tr>
      <w:tr w14:paraId="2ACB13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414" w:type="pct"/>
            <w:vMerge w:val="restart"/>
            <w:vAlign w:val="center"/>
          </w:tcPr>
          <w:p w14:paraId="62E6E84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声环境</w:t>
            </w:r>
          </w:p>
        </w:tc>
        <w:tc>
          <w:tcPr>
            <w:tcW w:w="1282" w:type="pct"/>
            <w:vMerge w:val="restart"/>
            <w:vAlign w:val="center"/>
          </w:tcPr>
          <w:p w14:paraId="4F6ABCE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声环境质量标准（GB3096-2008）中3类区标准</w:t>
            </w:r>
          </w:p>
        </w:tc>
        <w:tc>
          <w:tcPr>
            <w:tcW w:w="1276" w:type="pct"/>
            <w:vMerge w:val="restart"/>
            <w:vAlign w:val="center"/>
          </w:tcPr>
          <w:p w14:paraId="4CDD7EB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等效连续A声级</w:t>
            </w:r>
          </w:p>
        </w:tc>
        <w:tc>
          <w:tcPr>
            <w:tcW w:w="680" w:type="pct"/>
            <w:vMerge w:val="restart"/>
            <w:vAlign w:val="center"/>
          </w:tcPr>
          <w:p w14:paraId="6854524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dB（A）</w:t>
            </w:r>
          </w:p>
        </w:tc>
        <w:tc>
          <w:tcPr>
            <w:tcW w:w="1347" w:type="pct"/>
            <w:gridSpan w:val="2"/>
            <w:vAlign w:val="center"/>
          </w:tcPr>
          <w:p w14:paraId="05E484E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昼间</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65</w:t>
            </w:r>
          </w:p>
        </w:tc>
      </w:tr>
      <w:tr w14:paraId="4DB578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414" w:type="pct"/>
            <w:vMerge w:val="continue"/>
            <w:vAlign w:val="center"/>
          </w:tcPr>
          <w:p w14:paraId="4BBD5B3C">
            <w:pPr>
              <w:pStyle w:val="143"/>
              <w:rPr>
                <w:snapToGrid w:val="0"/>
                <w:color w:val="000000" w:themeColor="text1"/>
                <w:kern w:val="0"/>
                <w14:textFill>
                  <w14:solidFill>
                    <w14:schemeClr w14:val="tx1"/>
                  </w14:solidFill>
                </w14:textFill>
              </w:rPr>
            </w:pPr>
          </w:p>
        </w:tc>
        <w:tc>
          <w:tcPr>
            <w:tcW w:w="1282" w:type="pct"/>
            <w:vMerge w:val="continue"/>
            <w:vAlign w:val="center"/>
          </w:tcPr>
          <w:p w14:paraId="3A61F2C6">
            <w:pPr>
              <w:pStyle w:val="143"/>
              <w:rPr>
                <w:snapToGrid w:val="0"/>
                <w:color w:val="000000" w:themeColor="text1"/>
                <w:kern w:val="0"/>
                <w14:textFill>
                  <w14:solidFill>
                    <w14:schemeClr w14:val="tx1"/>
                  </w14:solidFill>
                </w14:textFill>
              </w:rPr>
            </w:pPr>
          </w:p>
        </w:tc>
        <w:tc>
          <w:tcPr>
            <w:tcW w:w="1276" w:type="pct"/>
            <w:vMerge w:val="continue"/>
            <w:vAlign w:val="center"/>
          </w:tcPr>
          <w:p w14:paraId="5AAB77EF">
            <w:pPr>
              <w:pStyle w:val="143"/>
              <w:rPr>
                <w:snapToGrid w:val="0"/>
                <w:color w:val="000000" w:themeColor="text1"/>
                <w:kern w:val="0"/>
                <w14:textFill>
                  <w14:solidFill>
                    <w14:schemeClr w14:val="tx1"/>
                  </w14:solidFill>
                </w14:textFill>
              </w:rPr>
            </w:pPr>
          </w:p>
        </w:tc>
        <w:tc>
          <w:tcPr>
            <w:tcW w:w="680" w:type="pct"/>
            <w:vMerge w:val="continue"/>
            <w:vAlign w:val="center"/>
          </w:tcPr>
          <w:p w14:paraId="7F24FC23">
            <w:pPr>
              <w:pStyle w:val="143"/>
              <w:rPr>
                <w:snapToGrid w:val="0"/>
                <w:color w:val="000000" w:themeColor="text1"/>
                <w:kern w:val="0"/>
                <w14:textFill>
                  <w14:solidFill>
                    <w14:schemeClr w14:val="tx1"/>
                  </w14:solidFill>
                </w14:textFill>
              </w:rPr>
            </w:pPr>
          </w:p>
        </w:tc>
        <w:tc>
          <w:tcPr>
            <w:tcW w:w="1347" w:type="pct"/>
            <w:gridSpan w:val="2"/>
            <w:vAlign w:val="center"/>
          </w:tcPr>
          <w:p w14:paraId="48E9D5A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夜间</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55</w:t>
            </w:r>
          </w:p>
        </w:tc>
      </w:tr>
      <w:tr w14:paraId="4716C7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414" w:type="pct"/>
            <w:vMerge w:val="continue"/>
            <w:vAlign w:val="center"/>
          </w:tcPr>
          <w:p w14:paraId="73B0AB9B">
            <w:pPr>
              <w:pStyle w:val="143"/>
              <w:rPr>
                <w:snapToGrid w:val="0"/>
                <w:color w:val="000000" w:themeColor="text1"/>
                <w:kern w:val="0"/>
                <w14:textFill>
                  <w14:solidFill>
                    <w14:schemeClr w14:val="tx1"/>
                  </w14:solidFill>
                </w14:textFill>
              </w:rPr>
            </w:pPr>
          </w:p>
        </w:tc>
        <w:tc>
          <w:tcPr>
            <w:tcW w:w="1282" w:type="pct"/>
            <w:vMerge w:val="restart"/>
            <w:vAlign w:val="center"/>
          </w:tcPr>
          <w:p w14:paraId="7D8460A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声环境质量标准（GB3096-2008）中</w:t>
            </w:r>
            <w:r>
              <w:rPr>
                <w:rFonts w:hint="eastAsia"/>
                <w:snapToGrid w:val="0"/>
                <w:color w:val="000000" w:themeColor="text1"/>
                <w:kern w:val="0"/>
                <w:lang w:val="en-US" w:eastAsia="zh-CN"/>
                <w14:textFill>
                  <w14:solidFill>
                    <w14:schemeClr w14:val="tx1"/>
                  </w14:solidFill>
                </w14:textFill>
              </w:rPr>
              <w:t>4a</w:t>
            </w:r>
            <w:r>
              <w:rPr>
                <w:snapToGrid w:val="0"/>
                <w:color w:val="000000" w:themeColor="text1"/>
                <w:kern w:val="0"/>
                <w14:textFill>
                  <w14:solidFill>
                    <w14:schemeClr w14:val="tx1"/>
                  </w14:solidFill>
                </w14:textFill>
              </w:rPr>
              <w:t>类区标准</w:t>
            </w:r>
          </w:p>
        </w:tc>
        <w:tc>
          <w:tcPr>
            <w:tcW w:w="1276" w:type="pct"/>
            <w:vMerge w:val="continue"/>
            <w:vAlign w:val="center"/>
          </w:tcPr>
          <w:p w14:paraId="08E16B67">
            <w:pPr>
              <w:pStyle w:val="143"/>
              <w:rPr>
                <w:snapToGrid w:val="0"/>
                <w:color w:val="000000" w:themeColor="text1"/>
                <w:kern w:val="0"/>
                <w14:textFill>
                  <w14:solidFill>
                    <w14:schemeClr w14:val="tx1"/>
                  </w14:solidFill>
                </w14:textFill>
              </w:rPr>
            </w:pPr>
          </w:p>
        </w:tc>
        <w:tc>
          <w:tcPr>
            <w:tcW w:w="680" w:type="pct"/>
            <w:vMerge w:val="restart"/>
            <w:vAlign w:val="center"/>
          </w:tcPr>
          <w:p w14:paraId="5C0A94A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dB（A）</w:t>
            </w:r>
          </w:p>
        </w:tc>
        <w:tc>
          <w:tcPr>
            <w:tcW w:w="2238" w:type="dxa"/>
            <w:gridSpan w:val="2"/>
            <w:vAlign w:val="center"/>
          </w:tcPr>
          <w:p w14:paraId="48343EEE">
            <w:pPr>
              <w:pStyle w:val="143"/>
              <w:ind w:firstLine="0" w:firstLineChars="0"/>
              <w:rPr>
                <w:rFonts w:hint="default" w:eastAsia="宋体"/>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昼间</w:t>
            </w:r>
            <w:r>
              <w:rPr>
                <w:rFonts w:hint="eastAsia"/>
                <w:snapToGrid w:val="0"/>
                <w:color w:val="000000" w:themeColor="text1"/>
                <w:kern w:val="0"/>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70</w:t>
            </w:r>
          </w:p>
        </w:tc>
      </w:tr>
      <w:tr w14:paraId="0C12DD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414" w:type="pct"/>
            <w:vMerge w:val="continue"/>
            <w:vAlign w:val="center"/>
          </w:tcPr>
          <w:p w14:paraId="234EDD3E">
            <w:pPr>
              <w:pStyle w:val="143"/>
              <w:rPr>
                <w:snapToGrid w:val="0"/>
              </w:rPr>
            </w:pPr>
          </w:p>
        </w:tc>
        <w:tc>
          <w:tcPr>
            <w:tcW w:w="1282" w:type="pct"/>
            <w:vMerge w:val="continue"/>
            <w:vAlign w:val="center"/>
          </w:tcPr>
          <w:p w14:paraId="038DD88A">
            <w:pPr>
              <w:pStyle w:val="143"/>
              <w:rPr>
                <w:snapToGrid w:val="0"/>
              </w:rPr>
            </w:pPr>
          </w:p>
        </w:tc>
        <w:tc>
          <w:tcPr>
            <w:tcW w:w="1276" w:type="pct"/>
            <w:vMerge w:val="continue"/>
            <w:vAlign w:val="center"/>
          </w:tcPr>
          <w:p w14:paraId="7745F4BA">
            <w:pPr>
              <w:pStyle w:val="143"/>
              <w:rPr>
                <w:snapToGrid w:val="0"/>
              </w:rPr>
            </w:pPr>
          </w:p>
        </w:tc>
        <w:tc>
          <w:tcPr>
            <w:tcW w:w="680" w:type="pct"/>
            <w:vMerge w:val="continue"/>
            <w:vAlign w:val="center"/>
          </w:tcPr>
          <w:p w14:paraId="5781BB27">
            <w:pPr>
              <w:pStyle w:val="143"/>
              <w:rPr>
                <w:snapToGrid w:val="0"/>
              </w:rPr>
            </w:pPr>
          </w:p>
        </w:tc>
        <w:tc>
          <w:tcPr>
            <w:tcW w:w="2238" w:type="dxa"/>
            <w:gridSpan w:val="2"/>
            <w:vAlign w:val="center"/>
          </w:tcPr>
          <w:p w14:paraId="76C789C2">
            <w:pPr>
              <w:pStyle w:val="143"/>
              <w:ind w:firstLine="0" w:firstLineChars="0"/>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夜间</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55</w:t>
            </w:r>
          </w:p>
        </w:tc>
      </w:tr>
    </w:tbl>
    <w:p w14:paraId="0FEA0425">
      <w:pPr>
        <w:pStyle w:val="6"/>
        <w:rPr>
          <w:color w:val="000000" w:themeColor="text1"/>
          <w14:textFill>
            <w14:solidFill>
              <w14:schemeClr w14:val="tx1"/>
            </w14:solidFill>
          </w14:textFill>
        </w:rPr>
      </w:pPr>
      <w:bookmarkStart w:id="80" w:name="_Toc7107"/>
      <w:r>
        <w:rPr>
          <w:color w:val="000000" w:themeColor="text1"/>
          <w14:textFill>
            <w14:solidFill>
              <w14:schemeClr w14:val="tx1"/>
            </w14:solidFill>
          </w14:textFill>
        </w:rPr>
        <w:t>2.8.3污染物排放标准</w:t>
      </w:r>
      <w:bookmarkEnd w:id="80"/>
    </w:p>
    <w:p w14:paraId="1FADAA27">
      <w:pPr>
        <w:pStyle w:val="7"/>
        <w:rPr>
          <w:color w:val="000000" w:themeColor="text1"/>
          <w14:textFill>
            <w14:solidFill>
              <w14:schemeClr w14:val="tx1"/>
            </w14:solidFill>
          </w14:textFill>
        </w:rPr>
      </w:pPr>
      <w:r>
        <w:rPr>
          <w:color w:val="000000" w:themeColor="text1"/>
          <w14:textFill>
            <w14:solidFill>
              <w14:schemeClr w14:val="tx1"/>
            </w14:solidFill>
          </w14:textFill>
        </w:rPr>
        <w:t>2.8.3.1</w:t>
      </w:r>
      <w:r>
        <w:rPr>
          <w:rFonts w:hint="eastAsia"/>
          <w:color w:val="000000" w:themeColor="text1"/>
          <w14:textFill>
            <w14:solidFill>
              <w14:schemeClr w14:val="tx1"/>
            </w14:solidFill>
          </w14:textFill>
        </w:rPr>
        <w:t>废气执行标准</w:t>
      </w:r>
    </w:p>
    <w:p w14:paraId="0D176674">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1、施工期</w:t>
      </w:r>
    </w:p>
    <w:p w14:paraId="6465622C">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项目</w:t>
      </w:r>
      <w:r>
        <w:rPr>
          <w:snapToGrid w:val="0"/>
          <w:color w:val="000000" w:themeColor="text1"/>
          <w:kern w:val="0"/>
          <w14:textFill>
            <w14:solidFill>
              <w14:schemeClr w14:val="tx1"/>
            </w14:solidFill>
          </w14:textFill>
        </w:rPr>
        <w:t>施工期施工场地扬尘排放执行《大气污染物综合排放标准》（GB16297-1996）表2中无组织排放监控浓度限值</w:t>
      </w:r>
      <w:r>
        <w:rPr>
          <w:rFonts w:hint="eastAsia"/>
          <w:snapToGrid w:val="0"/>
          <w:color w:val="000000" w:themeColor="text1"/>
          <w:kern w:val="0"/>
          <w14:textFill>
            <w14:solidFill>
              <w14:schemeClr w14:val="tx1"/>
            </w14:solidFill>
          </w14:textFill>
        </w:rPr>
        <w:t>（周界外</w:t>
      </w:r>
      <w:r>
        <w:rPr>
          <w:snapToGrid w:val="0"/>
          <w:color w:val="000000" w:themeColor="text1"/>
          <w:kern w:val="0"/>
          <w14:textFill>
            <w14:solidFill>
              <w14:schemeClr w14:val="tx1"/>
            </w14:solidFill>
          </w14:textFill>
        </w:rPr>
        <w:t>浓度最高点≤1.0mg/m</w:t>
      </w:r>
      <w:r>
        <w:rPr>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w:t>
      </w:r>
    </w:p>
    <w:p w14:paraId="7CFF857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2、运营期</w:t>
      </w:r>
    </w:p>
    <w:p w14:paraId="405338AD">
      <w:pPr>
        <w:pStyle w:val="85"/>
        <w:rPr>
          <w:snapToGrid w:val="0"/>
          <w:color w:val="000000" w:themeColor="text1"/>
          <w:kern w:val="0"/>
          <w:lang w:val="zh-CN"/>
          <w14:textFill>
            <w14:solidFill>
              <w14:schemeClr w14:val="tx1"/>
            </w14:solidFill>
          </w14:textFill>
        </w:rPr>
      </w:pPr>
      <w:r>
        <w:rPr>
          <w:snapToGrid w:val="0"/>
          <w:color w:val="000000" w:themeColor="text1"/>
          <w:kern w:val="0"/>
          <w14:textFill>
            <w14:solidFill>
              <w14:schemeClr w14:val="tx1"/>
            </w14:solidFill>
          </w14:textFill>
        </w:rPr>
        <w:t>项目</w:t>
      </w:r>
      <w:r>
        <w:rPr>
          <w:rFonts w:hint="eastAsia"/>
          <w:snapToGrid w:val="0"/>
          <w:color w:val="000000" w:themeColor="text1"/>
          <w:kern w:val="0"/>
          <w14:textFill>
            <w14:solidFill>
              <w14:schemeClr w14:val="tx1"/>
            </w14:solidFill>
          </w14:textFill>
        </w:rPr>
        <w:t>运营期污水处理站</w:t>
      </w:r>
      <w:bookmarkStart w:id="81" w:name="_Hlk40944269"/>
      <w:r>
        <w:rPr>
          <w:rFonts w:hint="eastAsia"/>
          <w:snapToGrid w:val="0"/>
          <w:color w:val="000000" w:themeColor="text1"/>
          <w:kern w:val="0"/>
          <w:lang w:val="zh-CN"/>
          <w14:textFill>
            <w14:solidFill>
              <w14:schemeClr w14:val="tx1"/>
            </w14:solidFill>
          </w14:textFill>
        </w:rPr>
        <w:t>有组织排放恶臭速率</w:t>
      </w:r>
      <w:r>
        <w:rPr>
          <w:rFonts w:hint="eastAsia"/>
          <w:snapToGrid w:val="0"/>
          <w:color w:val="000000" w:themeColor="text1"/>
          <w:kern w:val="0"/>
          <w14:textFill>
            <w14:solidFill>
              <w14:schemeClr w14:val="tx1"/>
            </w14:solidFill>
          </w14:textFill>
        </w:rPr>
        <w:t>及臭气浓度</w:t>
      </w:r>
      <w:r>
        <w:rPr>
          <w:rFonts w:hint="eastAsia"/>
          <w:snapToGrid w:val="0"/>
          <w:color w:val="000000" w:themeColor="text1"/>
          <w:kern w:val="0"/>
          <w:lang w:val="zh-CN"/>
          <w14:textFill>
            <w14:solidFill>
              <w14:schemeClr w14:val="tx1"/>
            </w14:solidFill>
          </w14:textFill>
        </w:rPr>
        <w:t>执行《恶臭污染物排放标准》（GB14554-93）表2标准，厂界H</w:t>
      </w:r>
      <w:r>
        <w:rPr>
          <w:rFonts w:hint="eastAsia"/>
          <w:snapToGrid w:val="0"/>
          <w:color w:val="000000" w:themeColor="text1"/>
          <w:kern w:val="0"/>
          <w:vertAlign w:val="subscript"/>
          <w:lang w:val="zh-CN"/>
          <w14:textFill>
            <w14:solidFill>
              <w14:schemeClr w14:val="tx1"/>
            </w14:solidFill>
          </w14:textFill>
        </w:rPr>
        <w:t>2</w:t>
      </w:r>
      <w:r>
        <w:rPr>
          <w:rFonts w:hint="eastAsia"/>
          <w:snapToGrid w:val="0"/>
          <w:color w:val="000000" w:themeColor="text1"/>
          <w:kern w:val="0"/>
          <w:lang w:val="zh-CN"/>
          <w14:textFill>
            <w14:solidFill>
              <w14:schemeClr w14:val="tx1"/>
            </w14:solidFill>
          </w14:textFill>
        </w:rPr>
        <w:t>S、NH</w:t>
      </w:r>
      <w:r>
        <w:rPr>
          <w:rFonts w:hint="eastAsia"/>
          <w:snapToGrid w:val="0"/>
          <w:color w:val="000000" w:themeColor="text1"/>
          <w:kern w:val="0"/>
          <w:vertAlign w:val="subscript"/>
          <w:lang w:val="zh-CN"/>
          <w14:textFill>
            <w14:solidFill>
              <w14:schemeClr w14:val="tx1"/>
            </w14:solidFill>
          </w14:textFill>
        </w:rPr>
        <w:t>3</w:t>
      </w:r>
      <w:r>
        <w:rPr>
          <w:rFonts w:hint="eastAsia"/>
          <w:snapToGrid w:val="0"/>
          <w:color w:val="000000" w:themeColor="text1"/>
          <w:kern w:val="0"/>
          <w:lang w:val="zh-CN"/>
          <w14:textFill>
            <w14:solidFill>
              <w14:schemeClr w14:val="tx1"/>
            </w14:solidFill>
          </w14:textFill>
        </w:rPr>
        <w:t>、臭气浓度执行《恶臭污染物排放标准》（GB14554-93）表1中二级新扩改建标准。</w:t>
      </w:r>
    </w:p>
    <w:p w14:paraId="1F5DDD0B">
      <w:pPr>
        <w:pStyle w:val="206"/>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w:t>
      </w:r>
      <w:r>
        <w:rPr>
          <w:snapToGrid w:val="0"/>
          <w:color w:val="000000" w:themeColor="text1"/>
          <w14:textFill>
            <w14:solidFill>
              <w14:schemeClr w14:val="tx1"/>
            </w14:solidFill>
          </w14:textFill>
        </w:rPr>
        <w:t xml:space="preserve">2-8-2 </w:t>
      </w:r>
      <w:r>
        <w:rPr>
          <w:rFonts w:hint="eastAsia"/>
          <w:snapToGrid w:val="0"/>
          <w:color w:val="000000" w:themeColor="text1"/>
          <w14:textFill>
            <w14:solidFill>
              <w14:schemeClr w14:val="tx1"/>
            </w14:solidFill>
          </w14:textFill>
        </w:rPr>
        <w:t>恶臭</w:t>
      </w:r>
      <w:r>
        <w:rPr>
          <w:snapToGrid w:val="0"/>
          <w:color w:val="000000" w:themeColor="text1"/>
          <w14:textFill>
            <w14:solidFill>
              <w14:schemeClr w14:val="tx1"/>
            </w14:solidFill>
          </w14:textFill>
        </w:rPr>
        <w:t>污染物排放标准（</w:t>
      </w:r>
      <w:r>
        <w:rPr>
          <w:rFonts w:hint="eastAsia"/>
          <w:snapToGrid w:val="0"/>
          <w:color w:val="000000" w:themeColor="text1"/>
          <w14:textFill>
            <w14:solidFill>
              <w14:schemeClr w14:val="tx1"/>
            </w14:solidFill>
          </w14:textFill>
        </w:rPr>
        <w:t>GB14554-93</w:t>
      </w:r>
      <w:r>
        <w:rPr>
          <w:snapToGrid w:val="0"/>
          <w:color w:val="000000" w:themeColor="text1"/>
          <w14:textFill>
            <w14:solidFill>
              <w14:schemeClr w14:val="tx1"/>
            </w14:solidFill>
          </w14:textFill>
        </w:rPr>
        <w:t>）</w:t>
      </w:r>
    </w:p>
    <w:tbl>
      <w:tblPr>
        <w:tblStyle w:val="4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179"/>
        <w:gridCol w:w="1522"/>
        <w:gridCol w:w="2660"/>
        <w:gridCol w:w="1945"/>
      </w:tblGrid>
      <w:tr w14:paraId="5A485C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vMerge w:val="restart"/>
            <w:shd w:val="clear" w:color="auto" w:fill="auto"/>
            <w:vAlign w:val="center"/>
          </w:tcPr>
          <w:p w14:paraId="6EF5C490">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污染源</w:t>
            </w:r>
          </w:p>
        </w:tc>
        <w:tc>
          <w:tcPr>
            <w:tcW w:w="916" w:type="pct"/>
            <w:vMerge w:val="restart"/>
            <w:shd w:val="clear" w:color="auto" w:fill="auto"/>
            <w:vAlign w:val="center"/>
          </w:tcPr>
          <w:p w14:paraId="6582B2C9">
            <w:pPr>
              <w:pStyle w:val="143"/>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污染物</w:t>
            </w:r>
          </w:p>
        </w:tc>
        <w:tc>
          <w:tcPr>
            <w:tcW w:w="2772" w:type="pct"/>
            <w:gridSpan w:val="2"/>
            <w:shd w:val="clear" w:color="auto" w:fill="auto"/>
            <w:vAlign w:val="center"/>
          </w:tcPr>
          <w:p w14:paraId="6211A73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恶臭污染物排放标准值</w:t>
            </w:r>
          </w:p>
        </w:tc>
      </w:tr>
      <w:tr w14:paraId="62DE38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vMerge w:val="continue"/>
            <w:shd w:val="clear" w:color="auto" w:fill="auto"/>
            <w:vAlign w:val="center"/>
          </w:tcPr>
          <w:p w14:paraId="2501D545">
            <w:pPr>
              <w:pStyle w:val="143"/>
              <w:rPr>
                <w:snapToGrid w:val="0"/>
                <w:color w:val="000000" w:themeColor="text1"/>
                <w14:textFill>
                  <w14:solidFill>
                    <w14:schemeClr w14:val="tx1"/>
                  </w14:solidFill>
                </w14:textFill>
              </w:rPr>
            </w:pPr>
          </w:p>
        </w:tc>
        <w:tc>
          <w:tcPr>
            <w:tcW w:w="916" w:type="pct"/>
            <w:vMerge w:val="continue"/>
            <w:shd w:val="clear" w:color="auto" w:fill="auto"/>
            <w:vAlign w:val="center"/>
          </w:tcPr>
          <w:p w14:paraId="525F75A8">
            <w:pPr>
              <w:pStyle w:val="143"/>
              <w:rPr>
                <w:snapToGrid w:val="0"/>
                <w:color w:val="000000" w:themeColor="text1"/>
                <w14:textFill>
                  <w14:solidFill>
                    <w14:schemeClr w14:val="tx1"/>
                  </w14:solidFill>
                </w14:textFill>
              </w:rPr>
            </w:pPr>
          </w:p>
        </w:tc>
        <w:tc>
          <w:tcPr>
            <w:tcW w:w="1601" w:type="pct"/>
            <w:shd w:val="clear" w:color="auto" w:fill="auto"/>
            <w:vAlign w:val="center"/>
          </w:tcPr>
          <w:p w14:paraId="333193B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排气筒高度m</w:t>
            </w:r>
          </w:p>
        </w:tc>
        <w:tc>
          <w:tcPr>
            <w:tcW w:w="1171" w:type="pct"/>
            <w:shd w:val="clear" w:color="auto" w:fill="auto"/>
            <w:vAlign w:val="center"/>
          </w:tcPr>
          <w:p w14:paraId="0FFC734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排放速率kg/h</w:t>
            </w:r>
          </w:p>
        </w:tc>
      </w:tr>
      <w:tr w14:paraId="538D55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vMerge w:val="restart"/>
            <w:shd w:val="clear" w:color="auto" w:fill="auto"/>
            <w:vAlign w:val="center"/>
          </w:tcPr>
          <w:p w14:paraId="02319AF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污水处理站</w:t>
            </w:r>
          </w:p>
        </w:tc>
        <w:tc>
          <w:tcPr>
            <w:tcW w:w="916" w:type="pct"/>
            <w:shd w:val="clear" w:color="auto" w:fill="auto"/>
            <w:vAlign w:val="center"/>
          </w:tcPr>
          <w:p w14:paraId="4413E10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氨</w:t>
            </w:r>
          </w:p>
        </w:tc>
        <w:tc>
          <w:tcPr>
            <w:tcW w:w="1601" w:type="pct"/>
            <w:shd w:val="clear" w:color="auto" w:fill="auto"/>
            <w:vAlign w:val="center"/>
          </w:tcPr>
          <w:p w14:paraId="49ADCDAC">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15</w:t>
            </w:r>
          </w:p>
        </w:tc>
        <w:tc>
          <w:tcPr>
            <w:tcW w:w="1171" w:type="pct"/>
            <w:shd w:val="clear" w:color="auto" w:fill="auto"/>
            <w:vAlign w:val="center"/>
          </w:tcPr>
          <w:p w14:paraId="2BB82C6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4.9</w:t>
            </w:r>
          </w:p>
        </w:tc>
      </w:tr>
      <w:tr w14:paraId="5971C2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vMerge w:val="continue"/>
            <w:shd w:val="clear" w:color="auto" w:fill="auto"/>
            <w:vAlign w:val="center"/>
          </w:tcPr>
          <w:p w14:paraId="70233029">
            <w:pPr>
              <w:pStyle w:val="143"/>
              <w:rPr>
                <w:snapToGrid w:val="0"/>
                <w:color w:val="000000" w:themeColor="text1"/>
                <w14:textFill>
                  <w14:solidFill>
                    <w14:schemeClr w14:val="tx1"/>
                  </w14:solidFill>
                </w14:textFill>
              </w:rPr>
            </w:pPr>
          </w:p>
        </w:tc>
        <w:tc>
          <w:tcPr>
            <w:tcW w:w="916" w:type="pct"/>
            <w:shd w:val="clear" w:color="auto" w:fill="auto"/>
            <w:vAlign w:val="center"/>
          </w:tcPr>
          <w:p w14:paraId="10FB75E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硫化氢</w:t>
            </w:r>
          </w:p>
        </w:tc>
        <w:tc>
          <w:tcPr>
            <w:tcW w:w="1601" w:type="pct"/>
            <w:shd w:val="clear" w:color="auto" w:fill="auto"/>
            <w:vAlign w:val="center"/>
          </w:tcPr>
          <w:p w14:paraId="19E7E7A2">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15</w:t>
            </w:r>
          </w:p>
        </w:tc>
        <w:tc>
          <w:tcPr>
            <w:tcW w:w="1171" w:type="pct"/>
            <w:shd w:val="clear" w:color="auto" w:fill="auto"/>
            <w:vAlign w:val="center"/>
          </w:tcPr>
          <w:p w14:paraId="70ADDFD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0.33</w:t>
            </w:r>
          </w:p>
        </w:tc>
      </w:tr>
      <w:tr w14:paraId="797CB9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vMerge w:val="continue"/>
            <w:shd w:val="clear" w:color="auto" w:fill="auto"/>
            <w:vAlign w:val="center"/>
          </w:tcPr>
          <w:p w14:paraId="7C446DE1">
            <w:pPr>
              <w:pStyle w:val="143"/>
              <w:rPr>
                <w:snapToGrid w:val="0"/>
                <w:color w:val="000000" w:themeColor="text1"/>
                <w14:textFill>
                  <w14:solidFill>
                    <w14:schemeClr w14:val="tx1"/>
                  </w14:solidFill>
                </w14:textFill>
              </w:rPr>
            </w:pPr>
          </w:p>
        </w:tc>
        <w:tc>
          <w:tcPr>
            <w:tcW w:w="916" w:type="pct"/>
            <w:shd w:val="clear" w:color="auto" w:fill="auto"/>
            <w:vAlign w:val="center"/>
          </w:tcPr>
          <w:p w14:paraId="6838574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臭气浓度</w:t>
            </w:r>
          </w:p>
        </w:tc>
        <w:tc>
          <w:tcPr>
            <w:tcW w:w="1601" w:type="pct"/>
            <w:shd w:val="clear" w:color="auto" w:fill="auto"/>
            <w:vAlign w:val="center"/>
          </w:tcPr>
          <w:p w14:paraId="547A543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15</w:t>
            </w:r>
          </w:p>
        </w:tc>
        <w:tc>
          <w:tcPr>
            <w:tcW w:w="1171" w:type="pct"/>
            <w:shd w:val="clear" w:color="auto" w:fill="auto"/>
            <w:vAlign w:val="center"/>
          </w:tcPr>
          <w:p w14:paraId="73FE2FC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2000</w:t>
            </w:r>
          </w:p>
        </w:tc>
      </w:tr>
      <w:tr w14:paraId="36D054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shd w:val="clear" w:color="auto" w:fill="auto"/>
            <w:vAlign w:val="center"/>
          </w:tcPr>
          <w:p w14:paraId="40E6DCE4">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污染源</w:t>
            </w:r>
          </w:p>
        </w:tc>
        <w:tc>
          <w:tcPr>
            <w:tcW w:w="916" w:type="pct"/>
            <w:shd w:val="clear" w:color="auto" w:fill="auto"/>
            <w:vAlign w:val="center"/>
          </w:tcPr>
          <w:p w14:paraId="73B4F71C">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污染物</w:t>
            </w:r>
          </w:p>
        </w:tc>
        <w:tc>
          <w:tcPr>
            <w:tcW w:w="2772" w:type="pct"/>
            <w:gridSpan w:val="2"/>
            <w:shd w:val="clear" w:color="auto" w:fill="auto"/>
            <w:vAlign w:val="center"/>
          </w:tcPr>
          <w:p w14:paraId="0078D6A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最高允许排放浓度mg/m</w:t>
            </w:r>
            <w:r>
              <w:rPr>
                <w:snapToGrid w:val="0"/>
                <w:color w:val="000000" w:themeColor="text1"/>
                <w:vertAlign w:val="superscript"/>
                <w14:textFill>
                  <w14:solidFill>
                    <w14:schemeClr w14:val="tx1"/>
                  </w14:solidFill>
                </w14:textFill>
              </w:rPr>
              <w:t>3</w:t>
            </w:r>
          </w:p>
        </w:tc>
      </w:tr>
      <w:tr w14:paraId="09F40F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vMerge w:val="restart"/>
            <w:shd w:val="clear" w:color="auto" w:fill="auto"/>
            <w:vAlign w:val="center"/>
          </w:tcPr>
          <w:p w14:paraId="714F7860">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厂界</w:t>
            </w:r>
          </w:p>
        </w:tc>
        <w:tc>
          <w:tcPr>
            <w:tcW w:w="916" w:type="pct"/>
            <w:shd w:val="clear" w:color="auto" w:fill="auto"/>
            <w:vAlign w:val="center"/>
          </w:tcPr>
          <w:p w14:paraId="10C9FC8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氨</w:t>
            </w:r>
          </w:p>
        </w:tc>
        <w:tc>
          <w:tcPr>
            <w:tcW w:w="2772" w:type="pct"/>
            <w:gridSpan w:val="2"/>
            <w:shd w:val="clear" w:color="auto" w:fill="auto"/>
            <w:vAlign w:val="center"/>
          </w:tcPr>
          <w:p w14:paraId="2FE89DA2">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.5</w:t>
            </w:r>
          </w:p>
        </w:tc>
      </w:tr>
      <w:tr w14:paraId="004795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vMerge w:val="continue"/>
            <w:shd w:val="clear" w:color="auto" w:fill="auto"/>
            <w:vAlign w:val="center"/>
          </w:tcPr>
          <w:p w14:paraId="72F98A9F">
            <w:pPr>
              <w:pStyle w:val="143"/>
              <w:rPr>
                <w:snapToGrid w:val="0"/>
                <w:color w:val="000000" w:themeColor="text1"/>
                <w14:textFill>
                  <w14:solidFill>
                    <w14:schemeClr w14:val="tx1"/>
                  </w14:solidFill>
                </w14:textFill>
              </w:rPr>
            </w:pPr>
          </w:p>
        </w:tc>
        <w:tc>
          <w:tcPr>
            <w:tcW w:w="916" w:type="pct"/>
            <w:shd w:val="clear" w:color="auto" w:fill="auto"/>
            <w:vAlign w:val="center"/>
          </w:tcPr>
          <w:p w14:paraId="6A47F271">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硫化氢</w:t>
            </w:r>
          </w:p>
        </w:tc>
        <w:tc>
          <w:tcPr>
            <w:tcW w:w="2772" w:type="pct"/>
            <w:gridSpan w:val="2"/>
            <w:shd w:val="clear" w:color="auto" w:fill="auto"/>
            <w:vAlign w:val="center"/>
          </w:tcPr>
          <w:p w14:paraId="652CBC7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0</w:t>
            </w:r>
            <w:r>
              <w:rPr>
                <w:snapToGrid w:val="0"/>
                <w:color w:val="000000" w:themeColor="text1"/>
                <w14:textFill>
                  <w14:solidFill>
                    <w14:schemeClr w14:val="tx1"/>
                  </w14:solidFill>
                </w14:textFill>
              </w:rPr>
              <w:t>.06</w:t>
            </w:r>
          </w:p>
        </w:tc>
      </w:tr>
      <w:tr w14:paraId="0B5E5D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12" w:type="pct"/>
            <w:vMerge w:val="continue"/>
            <w:shd w:val="clear" w:color="auto" w:fill="auto"/>
            <w:vAlign w:val="center"/>
          </w:tcPr>
          <w:p w14:paraId="555047E5">
            <w:pPr>
              <w:pStyle w:val="143"/>
              <w:rPr>
                <w:snapToGrid w:val="0"/>
                <w:color w:val="000000" w:themeColor="text1"/>
                <w14:textFill>
                  <w14:solidFill>
                    <w14:schemeClr w14:val="tx1"/>
                  </w14:solidFill>
                </w14:textFill>
              </w:rPr>
            </w:pPr>
          </w:p>
        </w:tc>
        <w:tc>
          <w:tcPr>
            <w:tcW w:w="916" w:type="pct"/>
            <w:shd w:val="clear" w:color="auto" w:fill="auto"/>
            <w:vAlign w:val="center"/>
          </w:tcPr>
          <w:p w14:paraId="03E2F403">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臭气浓度</w:t>
            </w:r>
          </w:p>
        </w:tc>
        <w:tc>
          <w:tcPr>
            <w:tcW w:w="2772" w:type="pct"/>
            <w:gridSpan w:val="2"/>
            <w:shd w:val="clear" w:color="auto" w:fill="auto"/>
            <w:vAlign w:val="center"/>
          </w:tcPr>
          <w:p w14:paraId="34B7D475">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0</w:t>
            </w:r>
            <w:r>
              <w:rPr>
                <w:rFonts w:hint="eastAsia"/>
                <w:snapToGrid w:val="0"/>
                <w:color w:val="000000" w:themeColor="text1"/>
                <w14:textFill>
                  <w14:solidFill>
                    <w14:schemeClr w14:val="tx1"/>
                  </w14:solidFill>
                </w14:textFill>
              </w:rPr>
              <w:t>（无量纲）</w:t>
            </w:r>
          </w:p>
        </w:tc>
      </w:tr>
    </w:tbl>
    <w:p w14:paraId="52A48F0C">
      <w:pPr>
        <w:pStyle w:val="85"/>
        <w:rPr>
          <w:color w:val="000000" w:themeColor="text1"/>
          <w14:textFill>
            <w14:solidFill>
              <w14:schemeClr w14:val="tx1"/>
            </w14:solidFill>
          </w14:textFill>
        </w:rPr>
      </w:pPr>
      <w:r>
        <w:rPr>
          <w:rFonts w:hint="eastAsia"/>
          <w:color w:val="000000" w:themeColor="text1"/>
          <w:lang w:val="zh-CN"/>
          <w14:textFill>
            <w14:solidFill>
              <w14:schemeClr w14:val="tx1"/>
            </w14:solidFill>
          </w14:textFill>
        </w:rPr>
        <w:t>原料间粉尘粉尘排放速率和排放浓度执行《大气污染物综合排放标准》（GB16297-1996）表2中二级标准（排放速率严格50%执行）要求</w:t>
      </w:r>
      <w:r>
        <w:rPr>
          <w:rFonts w:hint="eastAsia"/>
          <w:color w:val="000000" w:themeColor="text1"/>
          <w14:textFill>
            <w14:solidFill>
              <w14:schemeClr w14:val="tx1"/>
            </w14:solidFill>
          </w14:textFill>
        </w:rPr>
        <w:t>。</w:t>
      </w:r>
      <w:bookmarkEnd w:id="81"/>
      <w:r>
        <w:rPr>
          <w:rFonts w:hint="eastAsia"/>
          <w:color w:val="000000" w:themeColor="text1"/>
          <w14:textFill>
            <w14:solidFill>
              <w14:schemeClr w14:val="tx1"/>
            </w14:solidFill>
          </w14:textFill>
        </w:rPr>
        <w:t>沼气燃烧废气</w:t>
      </w:r>
      <w:r>
        <w:rPr>
          <w:rFonts w:hint="eastAsia"/>
          <w:bCs/>
          <w:color w:val="000000" w:themeColor="text1"/>
          <w14:textFill>
            <w14:solidFill>
              <w14:schemeClr w14:val="tx1"/>
            </w14:solidFill>
          </w14:textFill>
        </w:rPr>
        <w:t>颗粒物、</w:t>
      </w:r>
      <w:r>
        <w:rPr>
          <w:bCs/>
          <w:color w:val="000000" w:themeColor="text1"/>
          <w14:textFill>
            <w14:solidFill>
              <w14:schemeClr w14:val="tx1"/>
            </w14:solidFill>
          </w14:textFill>
        </w:rPr>
        <w:t>SO</w:t>
      </w:r>
      <w:r>
        <w:rPr>
          <w:bCs/>
          <w:color w:val="000000" w:themeColor="text1"/>
          <w:vertAlign w:val="subscript"/>
          <w14:textFill>
            <w14:solidFill>
              <w14:schemeClr w14:val="tx1"/>
            </w14:solidFill>
          </w14:textFill>
        </w:rPr>
        <w:t>2</w:t>
      </w:r>
      <w:r>
        <w:rPr>
          <w:rFonts w:hint="eastAsia"/>
          <w:bCs/>
          <w:color w:val="000000" w:themeColor="text1"/>
          <w14:textFill>
            <w14:solidFill>
              <w14:schemeClr w14:val="tx1"/>
            </w14:solidFill>
          </w14:textFill>
        </w:rPr>
        <w:t>、</w:t>
      </w:r>
      <w:r>
        <w:rPr>
          <w:bCs/>
          <w:color w:val="000000" w:themeColor="text1"/>
          <w14:textFill>
            <w14:solidFill>
              <w14:schemeClr w14:val="tx1"/>
            </w14:solidFill>
          </w14:textFill>
        </w:rPr>
        <w:t>NOx</w:t>
      </w:r>
      <w:r>
        <w:rPr>
          <w:rFonts w:hint="eastAsia"/>
          <w:bCs/>
          <w:color w:val="000000" w:themeColor="text1"/>
          <w14:textFill>
            <w14:solidFill>
              <w14:schemeClr w14:val="tx1"/>
            </w14:solidFill>
          </w14:textFill>
        </w:rPr>
        <w:t>排放浓度</w:t>
      </w:r>
      <w:r>
        <w:rPr>
          <w:rFonts w:hint="eastAsia"/>
          <w:bCs/>
          <w:color w:val="000000" w:themeColor="text1"/>
          <w:lang w:val="zh-CN"/>
          <w14:textFill>
            <w14:solidFill>
              <w14:schemeClr w14:val="tx1"/>
            </w14:solidFill>
          </w14:textFill>
        </w:rPr>
        <w:t>执行</w:t>
      </w:r>
      <w:r>
        <w:rPr>
          <w:rFonts w:hint="eastAsia"/>
          <w:bCs/>
          <w:color w:val="000000" w:themeColor="text1"/>
          <w14:textFill>
            <w14:solidFill>
              <w14:schemeClr w14:val="tx1"/>
            </w14:solidFill>
          </w14:textFill>
        </w:rPr>
        <w:t>《大气污染物综合排放标准》（GB16297-1996）表2无组织排放监控浓度限值。</w:t>
      </w:r>
    </w:p>
    <w:p w14:paraId="5F93B837">
      <w:pPr>
        <w:pStyle w:val="206"/>
        <w:rPr>
          <w:color w:val="000000" w:themeColor="text1"/>
          <w14:textFill>
            <w14:solidFill>
              <w14:schemeClr w14:val="tx1"/>
            </w14:solidFill>
          </w14:textFill>
        </w:rPr>
      </w:pPr>
      <w:r>
        <w:rPr>
          <w:color w:val="000000" w:themeColor="text1"/>
          <w14:textFill>
            <w14:solidFill>
              <w14:schemeClr w14:val="tx1"/>
            </w14:solidFill>
          </w14:textFill>
        </w:rPr>
        <w:t>表</w:t>
      </w:r>
      <w:r>
        <w:rPr>
          <w:color w:val="000000" w:themeColor="text1"/>
          <w:lang w:val="en-US"/>
          <w14:textFill>
            <w14:solidFill>
              <w14:schemeClr w14:val="tx1"/>
            </w14:solidFill>
          </w14:textFill>
        </w:rPr>
        <w:t>2-8-</w:t>
      </w:r>
      <w:r>
        <w:rPr>
          <w:color w:val="000000" w:themeColor="text1"/>
          <w14:textFill>
            <w14:solidFill>
              <w14:schemeClr w14:val="tx1"/>
            </w14:solidFill>
          </w14:textFill>
        </w:rPr>
        <w:t xml:space="preserve">3 </w:t>
      </w:r>
      <w:r>
        <w:rPr>
          <w:rFonts w:hint="eastAsia"/>
          <w:color w:val="000000" w:themeColor="text1"/>
          <w14:textFill>
            <w14:solidFill>
              <w14:schemeClr w14:val="tx1"/>
            </w14:solidFill>
          </w14:textFill>
        </w:rPr>
        <w:t>《大气污染物综合排放标准》（GB16297-1996）</w:t>
      </w:r>
    </w:p>
    <w:tbl>
      <w:tblPr>
        <w:tblStyle w:val="41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49"/>
        <w:gridCol w:w="1168"/>
        <w:gridCol w:w="1297"/>
        <w:gridCol w:w="2728"/>
        <w:gridCol w:w="2464"/>
      </w:tblGrid>
      <w:tr w14:paraId="7A09B9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1" w:type="pct"/>
            <w:vAlign w:val="center"/>
          </w:tcPr>
          <w:p w14:paraId="410EFA7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序号</w:t>
            </w:r>
          </w:p>
        </w:tc>
        <w:tc>
          <w:tcPr>
            <w:tcW w:w="703" w:type="pct"/>
            <w:vAlign w:val="center"/>
          </w:tcPr>
          <w:p w14:paraId="76AB4A9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污染源</w:t>
            </w:r>
          </w:p>
        </w:tc>
        <w:tc>
          <w:tcPr>
            <w:tcW w:w="781" w:type="pct"/>
            <w:vAlign w:val="center"/>
          </w:tcPr>
          <w:p w14:paraId="24599F3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污染物</w:t>
            </w:r>
          </w:p>
        </w:tc>
        <w:tc>
          <w:tcPr>
            <w:tcW w:w="1642" w:type="pct"/>
            <w:vAlign w:val="center"/>
          </w:tcPr>
          <w:p w14:paraId="1D3E7792">
            <w:pPr>
              <w:pStyle w:val="143"/>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最高允许排放速率</w:t>
            </w:r>
            <w:r>
              <w:rPr>
                <w:snapToGrid w:val="0"/>
                <w:color w:val="000000" w:themeColor="text1"/>
                <w:kern w:val="0"/>
                <w14:textFill>
                  <w14:solidFill>
                    <w14:schemeClr w14:val="tx1"/>
                  </w14:solidFill>
                </w14:textFill>
              </w:rPr>
              <w:t>kg/h(15</w:t>
            </w:r>
            <w:r>
              <w:rPr>
                <w:rFonts w:hint="eastAsia"/>
                <w:snapToGrid w:val="0"/>
                <w:color w:val="000000" w:themeColor="text1"/>
                <w:kern w:val="0"/>
                <w14:textFill>
                  <w14:solidFill>
                    <w14:schemeClr w14:val="tx1"/>
                  </w14:solidFill>
                </w14:textFill>
              </w:rPr>
              <w:t>m</w:t>
            </w:r>
            <w:r>
              <w:rPr>
                <w:snapToGrid w:val="0"/>
                <w:color w:val="000000" w:themeColor="text1"/>
                <w:kern w:val="0"/>
                <w14:textFill>
                  <w14:solidFill>
                    <w14:schemeClr w14:val="tx1"/>
                  </w14:solidFill>
                </w14:textFill>
              </w:rPr>
              <w:t>)</w:t>
            </w:r>
            <w:r>
              <w:rPr>
                <w:rFonts w:hint="eastAsia"/>
                <w:snapToGrid w:val="0"/>
                <w:color w:val="000000" w:themeColor="text1"/>
                <w:kern w:val="0"/>
                <w:lang w:eastAsia="zh-CN"/>
                <w14:textFill>
                  <w14:solidFill>
                    <w14:schemeClr w14:val="tx1"/>
                  </w14:solidFill>
                </w14:textFill>
              </w:rPr>
              <w:t>（5</w:t>
            </w:r>
            <w:r>
              <w:rPr>
                <w:snapToGrid w:val="0"/>
                <w:color w:val="000000" w:themeColor="text1"/>
                <w:kern w:val="0"/>
                <w:lang w:eastAsia="zh-CN"/>
                <w14:textFill>
                  <w14:solidFill>
                    <w14:schemeClr w14:val="tx1"/>
                  </w14:solidFill>
                </w14:textFill>
              </w:rPr>
              <w:t>0%</w:t>
            </w:r>
            <w:r>
              <w:rPr>
                <w:rFonts w:hint="eastAsia"/>
                <w:snapToGrid w:val="0"/>
                <w:color w:val="000000" w:themeColor="text1"/>
                <w:kern w:val="0"/>
                <w:lang w:eastAsia="zh-CN"/>
                <w14:textFill>
                  <w14:solidFill>
                    <w14:schemeClr w14:val="tx1"/>
                  </w14:solidFill>
                </w14:textFill>
              </w:rPr>
              <w:t>执行）</w:t>
            </w:r>
          </w:p>
        </w:tc>
        <w:tc>
          <w:tcPr>
            <w:tcW w:w="1483" w:type="pct"/>
            <w:vAlign w:val="center"/>
          </w:tcPr>
          <w:p w14:paraId="007DED6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最高允许排放浓度mg/m</w:t>
            </w:r>
            <w:r>
              <w:rPr>
                <w:snapToGrid w:val="0"/>
                <w:color w:val="000000" w:themeColor="text1"/>
                <w:kern w:val="0"/>
                <w:vertAlign w:val="superscript"/>
                <w14:textFill>
                  <w14:solidFill>
                    <w14:schemeClr w14:val="tx1"/>
                  </w14:solidFill>
                </w14:textFill>
              </w:rPr>
              <w:t>3</w:t>
            </w:r>
          </w:p>
        </w:tc>
      </w:tr>
      <w:tr w14:paraId="19353E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1" w:type="pct"/>
            <w:vAlign w:val="center"/>
          </w:tcPr>
          <w:p w14:paraId="620BF9E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703" w:type="pct"/>
            <w:vAlign w:val="center"/>
          </w:tcPr>
          <w:p w14:paraId="007E75A0">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原料处理间</w:t>
            </w:r>
            <w:r>
              <w:rPr>
                <w:rFonts w:hint="eastAsia"/>
                <w:snapToGrid w:val="0"/>
                <w:color w:val="000000" w:themeColor="text1"/>
                <w:kern w:val="0"/>
                <w14:textFill>
                  <w14:solidFill>
                    <w14:schemeClr w14:val="tx1"/>
                  </w14:solidFill>
                </w14:textFill>
              </w:rPr>
              <w:t>排气筒</w:t>
            </w:r>
          </w:p>
        </w:tc>
        <w:tc>
          <w:tcPr>
            <w:tcW w:w="781" w:type="pct"/>
            <w:vAlign w:val="center"/>
          </w:tcPr>
          <w:p w14:paraId="0E732DC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颗粒物</w:t>
            </w:r>
          </w:p>
        </w:tc>
        <w:tc>
          <w:tcPr>
            <w:tcW w:w="1642" w:type="pct"/>
            <w:vAlign w:val="center"/>
          </w:tcPr>
          <w:p w14:paraId="73AFFD0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1.75</w:t>
            </w:r>
          </w:p>
        </w:tc>
        <w:tc>
          <w:tcPr>
            <w:tcW w:w="1483" w:type="pct"/>
            <w:vAlign w:val="center"/>
          </w:tcPr>
          <w:p w14:paraId="418B547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120</w:t>
            </w:r>
          </w:p>
        </w:tc>
      </w:tr>
      <w:tr w14:paraId="62CA3C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1" w:type="pct"/>
            <w:vAlign w:val="center"/>
          </w:tcPr>
          <w:p w14:paraId="02FA0268">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2</w:t>
            </w:r>
          </w:p>
        </w:tc>
        <w:tc>
          <w:tcPr>
            <w:tcW w:w="703" w:type="pct"/>
            <w:vMerge w:val="restart"/>
            <w:vAlign w:val="center"/>
          </w:tcPr>
          <w:p w14:paraId="4C3AF5B2">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厂界</w:t>
            </w:r>
          </w:p>
        </w:tc>
        <w:tc>
          <w:tcPr>
            <w:tcW w:w="781" w:type="pct"/>
            <w:vAlign w:val="center"/>
          </w:tcPr>
          <w:p w14:paraId="0CF08410">
            <w:pPr>
              <w:pStyle w:val="143"/>
              <w:rPr>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颗粒物</w:t>
            </w:r>
          </w:p>
        </w:tc>
        <w:tc>
          <w:tcPr>
            <w:tcW w:w="1642" w:type="pct"/>
            <w:vAlign w:val="center"/>
          </w:tcPr>
          <w:p w14:paraId="02070E7E">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483" w:type="pct"/>
            <w:vAlign w:val="center"/>
          </w:tcPr>
          <w:p w14:paraId="63C39F7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1</w:t>
            </w:r>
            <w:r>
              <w:rPr>
                <w:snapToGrid w:val="0"/>
                <w:color w:val="000000" w:themeColor="text1"/>
                <w:kern w:val="0"/>
                <w:lang w:eastAsia="zh-CN"/>
                <w14:textFill>
                  <w14:solidFill>
                    <w14:schemeClr w14:val="tx1"/>
                  </w14:solidFill>
                </w14:textFill>
              </w:rPr>
              <w:t>.0</w:t>
            </w:r>
          </w:p>
        </w:tc>
      </w:tr>
      <w:tr w14:paraId="5F7A69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1" w:type="pct"/>
            <w:vAlign w:val="center"/>
          </w:tcPr>
          <w:p w14:paraId="67545F05">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3</w:t>
            </w:r>
          </w:p>
        </w:tc>
        <w:tc>
          <w:tcPr>
            <w:tcW w:w="703" w:type="pct"/>
            <w:vMerge w:val="continue"/>
            <w:vAlign w:val="center"/>
          </w:tcPr>
          <w:p w14:paraId="2ACE2A4B">
            <w:pPr>
              <w:pStyle w:val="143"/>
              <w:rPr>
                <w:snapToGrid w:val="0"/>
                <w:color w:val="000000" w:themeColor="text1"/>
                <w:kern w:val="0"/>
                <w:lang w:eastAsia="zh-CN"/>
                <w14:textFill>
                  <w14:solidFill>
                    <w14:schemeClr w14:val="tx1"/>
                  </w14:solidFill>
                </w14:textFill>
              </w:rPr>
            </w:pPr>
          </w:p>
        </w:tc>
        <w:tc>
          <w:tcPr>
            <w:tcW w:w="781" w:type="pct"/>
            <w:vAlign w:val="center"/>
          </w:tcPr>
          <w:p w14:paraId="4239532A">
            <w:pPr>
              <w:pStyle w:val="143"/>
              <w:rPr>
                <w:bCs/>
                <w:snapToGrid w:val="0"/>
                <w:color w:val="000000" w:themeColor="text1"/>
                <w:kern w:val="0"/>
                <w:lang w:val="en-US"/>
                <w14:textFill>
                  <w14:solidFill>
                    <w14:schemeClr w14:val="tx1"/>
                  </w14:solidFill>
                </w14:textFill>
              </w:rPr>
            </w:pPr>
            <w:r>
              <w:rPr>
                <w:bCs/>
                <w:snapToGrid w:val="0"/>
                <w:color w:val="000000" w:themeColor="text1"/>
                <w:kern w:val="0"/>
                <w:lang w:val="en-US"/>
                <w14:textFill>
                  <w14:solidFill>
                    <w14:schemeClr w14:val="tx1"/>
                  </w14:solidFill>
                </w14:textFill>
              </w:rPr>
              <w:t>SO</w:t>
            </w:r>
            <w:r>
              <w:rPr>
                <w:bCs/>
                <w:snapToGrid w:val="0"/>
                <w:color w:val="000000" w:themeColor="text1"/>
                <w:kern w:val="0"/>
                <w:vertAlign w:val="subscript"/>
                <w:lang w:val="en-US"/>
                <w14:textFill>
                  <w14:solidFill>
                    <w14:schemeClr w14:val="tx1"/>
                  </w14:solidFill>
                </w14:textFill>
              </w:rPr>
              <w:t>2</w:t>
            </w:r>
          </w:p>
        </w:tc>
        <w:tc>
          <w:tcPr>
            <w:tcW w:w="1642" w:type="pct"/>
            <w:vAlign w:val="center"/>
          </w:tcPr>
          <w:p w14:paraId="2C385CE2">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483" w:type="pct"/>
            <w:vAlign w:val="center"/>
          </w:tcPr>
          <w:p w14:paraId="09500FCA">
            <w:pPr>
              <w:pStyle w:val="143"/>
              <w:rPr>
                <w:snapToGrid w:val="0"/>
                <w:color w:val="000000" w:themeColor="text1"/>
                <w:kern w:val="0"/>
                <w:lang w:eastAsia="zh-CN"/>
                <w14:textFill>
                  <w14:solidFill>
                    <w14:schemeClr w14:val="tx1"/>
                  </w14:solidFill>
                </w14:textFill>
              </w:rPr>
            </w:pPr>
            <w:r>
              <w:rPr>
                <w:snapToGrid w:val="0"/>
                <w:color w:val="000000" w:themeColor="text1"/>
                <w:kern w:val="0"/>
                <w:lang w:eastAsia="zh-CN"/>
                <w14:textFill>
                  <w14:solidFill>
                    <w14:schemeClr w14:val="tx1"/>
                  </w14:solidFill>
                </w14:textFill>
              </w:rPr>
              <w:t>0.4</w:t>
            </w:r>
          </w:p>
        </w:tc>
      </w:tr>
      <w:tr w14:paraId="375CE2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91" w:type="pct"/>
            <w:vAlign w:val="center"/>
          </w:tcPr>
          <w:p w14:paraId="6A1EFB71">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4</w:t>
            </w:r>
          </w:p>
        </w:tc>
        <w:tc>
          <w:tcPr>
            <w:tcW w:w="703" w:type="pct"/>
            <w:vMerge w:val="continue"/>
            <w:vAlign w:val="center"/>
          </w:tcPr>
          <w:p w14:paraId="41A10BF9">
            <w:pPr>
              <w:pStyle w:val="143"/>
              <w:rPr>
                <w:snapToGrid w:val="0"/>
                <w:color w:val="000000" w:themeColor="text1"/>
                <w:kern w:val="0"/>
                <w:lang w:eastAsia="zh-CN"/>
                <w14:textFill>
                  <w14:solidFill>
                    <w14:schemeClr w14:val="tx1"/>
                  </w14:solidFill>
                </w14:textFill>
              </w:rPr>
            </w:pPr>
          </w:p>
        </w:tc>
        <w:tc>
          <w:tcPr>
            <w:tcW w:w="781" w:type="pct"/>
            <w:vAlign w:val="center"/>
          </w:tcPr>
          <w:p w14:paraId="5A5514D7">
            <w:pPr>
              <w:pStyle w:val="143"/>
              <w:rPr>
                <w:bCs/>
                <w:snapToGrid w:val="0"/>
                <w:color w:val="000000" w:themeColor="text1"/>
                <w:kern w:val="0"/>
                <w:lang w:val="en-US"/>
                <w14:textFill>
                  <w14:solidFill>
                    <w14:schemeClr w14:val="tx1"/>
                  </w14:solidFill>
                </w14:textFill>
              </w:rPr>
            </w:pPr>
            <w:r>
              <w:rPr>
                <w:bCs/>
                <w:snapToGrid w:val="0"/>
                <w:color w:val="000000" w:themeColor="text1"/>
                <w:kern w:val="0"/>
                <w:lang w:val="en-US"/>
                <w14:textFill>
                  <w14:solidFill>
                    <w14:schemeClr w14:val="tx1"/>
                  </w14:solidFill>
                </w14:textFill>
              </w:rPr>
              <w:t>NOx</w:t>
            </w:r>
          </w:p>
        </w:tc>
        <w:tc>
          <w:tcPr>
            <w:tcW w:w="1642" w:type="pct"/>
            <w:vAlign w:val="center"/>
          </w:tcPr>
          <w:p w14:paraId="0D0D5D97">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483" w:type="pct"/>
            <w:vAlign w:val="center"/>
          </w:tcPr>
          <w:p w14:paraId="54CC2965">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0</w:t>
            </w:r>
            <w:r>
              <w:rPr>
                <w:snapToGrid w:val="0"/>
                <w:color w:val="000000" w:themeColor="text1"/>
                <w:kern w:val="0"/>
                <w:lang w:eastAsia="zh-CN"/>
                <w14:textFill>
                  <w14:solidFill>
                    <w14:schemeClr w14:val="tx1"/>
                  </w14:solidFill>
                </w14:textFill>
              </w:rPr>
              <w:t>.12</w:t>
            </w:r>
          </w:p>
        </w:tc>
      </w:tr>
    </w:tbl>
    <w:p w14:paraId="65D5472B">
      <w:pPr>
        <w:pStyle w:val="85"/>
        <w:rPr>
          <w:bCs/>
          <w:color w:val="000000" w:themeColor="text1"/>
          <w14:textFill>
            <w14:solidFill>
              <w14:schemeClr w14:val="tx1"/>
            </w14:solidFill>
          </w14:textFill>
        </w:rPr>
      </w:pPr>
      <w:r>
        <w:rPr>
          <w:rFonts w:hint="eastAsia"/>
          <w:color w:val="000000" w:themeColor="text1"/>
          <w14:textFill>
            <w14:solidFill>
              <w14:schemeClr w14:val="tx1"/>
            </w14:solidFill>
          </w14:textFill>
        </w:rPr>
        <w:t>锅炉烟气</w:t>
      </w:r>
      <w:r>
        <w:rPr>
          <w:rFonts w:hint="eastAsia"/>
          <w:bCs/>
          <w:color w:val="000000" w:themeColor="text1"/>
          <w14:textFill>
            <w14:solidFill>
              <w14:schemeClr w14:val="tx1"/>
            </w14:solidFill>
          </w14:textFill>
        </w:rPr>
        <w:t>颗粒物、</w:t>
      </w:r>
      <w:r>
        <w:rPr>
          <w:bCs/>
          <w:color w:val="000000" w:themeColor="text1"/>
          <w14:textFill>
            <w14:solidFill>
              <w14:schemeClr w14:val="tx1"/>
            </w14:solidFill>
          </w14:textFill>
        </w:rPr>
        <w:t>SO</w:t>
      </w:r>
      <w:r>
        <w:rPr>
          <w:bCs/>
          <w:color w:val="000000" w:themeColor="text1"/>
          <w:vertAlign w:val="subscript"/>
          <w14:textFill>
            <w14:solidFill>
              <w14:schemeClr w14:val="tx1"/>
            </w14:solidFill>
          </w14:textFill>
        </w:rPr>
        <w:t>2</w:t>
      </w:r>
      <w:r>
        <w:rPr>
          <w:rFonts w:hint="eastAsia"/>
          <w:bCs/>
          <w:color w:val="000000" w:themeColor="text1"/>
          <w14:textFill>
            <w14:solidFill>
              <w14:schemeClr w14:val="tx1"/>
            </w14:solidFill>
          </w14:textFill>
        </w:rPr>
        <w:t>、</w:t>
      </w:r>
      <w:r>
        <w:rPr>
          <w:bCs/>
          <w:color w:val="000000" w:themeColor="text1"/>
          <w14:textFill>
            <w14:solidFill>
              <w14:schemeClr w14:val="tx1"/>
            </w14:solidFill>
          </w14:textFill>
        </w:rPr>
        <w:t>NOx</w:t>
      </w:r>
      <w:r>
        <w:rPr>
          <w:rFonts w:hint="eastAsia"/>
          <w:bCs/>
          <w:color w:val="000000" w:themeColor="text1"/>
          <w14:textFill>
            <w14:solidFill>
              <w14:schemeClr w14:val="tx1"/>
            </w14:solidFill>
          </w14:textFill>
        </w:rPr>
        <w:t>排放浓度及烟气黑度</w:t>
      </w:r>
      <w:r>
        <w:rPr>
          <w:rFonts w:hint="eastAsia"/>
          <w:bCs/>
          <w:color w:val="000000" w:themeColor="text1"/>
          <w:lang w:val="zh-CN"/>
          <w14:textFill>
            <w14:solidFill>
              <w14:schemeClr w14:val="tx1"/>
            </w14:solidFill>
          </w14:textFill>
        </w:rPr>
        <w:t>执行</w:t>
      </w:r>
      <w:r>
        <w:rPr>
          <w:rFonts w:hint="eastAsia"/>
          <w:bCs/>
          <w:color w:val="000000" w:themeColor="text1"/>
          <w14:textFill>
            <w14:solidFill>
              <w14:schemeClr w14:val="tx1"/>
            </w14:solidFill>
          </w14:textFill>
        </w:rPr>
        <w:t>《锅炉大气污染物排放标准》（GB13271-2014）表2</w:t>
      </w:r>
      <w:r>
        <w:rPr>
          <w:rFonts w:hint="eastAsia"/>
          <w:bCs/>
          <w:color w:val="000000" w:themeColor="text1"/>
          <w:lang w:eastAsia="zh-CN"/>
          <w14:textFill>
            <w14:solidFill>
              <w14:schemeClr w14:val="tx1"/>
            </w14:solidFill>
          </w14:textFill>
        </w:rPr>
        <w:t>燃气</w:t>
      </w:r>
      <w:r>
        <w:rPr>
          <w:rFonts w:hint="eastAsia"/>
          <w:bCs/>
          <w:color w:val="000000" w:themeColor="text1"/>
          <w14:textFill>
            <w14:solidFill>
              <w14:schemeClr w14:val="tx1"/>
            </w14:solidFill>
          </w14:textFill>
        </w:rPr>
        <w:t>锅炉标准。</w:t>
      </w:r>
    </w:p>
    <w:p w14:paraId="4E67E05B">
      <w:pPr>
        <w:pStyle w:val="206"/>
        <w:rPr>
          <w:b/>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w:t>
      </w:r>
      <w:r>
        <w:rPr>
          <w:snapToGrid w:val="0"/>
          <w:color w:val="000000" w:themeColor="text1"/>
          <w:lang w:val="en-US"/>
          <w14:textFill>
            <w14:solidFill>
              <w14:schemeClr w14:val="tx1"/>
            </w14:solidFill>
          </w14:textFill>
        </w:rPr>
        <w:t xml:space="preserve">2-8-4 </w:t>
      </w:r>
      <w:r>
        <w:rPr>
          <w:rFonts w:hint="eastAsia"/>
          <w:snapToGrid w:val="0"/>
          <w:color w:val="000000" w:themeColor="text1"/>
          <w14:textFill>
            <w14:solidFill>
              <w14:schemeClr w14:val="tx1"/>
            </w14:solidFill>
          </w14:textFill>
        </w:rPr>
        <w:t>《锅炉大气污染物排放标准》（GB13271-2014）表2标准</w:t>
      </w:r>
    </w:p>
    <w:tbl>
      <w:tblPr>
        <w:tblStyle w:val="41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517"/>
        <w:gridCol w:w="3128"/>
        <w:gridCol w:w="1661"/>
      </w:tblGrid>
      <w:tr w14:paraId="3C4C09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17" w:type="pct"/>
            <w:vMerge w:val="restart"/>
            <w:vAlign w:val="center"/>
          </w:tcPr>
          <w:p w14:paraId="72E72D8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污染物项目</w:t>
            </w:r>
          </w:p>
        </w:tc>
        <w:tc>
          <w:tcPr>
            <w:tcW w:w="1883" w:type="pct"/>
            <w:vAlign w:val="center"/>
          </w:tcPr>
          <w:p w14:paraId="7AFD29F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分类</w:t>
            </w:r>
          </w:p>
        </w:tc>
        <w:tc>
          <w:tcPr>
            <w:tcW w:w="1000" w:type="pct"/>
            <w:vMerge w:val="restart"/>
            <w:vAlign w:val="center"/>
          </w:tcPr>
          <w:p w14:paraId="19299160">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污染物排放监控位置</w:t>
            </w:r>
          </w:p>
        </w:tc>
      </w:tr>
      <w:tr w14:paraId="5978EB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17" w:type="pct"/>
            <w:vMerge w:val="continue"/>
            <w:vAlign w:val="center"/>
          </w:tcPr>
          <w:p w14:paraId="0A7346F8">
            <w:pPr>
              <w:pStyle w:val="143"/>
              <w:rPr>
                <w:snapToGrid w:val="0"/>
                <w:color w:val="000000" w:themeColor="text1"/>
                <w:kern w:val="0"/>
                <w14:textFill>
                  <w14:solidFill>
                    <w14:schemeClr w14:val="tx1"/>
                  </w14:solidFill>
                </w14:textFill>
              </w:rPr>
            </w:pPr>
          </w:p>
        </w:tc>
        <w:tc>
          <w:tcPr>
            <w:tcW w:w="1883" w:type="pct"/>
            <w:vAlign w:val="center"/>
          </w:tcPr>
          <w:p w14:paraId="6EBF63CA">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燃气</w:t>
            </w:r>
            <w:r>
              <w:rPr>
                <w:rFonts w:hint="eastAsia"/>
                <w:snapToGrid w:val="0"/>
                <w:color w:val="000000" w:themeColor="text1"/>
                <w:kern w:val="0"/>
                <w14:textFill>
                  <w14:solidFill>
                    <w14:schemeClr w14:val="tx1"/>
                  </w14:solidFill>
                </w14:textFill>
              </w:rPr>
              <w:t>锅炉</w:t>
            </w:r>
          </w:p>
        </w:tc>
        <w:tc>
          <w:tcPr>
            <w:tcW w:w="1000" w:type="pct"/>
            <w:vMerge w:val="continue"/>
            <w:vAlign w:val="center"/>
          </w:tcPr>
          <w:p w14:paraId="2FDB8734">
            <w:pPr>
              <w:pStyle w:val="143"/>
              <w:rPr>
                <w:snapToGrid w:val="0"/>
                <w:color w:val="000000" w:themeColor="text1"/>
                <w:kern w:val="0"/>
                <w14:textFill>
                  <w14:solidFill>
                    <w14:schemeClr w14:val="tx1"/>
                  </w14:solidFill>
                </w14:textFill>
              </w:rPr>
            </w:pPr>
          </w:p>
        </w:tc>
      </w:tr>
      <w:tr w14:paraId="488F85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17" w:type="pct"/>
            <w:vAlign w:val="center"/>
          </w:tcPr>
          <w:p w14:paraId="2E1E6C94">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颗粒物</w:t>
            </w:r>
          </w:p>
        </w:tc>
        <w:tc>
          <w:tcPr>
            <w:tcW w:w="1883" w:type="pct"/>
            <w:vAlign w:val="center"/>
          </w:tcPr>
          <w:p w14:paraId="3BAAD00D">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20</w:t>
            </w:r>
          </w:p>
        </w:tc>
        <w:tc>
          <w:tcPr>
            <w:tcW w:w="1000" w:type="pct"/>
            <w:vMerge w:val="restart"/>
            <w:vAlign w:val="center"/>
          </w:tcPr>
          <w:p w14:paraId="2C791517">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烟囱或烟道</w:t>
            </w:r>
          </w:p>
        </w:tc>
      </w:tr>
      <w:tr w14:paraId="0F9E1B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17" w:type="pct"/>
            <w:vAlign w:val="center"/>
          </w:tcPr>
          <w:p w14:paraId="64E4AAFC">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二氧化硫</w:t>
            </w:r>
          </w:p>
        </w:tc>
        <w:tc>
          <w:tcPr>
            <w:tcW w:w="1883" w:type="pct"/>
            <w:vAlign w:val="center"/>
          </w:tcPr>
          <w:p w14:paraId="430EEB06">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50</w:t>
            </w:r>
          </w:p>
        </w:tc>
        <w:tc>
          <w:tcPr>
            <w:tcW w:w="1000" w:type="pct"/>
            <w:vMerge w:val="continue"/>
            <w:vAlign w:val="center"/>
          </w:tcPr>
          <w:p w14:paraId="3CDDEB74">
            <w:pPr>
              <w:pStyle w:val="143"/>
              <w:rPr>
                <w:snapToGrid w:val="0"/>
                <w:color w:val="000000" w:themeColor="text1"/>
                <w:kern w:val="0"/>
                <w14:textFill>
                  <w14:solidFill>
                    <w14:schemeClr w14:val="tx1"/>
                  </w14:solidFill>
                </w14:textFill>
              </w:rPr>
            </w:pPr>
          </w:p>
        </w:tc>
      </w:tr>
      <w:tr w14:paraId="015ABB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17" w:type="pct"/>
            <w:vAlign w:val="center"/>
          </w:tcPr>
          <w:p w14:paraId="6E6BDD1C">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氮氧化物</w:t>
            </w:r>
          </w:p>
        </w:tc>
        <w:tc>
          <w:tcPr>
            <w:tcW w:w="1883" w:type="pct"/>
            <w:vAlign w:val="center"/>
          </w:tcPr>
          <w:p w14:paraId="5CB95517">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200</w:t>
            </w:r>
          </w:p>
        </w:tc>
        <w:tc>
          <w:tcPr>
            <w:tcW w:w="1000" w:type="pct"/>
            <w:vMerge w:val="continue"/>
            <w:vAlign w:val="center"/>
          </w:tcPr>
          <w:p w14:paraId="1B1AAA74">
            <w:pPr>
              <w:pStyle w:val="143"/>
              <w:rPr>
                <w:snapToGrid w:val="0"/>
                <w:color w:val="000000" w:themeColor="text1"/>
                <w:kern w:val="0"/>
                <w14:textFill>
                  <w14:solidFill>
                    <w14:schemeClr w14:val="tx1"/>
                  </w14:solidFill>
                </w14:textFill>
              </w:rPr>
            </w:pPr>
          </w:p>
        </w:tc>
      </w:tr>
      <w:tr w14:paraId="18684B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17" w:type="pct"/>
            <w:vAlign w:val="center"/>
          </w:tcPr>
          <w:p w14:paraId="5042DFB5">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汞及其化合物</w:t>
            </w:r>
          </w:p>
        </w:tc>
        <w:tc>
          <w:tcPr>
            <w:tcW w:w="1883" w:type="pct"/>
            <w:vAlign w:val="center"/>
          </w:tcPr>
          <w:p w14:paraId="7B526BA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w:t>
            </w:r>
          </w:p>
        </w:tc>
        <w:tc>
          <w:tcPr>
            <w:tcW w:w="1000" w:type="pct"/>
            <w:vMerge w:val="continue"/>
            <w:vAlign w:val="center"/>
          </w:tcPr>
          <w:p w14:paraId="7C50CD6B">
            <w:pPr>
              <w:pStyle w:val="143"/>
              <w:rPr>
                <w:snapToGrid w:val="0"/>
                <w:color w:val="000000" w:themeColor="text1"/>
                <w:kern w:val="0"/>
                <w14:textFill>
                  <w14:solidFill>
                    <w14:schemeClr w14:val="tx1"/>
                  </w14:solidFill>
                </w14:textFill>
              </w:rPr>
            </w:pPr>
          </w:p>
        </w:tc>
      </w:tr>
      <w:tr w14:paraId="6A364F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17" w:type="pct"/>
            <w:vAlign w:val="center"/>
          </w:tcPr>
          <w:p w14:paraId="25CEF463">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烟气黑度（林格曼黑度，级）</w:t>
            </w:r>
          </w:p>
        </w:tc>
        <w:tc>
          <w:tcPr>
            <w:tcW w:w="1883" w:type="pct"/>
            <w:vAlign w:val="center"/>
          </w:tcPr>
          <w:p w14:paraId="604F148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w:t>
            </w:r>
          </w:p>
        </w:tc>
        <w:tc>
          <w:tcPr>
            <w:tcW w:w="1000" w:type="pct"/>
            <w:vAlign w:val="center"/>
          </w:tcPr>
          <w:p w14:paraId="0AE3B70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烟囱排放口</w:t>
            </w:r>
          </w:p>
        </w:tc>
      </w:tr>
    </w:tbl>
    <w:p w14:paraId="53EE9348">
      <w:pPr>
        <w:pStyle w:val="85"/>
        <w:spacing w:line="360" w:lineRule="auto"/>
        <w:rPr>
          <w:bCs/>
          <w:color w:val="000000" w:themeColor="text1"/>
          <w14:textFill>
            <w14:solidFill>
              <w14:schemeClr w14:val="tx1"/>
            </w14:solidFill>
          </w14:textFill>
        </w:rPr>
      </w:pPr>
      <w:r>
        <w:rPr>
          <w:rFonts w:hint="eastAsia" w:ascii="Times New Roman"/>
          <w:color w:val="000000"/>
          <w:szCs w:val="30"/>
          <w:lang w:val="en-US" w:eastAsia="zh-CN"/>
        </w:rPr>
        <w:t>本项目设置10个灶头，</w:t>
      </w:r>
      <w:r>
        <w:rPr>
          <w:rFonts w:hint="eastAsia" w:ascii="Times New Roman"/>
          <w:color w:val="000000"/>
          <w:szCs w:val="30"/>
        </w:rPr>
        <w:t>食堂油烟执行《饮食业油烟排放标准》（试行）（GB18483-2001）表2饮食业单位的油烟最高允许排放浓度和油烟净化设施最低去除效率</w:t>
      </w:r>
      <w:r>
        <w:rPr>
          <w:rFonts w:hint="eastAsia" w:ascii="Times New Roman"/>
          <w:color w:val="000000"/>
          <w:szCs w:val="30"/>
          <w:lang w:val="en-US" w:eastAsia="zh-CN"/>
        </w:rPr>
        <w:t>大</w:t>
      </w:r>
      <w:r>
        <w:rPr>
          <w:rFonts w:hint="eastAsia" w:ascii="Times New Roman"/>
          <w:color w:val="000000"/>
          <w:szCs w:val="30"/>
        </w:rPr>
        <w:t>型标准要求。</w:t>
      </w:r>
    </w:p>
    <w:p w14:paraId="500ACD63">
      <w:pPr>
        <w:pStyle w:val="206"/>
        <w:spacing w:line="360" w:lineRule="auto"/>
        <w:rPr>
          <w:rFonts w:hint="eastAsia"/>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w:t>
      </w:r>
      <w:r>
        <w:rPr>
          <w:snapToGrid w:val="0"/>
          <w:color w:val="000000" w:themeColor="text1"/>
          <w:lang w:val="en-US"/>
          <w14:textFill>
            <w14:solidFill>
              <w14:schemeClr w14:val="tx1"/>
            </w14:solidFill>
          </w14:textFill>
        </w:rPr>
        <w:t>2-8-</w:t>
      </w:r>
      <w:r>
        <w:rPr>
          <w:rFonts w:hint="eastAsia"/>
          <w:snapToGrid w:val="0"/>
          <w:color w:val="000000" w:themeColor="text1"/>
          <w:lang w:val="en-US" w:eastAsia="zh-CN"/>
          <w14:textFill>
            <w14:solidFill>
              <w14:schemeClr w14:val="tx1"/>
            </w14:solidFill>
          </w14:textFill>
        </w:rPr>
        <w:t>5</w:t>
      </w:r>
      <w:r>
        <w:rPr>
          <w:snapToGrid w:val="0"/>
          <w:color w:val="000000" w:themeColor="text1"/>
          <w:lang w:val="en-US"/>
          <w14:textFill>
            <w14:solidFill>
              <w14:schemeClr w14:val="tx1"/>
            </w14:solidFill>
          </w14:textFill>
        </w:rPr>
        <w:t xml:space="preserve"> </w:t>
      </w:r>
      <w:r>
        <w:rPr>
          <w:rFonts w:hint="eastAsia" w:ascii="Times New Roman"/>
          <w:color w:val="000000"/>
          <w:szCs w:val="30"/>
        </w:rPr>
        <w:t>《饮食业油烟排放标准》（试行）（GB18483-2001）</w:t>
      </w:r>
      <w:r>
        <w:rPr>
          <w:rFonts w:hint="eastAsia"/>
          <w:snapToGrid w:val="0"/>
          <w:color w:val="000000" w:themeColor="text1"/>
          <w14:textFill>
            <w14:solidFill>
              <w14:schemeClr w14:val="tx1"/>
            </w14:solidFill>
          </w14:textFill>
        </w:rPr>
        <w:t>表2标准</w:t>
      </w:r>
    </w:p>
    <w:tbl>
      <w:tblPr>
        <w:tblStyle w:val="49"/>
        <w:tblW w:w="852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3057"/>
        <w:gridCol w:w="1168"/>
        <w:gridCol w:w="2662"/>
        <w:gridCol w:w="1642"/>
      </w:tblGrid>
      <w:tr w14:paraId="172FA8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17" w:hRule="atLeast"/>
          <w:jc w:val="center"/>
        </w:trPr>
        <w:tc>
          <w:tcPr>
            <w:tcW w:w="3057" w:type="dxa"/>
            <w:vMerge w:val="restart"/>
            <w:noWrap w:val="0"/>
            <w:vAlign w:val="center"/>
          </w:tcPr>
          <w:p w14:paraId="186CF517">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《饮食业油烟排放标准》（试行）（GB18483-2001）</w:t>
            </w:r>
          </w:p>
        </w:tc>
        <w:tc>
          <w:tcPr>
            <w:tcW w:w="1168" w:type="dxa"/>
            <w:noWrap w:val="0"/>
            <w:vAlign w:val="center"/>
          </w:tcPr>
          <w:p w14:paraId="418F433E">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油烟</w:t>
            </w:r>
          </w:p>
        </w:tc>
        <w:tc>
          <w:tcPr>
            <w:tcW w:w="2662" w:type="dxa"/>
            <w:noWrap w:val="0"/>
            <w:vAlign w:val="center"/>
          </w:tcPr>
          <w:p w14:paraId="567DEAC5">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mg/m</w:t>
            </w:r>
            <w:r>
              <w:rPr>
                <w:rFonts w:hint="eastAsia"/>
                <w:snapToGrid w:val="0"/>
                <w:color w:val="000000" w:themeColor="text1"/>
                <w:kern w:val="0"/>
                <w:vertAlign w:val="superscript"/>
                <w14:textFill>
                  <w14:solidFill>
                    <w14:schemeClr w14:val="tx1"/>
                  </w14:solidFill>
                </w14:textFill>
              </w:rPr>
              <w:t>3</w:t>
            </w:r>
          </w:p>
        </w:tc>
        <w:tc>
          <w:tcPr>
            <w:tcW w:w="1642" w:type="dxa"/>
            <w:noWrap w:val="0"/>
            <w:vAlign w:val="center"/>
          </w:tcPr>
          <w:p w14:paraId="01D5149A">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2.0</w:t>
            </w:r>
          </w:p>
        </w:tc>
      </w:tr>
      <w:tr w14:paraId="6E167A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17" w:hRule="atLeast"/>
          <w:jc w:val="center"/>
        </w:trPr>
        <w:tc>
          <w:tcPr>
            <w:tcW w:w="3057" w:type="dxa"/>
            <w:vMerge w:val="continue"/>
            <w:noWrap w:val="0"/>
            <w:vAlign w:val="center"/>
          </w:tcPr>
          <w:p w14:paraId="6FB46B81">
            <w:pPr>
              <w:pStyle w:val="143"/>
              <w:rPr>
                <w:rFonts w:hint="eastAsia"/>
                <w:snapToGrid w:val="0"/>
                <w:color w:val="000000" w:themeColor="text1"/>
                <w:kern w:val="0"/>
                <w14:textFill>
                  <w14:solidFill>
                    <w14:schemeClr w14:val="tx1"/>
                  </w14:solidFill>
                </w14:textFill>
              </w:rPr>
            </w:pPr>
          </w:p>
        </w:tc>
        <w:tc>
          <w:tcPr>
            <w:tcW w:w="1168" w:type="dxa"/>
            <w:noWrap w:val="0"/>
            <w:vAlign w:val="center"/>
          </w:tcPr>
          <w:p w14:paraId="3B0B83B5">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净化设施最低去除效率（%）</w:t>
            </w:r>
          </w:p>
        </w:tc>
        <w:tc>
          <w:tcPr>
            <w:tcW w:w="2662" w:type="dxa"/>
            <w:noWrap w:val="0"/>
            <w:vAlign w:val="center"/>
          </w:tcPr>
          <w:p w14:paraId="43304E27">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w:t>
            </w:r>
          </w:p>
        </w:tc>
        <w:tc>
          <w:tcPr>
            <w:tcW w:w="1642" w:type="dxa"/>
            <w:noWrap w:val="0"/>
            <w:vAlign w:val="center"/>
          </w:tcPr>
          <w:p w14:paraId="17AA2D75">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85</w:t>
            </w:r>
          </w:p>
        </w:tc>
      </w:tr>
    </w:tbl>
    <w:p w14:paraId="67444B41">
      <w:pPr>
        <w:pStyle w:val="7"/>
        <w:rPr>
          <w:color w:val="000000" w:themeColor="text1"/>
          <w14:textFill>
            <w14:solidFill>
              <w14:schemeClr w14:val="tx1"/>
            </w14:solidFill>
          </w14:textFill>
        </w:rPr>
      </w:pPr>
      <w:r>
        <w:rPr>
          <w:color w:val="000000" w:themeColor="text1"/>
          <w14:textFill>
            <w14:solidFill>
              <w14:schemeClr w14:val="tx1"/>
            </w14:solidFill>
          </w14:textFill>
        </w:rPr>
        <w:t>2.8.3.2</w:t>
      </w:r>
      <w:r>
        <w:rPr>
          <w:rFonts w:hint="eastAsia"/>
          <w:color w:val="000000" w:themeColor="text1"/>
          <w14:textFill>
            <w14:solidFill>
              <w14:schemeClr w14:val="tx1"/>
            </w14:solidFill>
          </w14:textFill>
        </w:rPr>
        <w:t>废水执行标准</w:t>
      </w:r>
    </w:p>
    <w:p w14:paraId="203B84FF">
      <w:pPr>
        <w:pStyle w:val="85"/>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本项目废水由新建</w:t>
      </w:r>
      <w:r>
        <w:rPr>
          <w:rFonts w:hint="eastAsia"/>
          <w:snapToGrid w:val="0"/>
          <w:color w:val="000000" w:themeColor="text1"/>
          <w14:textFill>
            <w14:solidFill>
              <w14:schemeClr w14:val="tx1"/>
            </w14:solidFill>
          </w14:textFill>
        </w:rPr>
        <w:t>的处理能力为</w:t>
      </w:r>
      <w:r>
        <w:rPr>
          <w:rFonts w:hint="eastAsia"/>
          <w:snapToGrid w:val="0"/>
          <w:color w:val="000000" w:themeColor="text1"/>
          <w:lang w:val="en-US" w:eastAsia="zh-CN"/>
          <w14:textFill>
            <w14:solidFill>
              <w14:schemeClr w14:val="tx1"/>
            </w14:solidFill>
          </w14:textFill>
        </w:rPr>
        <w:t>2</w:t>
      </w:r>
      <w:r>
        <w:rPr>
          <w:snapToGrid w:val="0"/>
          <w:color w:val="000000" w:themeColor="text1"/>
          <w14:textFill>
            <w14:solidFill>
              <w14:schemeClr w14:val="tx1"/>
            </w14:solidFill>
          </w14:textFill>
        </w:rPr>
        <w:t>00m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/d</w:t>
      </w:r>
      <w:r>
        <w:rPr>
          <w:rFonts w:hint="eastAsia"/>
          <w:snapToGrid w:val="0"/>
          <w:color w:val="000000" w:themeColor="text1"/>
          <w14:textFill>
            <w14:solidFill>
              <w14:schemeClr w14:val="tx1"/>
            </w14:solidFill>
          </w14:textFill>
        </w:rPr>
        <w:t>的</w:t>
      </w:r>
      <w:r>
        <w:rPr>
          <w:snapToGrid w:val="0"/>
          <w:color w:val="000000" w:themeColor="text1"/>
          <w14:textFill>
            <w14:solidFill>
              <w14:schemeClr w14:val="tx1"/>
            </w14:solidFill>
          </w14:textFill>
        </w:rPr>
        <w:t>污水处理站处理满足《</w:t>
      </w:r>
      <w:r>
        <w:rPr>
          <w:rFonts w:hint="eastAsia"/>
          <w:snapToGrid w:val="0"/>
          <w:color w:val="000000" w:themeColor="text1"/>
          <w:lang w:eastAsia="zh-CN"/>
          <w14:textFill>
            <w14:solidFill>
              <w14:schemeClr w14:val="tx1"/>
            </w14:solidFill>
          </w14:textFill>
        </w:rPr>
        <w:t>酒类制造业水污染物排放标准</w:t>
      </w:r>
      <w:r>
        <w:rPr>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GB19821-2025</w:t>
      </w:r>
      <w:r>
        <w:rPr>
          <w:snapToGrid w:val="0"/>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snapToGrid w:val="0"/>
          <w:color w:val="000000" w:themeColor="text1"/>
          <w14:textFill>
            <w14:solidFill>
              <w14:schemeClr w14:val="tx1"/>
            </w14:solidFill>
          </w14:textFill>
        </w:rPr>
        <w:t>及</w:t>
      </w:r>
      <w:r>
        <w:rPr>
          <w:rFonts w:hint="eastAsia"/>
          <w:snapToGrid w:val="0"/>
          <w:color w:val="000000" w:themeColor="text1"/>
          <w:lang w:eastAsia="zh-CN"/>
          <w14:textFill>
            <w14:solidFill>
              <w14:schemeClr w14:val="tx1"/>
            </w14:solidFill>
          </w14:textFill>
        </w:rPr>
        <w:t>桦南县城镇污水处理厂</w:t>
      </w:r>
      <w:r>
        <w:rPr>
          <w:snapToGrid w:val="0"/>
          <w:color w:val="000000" w:themeColor="text1"/>
          <w14:textFill>
            <w14:solidFill>
              <w14:schemeClr w14:val="tx1"/>
            </w14:solidFill>
          </w14:textFill>
        </w:rPr>
        <w:t>进水指标后进入市政污水管网，排入</w:t>
      </w:r>
      <w:r>
        <w:rPr>
          <w:rFonts w:hint="eastAsia"/>
          <w:snapToGrid w:val="0"/>
          <w:color w:val="000000" w:themeColor="text1"/>
          <w:lang w:eastAsia="zh-CN"/>
          <w14:textFill>
            <w14:solidFill>
              <w14:schemeClr w14:val="tx1"/>
            </w14:solidFill>
          </w14:textFill>
        </w:rPr>
        <w:t>桦南县城镇污水处理厂</w:t>
      </w:r>
      <w:r>
        <w:rPr>
          <w:snapToGrid w:val="0"/>
          <w:color w:val="000000" w:themeColor="text1"/>
          <w14:textFill>
            <w14:solidFill>
              <w14:schemeClr w14:val="tx1"/>
            </w14:solidFill>
          </w14:textFill>
        </w:rPr>
        <w:t>统一处理，废水</w:t>
      </w:r>
      <w:r>
        <w:rPr>
          <w:rFonts w:hint="eastAsia"/>
          <w:snapToGrid w:val="0"/>
          <w:color w:val="000000" w:themeColor="text1"/>
          <w14:textFill>
            <w14:solidFill>
              <w14:schemeClr w14:val="tx1"/>
            </w14:solidFill>
          </w14:textFill>
        </w:rPr>
        <w:t>达到《城镇污水处理厂污染物排放标准》（GB 18918-2002）及修改单中的一级A标准</w:t>
      </w:r>
      <w:r>
        <w:rPr>
          <w:rFonts w:hint="default" w:eastAsia="宋体"/>
          <w:lang w:val="en-US" w:eastAsia="zh-CN"/>
        </w:rPr>
        <w:t>要求排入八虎力河，最终汇入倭肯河</w:t>
      </w:r>
      <w:r>
        <w:rPr>
          <w:rFonts w:hint="eastAsia"/>
          <w:lang w:val="en-US" w:eastAsia="zh-CN"/>
        </w:rPr>
        <w:t>。</w:t>
      </w:r>
    </w:p>
    <w:p w14:paraId="43252184">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酒类制造业水污染物排放标准</w:t>
      </w:r>
      <w:r>
        <w:rPr>
          <w:rFonts w:hint="eastAsia"/>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GB19821-2025</w:t>
      </w:r>
      <w:r>
        <w:rPr>
          <w:rFonts w:hint="eastAsia"/>
          <w:snapToGrid w:val="0"/>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rFonts w:hint="eastAsia"/>
          <w:snapToGrid w:val="0"/>
          <w:color w:val="000000" w:themeColor="text1"/>
          <w14:textFill>
            <w14:solidFill>
              <w14:schemeClr w14:val="tx1"/>
            </w14:solidFill>
          </w14:textFill>
        </w:rPr>
        <w:t>以及</w:t>
      </w:r>
      <w:r>
        <w:rPr>
          <w:rFonts w:hint="eastAsia"/>
          <w:snapToGrid w:val="0"/>
          <w:color w:val="000000" w:themeColor="text1"/>
          <w:lang w:eastAsia="zh-CN"/>
          <w14:textFill>
            <w14:solidFill>
              <w14:schemeClr w14:val="tx1"/>
            </w14:solidFill>
          </w14:textFill>
        </w:rPr>
        <w:t>桦南县城镇污水处理厂</w:t>
      </w:r>
      <w:r>
        <w:rPr>
          <w:rFonts w:hint="eastAsia"/>
          <w:snapToGrid w:val="0"/>
          <w:color w:val="000000" w:themeColor="text1"/>
          <w14:textFill>
            <w14:solidFill>
              <w14:schemeClr w14:val="tx1"/>
            </w14:solidFill>
          </w14:textFill>
        </w:rPr>
        <w:t>进水指标详见下表。</w:t>
      </w:r>
    </w:p>
    <w:p w14:paraId="5883D485">
      <w:pPr>
        <w:pStyle w:val="206"/>
        <w:rPr>
          <w:b/>
          <w:bCs/>
          <w:snapToGrid w:val="0"/>
          <w:color w:val="000000" w:themeColor="text1"/>
          <w14:textFill>
            <w14:solidFill>
              <w14:schemeClr w14:val="tx1"/>
            </w14:solidFill>
          </w14:textFill>
        </w:rPr>
      </w:pPr>
      <w:bookmarkStart w:id="82" w:name="_Hlk523067671"/>
      <w:r>
        <w:rPr>
          <w:snapToGrid w:val="0"/>
          <w:color w:val="000000" w:themeColor="text1"/>
          <w14:textFill>
            <w14:solidFill>
              <w14:schemeClr w14:val="tx1"/>
            </w14:solidFill>
          </w14:textFill>
        </w:rPr>
        <w:t>表2-8-</w:t>
      </w:r>
      <w:r>
        <w:rPr>
          <w:rFonts w:hint="eastAsia"/>
          <w:snapToGrid w:val="0"/>
          <w:color w:val="000000" w:themeColor="text1"/>
          <w:lang w:val="en-US" w:eastAsia="zh-CN"/>
          <w14:textFill>
            <w14:solidFill>
              <w14:schemeClr w14:val="tx1"/>
            </w14:solidFill>
          </w14:textFill>
        </w:rPr>
        <w:t>6</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废水污染物排放标准一览表</w:t>
      </w:r>
    </w:p>
    <w:bookmarkEnd w:id="82"/>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3465"/>
        <w:gridCol w:w="1407"/>
        <w:gridCol w:w="2419"/>
      </w:tblGrid>
      <w:tr w14:paraId="711060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4"/>
            <w:vAlign w:val="center"/>
          </w:tcPr>
          <w:p w14:paraId="14F86EBA">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桦南县城镇污水处理厂</w:t>
            </w:r>
            <w:r>
              <w:rPr>
                <w:rFonts w:hint="eastAsia"/>
                <w:snapToGrid w:val="0"/>
                <w:color w:val="000000" w:themeColor="text1"/>
                <w:kern w:val="0"/>
                <w14:textFill>
                  <w14:solidFill>
                    <w14:schemeClr w14:val="tx1"/>
                  </w14:solidFill>
                </w14:textFill>
              </w:rPr>
              <w:t>进水指标</w:t>
            </w:r>
          </w:p>
        </w:tc>
      </w:tr>
      <w:tr w14:paraId="6679C7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02280CD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序号</w:t>
            </w:r>
          </w:p>
        </w:tc>
        <w:tc>
          <w:tcPr>
            <w:tcW w:w="2086" w:type="pct"/>
            <w:vAlign w:val="center"/>
          </w:tcPr>
          <w:p w14:paraId="55809E5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w:t>
            </w:r>
          </w:p>
        </w:tc>
        <w:tc>
          <w:tcPr>
            <w:tcW w:w="847" w:type="pct"/>
            <w:vAlign w:val="center"/>
          </w:tcPr>
          <w:p w14:paraId="424674F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单位</w:t>
            </w:r>
          </w:p>
        </w:tc>
        <w:tc>
          <w:tcPr>
            <w:tcW w:w="1456" w:type="pct"/>
            <w:vAlign w:val="center"/>
          </w:tcPr>
          <w:p w14:paraId="240171D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进水指标</w:t>
            </w:r>
          </w:p>
        </w:tc>
      </w:tr>
      <w:tr w14:paraId="4E4DC5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1C64A18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2086" w:type="pct"/>
            <w:vAlign w:val="center"/>
          </w:tcPr>
          <w:p w14:paraId="5B964C2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化学需氧量（COD）</w:t>
            </w:r>
          </w:p>
        </w:tc>
        <w:tc>
          <w:tcPr>
            <w:tcW w:w="847" w:type="pct"/>
            <w:vAlign w:val="center"/>
          </w:tcPr>
          <w:p w14:paraId="2FF45B4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4C5E3D82">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350</w:t>
            </w:r>
          </w:p>
        </w:tc>
      </w:tr>
      <w:tr w14:paraId="3F47FB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189FB4A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w:t>
            </w:r>
          </w:p>
        </w:tc>
        <w:tc>
          <w:tcPr>
            <w:tcW w:w="2086" w:type="pct"/>
            <w:vAlign w:val="center"/>
          </w:tcPr>
          <w:p w14:paraId="41E1E74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生化需氧量（BOD</w:t>
            </w:r>
            <w:r>
              <w:rPr>
                <w:snapToGrid w:val="0"/>
                <w:color w:val="000000" w:themeColor="text1"/>
                <w:kern w:val="0"/>
                <w:vertAlign w:val="subscript"/>
                <w14:textFill>
                  <w14:solidFill>
                    <w14:schemeClr w14:val="tx1"/>
                  </w14:solidFill>
                </w14:textFill>
              </w:rPr>
              <w:t>5</w:t>
            </w:r>
            <w:r>
              <w:rPr>
                <w:snapToGrid w:val="0"/>
                <w:color w:val="000000" w:themeColor="text1"/>
                <w:kern w:val="0"/>
                <w14:textFill>
                  <w14:solidFill>
                    <w14:schemeClr w14:val="tx1"/>
                  </w14:solidFill>
                </w14:textFill>
              </w:rPr>
              <w:t>）</w:t>
            </w:r>
          </w:p>
        </w:tc>
        <w:tc>
          <w:tcPr>
            <w:tcW w:w="847" w:type="pct"/>
            <w:vAlign w:val="center"/>
          </w:tcPr>
          <w:p w14:paraId="127321C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65E3C0F5">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200</w:t>
            </w:r>
          </w:p>
        </w:tc>
      </w:tr>
      <w:tr w14:paraId="50C9B9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4793B9D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w:t>
            </w:r>
          </w:p>
        </w:tc>
        <w:tc>
          <w:tcPr>
            <w:tcW w:w="2086" w:type="pct"/>
            <w:vAlign w:val="center"/>
          </w:tcPr>
          <w:p w14:paraId="55BE079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氨氮（NH</w:t>
            </w:r>
            <w:r>
              <w:rPr>
                <w:snapToGrid w:val="0"/>
                <w:color w:val="000000" w:themeColor="text1"/>
                <w:kern w:val="0"/>
                <w:vertAlign w:val="subscript"/>
                <w14:textFill>
                  <w14:solidFill>
                    <w14:schemeClr w14:val="tx1"/>
                  </w14:solidFill>
                </w14:textFill>
              </w:rPr>
              <w:t>3</w:t>
            </w:r>
            <w:r>
              <w:rPr>
                <w:snapToGrid w:val="0"/>
                <w:color w:val="000000" w:themeColor="text1"/>
                <w:kern w:val="0"/>
                <w14:textFill>
                  <w14:solidFill>
                    <w14:schemeClr w14:val="tx1"/>
                  </w14:solidFill>
                </w14:textFill>
              </w:rPr>
              <w:t>-N）</w:t>
            </w:r>
          </w:p>
        </w:tc>
        <w:tc>
          <w:tcPr>
            <w:tcW w:w="847" w:type="pct"/>
            <w:vAlign w:val="center"/>
          </w:tcPr>
          <w:p w14:paraId="76372DE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3DE8301C">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25</w:t>
            </w:r>
          </w:p>
        </w:tc>
      </w:tr>
      <w:tr w14:paraId="21D188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65DD968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w:t>
            </w:r>
          </w:p>
        </w:tc>
        <w:tc>
          <w:tcPr>
            <w:tcW w:w="2086" w:type="pct"/>
            <w:vAlign w:val="center"/>
          </w:tcPr>
          <w:p w14:paraId="00E5642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悬浮物（SS）</w:t>
            </w:r>
          </w:p>
        </w:tc>
        <w:tc>
          <w:tcPr>
            <w:tcW w:w="847" w:type="pct"/>
            <w:vAlign w:val="center"/>
          </w:tcPr>
          <w:p w14:paraId="7B40309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689402F1">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300</w:t>
            </w:r>
          </w:p>
        </w:tc>
      </w:tr>
      <w:tr w14:paraId="49331D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39E87C45">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5</w:t>
            </w:r>
          </w:p>
        </w:tc>
        <w:tc>
          <w:tcPr>
            <w:tcW w:w="2086" w:type="pct"/>
            <w:vAlign w:val="center"/>
          </w:tcPr>
          <w:p w14:paraId="26F43677">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总磷</w:t>
            </w:r>
          </w:p>
        </w:tc>
        <w:tc>
          <w:tcPr>
            <w:tcW w:w="847" w:type="pct"/>
            <w:vAlign w:val="center"/>
          </w:tcPr>
          <w:p w14:paraId="01DA2D1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2A00146F">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30</w:t>
            </w:r>
          </w:p>
        </w:tc>
      </w:tr>
      <w:tr w14:paraId="3732E4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3E5C755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6</w:t>
            </w:r>
          </w:p>
        </w:tc>
        <w:tc>
          <w:tcPr>
            <w:tcW w:w="2086" w:type="pct"/>
            <w:vAlign w:val="center"/>
          </w:tcPr>
          <w:p w14:paraId="7C0EFF9E">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总氮</w:t>
            </w:r>
          </w:p>
        </w:tc>
        <w:tc>
          <w:tcPr>
            <w:tcW w:w="847" w:type="pct"/>
            <w:vAlign w:val="center"/>
          </w:tcPr>
          <w:p w14:paraId="66714F4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23FA3806">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4</w:t>
            </w:r>
            <w:r>
              <w:rPr>
                <w:snapToGrid w:val="0"/>
                <w:color w:val="000000" w:themeColor="text1"/>
                <w:kern w:val="0"/>
                <w:lang w:eastAsia="zh-CN"/>
                <w14:textFill>
                  <w14:solidFill>
                    <w14:schemeClr w14:val="tx1"/>
                  </w14:solidFill>
                </w14:textFill>
              </w:rPr>
              <w:t>0</w:t>
            </w:r>
          </w:p>
        </w:tc>
      </w:tr>
      <w:tr w14:paraId="27B69C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6FFC31D8">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7</w:t>
            </w:r>
          </w:p>
        </w:tc>
        <w:tc>
          <w:tcPr>
            <w:tcW w:w="2086" w:type="pct"/>
            <w:vAlign w:val="center"/>
          </w:tcPr>
          <w:p w14:paraId="4658F6D0">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动植物油</w:t>
            </w:r>
          </w:p>
        </w:tc>
        <w:tc>
          <w:tcPr>
            <w:tcW w:w="847" w:type="pct"/>
            <w:vAlign w:val="center"/>
          </w:tcPr>
          <w:p w14:paraId="7054CE3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7262AF8D">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1A954D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4"/>
            <w:vAlign w:val="center"/>
          </w:tcPr>
          <w:p w14:paraId="09519A33">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《酒类制造业水污染物排放标准》（GB19821-2025）</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p>
        </w:tc>
      </w:tr>
      <w:tr w14:paraId="0468E8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28BBD596">
            <w:pPr>
              <w:pStyle w:val="143"/>
              <w:rPr>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1</w:t>
            </w:r>
          </w:p>
        </w:tc>
        <w:tc>
          <w:tcPr>
            <w:tcW w:w="2086" w:type="pct"/>
            <w:vAlign w:val="center"/>
          </w:tcPr>
          <w:p w14:paraId="48FDA765">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pH值</w:t>
            </w:r>
          </w:p>
        </w:tc>
        <w:tc>
          <w:tcPr>
            <w:tcW w:w="847" w:type="pct"/>
            <w:vAlign w:val="center"/>
          </w:tcPr>
          <w:p w14:paraId="460BA79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456" w:type="pct"/>
            <w:vAlign w:val="center"/>
          </w:tcPr>
          <w:p w14:paraId="4829BDF3">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6</w:t>
            </w:r>
            <w:r>
              <w:rPr>
                <w:snapToGrid w:val="0"/>
                <w:color w:val="000000" w:themeColor="text1"/>
                <w:kern w:val="0"/>
                <w:lang w:eastAsia="zh-CN"/>
                <w14:textFill>
                  <w14:solidFill>
                    <w14:schemeClr w14:val="tx1"/>
                  </w14:solidFill>
                </w14:textFill>
              </w:rPr>
              <w:t>~9</w:t>
            </w:r>
          </w:p>
        </w:tc>
      </w:tr>
      <w:tr w14:paraId="4B1E68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64259ECE">
            <w:pPr>
              <w:pStyle w:val="143"/>
              <w:rPr>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2</w:t>
            </w:r>
          </w:p>
        </w:tc>
        <w:tc>
          <w:tcPr>
            <w:tcW w:w="2086" w:type="pct"/>
            <w:vAlign w:val="center"/>
          </w:tcPr>
          <w:p w14:paraId="124A34C8">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化学需氧量</w:t>
            </w:r>
          </w:p>
        </w:tc>
        <w:tc>
          <w:tcPr>
            <w:tcW w:w="847" w:type="pct"/>
            <w:vAlign w:val="top"/>
          </w:tcPr>
          <w:p w14:paraId="43D79E5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41E3617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5</w:t>
            </w:r>
            <w:r>
              <w:rPr>
                <w:snapToGrid w:val="0"/>
                <w:color w:val="000000" w:themeColor="text1"/>
                <w:kern w:val="0"/>
                <w:lang w:eastAsia="zh-CN"/>
                <w14:textFill>
                  <w14:solidFill>
                    <w14:schemeClr w14:val="tx1"/>
                  </w14:solidFill>
                </w14:textFill>
              </w:rPr>
              <w:t>00</w:t>
            </w:r>
          </w:p>
        </w:tc>
      </w:tr>
      <w:tr w14:paraId="515B47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6511AAAF">
            <w:pPr>
              <w:pStyle w:val="143"/>
              <w:rPr>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3</w:t>
            </w:r>
          </w:p>
        </w:tc>
        <w:tc>
          <w:tcPr>
            <w:tcW w:w="2086" w:type="pct"/>
            <w:vAlign w:val="center"/>
          </w:tcPr>
          <w:p w14:paraId="71CDDBB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生化需氧量</w:t>
            </w:r>
          </w:p>
        </w:tc>
        <w:tc>
          <w:tcPr>
            <w:tcW w:w="847" w:type="pct"/>
            <w:vAlign w:val="top"/>
          </w:tcPr>
          <w:p w14:paraId="01728A5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22311E11">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350</w:t>
            </w:r>
          </w:p>
        </w:tc>
      </w:tr>
      <w:tr w14:paraId="082B6B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4182B2B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w:t>
            </w:r>
          </w:p>
        </w:tc>
        <w:tc>
          <w:tcPr>
            <w:tcW w:w="2086" w:type="pct"/>
            <w:vAlign w:val="center"/>
          </w:tcPr>
          <w:p w14:paraId="4E0F30C2">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悬浮物</w:t>
            </w:r>
          </w:p>
        </w:tc>
        <w:tc>
          <w:tcPr>
            <w:tcW w:w="847" w:type="pct"/>
            <w:vAlign w:val="top"/>
          </w:tcPr>
          <w:p w14:paraId="37CE5C3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02B5813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4</w:t>
            </w:r>
            <w:r>
              <w:rPr>
                <w:snapToGrid w:val="0"/>
                <w:color w:val="000000" w:themeColor="text1"/>
                <w:kern w:val="0"/>
                <w:lang w:eastAsia="zh-CN"/>
                <w14:textFill>
                  <w14:solidFill>
                    <w14:schemeClr w14:val="tx1"/>
                  </w14:solidFill>
                </w14:textFill>
              </w:rPr>
              <w:t>00</w:t>
            </w:r>
          </w:p>
        </w:tc>
      </w:tr>
      <w:tr w14:paraId="470DC0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01A0A810">
            <w:pPr>
              <w:pStyle w:val="143"/>
              <w:rPr>
                <w:snapToGrid w:val="0"/>
                <w:color w:val="000000" w:themeColor="text1"/>
                <w:kern w:val="0"/>
                <w14:textFill>
                  <w14:solidFill>
                    <w14:schemeClr w14:val="tx1"/>
                  </w14:solidFill>
                </w14:textFill>
              </w:rPr>
            </w:pPr>
            <w:r>
              <w:rPr>
                <w:snapToGrid w:val="0"/>
                <w:color w:val="000000" w:themeColor="text1"/>
                <w:kern w:val="0"/>
                <w:lang w:eastAsia="zh-CN"/>
                <w14:textFill>
                  <w14:solidFill>
                    <w14:schemeClr w14:val="tx1"/>
                  </w14:solidFill>
                </w14:textFill>
              </w:rPr>
              <w:t>5</w:t>
            </w:r>
          </w:p>
        </w:tc>
        <w:tc>
          <w:tcPr>
            <w:tcW w:w="2086" w:type="pct"/>
            <w:vAlign w:val="center"/>
          </w:tcPr>
          <w:p w14:paraId="0B5C0D66">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氨氮</w:t>
            </w:r>
          </w:p>
        </w:tc>
        <w:tc>
          <w:tcPr>
            <w:tcW w:w="847" w:type="pct"/>
            <w:vAlign w:val="top"/>
          </w:tcPr>
          <w:p w14:paraId="657AB7E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2FED8B82">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45</w:t>
            </w:r>
          </w:p>
        </w:tc>
      </w:tr>
      <w:tr w14:paraId="3CF1DC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759963DB">
            <w:pPr>
              <w:pStyle w:val="143"/>
              <w:rPr>
                <w:snapToGrid w:val="0"/>
                <w:color w:val="000000" w:themeColor="text1"/>
                <w:kern w:val="0"/>
                <w:lang w:eastAsia="zh-CN"/>
                <w14:textFill>
                  <w14:solidFill>
                    <w14:schemeClr w14:val="tx1"/>
                  </w14:solidFill>
                </w14:textFill>
              </w:rPr>
            </w:pPr>
            <w:r>
              <w:rPr>
                <w:snapToGrid w:val="0"/>
                <w:color w:val="000000" w:themeColor="text1"/>
                <w:kern w:val="0"/>
                <w:lang w:eastAsia="zh-CN"/>
                <w14:textFill>
                  <w14:solidFill>
                    <w14:schemeClr w14:val="tx1"/>
                  </w14:solidFill>
                </w14:textFill>
              </w:rPr>
              <w:t>6</w:t>
            </w:r>
          </w:p>
        </w:tc>
        <w:tc>
          <w:tcPr>
            <w:tcW w:w="2086" w:type="pct"/>
            <w:vAlign w:val="center"/>
          </w:tcPr>
          <w:p w14:paraId="1898D1FB">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总磷</w:t>
            </w:r>
          </w:p>
        </w:tc>
        <w:tc>
          <w:tcPr>
            <w:tcW w:w="847" w:type="pct"/>
            <w:vAlign w:val="top"/>
          </w:tcPr>
          <w:p w14:paraId="39BC42C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0659C547">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8</w:t>
            </w:r>
          </w:p>
        </w:tc>
      </w:tr>
      <w:tr w14:paraId="564100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54B4DD3B">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7</w:t>
            </w:r>
          </w:p>
        </w:tc>
        <w:tc>
          <w:tcPr>
            <w:tcW w:w="2086" w:type="pct"/>
            <w:vAlign w:val="center"/>
          </w:tcPr>
          <w:p w14:paraId="4B81740A">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总氮</w:t>
            </w:r>
          </w:p>
        </w:tc>
        <w:tc>
          <w:tcPr>
            <w:tcW w:w="847" w:type="pct"/>
            <w:vAlign w:val="top"/>
          </w:tcPr>
          <w:p w14:paraId="33DB5F2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mg/L</w:t>
            </w:r>
          </w:p>
        </w:tc>
        <w:tc>
          <w:tcPr>
            <w:tcW w:w="1456" w:type="pct"/>
            <w:vAlign w:val="center"/>
          </w:tcPr>
          <w:p w14:paraId="2C5545A5">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70</w:t>
            </w:r>
          </w:p>
        </w:tc>
      </w:tr>
      <w:tr w14:paraId="25D17A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11" w:type="pct"/>
            <w:vAlign w:val="center"/>
          </w:tcPr>
          <w:p w14:paraId="23394BD2">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8</w:t>
            </w:r>
          </w:p>
        </w:tc>
        <w:tc>
          <w:tcPr>
            <w:tcW w:w="2086" w:type="pct"/>
            <w:vAlign w:val="center"/>
          </w:tcPr>
          <w:p w14:paraId="3E49BC81">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单位产品基准排水量</w:t>
            </w:r>
          </w:p>
        </w:tc>
        <w:tc>
          <w:tcPr>
            <w:tcW w:w="847" w:type="pct"/>
            <w:vAlign w:val="top"/>
          </w:tcPr>
          <w:p w14:paraId="06C9C4DE">
            <w:pPr>
              <w:pStyle w:val="143"/>
              <w:jc w:val="center"/>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m</w:t>
            </w:r>
            <w:r>
              <w:rPr>
                <w:rFonts w:hint="eastAsia"/>
                <w:snapToGrid w:val="0"/>
                <w:color w:val="000000" w:themeColor="text1"/>
                <w:kern w:val="0"/>
                <w:vertAlign w:val="superscript"/>
                <w:lang w:val="en-US" w:eastAsia="zh-CN"/>
                <w14:textFill>
                  <w14:solidFill>
                    <w14:schemeClr w14:val="tx1"/>
                  </w14:solidFill>
                </w14:textFill>
              </w:rPr>
              <w:t>3</w:t>
            </w:r>
            <w:r>
              <w:rPr>
                <w:rFonts w:hint="eastAsia"/>
                <w:snapToGrid w:val="0"/>
                <w:color w:val="000000" w:themeColor="text1"/>
                <w:kern w:val="0"/>
                <w:lang w:val="en-US" w:eastAsia="zh-CN"/>
                <w14:textFill>
                  <w14:solidFill>
                    <w14:schemeClr w14:val="tx1"/>
                  </w14:solidFill>
                </w14:textFill>
              </w:rPr>
              <w:t>/kL</w:t>
            </w:r>
          </w:p>
        </w:tc>
        <w:tc>
          <w:tcPr>
            <w:tcW w:w="1456" w:type="pct"/>
            <w:vAlign w:val="center"/>
          </w:tcPr>
          <w:p w14:paraId="7205B9C1">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4.0</w:t>
            </w:r>
          </w:p>
        </w:tc>
      </w:tr>
    </w:tbl>
    <w:p w14:paraId="5B1CB023">
      <w:pPr>
        <w:pStyle w:val="7"/>
        <w:rPr>
          <w:color w:val="000000" w:themeColor="text1"/>
          <w14:textFill>
            <w14:solidFill>
              <w14:schemeClr w14:val="tx1"/>
            </w14:solidFill>
          </w14:textFill>
        </w:rPr>
      </w:pPr>
      <w:r>
        <w:rPr>
          <w:color w:val="000000" w:themeColor="text1"/>
          <w14:textFill>
            <w14:solidFill>
              <w14:schemeClr w14:val="tx1"/>
            </w14:solidFill>
          </w14:textFill>
        </w:rPr>
        <w:t>2.8.3.3噪声</w:t>
      </w:r>
      <w:r>
        <w:rPr>
          <w:rFonts w:hint="eastAsia"/>
          <w:color w:val="000000" w:themeColor="text1"/>
          <w14:textFill>
            <w14:solidFill>
              <w14:schemeClr w14:val="tx1"/>
            </w14:solidFill>
          </w14:textFill>
        </w:rPr>
        <w:t>执行标准</w:t>
      </w:r>
    </w:p>
    <w:p w14:paraId="127A9D08">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1、施工期</w:t>
      </w:r>
    </w:p>
    <w:p w14:paraId="769E07A7">
      <w:pPr>
        <w:pStyle w:val="85"/>
        <w:rPr>
          <w:rFonts w:cs="Times New Roman"/>
          <w:snapToGrid w:val="0"/>
          <w:color w:val="000000" w:themeColor="text1"/>
          <w:kern w:val="0"/>
          <w14:textFill>
            <w14:solidFill>
              <w14:schemeClr w14:val="tx1"/>
            </w14:solidFill>
          </w14:textFill>
        </w:rPr>
      </w:pPr>
      <w:r>
        <w:rPr>
          <w:rFonts w:hint="eastAsia" w:cs="Times New Roman"/>
          <w:snapToGrid w:val="0"/>
          <w:color w:val="000000" w:themeColor="text1"/>
          <w:kern w:val="0"/>
          <w14:textFill>
            <w14:solidFill>
              <w14:schemeClr w14:val="tx1"/>
            </w14:solidFill>
          </w14:textFill>
        </w:rPr>
        <w:t>项目</w:t>
      </w:r>
      <w:r>
        <w:rPr>
          <w:rFonts w:cs="Times New Roman"/>
          <w:snapToGrid w:val="0"/>
          <w:color w:val="000000" w:themeColor="text1"/>
          <w:kern w:val="0"/>
          <w14:textFill>
            <w14:solidFill>
              <w14:schemeClr w14:val="tx1"/>
            </w14:solidFill>
          </w14:textFill>
        </w:rPr>
        <w:t>施工期噪声排放执行</w:t>
      </w:r>
      <w:r>
        <w:rPr>
          <w:rFonts w:hint="eastAsia" w:cs="Times New Roman"/>
          <w:snapToGrid w:val="0"/>
          <w:color w:val="000000" w:themeColor="text1"/>
          <w:kern w:val="0"/>
          <w:lang w:eastAsia="zh-CN"/>
          <w14:textFill>
            <w14:solidFill>
              <w14:schemeClr w14:val="tx1"/>
            </w14:solidFill>
          </w14:textFill>
        </w:rPr>
        <w:t>《建筑施工噪声排放标准》（GB12523-2025）</w:t>
      </w:r>
      <w:r>
        <w:rPr>
          <w:rFonts w:cs="Times New Roman"/>
          <w:snapToGrid w:val="0"/>
          <w:color w:val="000000" w:themeColor="text1"/>
          <w:kern w:val="0"/>
          <w14:textFill>
            <w14:solidFill>
              <w14:schemeClr w14:val="tx1"/>
            </w14:solidFill>
          </w14:textFill>
        </w:rPr>
        <w:t>，见表2-8-</w:t>
      </w:r>
      <w:r>
        <w:rPr>
          <w:rFonts w:hint="eastAsia" w:cs="Times New Roman"/>
          <w:snapToGrid w:val="0"/>
          <w:color w:val="000000" w:themeColor="text1"/>
          <w:kern w:val="0"/>
          <w:lang w:val="en-US" w:eastAsia="zh-CN"/>
          <w14:textFill>
            <w14:solidFill>
              <w14:schemeClr w14:val="tx1"/>
            </w14:solidFill>
          </w14:textFill>
        </w:rPr>
        <w:t>7</w:t>
      </w:r>
      <w:r>
        <w:rPr>
          <w:rFonts w:cs="Times New Roman"/>
          <w:snapToGrid w:val="0"/>
          <w:color w:val="000000" w:themeColor="text1"/>
          <w:kern w:val="0"/>
          <w14:textFill>
            <w14:solidFill>
              <w14:schemeClr w14:val="tx1"/>
            </w14:solidFill>
          </w14:textFill>
        </w:rPr>
        <w:t>。</w:t>
      </w:r>
    </w:p>
    <w:p w14:paraId="279882D0">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表2-8-</w:t>
      </w:r>
      <w:r>
        <w:rPr>
          <w:rFonts w:hint="eastAsia"/>
          <w:snapToGrid w:val="0"/>
          <w:color w:val="000000" w:themeColor="text1"/>
          <w:lang w:val="en-US" w:eastAsia="zh-CN"/>
          <w14:textFill>
            <w14:solidFill>
              <w14:schemeClr w14:val="tx1"/>
            </w14:solidFill>
          </w14:textFill>
        </w:rPr>
        <w:t>7</w:t>
      </w:r>
      <w:r>
        <w:rPr>
          <w:snapToGrid w:val="0"/>
          <w:color w:val="000000" w:themeColor="text1"/>
          <w14:textFill>
            <w14:solidFill>
              <w14:schemeClr w14:val="tx1"/>
            </w14:solidFill>
          </w14:textFill>
        </w:rPr>
        <w:t xml:space="preserve"> 建筑施工场界环境噪声排放标准</w:t>
      </w:r>
    </w:p>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793"/>
        <w:gridCol w:w="2756"/>
        <w:gridCol w:w="2757"/>
      </w:tblGrid>
      <w:tr w14:paraId="428D27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93" w:type="dxa"/>
            <w:vMerge w:val="restart"/>
            <w:vAlign w:val="center"/>
          </w:tcPr>
          <w:p w14:paraId="20DF23D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主要噪声源</w:t>
            </w:r>
          </w:p>
        </w:tc>
        <w:tc>
          <w:tcPr>
            <w:tcW w:w="5513" w:type="dxa"/>
            <w:gridSpan w:val="2"/>
            <w:vAlign w:val="center"/>
          </w:tcPr>
          <w:p w14:paraId="2B6E53A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噪声限值</w:t>
            </w:r>
          </w:p>
        </w:tc>
      </w:tr>
      <w:tr w14:paraId="5BD2B0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93" w:type="dxa"/>
            <w:vMerge w:val="continue"/>
            <w:vAlign w:val="center"/>
          </w:tcPr>
          <w:p w14:paraId="3C43A5FF">
            <w:pPr>
              <w:pStyle w:val="143"/>
              <w:rPr>
                <w:snapToGrid w:val="0"/>
                <w:color w:val="000000" w:themeColor="text1"/>
                <w:kern w:val="0"/>
                <w14:textFill>
                  <w14:solidFill>
                    <w14:schemeClr w14:val="tx1"/>
                  </w14:solidFill>
                </w14:textFill>
              </w:rPr>
            </w:pPr>
          </w:p>
        </w:tc>
        <w:tc>
          <w:tcPr>
            <w:tcW w:w="2756" w:type="dxa"/>
            <w:vAlign w:val="center"/>
          </w:tcPr>
          <w:p w14:paraId="0A43EB0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昼间</w:t>
            </w:r>
            <w:r>
              <w:rPr>
                <w:rFonts w:hint="eastAsia"/>
                <w:snapToGrid w:val="0"/>
                <w:color w:val="000000" w:themeColor="text1"/>
                <w:kern w:val="0"/>
                <w14:textFill>
                  <w14:solidFill>
                    <w14:schemeClr w14:val="tx1"/>
                  </w14:solidFill>
                </w14:textFill>
              </w:rPr>
              <w:t>dB（A）</w:t>
            </w:r>
          </w:p>
        </w:tc>
        <w:tc>
          <w:tcPr>
            <w:tcW w:w="2757" w:type="dxa"/>
            <w:vAlign w:val="center"/>
          </w:tcPr>
          <w:p w14:paraId="6A9B1DC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夜间</w:t>
            </w:r>
            <w:r>
              <w:rPr>
                <w:rFonts w:hint="eastAsia"/>
                <w:snapToGrid w:val="0"/>
                <w:color w:val="000000" w:themeColor="text1"/>
                <w:kern w:val="0"/>
                <w14:textFill>
                  <w14:solidFill>
                    <w14:schemeClr w14:val="tx1"/>
                  </w14:solidFill>
                </w14:textFill>
              </w:rPr>
              <w:t>dB（A）</w:t>
            </w:r>
          </w:p>
        </w:tc>
      </w:tr>
      <w:tr w14:paraId="2DBB1E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93" w:type="dxa"/>
            <w:vAlign w:val="center"/>
          </w:tcPr>
          <w:p w14:paraId="3CC8962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建筑施工</w:t>
            </w:r>
          </w:p>
        </w:tc>
        <w:tc>
          <w:tcPr>
            <w:tcW w:w="2756" w:type="dxa"/>
            <w:vAlign w:val="center"/>
          </w:tcPr>
          <w:p w14:paraId="7635369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70</w:t>
            </w:r>
          </w:p>
        </w:tc>
        <w:tc>
          <w:tcPr>
            <w:tcW w:w="2757" w:type="dxa"/>
            <w:vAlign w:val="center"/>
          </w:tcPr>
          <w:p w14:paraId="727C830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55</w:t>
            </w:r>
          </w:p>
        </w:tc>
      </w:tr>
    </w:tbl>
    <w:p w14:paraId="7C8D8B39">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2、运营期</w:t>
      </w:r>
    </w:p>
    <w:p w14:paraId="7EA00D4C">
      <w:pPr>
        <w:pStyle w:val="85"/>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项目运营期</w:t>
      </w:r>
      <w:r>
        <w:rPr>
          <w:rFonts w:hint="eastAsia"/>
          <w:snapToGrid w:val="0"/>
          <w:color w:val="000000" w:themeColor="text1"/>
          <w:kern w:val="0"/>
          <w:lang w:val="en-US" w:eastAsia="zh-CN"/>
          <w14:textFill>
            <w14:solidFill>
              <w14:schemeClr w14:val="tx1"/>
            </w14:solidFill>
          </w14:textFill>
        </w:rPr>
        <w:t>东侧、南侧、北侧</w:t>
      </w:r>
      <w:r>
        <w:rPr>
          <w:rFonts w:hint="eastAsia"/>
          <w:snapToGrid w:val="0"/>
          <w:color w:val="000000" w:themeColor="text1"/>
          <w:kern w:val="0"/>
          <w14:textFill>
            <w14:solidFill>
              <w14:schemeClr w14:val="tx1"/>
            </w14:solidFill>
          </w14:textFill>
        </w:rPr>
        <w:t>厂界</w:t>
      </w:r>
      <w:r>
        <w:rPr>
          <w:snapToGrid w:val="0"/>
          <w:color w:val="000000" w:themeColor="text1"/>
          <w:kern w:val="0"/>
          <w14:textFill>
            <w14:solidFill>
              <w14:schemeClr w14:val="tx1"/>
            </w14:solidFill>
          </w14:textFill>
        </w:rPr>
        <w:t>噪声执行《工业企业厂界环境噪声排放标准》（GB12348-2008）</w:t>
      </w:r>
      <w:r>
        <w:rPr>
          <w:rFonts w:hint="eastAsia"/>
          <w:snapToGrid w:val="0"/>
          <w:color w:val="000000" w:themeColor="text1"/>
          <w:kern w:val="0"/>
          <w14:textFill>
            <w14:solidFill>
              <w14:schemeClr w14:val="tx1"/>
            </w14:solidFill>
          </w14:textFill>
        </w:rPr>
        <w:t>表1中</w:t>
      </w:r>
      <w:r>
        <w:rPr>
          <w:snapToGrid w:val="0"/>
          <w:color w:val="000000" w:themeColor="text1"/>
          <w:kern w:val="0"/>
          <w14:textFill>
            <w14:solidFill>
              <w14:schemeClr w14:val="tx1"/>
            </w14:solidFill>
          </w14:textFill>
        </w:rPr>
        <w:t>的3类声环境功能区标准限值，</w:t>
      </w:r>
      <w:r>
        <w:rPr>
          <w:rFonts w:hint="eastAsia"/>
          <w:snapToGrid w:val="0"/>
          <w:color w:val="000000" w:themeColor="text1"/>
          <w:kern w:val="0"/>
          <w:lang w:val="en-US" w:eastAsia="zh-CN"/>
          <w14:textFill>
            <w14:solidFill>
              <w14:schemeClr w14:val="tx1"/>
            </w14:solidFill>
          </w14:textFill>
        </w:rPr>
        <w:t>西侧</w:t>
      </w:r>
      <w:r>
        <w:rPr>
          <w:rFonts w:hint="eastAsia"/>
          <w:snapToGrid w:val="0"/>
          <w:color w:val="000000" w:themeColor="text1"/>
          <w:kern w:val="0"/>
          <w14:textFill>
            <w14:solidFill>
              <w14:schemeClr w14:val="tx1"/>
            </w14:solidFill>
          </w14:textFill>
        </w:rPr>
        <w:t>厂界</w:t>
      </w:r>
      <w:r>
        <w:rPr>
          <w:snapToGrid w:val="0"/>
          <w:color w:val="000000" w:themeColor="text1"/>
          <w:kern w:val="0"/>
          <w14:textFill>
            <w14:solidFill>
              <w14:schemeClr w14:val="tx1"/>
            </w14:solidFill>
          </w14:textFill>
        </w:rPr>
        <w:t>噪声执行《工业企业厂界环境噪声排放标准》（GB12348-2008）</w:t>
      </w:r>
      <w:r>
        <w:rPr>
          <w:rFonts w:hint="eastAsia"/>
          <w:snapToGrid w:val="0"/>
          <w:color w:val="000000" w:themeColor="text1"/>
          <w:kern w:val="0"/>
          <w14:textFill>
            <w14:solidFill>
              <w14:schemeClr w14:val="tx1"/>
            </w14:solidFill>
          </w14:textFill>
        </w:rPr>
        <w:t>表1中</w:t>
      </w:r>
      <w:r>
        <w:rPr>
          <w:snapToGrid w:val="0"/>
          <w:color w:val="000000" w:themeColor="text1"/>
          <w:kern w:val="0"/>
          <w14:textFill>
            <w14:solidFill>
              <w14:schemeClr w14:val="tx1"/>
            </w14:solidFill>
          </w14:textFill>
        </w:rPr>
        <w:t>的</w:t>
      </w:r>
      <w:r>
        <w:rPr>
          <w:rFonts w:hint="eastAsia"/>
          <w:snapToGrid w:val="0"/>
          <w:color w:val="000000" w:themeColor="text1"/>
          <w:kern w:val="0"/>
          <w:lang w:val="en-US" w:eastAsia="zh-CN"/>
          <w14:textFill>
            <w14:solidFill>
              <w14:schemeClr w14:val="tx1"/>
            </w14:solidFill>
          </w14:textFill>
        </w:rPr>
        <w:t>4</w:t>
      </w:r>
      <w:r>
        <w:rPr>
          <w:snapToGrid w:val="0"/>
          <w:color w:val="000000" w:themeColor="text1"/>
          <w:kern w:val="0"/>
          <w14:textFill>
            <w14:solidFill>
              <w14:schemeClr w14:val="tx1"/>
            </w14:solidFill>
          </w14:textFill>
        </w:rPr>
        <w:t>类声环境功能区标准限值</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14:textFill>
            <w14:solidFill>
              <w14:schemeClr w14:val="tx1"/>
            </w14:solidFill>
          </w14:textFill>
        </w:rPr>
        <w:t>见表2-8-</w:t>
      </w:r>
      <w:r>
        <w:rPr>
          <w:rFonts w:hint="eastAsia"/>
          <w:snapToGrid w:val="0"/>
          <w:color w:val="000000" w:themeColor="text1"/>
          <w:kern w:val="0"/>
          <w:lang w:val="en-US" w:eastAsia="zh-CN"/>
          <w14:textFill>
            <w14:solidFill>
              <w14:schemeClr w14:val="tx1"/>
            </w14:solidFill>
          </w14:textFill>
        </w:rPr>
        <w:t>8</w:t>
      </w:r>
      <w:r>
        <w:rPr>
          <w:snapToGrid w:val="0"/>
          <w:color w:val="000000" w:themeColor="text1"/>
          <w:kern w:val="0"/>
          <w14:textFill>
            <w14:solidFill>
              <w14:schemeClr w14:val="tx1"/>
            </w14:solidFill>
          </w14:textFill>
        </w:rPr>
        <w:t>。</w:t>
      </w:r>
    </w:p>
    <w:p w14:paraId="5D2B0A74">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表2-8-</w:t>
      </w:r>
      <w:r>
        <w:rPr>
          <w:rFonts w:hint="eastAsia"/>
          <w:snapToGrid w:val="0"/>
          <w:color w:val="000000" w:themeColor="text1"/>
          <w:lang w:val="en-US" w:eastAsia="zh-CN"/>
          <w14:textFill>
            <w14:solidFill>
              <w14:schemeClr w14:val="tx1"/>
            </w14:solidFill>
          </w14:textFill>
        </w:rPr>
        <w:t>8</w:t>
      </w:r>
      <w:r>
        <w:rPr>
          <w:snapToGrid w:val="0"/>
          <w:color w:val="000000" w:themeColor="text1"/>
          <w14:textFill>
            <w14:solidFill>
              <w14:schemeClr w14:val="tx1"/>
            </w14:solidFill>
          </w14:textFill>
        </w:rPr>
        <w:t xml:space="preserve"> 工业企业厂界噪声</w:t>
      </w:r>
      <w:r>
        <w:rPr>
          <w:rFonts w:hint="eastAsia"/>
          <w:snapToGrid w:val="0"/>
          <w:color w:val="000000" w:themeColor="text1"/>
          <w14:textFill>
            <w14:solidFill>
              <w14:schemeClr w14:val="tx1"/>
            </w14:solidFill>
          </w14:textFill>
        </w:rPr>
        <w:t>排放</w:t>
      </w:r>
      <w:r>
        <w:rPr>
          <w:snapToGrid w:val="0"/>
          <w:color w:val="000000" w:themeColor="text1"/>
          <w14:textFill>
            <w14:solidFill>
              <w14:schemeClr w14:val="tx1"/>
            </w14:solidFill>
          </w14:textFill>
        </w:rPr>
        <w:t>标准</w:t>
      </w:r>
    </w:p>
    <w:tbl>
      <w:tblPr>
        <w:tblStyle w:val="387"/>
        <w:tblW w:w="500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2358"/>
        <w:gridCol w:w="2320"/>
        <w:gridCol w:w="2224"/>
      </w:tblGrid>
      <w:tr w14:paraId="39C907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9" w:hRule="atLeast"/>
        </w:trPr>
        <w:tc>
          <w:tcPr>
            <w:tcW w:w="851" w:type="pct"/>
            <w:vAlign w:val="center"/>
          </w:tcPr>
          <w:p w14:paraId="573CE91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控制项目</w:t>
            </w:r>
          </w:p>
        </w:tc>
        <w:tc>
          <w:tcPr>
            <w:tcW w:w="1417" w:type="pct"/>
            <w:vAlign w:val="center"/>
          </w:tcPr>
          <w:p w14:paraId="56C624B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类别</w:t>
            </w:r>
          </w:p>
        </w:tc>
        <w:tc>
          <w:tcPr>
            <w:tcW w:w="1394" w:type="pct"/>
            <w:vAlign w:val="center"/>
          </w:tcPr>
          <w:p w14:paraId="0196328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昼间</w:t>
            </w:r>
            <w:r>
              <w:rPr>
                <w:rFonts w:hint="eastAsia"/>
                <w:snapToGrid w:val="0"/>
                <w:color w:val="000000" w:themeColor="text1"/>
                <w:kern w:val="0"/>
                <w14:textFill>
                  <w14:solidFill>
                    <w14:schemeClr w14:val="tx1"/>
                  </w14:solidFill>
                </w14:textFill>
              </w:rPr>
              <w:t>dB（A）</w:t>
            </w:r>
          </w:p>
        </w:tc>
        <w:tc>
          <w:tcPr>
            <w:tcW w:w="1336" w:type="pct"/>
            <w:vAlign w:val="center"/>
          </w:tcPr>
          <w:p w14:paraId="0A7B5DC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夜间</w:t>
            </w:r>
            <w:r>
              <w:rPr>
                <w:rFonts w:hint="eastAsia"/>
                <w:snapToGrid w:val="0"/>
                <w:color w:val="000000" w:themeColor="text1"/>
                <w:kern w:val="0"/>
                <w14:textFill>
                  <w14:solidFill>
                    <w14:schemeClr w14:val="tx1"/>
                  </w14:solidFill>
                </w14:textFill>
              </w:rPr>
              <w:t>dB（A）</w:t>
            </w:r>
          </w:p>
        </w:tc>
      </w:tr>
      <w:tr w14:paraId="34514D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851" w:type="pct"/>
            <w:vMerge w:val="restart"/>
            <w:vAlign w:val="center"/>
          </w:tcPr>
          <w:p w14:paraId="1557970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噪声</w:t>
            </w:r>
          </w:p>
        </w:tc>
        <w:tc>
          <w:tcPr>
            <w:tcW w:w="1417" w:type="pct"/>
            <w:vAlign w:val="center"/>
          </w:tcPr>
          <w:p w14:paraId="5C48BB6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3类</w:t>
            </w:r>
          </w:p>
        </w:tc>
        <w:tc>
          <w:tcPr>
            <w:tcW w:w="1394" w:type="pct"/>
            <w:vAlign w:val="center"/>
          </w:tcPr>
          <w:p w14:paraId="6D4B626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65</w:t>
            </w:r>
          </w:p>
        </w:tc>
        <w:tc>
          <w:tcPr>
            <w:tcW w:w="1336" w:type="pct"/>
            <w:vAlign w:val="center"/>
          </w:tcPr>
          <w:p w14:paraId="000AAB1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55</w:t>
            </w:r>
          </w:p>
        </w:tc>
      </w:tr>
      <w:tr w14:paraId="5BC0E5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851" w:type="pct"/>
            <w:vMerge w:val="continue"/>
            <w:vAlign w:val="center"/>
          </w:tcPr>
          <w:p w14:paraId="1736E25F">
            <w:pPr>
              <w:pStyle w:val="143"/>
              <w:rPr>
                <w:snapToGrid w:val="0"/>
                <w:color w:val="000000" w:themeColor="text1"/>
                <w:kern w:val="0"/>
                <w14:textFill>
                  <w14:solidFill>
                    <w14:schemeClr w14:val="tx1"/>
                  </w14:solidFill>
                </w14:textFill>
              </w:rPr>
            </w:pPr>
          </w:p>
        </w:tc>
        <w:tc>
          <w:tcPr>
            <w:tcW w:w="1417" w:type="pct"/>
            <w:vAlign w:val="center"/>
          </w:tcPr>
          <w:p w14:paraId="21CF0C8D">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4类</w:t>
            </w:r>
          </w:p>
        </w:tc>
        <w:tc>
          <w:tcPr>
            <w:tcW w:w="1394" w:type="pct"/>
            <w:vAlign w:val="center"/>
          </w:tcPr>
          <w:p w14:paraId="4CB65CD3">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70</w:t>
            </w:r>
          </w:p>
        </w:tc>
        <w:tc>
          <w:tcPr>
            <w:tcW w:w="1336" w:type="pct"/>
            <w:vAlign w:val="center"/>
          </w:tcPr>
          <w:p w14:paraId="7701D465">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55</w:t>
            </w:r>
          </w:p>
        </w:tc>
      </w:tr>
    </w:tbl>
    <w:p w14:paraId="2E1F5B92">
      <w:pPr>
        <w:pStyle w:val="7"/>
        <w:rPr>
          <w:color w:val="000000" w:themeColor="text1"/>
          <w14:textFill>
            <w14:solidFill>
              <w14:schemeClr w14:val="tx1"/>
            </w14:solidFill>
          </w14:textFill>
        </w:rPr>
      </w:pPr>
      <w:r>
        <w:rPr>
          <w:color w:val="000000" w:themeColor="text1"/>
          <w14:textFill>
            <w14:solidFill>
              <w14:schemeClr w14:val="tx1"/>
            </w14:solidFill>
          </w14:textFill>
        </w:rPr>
        <w:t>2.8.3.4固体废物</w:t>
      </w:r>
      <w:r>
        <w:rPr>
          <w:rFonts w:hint="eastAsia"/>
          <w:color w:val="000000" w:themeColor="text1"/>
          <w14:textFill>
            <w14:solidFill>
              <w14:schemeClr w14:val="tx1"/>
            </w14:solidFill>
          </w14:textFill>
        </w:rPr>
        <w:t>执行标准</w:t>
      </w:r>
    </w:p>
    <w:p w14:paraId="3B7109B2">
      <w:pPr>
        <w:pStyle w:val="85"/>
        <w:rPr>
          <w:color w:val="000000" w:themeColor="text1"/>
          <w14:textFill>
            <w14:solidFill>
              <w14:schemeClr w14:val="tx1"/>
            </w14:solidFill>
          </w14:textFill>
        </w:rPr>
      </w:pPr>
      <w:r>
        <w:rPr>
          <w:snapToGrid w:val="0"/>
          <w:color w:val="000000" w:themeColor="text1"/>
          <w14:textFill>
            <w14:solidFill>
              <w14:schemeClr w14:val="tx1"/>
            </w14:solidFill>
          </w14:textFill>
        </w:rPr>
        <w:t>一般固体废物贮存、处置执行</w:t>
      </w:r>
      <w:r>
        <w:rPr>
          <w:rFonts w:hint="eastAsia"/>
          <w:snapToGrid w:val="0"/>
          <w:color w:val="000000" w:themeColor="text1"/>
          <w14:textFill>
            <w14:solidFill>
              <w14:schemeClr w14:val="tx1"/>
            </w14:solidFill>
          </w14:textFill>
        </w:rPr>
        <w:t>《一般工业固体废物贮存和填埋污染控制标准》（GB18599-2020）、《固体废物分类与代码目录》相关要求</w:t>
      </w:r>
      <w:r>
        <w:rPr>
          <w:snapToGrid w:val="0"/>
          <w:color w:val="000000" w:themeColor="text1"/>
          <w14:textFill>
            <w14:solidFill>
              <w14:schemeClr w14:val="tx1"/>
            </w14:solidFill>
          </w14:textFill>
        </w:rPr>
        <w:t>。</w:t>
      </w:r>
    </w:p>
    <w:p w14:paraId="4D21BA4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《危险废物贮存污染控制标准》（GB 18597-2023）。</w:t>
      </w:r>
    </w:p>
    <w:p w14:paraId="7AD18252">
      <w:pPr>
        <w:adjustRightInd/>
        <w:snapToGrid/>
        <w:spacing w:line="500" w:lineRule="exact"/>
        <w:rPr>
          <w:snapToGrid w:val="0"/>
          <w:color w:val="000000" w:themeColor="text1"/>
          <w:kern w:val="0"/>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14:paraId="52817CDF">
      <w:pPr>
        <w:pStyle w:val="4"/>
        <w:rPr>
          <w:snapToGrid w:val="0"/>
          <w:color w:val="000000" w:themeColor="text1"/>
          <w14:textFill>
            <w14:solidFill>
              <w14:schemeClr w14:val="tx1"/>
            </w14:solidFill>
          </w14:textFill>
        </w:rPr>
      </w:pPr>
      <w:bookmarkStart w:id="83" w:name="_Toc480447660"/>
      <w:bookmarkStart w:id="84" w:name="_Toc26069"/>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建设项目</w:t>
      </w:r>
      <w:r>
        <w:rPr>
          <w:snapToGrid w:val="0"/>
          <w:color w:val="000000" w:themeColor="text1"/>
          <w14:textFill>
            <w14:solidFill>
              <w14:schemeClr w14:val="tx1"/>
            </w14:solidFill>
          </w14:textFill>
        </w:rPr>
        <w:t>工程分析</w:t>
      </w:r>
      <w:bookmarkEnd w:id="83"/>
      <w:bookmarkEnd w:id="84"/>
    </w:p>
    <w:p w14:paraId="045D86BB">
      <w:pPr>
        <w:pStyle w:val="5"/>
        <w:rPr>
          <w:snapToGrid w:val="0"/>
          <w:color w:val="000000" w:themeColor="text1"/>
          <w14:textFill>
            <w14:solidFill>
              <w14:schemeClr w14:val="tx1"/>
            </w14:solidFill>
          </w14:textFill>
        </w:rPr>
      </w:pPr>
      <w:bookmarkStart w:id="85" w:name="_Toc15457"/>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本项目概况</w:t>
      </w:r>
      <w:bookmarkEnd w:id="85"/>
    </w:p>
    <w:p w14:paraId="405869B1">
      <w:pPr>
        <w:pStyle w:val="6"/>
        <w:rPr>
          <w:snapToGrid w:val="0"/>
          <w:color w:val="000000" w:themeColor="text1"/>
          <w14:textFill>
            <w14:solidFill>
              <w14:schemeClr w14:val="tx1"/>
            </w14:solidFill>
          </w14:textFill>
        </w:rPr>
      </w:pPr>
      <w:bookmarkStart w:id="86" w:name="_Toc113078920"/>
      <w:bookmarkStart w:id="87" w:name="_Toc118086779"/>
      <w:bookmarkStart w:id="88" w:name="_Toc112420350"/>
      <w:bookmarkStart w:id="89" w:name="_Toc182022280"/>
      <w:bookmarkStart w:id="90" w:name="_Toc23527"/>
      <w:r>
        <w:rPr>
          <w:snapToGrid w:val="0"/>
          <w:color w:val="000000" w:themeColor="text1"/>
          <w14:textFill>
            <w14:solidFill>
              <w14:schemeClr w14:val="tx1"/>
            </w14:solidFill>
          </w14:textFill>
        </w:rPr>
        <w:t>3.2.1</w:t>
      </w:r>
      <w:bookmarkEnd w:id="86"/>
      <w:bookmarkEnd w:id="87"/>
      <w:bookmarkEnd w:id="88"/>
      <w:bookmarkEnd w:id="89"/>
      <w:r>
        <w:rPr>
          <w:snapToGrid w:val="0"/>
          <w:color w:val="000000" w:themeColor="text1"/>
          <w14:textFill>
            <w14:solidFill>
              <w14:schemeClr w14:val="tx1"/>
            </w14:solidFill>
          </w14:textFill>
        </w:rPr>
        <w:t>项目名称及基本组成</w:t>
      </w:r>
      <w:bookmarkEnd w:id="90"/>
    </w:p>
    <w:p w14:paraId="18A998A2">
      <w:pPr>
        <w:pStyle w:val="85"/>
        <w:rPr>
          <w:rFonts w:hint="eastAsia" w:eastAsia="宋体"/>
          <w:snapToGrid w:val="0"/>
          <w:color w:val="000000" w:themeColor="text1"/>
          <w:lang w:eastAsia="zh-CN"/>
          <w14:textFill>
            <w14:solidFill>
              <w14:schemeClr w14:val="tx1"/>
            </w14:solidFill>
          </w14:textFill>
        </w:rPr>
      </w:pPr>
      <w:bookmarkStart w:id="91" w:name="_Hlk520410228"/>
      <w:r>
        <w:rPr>
          <w:snapToGrid w:val="0"/>
          <w:color w:val="000000" w:themeColor="text1"/>
          <w14:textFill>
            <w14:solidFill>
              <w14:schemeClr w14:val="tx1"/>
            </w14:solidFill>
          </w14:textFill>
        </w:rPr>
        <w:t>项目名称：</w:t>
      </w:r>
      <w:r>
        <w:rPr>
          <w:rFonts w:hint="eastAsia"/>
          <w:snapToGrid w:val="0"/>
          <w:color w:val="000000" w:themeColor="text1"/>
          <w:lang w:eastAsia="zh-CN"/>
          <w14:textFill>
            <w14:solidFill>
              <w14:schemeClr w14:val="tx1"/>
            </w14:solidFill>
          </w14:textFill>
        </w:rPr>
        <w:t>年产30000吨紫苏精酿啤酒生产线建设项目</w:t>
      </w:r>
    </w:p>
    <w:p w14:paraId="3D514775">
      <w:pPr>
        <w:pStyle w:val="85"/>
        <w:rPr>
          <w:rFonts w:hint="eastAsia" w:eastAsia="宋体"/>
          <w:snapToGrid w:val="0"/>
          <w:color w:val="000000" w:themeColor="text1"/>
          <w:lang w:eastAsia="zh-CN"/>
          <w14:textFill>
            <w14:solidFill>
              <w14:schemeClr w14:val="tx1"/>
            </w14:solidFill>
          </w14:textFill>
        </w:rPr>
      </w:pPr>
      <w:r>
        <w:rPr>
          <w:snapToGrid w:val="0"/>
          <w:color w:val="000000" w:themeColor="text1"/>
          <w14:textFill>
            <w14:solidFill>
              <w14:schemeClr w14:val="tx1"/>
            </w14:solidFill>
          </w14:textFill>
        </w:rPr>
        <w:t>建设单位：</w:t>
      </w:r>
      <w:r>
        <w:rPr>
          <w:rFonts w:hint="eastAsia"/>
          <w:snapToGrid w:val="0"/>
          <w:color w:val="000000" w:themeColor="text1"/>
          <w:lang w:eastAsia="zh-CN"/>
          <w14:textFill>
            <w14:solidFill>
              <w14:schemeClr w14:val="tx1"/>
            </w14:solidFill>
          </w14:textFill>
        </w:rPr>
        <w:t>黑龙江省紫沐禾精酿啤酒有限公司</w:t>
      </w:r>
    </w:p>
    <w:p w14:paraId="722F2DB7">
      <w:pPr>
        <w:pStyle w:val="85"/>
        <w:rPr>
          <w:rFonts w:hint="eastAsia" w:eastAsia="宋体"/>
          <w:snapToGrid w:val="0"/>
          <w:color w:val="000000" w:themeColor="text1"/>
          <w:lang w:eastAsia="zh-CN"/>
          <w14:textFill>
            <w14:solidFill>
              <w14:schemeClr w14:val="tx1"/>
            </w14:solidFill>
          </w14:textFill>
        </w:rPr>
      </w:pPr>
      <w:r>
        <w:rPr>
          <w:snapToGrid w:val="0"/>
          <w:color w:val="000000" w:themeColor="text1"/>
          <w14:textFill>
            <w14:solidFill>
              <w14:schemeClr w14:val="tx1"/>
            </w14:solidFill>
          </w14:textFill>
        </w:rPr>
        <w:t>建设地点：</w:t>
      </w:r>
      <w:r>
        <w:rPr>
          <w:rFonts w:hint="eastAsia"/>
          <w:snapToGrid w:val="0"/>
          <w:color w:val="000000" w:themeColor="text1"/>
          <w:lang w:eastAsia="zh-CN"/>
          <w14:textFill>
            <w14:solidFill>
              <w14:schemeClr w14:val="tx1"/>
            </w14:solidFill>
          </w14:textFill>
        </w:rPr>
        <w:t>黑龙江省佳木斯市桦南县经济开发区兴企路东园兴街北</w:t>
      </w:r>
    </w:p>
    <w:p w14:paraId="16F9B9FF">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建设性质：</w:t>
      </w:r>
      <w:r>
        <w:rPr>
          <w:rFonts w:hint="eastAsia"/>
          <w:snapToGrid w:val="0"/>
          <w:color w:val="000000" w:themeColor="text1"/>
          <w:lang w:val="en-US" w:eastAsia="zh-CN"/>
          <w14:textFill>
            <w14:solidFill>
              <w14:schemeClr w14:val="tx1"/>
            </w14:solidFill>
          </w14:textFill>
        </w:rPr>
        <w:t>新</w:t>
      </w:r>
      <w:r>
        <w:rPr>
          <w:rFonts w:hint="eastAsia"/>
          <w:snapToGrid w:val="0"/>
          <w:color w:val="000000" w:themeColor="text1"/>
          <w14:textFill>
            <w14:solidFill>
              <w14:schemeClr w14:val="tx1"/>
            </w14:solidFill>
          </w14:textFill>
        </w:rPr>
        <w:t>建</w:t>
      </w:r>
    </w:p>
    <w:p w14:paraId="05613080">
      <w:pPr>
        <w:pStyle w:val="85"/>
        <w:rPr>
          <w:rFonts w:hint="eastAsia" w:eastAsia="宋体"/>
          <w:snapToGrid w:val="0"/>
          <w:color w:val="000000" w:themeColor="text1"/>
          <w:lang w:val="en-US" w:eastAsia="zh-CN"/>
          <w14:textFill>
            <w14:solidFill>
              <w14:schemeClr w14:val="tx1"/>
            </w14:solidFill>
          </w14:textFill>
        </w:rPr>
      </w:pPr>
      <w:r>
        <w:rPr>
          <w:snapToGrid w:val="0"/>
          <w:color w:val="000000" w:themeColor="text1"/>
          <w14:textFill>
            <w14:solidFill>
              <w14:schemeClr w14:val="tx1"/>
            </w14:solidFill>
          </w14:textFill>
        </w:rPr>
        <w:t>工程投资：</w:t>
      </w:r>
      <w:r>
        <w:rPr>
          <w:rFonts w:hint="eastAsia"/>
          <w:snapToGrid w:val="0"/>
          <w:color w:val="000000" w:themeColor="text1"/>
          <w:lang w:val="en-US" w:eastAsia="zh-CN"/>
          <w14:textFill>
            <w14:solidFill>
              <w14:schemeClr w14:val="tx1"/>
            </w14:solidFill>
          </w14:textFill>
        </w:rPr>
        <w:t>3.5</w:t>
      </w:r>
      <w:r>
        <w:rPr>
          <w:snapToGrid w:val="0"/>
          <w:color w:val="000000" w:themeColor="text1"/>
          <w14:textFill>
            <w14:solidFill>
              <w14:schemeClr w14:val="tx1"/>
            </w14:solidFill>
          </w14:textFill>
        </w:rPr>
        <w:t>亿元</w:t>
      </w:r>
    </w:p>
    <w:p w14:paraId="7C8E4F33">
      <w:pPr>
        <w:pStyle w:val="85"/>
        <w:rPr>
          <w:rFonts w:hint="default" w:eastAsia="宋体"/>
          <w:snapToGrid w:val="0"/>
          <w:color w:val="000000" w:themeColor="text1"/>
          <w:lang w:val="en-US" w:eastAsia="zh-CN"/>
          <w14:textFill>
            <w14:solidFill>
              <w14:schemeClr w14:val="tx1"/>
            </w14:solidFill>
          </w14:textFill>
        </w:rPr>
      </w:pPr>
      <w:r>
        <w:rPr>
          <w:snapToGrid w:val="0"/>
          <w:color w:val="000000" w:themeColor="text1"/>
          <w14:textFill>
            <w14:solidFill>
              <w14:schemeClr w14:val="tx1"/>
            </w14:solidFill>
          </w14:textFill>
        </w:rPr>
        <w:t>占地面积：</w:t>
      </w:r>
      <w:r>
        <w:rPr>
          <w:rFonts w:hint="eastAsia"/>
          <w:snapToGrid w:val="0"/>
          <w:color w:val="000000" w:themeColor="text1"/>
          <w14:textFill>
            <w14:solidFill>
              <w14:schemeClr w14:val="tx1"/>
            </w14:solidFill>
          </w14:textFill>
        </w:rPr>
        <w:t>项目建成后总占地面积为</w:t>
      </w:r>
      <w:r>
        <w:rPr>
          <w:rFonts w:hint="eastAsia"/>
          <w:snapToGrid w:val="0"/>
          <w:color w:val="000000" w:themeColor="text1"/>
          <w:lang w:val="en-US" w:eastAsia="zh-CN"/>
          <w14:textFill>
            <w14:solidFill>
              <w14:schemeClr w14:val="tx1"/>
            </w14:solidFill>
          </w14:textFill>
        </w:rPr>
        <w:t>55000.03</w:t>
      </w:r>
      <w:r>
        <w:rPr>
          <w:rFonts w:hint="eastAsia"/>
          <w:snapToGrid w:val="0"/>
          <w:color w:val="000000" w:themeColor="text1"/>
          <w14:textFill>
            <w14:solidFill>
              <w14:schemeClr w14:val="tx1"/>
            </w14:solidFill>
          </w14:textFill>
        </w:rPr>
        <w:t>平方米</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总建筑面积为36439.43</w:t>
      </w:r>
      <w:r>
        <w:rPr>
          <w:rFonts w:hint="eastAsia"/>
          <w:snapToGrid w:val="0"/>
          <w:color w:val="000000" w:themeColor="text1"/>
          <w14:textFill>
            <w14:solidFill>
              <w14:schemeClr w14:val="tx1"/>
            </w14:solidFill>
          </w14:textFill>
        </w:rPr>
        <w:t>平方米</w:t>
      </w:r>
    </w:p>
    <w:p w14:paraId="7A815A4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占地类型：</w:t>
      </w:r>
      <w:r>
        <w:rPr>
          <w:rFonts w:hint="eastAsia"/>
          <w:snapToGrid w:val="0"/>
          <w:color w:val="000000" w:themeColor="text1"/>
          <w14:textFill>
            <w14:solidFill>
              <w14:schemeClr w14:val="tx1"/>
            </w14:solidFill>
          </w14:textFill>
        </w:rPr>
        <w:t>工业用地</w:t>
      </w:r>
    </w:p>
    <w:p w14:paraId="4F712E4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劳动定员及工作制度：</w:t>
      </w:r>
      <w:r>
        <w:rPr>
          <w:rFonts w:hint="eastAsia"/>
          <w:snapToGrid w:val="0"/>
          <w:color w:val="000000" w:themeColor="text1"/>
          <w14:textFill>
            <w14:solidFill>
              <w14:schemeClr w14:val="tx1"/>
            </w14:solidFill>
          </w14:textFill>
        </w:rPr>
        <w:t>本项目劳动定员</w:t>
      </w:r>
      <w:r>
        <w:rPr>
          <w:rFonts w:hint="eastAsia"/>
          <w:snapToGrid w:val="0"/>
          <w:color w:val="000000" w:themeColor="text1"/>
          <w:lang w:val="en-US" w:eastAsia="zh-CN"/>
          <w14:textFill>
            <w14:solidFill>
              <w14:schemeClr w14:val="tx1"/>
            </w14:solidFill>
          </w14:textFill>
        </w:rPr>
        <w:t>110人</w:t>
      </w:r>
      <w:r>
        <w:rPr>
          <w:rFonts w:hint="eastAsia"/>
          <w:snapToGrid w:val="0"/>
          <w:color w:val="000000" w:themeColor="text1"/>
          <w14:textFill>
            <w14:solidFill>
              <w14:schemeClr w14:val="tx1"/>
            </w14:solidFill>
          </w14:textFill>
        </w:rPr>
        <w:t>，全年工作天数为300天，实行</w:t>
      </w:r>
      <w:r>
        <w:rPr>
          <w:rFonts w:hint="eastAsia"/>
          <w:snapToGrid w:val="0"/>
          <w:color w:val="000000" w:themeColor="text1"/>
          <w:lang w:val="en-US" w:eastAsia="zh-CN"/>
          <w14:textFill>
            <w14:solidFill>
              <w14:schemeClr w14:val="tx1"/>
            </w14:solidFill>
          </w14:textFill>
        </w:rPr>
        <w:t>三</w:t>
      </w:r>
      <w:r>
        <w:rPr>
          <w:rFonts w:hint="eastAsia"/>
          <w:snapToGrid w:val="0"/>
          <w:color w:val="000000" w:themeColor="text1"/>
          <w14:textFill>
            <w14:solidFill>
              <w14:schemeClr w14:val="tx1"/>
            </w14:solidFill>
          </w14:textFill>
        </w:rPr>
        <w:t>班制，每班8小时。</w:t>
      </w:r>
    </w:p>
    <w:p w14:paraId="44096DE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建设周期：</w:t>
      </w:r>
      <w:r>
        <w:rPr>
          <w:rFonts w:hint="eastAsia"/>
          <w:snapToGrid w:val="0"/>
          <w:color w:val="000000" w:themeColor="text1"/>
          <w14:textFill>
            <w14:solidFill>
              <w14:schemeClr w14:val="tx1"/>
            </w14:solidFill>
          </w14:textFill>
        </w:rPr>
        <w:t>本项目工程建设期约</w:t>
      </w:r>
      <w:r>
        <w:rPr>
          <w:snapToGrid w:val="0"/>
          <w:color w:val="000000" w:themeColor="text1"/>
          <w14:textFill>
            <w14:solidFill>
              <w14:schemeClr w14:val="tx1"/>
            </w14:solidFill>
          </w14:textFill>
        </w:rPr>
        <w:t>26</w:t>
      </w:r>
      <w:r>
        <w:rPr>
          <w:rFonts w:hint="eastAsia"/>
          <w:snapToGrid w:val="0"/>
          <w:color w:val="000000" w:themeColor="text1"/>
          <w14:textFill>
            <w14:solidFill>
              <w14:schemeClr w14:val="tx1"/>
            </w14:solidFill>
          </w14:textFill>
        </w:rPr>
        <w:t>个月，为202</w:t>
      </w:r>
      <w:r>
        <w:rPr>
          <w:rFonts w:hint="eastAsia"/>
          <w:snapToGrid w:val="0"/>
          <w:color w:val="000000" w:themeColor="text1"/>
          <w:lang w:val="en-US" w:eastAsia="zh-CN"/>
          <w14:textFill>
            <w14:solidFill>
              <w14:schemeClr w14:val="tx1"/>
            </w14:solidFill>
          </w14:textFill>
        </w:rPr>
        <w:t>6</w:t>
      </w:r>
      <w:r>
        <w:rPr>
          <w:rFonts w:hint="eastAsia"/>
          <w:snapToGrid w:val="0"/>
          <w:color w:val="000000" w:themeColor="text1"/>
          <w14:textFill>
            <w14:solidFill>
              <w14:schemeClr w14:val="tx1"/>
            </w14:solidFill>
          </w14:textFill>
        </w:rPr>
        <w:t>年</w:t>
      </w:r>
      <w:r>
        <w:rPr>
          <w:rFonts w:hint="eastAsia"/>
          <w:snapToGrid w:val="0"/>
          <w:color w:val="000000" w:themeColor="text1"/>
          <w:lang w:val="en-US" w:eastAsia="zh-CN"/>
          <w14:textFill>
            <w14:solidFill>
              <w14:schemeClr w14:val="tx1"/>
            </w14:solidFill>
          </w14:textFill>
        </w:rPr>
        <w:t>8</w:t>
      </w:r>
      <w:r>
        <w:rPr>
          <w:rFonts w:hint="eastAsia"/>
          <w:snapToGrid w:val="0"/>
          <w:color w:val="000000" w:themeColor="text1"/>
          <w14:textFill>
            <w14:solidFill>
              <w14:schemeClr w14:val="tx1"/>
            </w14:solidFill>
          </w14:textFill>
        </w:rPr>
        <w:t>月-2027年</w:t>
      </w:r>
      <w:r>
        <w:rPr>
          <w:rFonts w:hint="eastAsia"/>
          <w:snapToGrid w:val="0"/>
          <w:color w:val="000000" w:themeColor="text1"/>
          <w:lang w:val="en-US" w:eastAsia="zh-CN"/>
          <w14:textFill>
            <w14:solidFill>
              <w14:schemeClr w14:val="tx1"/>
            </w14:solidFill>
          </w14:textFill>
        </w:rPr>
        <w:t>10</w:t>
      </w:r>
      <w:r>
        <w:rPr>
          <w:rFonts w:hint="eastAsia"/>
          <w:snapToGrid w:val="0"/>
          <w:color w:val="000000" w:themeColor="text1"/>
          <w14:textFill>
            <w14:solidFill>
              <w14:schemeClr w14:val="tx1"/>
            </w14:solidFill>
          </w14:textFill>
        </w:rPr>
        <w:t>月，本项目计划于2027年1</w:t>
      </w:r>
      <w:r>
        <w:rPr>
          <w:rFonts w:hint="eastAsia"/>
          <w:snapToGrid w:val="0"/>
          <w:color w:val="000000" w:themeColor="text1"/>
          <w:lang w:val="en-US" w:eastAsia="zh-CN"/>
          <w14:textFill>
            <w14:solidFill>
              <w14:schemeClr w14:val="tx1"/>
            </w14:solidFill>
          </w14:textFill>
        </w:rPr>
        <w:t>1</w:t>
      </w:r>
      <w:r>
        <w:rPr>
          <w:rFonts w:hint="eastAsia"/>
          <w:snapToGrid w:val="0"/>
          <w:color w:val="000000" w:themeColor="text1"/>
          <w14:textFill>
            <w14:solidFill>
              <w14:schemeClr w14:val="tx1"/>
            </w14:solidFill>
          </w14:textFill>
        </w:rPr>
        <w:t>月投产。</w:t>
      </w:r>
    </w:p>
    <w:p w14:paraId="6AC6C721">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本项目主要建设内容简述如下：</w:t>
      </w:r>
    </w:p>
    <w:p w14:paraId="638B3E74">
      <w:pPr>
        <w:pStyle w:val="85"/>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建设酿造车间1座、包装车间1座、门卫2座、倒班楼1座、办公楼1座、污水处理站1座。</w:t>
      </w:r>
      <w:r>
        <w:rPr>
          <w:rFonts w:hint="eastAsia"/>
          <w:snapToGrid w:val="0"/>
          <w:color w:val="000000" w:themeColor="text1"/>
          <w14:textFill>
            <w14:solidFill>
              <w14:schemeClr w14:val="tx1"/>
            </w14:solidFill>
          </w14:textFill>
        </w:rPr>
        <w:t>本项目建成投产后，啤酒产能为3</w:t>
      </w:r>
      <w:r>
        <w:rPr>
          <w:rFonts w:hint="eastAsia"/>
          <w:snapToGrid w:val="0"/>
          <w:color w:val="000000" w:themeColor="text1"/>
          <w:lang w:val="en-US" w:eastAsia="zh-CN"/>
          <w14:textFill>
            <w14:solidFill>
              <w14:schemeClr w14:val="tx1"/>
            </w14:solidFill>
          </w14:textFill>
        </w:rPr>
        <w:t>0</w:t>
      </w:r>
      <w:r>
        <w:rPr>
          <w:rFonts w:hint="eastAsia"/>
          <w:snapToGrid w:val="0"/>
          <w:color w:val="000000" w:themeColor="text1"/>
          <w14:textFill>
            <w14:solidFill>
              <w14:schemeClr w14:val="tx1"/>
            </w14:solidFill>
          </w14:textFill>
        </w:rPr>
        <w:t>000kL/a</w:t>
      </w:r>
      <w:r>
        <w:rPr>
          <w:snapToGrid w:val="0"/>
          <w:color w:val="000000" w:themeColor="text1"/>
          <w14:textFill>
            <w14:solidFill>
              <w14:schemeClr w14:val="tx1"/>
            </w14:solidFill>
          </w14:textFill>
        </w:rPr>
        <w:t>。</w:t>
      </w:r>
    </w:p>
    <w:bookmarkEnd w:id="91"/>
    <w:p w14:paraId="42D2B8CD">
      <w:pPr>
        <w:pStyle w:val="6"/>
        <w:rPr>
          <w:snapToGrid w:val="0"/>
          <w:color w:val="000000" w:themeColor="text1"/>
          <w14:textFill>
            <w14:solidFill>
              <w14:schemeClr w14:val="tx1"/>
            </w14:solidFill>
          </w14:textFill>
        </w:rPr>
      </w:pPr>
      <w:bookmarkStart w:id="92" w:name="_Toc3973"/>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建设内容及规模</w:t>
      </w:r>
      <w:bookmarkEnd w:id="92"/>
    </w:p>
    <w:p w14:paraId="5CCFD92F">
      <w:pPr>
        <w:pStyle w:val="85"/>
        <w:rPr>
          <w:snapToGrid w:val="0"/>
          <w:color w:val="000000" w:themeColor="text1"/>
          <w:kern w:val="0"/>
          <w14:textFill>
            <w14:solidFill>
              <w14:schemeClr w14:val="tx1"/>
            </w14:solidFill>
          </w14:textFill>
        </w:rPr>
      </w:pPr>
      <w:r>
        <w:rPr>
          <w:rFonts w:hint="eastAsia"/>
          <w:color w:val="000000" w:themeColor="text1"/>
          <w14:textFill>
            <w14:solidFill>
              <w14:schemeClr w14:val="tx1"/>
            </w14:solidFill>
          </w14:textFill>
        </w:rPr>
        <w:t>本项目</w:t>
      </w:r>
      <w:r>
        <w:rPr>
          <w:color w:val="000000" w:themeColor="text1"/>
          <w14:textFill>
            <w14:solidFill>
              <w14:schemeClr w14:val="tx1"/>
            </w14:solidFill>
          </w14:textFill>
        </w:rPr>
        <w:t>主要由主体工程</w:t>
      </w:r>
      <w:r>
        <w:rPr>
          <w:rFonts w:hint="eastAsia"/>
          <w:color w:val="000000" w:themeColor="text1"/>
          <w14:textFill>
            <w14:solidFill>
              <w14:schemeClr w14:val="tx1"/>
            </w14:solidFill>
          </w14:textFill>
        </w:rPr>
        <w:t>、储运工程</w:t>
      </w:r>
      <w:r>
        <w:rPr>
          <w:color w:val="000000" w:themeColor="text1"/>
          <w14:textFill>
            <w14:solidFill>
              <w14:schemeClr w14:val="tx1"/>
            </w14:solidFill>
          </w14:textFill>
        </w:rPr>
        <w:t>、辅助工程、公用工程和环保工程等组成，</w:t>
      </w:r>
      <w:r>
        <w:rPr>
          <w:rFonts w:hint="eastAsia"/>
          <w:snapToGrid w:val="0"/>
          <w:color w:val="000000" w:themeColor="text1"/>
          <w:kern w:val="0"/>
          <w14:textFill>
            <w14:solidFill>
              <w14:schemeClr w14:val="tx1"/>
            </w14:solidFill>
          </w14:textFill>
        </w:rPr>
        <w:t>工程</w:t>
      </w:r>
      <w:r>
        <w:rPr>
          <w:snapToGrid w:val="0"/>
          <w:color w:val="000000" w:themeColor="text1"/>
          <w:kern w:val="0"/>
          <w14:textFill>
            <w14:solidFill>
              <w14:schemeClr w14:val="tx1"/>
            </w14:solidFill>
          </w14:textFill>
        </w:rPr>
        <w:t>组成一览表见表3-2-1</w:t>
      </w:r>
      <w:r>
        <w:rPr>
          <w:rFonts w:hint="eastAsia"/>
          <w:snapToGrid w:val="0"/>
          <w:color w:val="000000" w:themeColor="text1"/>
          <w:kern w:val="0"/>
          <w14:textFill>
            <w14:solidFill>
              <w14:schemeClr w14:val="tx1"/>
            </w14:solidFill>
          </w14:textFill>
        </w:rPr>
        <w:t>。</w:t>
      </w:r>
    </w:p>
    <w:p w14:paraId="2CCBC8AD">
      <w:pPr>
        <w:pStyle w:val="206"/>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表3-</w:t>
      </w:r>
      <w:r>
        <w:rPr>
          <w:snapToGrid w:val="0"/>
          <w:color w:val="000000" w:themeColor="text1"/>
          <w14:textFill>
            <w14:solidFill>
              <w14:schemeClr w14:val="tx1"/>
            </w14:solidFill>
          </w14:textFill>
        </w:rPr>
        <w:t xml:space="preserve">2-1 </w:t>
      </w:r>
      <w:r>
        <w:rPr>
          <w:rFonts w:hint="eastAsia"/>
          <w:snapToGrid w:val="0"/>
          <w:color w:val="000000" w:themeColor="text1"/>
          <w14:textFill>
            <w14:solidFill>
              <w14:schemeClr w14:val="tx1"/>
            </w14:solidFill>
          </w14:textFill>
        </w:rPr>
        <w:t>本项目</w:t>
      </w:r>
      <w:r>
        <w:rPr>
          <w:snapToGrid w:val="0"/>
          <w:color w:val="000000" w:themeColor="text1"/>
          <w14:textFill>
            <w14:solidFill>
              <w14:schemeClr w14:val="tx1"/>
            </w14:solidFill>
          </w14:textFill>
        </w:rPr>
        <w:t>组成一览表</w:t>
      </w:r>
    </w:p>
    <w:tbl>
      <w:tblPr>
        <w:tblStyle w:val="387"/>
        <w:tblpPr w:leftFromText="180" w:rightFromText="180" w:vertAnchor="text" w:tblpXSpec="center" w:tblpY="1"/>
        <w:tblW w:w="850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28"/>
        <w:gridCol w:w="1682"/>
        <w:gridCol w:w="851"/>
        <w:gridCol w:w="4394"/>
        <w:gridCol w:w="850"/>
      </w:tblGrid>
      <w:tr w14:paraId="7E1D97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Align w:val="center"/>
          </w:tcPr>
          <w:p w14:paraId="2DCAD86E">
            <w:pPr>
              <w:pStyle w:val="143"/>
              <w:rPr>
                <w:snapToGrid w:val="0"/>
                <w:color w:val="000000" w:themeColor="text1"/>
                <w:kern w:val="0"/>
                <w14:textFill>
                  <w14:solidFill>
                    <w14:schemeClr w14:val="tx1"/>
                  </w14:solidFill>
                </w14:textFill>
              </w:rPr>
            </w:pPr>
            <w:bookmarkStart w:id="93" w:name="_Hlk520410282"/>
            <w:r>
              <w:rPr>
                <w:snapToGrid w:val="0"/>
                <w:color w:val="000000" w:themeColor="text1"/>
                <w:kern w:val="0"/>
                <w14:textFill>
                  <w14:solidFill>
                    <w14:schemeClr w14:val="tx1"/>
                  </w14:solidFill>
                </w14:textFill>
              </w:rPr>
              <w:t>工程类别</w:t>
            </w:r>
          </w:p>
        </w:tc>
        <w:tc>
          <w:tcPr>
            <w:tcW w:w="1682" w:type="dxa"/>
            <w:vAlign w:val="center"/>
          </w:tcPr>
          <w:p w14:paraId="59DDBBA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工程名称</w:t>
            </w:r>
          </w:p>
        </w:tc>
        <w:tc>
          <w:tcPr>
            <w:tcW w:w="5245" w:type="dxa"/>
            <w:gridSpan w:val="2"/>
            <w:vAlign w:val="center"/>
          </w:tcPr>
          <w:p w14:paraId="2A75627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建设内容及规模</w:t>
            </w:r>
          </w:p>
        </w:tc>
        <w:tc>
          <w:tcPr>
            <w:tcW w:w="850" w:type="dxa"/>
            <w:vAlign w:val="center"/>
          </w:tcPr>
          <w:p w14:paraId="744E624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备注</w:t>
            </w:r>
          </w:p>
        </w:tc>
      </w:tr>
      <w:tr w14:paraId="07CC3B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728" w:type="dxa"/>
            <w:vAlign w:val="center"/>
          </w:tcPr>
          <w:p w14:paraId="504B36EA">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主体</w:t>
            </w:r>
            <w:r>
              <w:rPr>
                <w:snapToGrid w:val="0"/>
                <w:color w:val="000000" w:themeColor="text1"/>
                <w:kern w:val="0"/>
                <w14:textFill>
                  <w14:solidFill>
                    <w14:schemeClr w14:val="tx1"/>
                  </w14:solidFill>
                </w14:textFill>
              </w:rPr>
              <w:t>工程</w:t>
            </w:r>
          </w:p>
        </w:tc>
        <w:tc>
          <w:tcPr>
            <w:tcW w:w="1682" w:type="dxa"/>
            <w:noWrap/>
            <w:vAlign w:val="center"/>
          </w:tcPr>
          <w:p w14:paraId="7425BF89">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w:t>
            </w:r>
            <w:r>
              <w:rPr>
                <w:rFonts w:hint="eastAsia"/>
                <w:snapToGrid w:val="0"/>
                <w:color w:val="000000" w:themeColor="text1"/>
                <w:kern w:val="0"/>
                <w:lang w:eastAsia="zh-CN"/>
                <w14:textFill>
                  <w14:solidFill>
                    <w14:schemeClr w14:val="tx1"/>
                  </w14:solidFill>
                </w14:textFill>
              </w:rPr>
              <w:t>车间</w:t>
            </w:r>
          </w:p>
        </w:tc>
        <w:tc>
          <w:tcPr>
            <w:tcW w:w="5245" w:type="dxa"/>
            <w:gridSpan w:val="2"/>
            <w:noWrap/>
            <w:vAlign w:val="center"/>
          </w:tcPr>
          <w:p w14:paraId="2492F4F3">
            <w:pPr>
              <w:pStyle w:val="143"/>
              <w:jc w:val="both"/>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占地面积6884.34 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，建筑面积7875.73m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层数为一层（局部二层），建筑高度17.46m。功能为酿造及啤酒处理车间。主要功能房间包含有原料处理间、糖化间、酒花库、啤酒处理车间、发酵罐区、控制室、化验及办公室、变配电、柴油发电机房、冷冻站、空压站、消防泵房、二氧化碳回收、锅炉房等。</w:t>
            </w:r>
          </w:p>
        </w:tc>
        <w:tc>
          <w:tcPr>
            <w:tcW w:w="850" w:type="dxa"/>
            <w:vAlign w:val="center"/>
          </w:tcPr>
          <w:p w14:paraId="34CBC188">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新建</w:t>
            </w:r>
          </w:p>
        </w:tc>
      </w:tr>
      <w:tr w14:paraId="6DCE97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728" w:type="dxa"/>
            <w:vAlign w:val="center"/>
          </w:tcPr>
          <w:p w14:paraId="3D39190C">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储运工程</w:t>
            </w:r>
          </w:p>
        </w:tc>
        <w:tc>
          <w:tcPr>
            <w:tcW w:w="1682" w:type="dxa"/>
            <w:noWrap/>
            <w:vAlign w:val="center"/>
          </w:tcPr>
          <w:p w14:paraId="5282A7C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包装</w:t>
            </w:r>
            <w:r>
              <w:rPr>
                <w:rFonts w:hint="eastAsia"/>
                <w:snapToGrid w:val="0"/>
                <w:color w:val="000000" w:themeColor="text1"/>
                <w:kern w:val="0"/>
                <w:lang w:eastAsia="zh-CN"/>
                <w14:textFill>
                  <w14:solidFill>
                    <w14:schemeClr w14:val="tx1"/>
                  </w14:solidFill>
                </w14:textFill>
              </w:rPr>
              <w:t>车间</w:t>
            </w:r>
          </w:p>
        </w:tc>
        <w:tc>
          <w:tcPr>
            <w:tcW w:w="5245" w:type="dxa"/>
            <w:gridSpan w:val="2"/>
            <w:noWrap/>
            <w:vAlign w:val="center"/>
          </w:tcPr>
          <w:p w14:paraId="796BE6B1">
            <w:pPr>
              <w:pStyle w:val="143"/>
              <w:jc w:val="both"/>
              <w:rPr>
                <w:snapToGrid w:val="0"/>
                <w:color w:val="000000" w:themeColor="text1"/>
                <w:kern w:val="0"/>
                <w:szCs w:val="21"/>
                <w:lang w:val="en-US"/>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占地面积 18525.44m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，建筑面积为19667.44m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，层数为一层（局部二层），建筑高度12.32m。主要功能房间包含有：空瓶空罐库、包装车间、成品中转库、高温冷藏库（5℃）</w:t>
            </w:r>
            <w:r>
              <w:rPr>
                <w:rFonts w:hint="eastAsia"/>
                <w:snapToGrid w:val="0"/>
                <w:color w:val="auto"/>
                <w:kern w:val="0"/>
                <w:szCs w:val="21"/>
                <w:lang w:val="en-US" w:eastAsia="zh-CN"/>
              </w:rPr>
              <w:t>。</w:t>
            </w:r>
          </w:p>
        </w:tc>
        <w:tc>
          <w:tcPr>
            <w:tcW w:w="850" w:type="dxa"/>
            <w:vAlign w:val="center"/>
          </w:tcPr>
          <w:p w14:paraId="3B7E0D3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新建</w:t>
            </w:r>
          </w:p>
        </w:tc>
      </w:tr>
      <w:tr w14:paraId="1C6953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restart"/>
            <w:vAlign w:val="center"/>
          </w:tcPr>
          <w:p w14:paraId="4D94C626">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辅助工程</w:t>
            </w:r>
          </w:p>
        </w:tc>
        <w:tc>
          <w:tcPr>
            <w:tcW w:w="1682" w:type="dxa"/>
            <w:noWrap/>
            <w:vAlign w:val="center"/>
          </w:tcPr>
          <w:p w14:paraId="5F827F56">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办公楼</w:t>
            </w:r>
          </w:p>
        </w:tc>
        <w:tc>
          <w:tcPr>
            <w:tcW w:w="5245" w:type="dxa"/>
            <w:gridSpan w:val="2"/>
            <w:noWrap/>
            <w:vAlign w:val="center"/>
          </w:tcPr>
          <w:p w14:paraId="2C5BF6C9">
            <w:pPr>
              <w:pStyle w:val="143"/>
              <w:jc w:val="both"/>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占地面积 1672.30m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，建筑面积为 5627.47m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，建筑高度21.80m。用于员工办公。首层功能为参观用接待厅、办公门厅、办公室及员工食堂，二层功能为办公室及食堂，三~四层为办公室。</w:t>
            </w:r>
          </w:p>
        </w:tc>
        <w:tc>
          <w:tcPr>
            <w:tcW w:w="850" w:type="dxa"/>
            <w:vAlign w:val="center"/>
          </w:tcPr>
          <w:p w14:paraId="5F17501D">
            <w:pPr>
              <w:pStyle w:val="143"/>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新建</w:t>
            </w:r>
          </w:p>
        </w:tc>
      </w:tr>
      <w:tr w14:paraId="5F9290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5D9B0CA0">
            <w:pPr>
              <w:pStyle w:val="143"/>
              <w:rPr>
                <w:rFonts w:hint="eastAsia"/>
                <w:snapToGrid w:val="0"/>
                <w:color w:val="000000" w:themeColor="text1"/>
                <w:kern w:val="0"/>
                <w14:textFill>
                  <w14:solidFill>
                    <w14:schemeClr w14:val="tx1"/>
                  </w14:solidFill>
                </w14:textFill>
              </w:rPr>
            </w:pPr>
          </w:p>
        </w:tc>
        <w:tc>
          <w:tcPr>
            <w:tcW w:w="1682" w:type="dxa"/>
            <w:noWrap/>
            <w:vAlign w:val="center"/>
          </w:tcPr>
          <w:p w14:paraId="56DE9271">
            <w:pPr>
              <w:pStyle w:val="143"/>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倒班楼</w:t>
            </w:r>
          </w:p>
        </w:tc>
        <w:tc>
          <w:tcPr>
            <w:tcW w:w="5245" w:type="dxa"/>
            <w:gridSpan w:val="2"/>
            <w:noWrap/>
            <w:vAlign w:val="center"/>
          </w:tcPr>
          <w:p w14:paraId="4AE23F4E">
            <w:pPr>
              <w:pStyle w:val="143"/>
              <w:jc w:val="both"/>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占地面积为550.64m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，建筑面积为1711.98m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，层数为三层，建筑高度为 13.20m。用于员工昼夜倒班休息，作为宿舍使用。</w:t>
            </w:r>
          </w:p>
        </w:tc>
        <w:tc>
          <w:tcPr>
            <w:tcW w:w="850" w:type="dxa"/>
            <w:vAlign w:val="center"/>
          </w:tcPr>
          <w:p w14:paraId="09D224EA">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新建</w:t>
            </w:r>
          </w:p>
        </w:tc>
      </w:tr>
      <w:tr w14:paraId="16ADB5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234BB3EC">
            <w:pPr>
              <w:pStyle w:val="143"/>
              <w:rPr>
                <w:snapToGrid w:val="0"/>
                <w:color w:val="000000" w:themeColor="text1"/>
                <w:kern w:val="0"/>
                <w14:textFill>
                  <w14:solidFill>
                    <w14:schemeClr w14:val="tx1"/>
                  </w14:solidFill>
                </w14:textFill>
              </w:rPr>
            </w:pPr>
          </w:p>
        </w:tc>
        <w:tc>
          <w:tcPr>
            <w:tcW w:w="1682" w:type="dxa"/>
            <w:noWrap/>
            <w:vAlign w:val="center"/>
          </w:tcPr>
          <w:p w14:paraId="2BFD9BA6">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门卫</w:t>
            </w:r>
          </w:p>
        </w:tc>
        <w:tc>
          <w:tcPr>
            <w:tcW w:w="5245" w:type="dxa"/>
            <w:gridSpan w:val="2"/>
            <w:noWrap/>
            <w:vAlign w:val="center"/>
          </w:tcPr>
          <w:p w14:paraId="6C9B8E22">
            <w:pPr>
              <w:pStyle w:val="143"/>
              <w:jc w:val="both"/>
              <w:rPr>
                <w:rFonts w:hint="eastAsia"/>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1#门卫，占地面积为81.74m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，建筑面积为81.74m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，层数为一层，建筑高度为4.50m。</w:t>
            </w:r>
          </w:p>
          <w:p w14:paraId="50701067">
            <w:pPr>
              <w:pStyle w:val="143"/>
              <w:jc w:val="both"/>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2#门卫，占地面积 26.04m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，建筑面积为 26.04m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，层数为一层，建筑高度 4.50m。</w:t>
            </w:r>
          </w:p>
        </w:tc>
        <w:tc>
          <w:tcPr>
            <w:tcW w:w="850" w:type="dxa"/>
            <w:vAlign w:val="center"/>
          </w:tcPr>
          <w:p w14:paraId="7B556918">
            <w:pPr>
              <w:pStyle w:val="143"/>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新建</w:t>
            </w:r>
          </w:p>
        </w:tc>
      </w:tr>
      <w:tr w14:paraId="57A005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2B0E0642">
            <w:pPr>
              <w:pStyle w:val="143"/>
              <w:rPr>
                <w:snapToGrid w:val="0"/>
                <w:color w:val="000000" w:themeColor="text1"/>
                <w:kern w:val="0"/>
                <w14:textFill>
                  <w14:solidFill>
                    <w14:schemeClr w14:val="tx1"/>
                  </w14:solidFill>
                </w14:textFill>
              </w:rPr>
            </w:pPr>
          </w:p>
        </w:tc>
        <w:tc>
          <w:tcPr>
            <w:tcW w:w="1682" w:type="dxa"/>
            <w:noWrap/>
            <w:vAlign w:val="center"/>
          </w:tcPr>
          <w:p w14:paraId="5412E871">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污水处理站</w:t>
            </w:r>
          </w:p>
        </w:tc>
        <w:tc>
          <w:tcPr>
            <w:tcW w:w="5245" w:type="dxa"/>
            <w:gridSpan w:val="2"/>
            <w:noWrap/>
            <w:vAlign w:val="center"/>
          </w:tcPr>
          <w:p w14:paraId="746C286A">
            <w:pPr>
              <w:pStyle w:val="143"/>
              <w:jc w:val="both"/>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地上一层，位于厂区东南角，占地面积 671.44m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，建筑面积为 671.44m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，层数为一层，建筑面积5.88m。日处理能力为200m</w:t>
            </w:r>
            <w:r>
              <w:rPr>
                <w:rFonts w:hint="eastAsia"/>
                <w:snapToGrid w:val="0"/>
                <w:color w:val="000000" w:themeColor="text1"/>
                <w:kern w:val="0"/>
                <w:szCs w:val="21"/>
                <w:vertAlign w:val="superscript"/>
                <w:lang w:val="en-US" w:eastAsia="zh-CN"/>
                <w14:textFill>
                  <w14:solidFill>
                    <w14:schemeClr w14:val="tx1"/>
                  </w14:solidFill>
                </w14:textFill>
              </w:rPr>
              <w:t>3</w:t>
            </w:r>
            <w:r>
              <w:rPr>
                <w:rFonts w:hint="eastAsia"/>
                <w:snapToGrid w:val="0"/>
                <w:color w:val="000000" w:themeColor="text1"/>
                <w:kern w:val="0"/>
                <w:szCs w:val="21"/>
                <w:vertAlign w:val="baseline"/>
                <w:lang w:val="en-US" w:eastAsia="zh-CN"/>
                <w14:textFill>
                  <w14:solidFill>
                    <w14:schemeClr w14:val="tx1"/>
                  </w14:solidFill>
                </w14:textFill>
              </w:rPr>
              <w:t>/d</w:t>
            </w:r>
            <w:r>
              <w:rPr>
                <w:rFonts w:hint="eastAsia"/>
                <w:snapToGrid w:val="0"/>
                <w:color w:val="000000" w:themeColor="text1"/>
                <w:kern w:val="0"/>
                <w:szCs w:val="21"/>
                <w:lang w:val="en-US" w:eastAsia="zh-CN"/>
                <w14:textFill>
                  <w14:solidFill>
                    <w14:schemeClr w14:val="tx1"/>
                  </w14:solidFill>
                </w14:textFill>
              </w:rPr>
              <w:t>，工艺为</w:t>
            </w:r>
            <w:r>
              <w:rPr>
                <w:rFonts w:hint="eastAsia"/>
                <w:snapToGrid w:val="0"/>
                <w:color w:val="000000" w:themeColor="text1"/>
                <w14:textFill>
                  <w14:solidFill>
                    <w14:schemeClr w14:val="tx1"/>
                  </w14:solidFill>
                </w14:textFill>
              </w:rPr>
              <w:t>“初沉池+调节池+UASB+</w:t>
            </w:r>
            <w:r>
              <w:rPr>
                <w:rFonts w:hint="eastAsia"/>
                <w:snapToGrid w:val="0"/>
                <w:color w:val="000000" w:themeColor="text1"/>
                <w:lang w:eastAsia="zh-CN"/>
                <w14:textFill>
                  <w14:solidFill>
                    <w14:schemeClr w14:val="tx1"/>
                  </w14:solidFill>
                </w14:textFill>
              </w:rPr>
              <w:t>A/O</w:t>
            </w:r>
            <w:r>
              <w:rPr>
                <w:rFonts w:hint="eastAsia"/>
                <w:snapToGrid w:val="0"/>
                <w:color w:val="000000" w:themeColor="text1"/>
                <w14:textFill>
                  <w14:solidFill>
                    <w14:schemeClr w14:val="tx1"/>
                  </w14:solidFill>
                </w14:textFill>
              </w:rPr>
              <w:t>+二沉池+污泥池”</w:t>
            </w:r>
          </w:p>
        </w:tc>
        <w:tc>
          <w:tcPr>
            <w:tcW w:w="850" w:type="dxa"/>
            <w:vAlign w:val="center"/>
          </w:tcPr>
          <w:p w14:paraId="745763E4">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新建</w:t>
            </w:r>
          </w:p>
        </w:tc>
      </w:tr>
      <w:tr w14:paraId="4351AA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2523F162">
            <w:pPr>
              <w:pStyle w:val="143"/>
              <w:rPr>
                <w:snapToGrid w:val="0"/>
                <w:color w:val="000000" w:themeColor="text1"/>
                <w:kern w:val="0"/>
                <w14:textFill>
                  <w14:solidFill>
                    <w14:schemeClr w14:val="tx1"/>
                  </w14:solidFill>
                </w14:textFill>
              </w:rPr>
            </w:pPr>
          </w:p>
        </w:tc>
        <w:tc>
          <w:tcPr>
            <w:tcW w:w="1682" w:type="dxa"/>
            <w:noWrap/>
            <w:vAlign w:val="center"/>
          </w:tcPr>
          <w:p w14:paraId="6EF0074D">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锅炉房</w:t>
            </w:r>
          </w:p>
        </w:tc>
        <w:tc>
          <w:tcPr>
            <w:tcW w:w="5245" w:type="dxa"/>
            <w:gridSpan w:val="2"/>
            <w:noWrap/>
            <w:vAlign w:val="center"/>
          </w:tcPr>
          <w:p w14:paraId="095518DA">
            <w:pPr>
              <w:pStyle w:val="143"/>
              <w:jc w:val="both"/>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位于酿造车间东北角，建筑面积216m</w:t>
            </w:r>
            <w:r>
              <w:rPr>
                <w:rFonts w:hint="eastAsia"/>
                <w:snapToGrid w:val="0"/>
                <w:color w:val="000000" w:themeColor="text1"/>
                <w:kern w:val="0"/>
                <w:szCs w:val="21"/>
                <w:vertAlign w:val="superscript"/>
                <w:lang w:val="en-US" w:eastAsia="zh-CN"/>
                <w14:textFill>
                  <w14:solidFill>
                    <w14:schemeClr w14:val="tx1"/>
                  </w14:solidFill>
                </w14:textFill>
              </w:rPr>
              <w:t>2</w:t>
            </w:r>
            <w:r>
              <w:rPr>
                <w:rFonts w:hint="eastAsia"/>
                <w:snapToGrid w:val="0"/>
                <w:color w:val="000000" w:themeColor="text1"/>
                <w:kern w:val="0"/>
                <w:szCs w:val="21"/>
                <w:lang w:val="en-US" w:eastAsia="zh-CN"/>
                <w14:textFill>
                  <w14:solidFill>
                    <w14:schemeClr w14:val="tx1"/>
                  </w14:solidFill>
                </w14:textFill>
              </w:rPr>
              <w:t>，新建3台4t/h燃气锅炉，用于厂区生产供热及生活供暖</w:t>
            </w:r>
          </w:p>
        </w:tc>
        <w:tc>
          <w:tcPr>
            <w:tcW w:w="850" w:type="dxa"/>
            <w:vAlign w:val="center"/>
          </w:tcPr>
          <w:p w14:paraId="20A70AAF">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新建</w:t>
            </w:r>
          </w:p>
        </w:tc>
      </w:tr>
      <w:tr w14:paraId="7192B5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restart"/>
            <w:vAlign w:val="center"/>
          </w:tcPr>
          <w:p w14:paraId="2125667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公用工程</w:t>
            </w:r>
          </w:p>
        </w:tc>
        <w:tc>
          <w:tcPr>
            <w:tcW w:w="1682" w:type="dxa"/>
            <w:noWrap/>
            <w:vAlign w:val="center"/>
          </w:tcPr>
          <w:p w14:paraId="32D81ADA">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供水</w:t>
            </w:r>
          </w:p>
        </w:tc>
        <w:tc>
          <w:tcPr>
            <w:tcW w:w="5245" w:type="dxa"/>
            <w:gridSpan w:val="2"/>
            <w:noWrap/>
            <w:vAlign w:val="center"/>
          </w:tcPr>
          <w:p w14:paraId="278AE534">
            <w:pPr>
              <w:pStyle w:val="143"/>
              <w:jc w:val="both"/>
              <w:rPr>
                <w:snapToGrid w:val="0"/>
                <w:color w:val="000000" w:themeColor="text1"/>
                <w:kern w:val="0"/>
                <w14:textFill>
                  <w14:solidFill>
                    <w14:schemeClr w14:val="tx1"/>
                  </w14:solidFill>
                </w14:textFill>
              </w:rPr>
            </w:pPr>
            <w:r>
              <w:rPr>
                <w:snapToGrid w:val="0"/>
                <w:color w:val="000000" w:themeColor="text1"/>
                <w:kern w:val="0"/>
                <w:lang w:val="en-US" w:eastAsia="zh-CN"/>
                <w14:textFill>
                  <w14:solidFill>
                    <w14:schemeClr w14:val="tx1"/>
                  </w14:solidFill>
                </w14:textFill>
              </w:rPr>
              <w:t>本项目</w:t>
            </w:r>
            <w:r>
              <w:rPr>
                <w:rFonts w:hint="eastAsia"/>
                <w:snapToGrid w:val="0"/>
                <w:color w:val="000000" w:themeColor="text1"/>
                <w:kern w:val="0"/>
                <w:lang w:val="en-US" w:eastAsia="zh-CN"/>
                <w14:textFill>
                  <w14:solidFill>
                    <w14:schemeClr w14:val="tx1"/>
                  </w14:solidFill>
                </w14:textFill>
              </w:rPr>
              <w:t>用水依托园区供水管网。</w:t>
            </w:r>
          </w:p>
        </w:tc>
        <w:tc>
          <w:tcPr>
            <w:tcW w:w="850" w:type="dxa"/>
            <w:vAlign w:val="center"/>
          </w:tcPr>
          <w:p w14:paraId="1687C4B9">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依托</w:t>
            </w:r>
          </w:p>
        </w:tc>
      </w:tr>
      <w:tr w14:paraId="2E1814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245B8685">
            <w:pPr>
              <w:pStyle w:val="143"/>
              <w:rPr>
                <w:snapToGrid w:val="0"/>
                <w:color w:val="000000" w:themeColor="text1"/>
                <w:kern w:val="0"/>
                <w14:textFill>
                  <w14:solidFill>
                    <w14:schemeClr w14:val="tx1"/>
                  </w14:solidFill>
                </w14:textFill>
              </w:rPr>
            </w:pPr>
          </w:p>
        </w:tc>
        <w:tc>
          <w:tcPr>
            <w:tcW w:w="1682" w:type="dxa"/>
            <w:noWrap/>
            <w:vAlign w:val="center"/>
          </w:tcPr>
          <w:p w14:paraId="6644625F">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排水</w:t>
            </w:r>
          </w:p>
        </w:tc>
        <w:tc>
          <w:tcPr>
            <w:tcW w:w="5245" w:type="dxa"/>
            <w:gridSpan w:val="2"/>
            <w:noWrap/>
            <w:vAlign w:val="center"/>
          </w:tcPr>
          <w:p w14:paraId="687ED058">
            <w:pPr>
              <w:pStyle w:val="143"/>
              <w:jc w:val="both"/>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本项目废水由新建</w:t>
            </w:r>
            <w:r>
              <w:rPr>
                <w:rFonts w:hint="eastAsia"/>
                <w:snapToGrid w:val="0"/>
                <w:color w:val="000000" w:themeColor="text1"/>
                <w:kern w:val="0"/>
                <w:lang w:val="en-US"/>
                <w14:textFill>
                  <w14:solidFill>
                    <w14:schemeClr w14:val="tx1"/>
                  </w14:solidFill>
                </w14:textFill>
              </w:rPr>
              <w:t>的处理能力为</w:t>
            </w:r>
            <w:r>
              <w:rPr>
                <w:rFonts w:hint="eastAsia"/>
                <w:snapToGrid w:val="0"/>
                <w:color w:val="000000" w:themeColor="text1"/>
                <w:kern w:val="0"/>
                <w:lang w:val="en-US" w:eastAsia="zh-CN"/>
                <w14:textFill>
                  <w14:solidFill>
                    <w14:schemeClr w14:val="tx1"/>
                  </w14:solidFill>
                </w14:textFill>
              </w:rPr>
              <w:t>2</w:t>
            </w:r>
            <w:r>
              <w:rPr>
                <w:snapToGrid w:val="0"/>
                <w:color w:val="000000" w:themeColor="text1"/>
                <w:kern w:val="0"/>
                <w:lang w:val="en-US"/>
                <w14:textFill>
                  <w14:solidFill>
                    <w14:schemeClr w14:val="tx1"/>
                  </w14:solidFill>
                </w14:textFill>
              </w:rPr>
              <w:t>00m</w:t>
            </w:r>
            <w:r>
              <w:rPr>
                <w:snapToGrid w:val="0"/>
                <w:color w:val="000000" w:themeColor="text1"/>
                <w:kern w:val="0"/>
                <w:vertAlign w:val="superscript"/>
                <w:lang w:val="en-US"/>
                <w14:textFill>
                  <w14:solidFill>
                    <w14:schemeClr w14:val="tx1"/>
                  </w14:solidFill>
                </w14:textFill>
              </w:rPr>
              <w:t>3</w:t>
            </w:r>
            <w:r>
              <w:rPr>
                <w:snapToGrid w:val="0"/>
                <w:color w:val="000000" w:themeColor="text1"/>
                <w:kern w:val="0"/>
                <w:lang w:val="en-US"/>
                <w14:textFill>
                  <w14:solidFill>
                    <w14:schemeClr w14:val="tx1"/>
                  </w14:solidFill>
                </w14:textFill>
              </w:rPr>
              <w:t>/d</w:t>
            </w:r>
            <w:r>
              <w:rPr>
                <w:rFonts w:hint="eastAsia"/>
                <w:snapToGrid w:val="0"/>
                <w:color w:val="000000" w:themeColor="text1"/>
                <w:kern w:val="0"/>
                <w:lang w:val="en-US"/>
                <w14:textFill>
                  <w14:solidFill>
                    <w14:schemeClr w14:val="tx1"/>
                  </w14:solidFill>
                </w14:textFill>
              </w:rPr>
              <w:t>的</w:t>
            </w:r>
            <w:r>
              <w:rPr>
                <w:snapToGrid w:val="0"/>
                <w:color w:val="000000" w:themeColor="text1"/>
                <w:kern w:val="0"/>
                <w:lang w:val="en-US"/>
                <w14:textFill>
                  <w14:solidFill>
                    <w14:schemeClr w14:val="tx1"/>
                  </w14:solidFill>
                </w14:textFill>
              </w:rPr>
              <w:t>污水处理站处理满足《</w:t>
            </w:r>
            <w:r>
              <w:rPr>
                <w:rFonts w:hint="eastAsia"/>
                <w:snapToGrid w:val="0"/>
                <w:color w:val="000000" w:themeColor="text1"/>
                <w:kern w:val="0"/>
                <w:lang w:val="en-US" w:eastAsia="zh-CN"/>
                <w14:textFill>
                  <w14:solidFill>
                    <w14:schemeClr w14:val="tx1"/>
                  </w14:solidFill>
                </w14:textFill>
              </w:rPr>
              <w:t>酒类制造业水污染物排放标准</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GB19821-2025</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标准及</w:t>
            </w:r>
            <w:r>
              <w:rPr>
                <w:rFonts w:hint="eastAsia"/>
                <w:snapToGrid w:val="0"/>
                <w:color w:val="000000" w:themeColor="text1"/>
                <w:kern w:val="0"/>
                <w:lang w:val="en-US" w:eastAsia="zh-CN"/>
                <w14:textFill>
                  <w14:solidFill>
                    <w14:schemeClr w14:val="tx1"/>
                  </w14:solidFill>
                </w14:textFill>
              </w:rPr>
              <w:t>桦南县城镇污水处理厂</w:t>
            </w:r>
            <w:r>
              <w:rPr>
                <w:snapToGrid w:val="0"/>
                <w:color w:val="000000" w:themeColor="text1"/>
                <w:kern w:val="0"/>
                <w:lang w:val="en-US"/>
                <w14:textFill>
                  <w14:solidFill>
                    <w14:schemeClr w14:val="tx1"/>
                  </w14:solidFill>
                </w14:textFill>
              </w:rPr>
              <w:t>进水指标后进入</w:t>
            </w:r>
            <w:r>
              <w:rPr>
                <w:rFonts w:hint="eastAsia"/>
                <w:snapToGrid w:val="0"/>
                <w:color w:val="000000" w:themeColor="text1"/>
                <w:kern w:val="0"/>
                <w:lang w:val="en-US" w:eastAsia="zh-CN"/>
                <w14:textFill>
                  <w14:solidFill>
                    <w14:schemeClr w14:val="tx1"/>
                  </w14:solidFill>
                </w14:textFill>
              </w:rPr>
              <w:t>园区</w:t>
            </w:r>
            <w:r>
              <w:rPr>
                <w:snapToGrid w:val="0"/>
                <w:color w:val="000000" w:themeColor="text1"/>
                <w:kern w:val="0"/>
                <w:lang w:val="en-US"/>
                <w14:textFill>
                  <w14:solidFill>
                    <w14:schemeClr w14:val="tx1"/>
                  </w14:solidFill>
                </w14:textFill>
              </w:rPr>
              <w:t>污水管网，排入</w:t>
            </w:r>
            <w:r>
              <w:rPr>
                <w:rFonts w:hint="eastAsia"/>
                <w:snapToGrid w:val="0"/>
                <w:color w:val="000000" w:themeColor="text1"/>
                <w:kern w:val="0"/>
                <w:lang w:val="en-US" w:eastAsia="zh-CN"/>
                <w14:textFill>
                  <w14:solidFill>
                    <w14:schemeClr w14:val="tx1"/>
                  </w14:solidFill>
                </w14:textFill>
              </w:rPr>
              <w:t>桦南县城镇污水处理厂</w:t>
            </w:r>
            <w:r>
              <w:rPr>
                <w:snapToGrid w:val="0"/>
                <w:color w:val="000000" w:themeColor="text1"/>
                <w:kern w:val="0"/>
                <w:lang w:val="en-US"/>
                <w14:textFill>
                  <w14:solidFill>
                    <w14:schemeClr w14:val="tx1"/>
                  </w14:solidFill>
                </w14:textFill>
              </w:rPr>
              <w:t>统一处理，废水</w:t>
            </w:r>
            <w:r>
              <w:rPr>
                <w:rFonts w:hint="eastAsia"/>
                <w:snapToGrid w:val="0"/>
                <w:color w:val="000000" w:themeColor="text1"/>
                <w:kern w:val="0"/>
                <w:lang w:val="en-US"/>
                <w14:textFill>
                  <w14:solidFill>
                    <w14:schemeClr w14:val="tx1"/>
                  </w14:solidFill>
                </w14:textFill>
              </w:rPr>
              <w:t>达到《城镇污水处理厂污染物排放标准》（GB 18918-2002）及修改单中的一级A标准</w:t>
            </w:r>
            <w:r>
              <w:rPr>
                <w:rFonts w:hint="eastAsia"/>
                <w:snapToGrid w:val="0"/>
                <w:color w:val="000000" w:themeColor="text1"/>
                <w:kern w:val="0"/>
                <w:lang w:val="en-US" w:eastAsia="zh-CN"/>
                <w14:textFill>
                  <w14:solidFill>
                    <w14:schemeClr w14:val="tx1"/>
                  </w14:solidFill>
                </w14:textFill>
              </w:rPr>
              <w:t>要求排入八虎力河，最终汇入倭肯河</w:t>
            </w:r>
            <w:r>
              <w:rPr>
                <w:rFonts w:hint="eastAsia"/>
                <w:snapToGrid w:val="0"/>
                <w:color w:val="000000" w:themeColor="text1"/>
                <w:kern w:val="0"/>
                <w:lang w:val="en-US"/>
                <w14:textFill>
                  <w14:solidFill>
                    <w14:schemeClr w14:val="tx1"/>
                  </w14:solidFill>
                </w14:textFill>
              </w:rPr>
              <w:t>。</w:t>
            </w:r>
          </w:p>
        </w:tc>
        <w:tc>
          <w:tcPr>
            <w:tcW w:w="850" w:type="dxa"/>
            <w:vAlign w:val="center"/>
          </w:tcPr>
          <w:p w14:paraId="640BA725">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新建</w:t>
            </w:r>
          </w:p>
        </w:tc>
      </w:tr>
      <w:tr w14:paraId="46388C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5D81F220">
            <w:pPr>
              <w:pStyle w:val="143"/>
              <w:rPr>
                <w:snapToGrid w:val="0"/>
                <w:color w:val="000000" w:themeColor="text1"/>
                <w:kern w:val="0"/>
                <w14:textFill>
                  <w14:solidFill>
                    <w14:schemeClr w14:val="tx1"/>
                  </w14:solidFill>
                </w14:textFill>
              </w:rPr>
            </w:pPr>
          </w:p>
        </w:tc>
        <w:tc>
          <w:tcPr>
            <w:tcW w:w="1682" w:type="dxa"/>
            <w:noWrap/>
            <w:vAlign w:val="center"/>
          </w:tcPr>
          <w:p w14:paraId="5D32AB56">
            <w:pPr>
              <w:pStyle w:val="143"/>
              <w:rPr>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供电</w:t>
            </w:r>
          </w:p>
        </w:tc>
        <w:tc>
          <w:tcPr>
            <w:tcW w:w="5245" w:type="dxa"/>
            <w:gridSpan w:val="2"/>
            <w:noWrap/>
            <w:vAlign w:val="center"/>
          </w:tcPr>
          <w:p w14:paraId="7BE3E9CA">
            <w:pPr>
              <w:pStyle w:val="143"/>
              <w:jc w:val="both"/>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依托市政电网。</w:t>
            </w:r>
          </w:p>
        </w:tc>
        <w:tc>
          <w:tcPr>
            <w:tcW w:w="850" w:type="dxa"/>
            <w:vAlign w:val="center"/>
          </w:tcPr>
          <w:p w14:paraId="718CEBA2">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依托</w:t>
            </w:r>
          </w:p>
        </w:tc>
      </w:tr>
      <w:tr w14:paraId="2B72AC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6CE4C3F0">
            <w:pPr>
              <w:pStyle w:val="143"/>
              <w:rPr>
                <w:snapToGrid w:val="0"/>
                <w:color w:val="000000" w:themeColor="text1"/>
                <w:kern w:val="0"/>
                <w14:textFill>
                  <w14:solidFill>
                    <w14:schemeClr w14:val="tx1"/>
                  </w14:solidFill>
                </w14:textFill>
              </w:rPr>
            </w:pPr>
          </w:p>
        </w:tc>
        <w:tc>
          <w:tcPr>
            <w:tcW w:w="1682" w:type="dxa"/>
            <w:noWrap/>
            <w:vAlign w:val="center"/>
          </w:tcPr>
          <w:p w14:paraId="1F3DB8B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供热</w:t>
            </w:r>
          </w:p>
        </w:tc>
        <w:tc>
          <w:tcPr>
            <w:tcW w:w="5245" w:type="dxa"/>
            <w:gridSpan w:val="2"/>
            <w:noWrap/>
            <w:vAlign w:val="center"/>
          </w:tcPr>
          <w:p w14:paraId="1DE4E987">
            <w:pPr>
              <w:pStyle w:val="143"/>
              <w:jc w:val="both"/>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本项目生活取暖采取园区集中供热方式；生产用热由新建的3台4t/h燃气锅炉提供</w:t>
            </w:r>
          </w:p>
        </w:tc>
        <w:tc>
          <w:tcPr>
            <w:tcW w:w="850" w:type="dxa"/>
            <w:vAlign w:val="center"/>
          </w:tcPr>
          <w:p w14:paraId="71DFA2BA">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新建</w:t>
            </w:r>
          </w:p>
        </w:tc>
      </w:tr>
      <w:tr w14:paraId="32B2B6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restart"/>
            <w:vAlign w:val="center"/>
          </w:tcPr>
          <w:p w14:paraId="6959892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环保工程</w:t>
            </w:r>
          </w:p>
        </w:tc>
        <w:tc>
          <w:tcPr>
            <w:tcW w:w="1682" w:type="dxa"/>
            <w:noWrap/>
            <w:vAlign w:val="center"/>
          </w:tcPr>
          <w:p w14:paraId="2AF07E3B">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废水</w:t>
            </w:r>
          </w:p>
        </w:tc>
        <w:tc>
          <w:tcPr>
            <w:tcW w:w="5245" w:type="dxa"/>
            <w:gridSpan w:val="2"/>
            <w:vAlign w:val="center"/>
          </w:tcPr>
          <w:p w14:paraId="39DD5DFE">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本项目</w:t>
            </w:r>
            <w:r>
              <w:rPr>
                <w:rFonts w:hint="eastAsia"/>
                <w:snapToGrid w:val="0"/>
                <w:color w:val="000000" w:themeColor="text1"/>
                <w:kern w:val="0"/>
                <w:lang w:val="en-US" w:eastAsia="zh-CN"/>
                <w14:textFill>
                  <w14:solidFill>
                    <w14:schemeClr w14:val="tx1"/>
                  </w14:solidFill>
                </w14:textFill>
              </w:rPr>
              <w:t>新建</w:t>
            </w:r>
            <w:r>
              <w:rPr>
                <w:rFonts w:hint="eastAsia"/>
                <w:snapToGrid w:val="0"/>
                <w:color w:val="000000" w:themeColor="text1"/>
                <w:kern w:val="0"/>
                <w:lang w:val="en-US"/>
                <w14:textFill>
                  <w14:solidFill>
                    <w14:schemeClr w14:val="tx1"/>
                  </w14:solidFill>
                </w14:textFill>
              </w:rPr>
              <w:t>污水处理站</w:t>
            </w:r>
            <w:r>
              <w:rPr>
                <w:rFonts w:hint="eastAsia"/>
                <w:snapToGrid w:val="0"/>
                <w:color w:val="000000" w:themeColor="text1"/>
                <w:kern w:val="0"/>
                <w:lang w:val="en-US" w:eastAsia="zh-CN"/>
                <w14:textFill>
                  <w14:solidFill>
                    <w14:schemeClr w14:val="tx1"/>
                  </w14:solidFill>
                </w14:textFill>
              </w:rPr>
              <w:t>，本项目污水处理</w:t>
            </w:r>
            <w:r>
              <w:rPr>
                <w:rFonts w:hint="eastAsia"/>
                <w:snapToGrid w:val="0"/>
                <w:color w:val="000000" w:themeColor="text1"/>
                <w:kern w:val="0"/>
                <w:lang w:val="en-US"/>
                <w14:textFill>
                  <w14:solidFill>
                    <w14:schemeClr w14:val="tx1"/>
                  </w14:solidFill>
                </w14:textFill>
              </w:rPr>
              <w:t>工艺为“初沉池+调节池+UASB+</w:t>
            </w:r>
            <w:r>
              <w:rPr>
                <w:rFonts w:hint="eastAsia"/>
                <w:snapToGrid w:val="0"/>
                <w:color w:val="000000" w:themeColor="text1"/>
                <w:kern w:val="0"/>
                <w:lang w:val="en-US" w:eastAsia="zh-CN"/>
                <w14:textFill>
                  <w14:solidFill>
                    <w14:schemeClr w14:val="tx1"/>
                  </w14:solidFill>
                </w14:textFill>
              </w:rPr>
              <w:t>A/O</w:t>
            </w:r>
            <w:r>
              <w:rPr>
                <w:rFonts w:hint="eastAsia"/>
                <w:snapToGrid w:val="0"/>
                <w:color w:val="000000" w:themeColor="text1"/>
                <w:kern w:val="0"/>
                <w:lang w:val="en-US"/>
                <w14:textFill>
                  <w14:solidFill>
                    <w14:schemeClr w14:val="tx1"/>
                  </w14:solidFill>
                </w14:textFill>
              </w:rPr>
              <w:t>+二沉池+污泥池”</w:t>
            </w:r>
            <w:r>
              <w:rPr>
                <w:rFonts w:hint="eastAsia"/>
                <w:snapToGrid w:val="0"/>
                <w:color w:val="000000" w:themeColor="text1"/>
                <w:kern w:val="0"/>
                <w:lang w:val="en-US" w:eastAsia="zh-CN"/>
                <w14:textFill>
                  <w14:solidFill>
                    <w14:schemeClr w14:val="tx1"/>
                  </w14:solidFill>
                </w14:textFill>
              </w:rPr>
              <w:t>。</w:t>
            </w:r>
          </w:p>
          <w:p w14:paraId="67277313">
            <w:pPr>
              <w:pStyle w:val="143"/>
              <w:jc w:val="both"/>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本项目废水由新建</w:t>
            </w:r>
            <w:r>
              <w:rPr>
                <w:rFonts w:hint="eastAsia"/>
                <w:snapToGrid w:val="0"/>
                <w:color w:val="000000" w:themeColor="text1"/>
                <w:kern w:val="0"/>
                <w:lang w:val="en-US"/>
                <w14:textFill>
                  <w14:solidFill>
                    <w14:schemeClr w14:val="tx1"/>
                  </w14:solidFill>
                </w14:textFill>
              </w:rPr>
              <w:t>的处理能力为</w:t>
            </w:r>
            <w:r>
              <w:rPr>
                <w:rFonts w:hint="eastAsia"/>
                <w:snapToGrid w:val="0"/>
                <w:color w:val="000000" w:themeColor="text1"/>
                <w:kern w:val="0"/>
                <w:lang w:val="en-US" w:eastAsia="zh-CN"/>
                <w14:textFill>
                  <w14:solidFill>
                    <w14:schemeClr w14:val="tx1"/>
                  </w14:solidFill>
                </w14:textFill>
              </w:rPr>
              <w:t>2</w:t>
            </w:r>
            <w:r>
              <w:rPr>
                <w:snapToGrid w:val="0"/>
                <w:color w:val="000000" w:themeColor="text1"/>
                <w:kern w:val="0"/>
                <w:lang w:val="en-US"/>
                <w14:textFill>
                  <w14:solidFill>
                    <w14:schemeClr w14:val="tx1"/>
                  </w14:solidFill>
                </w14:textFill>
              </w:rPr>
              <w:t>00m</w:t>
            </w:r>
            <w:r>
              <w:rPr>
                <w:snapToGrid w:val="0"/>
                <w:color w:val="000000" w:themeColor="text1"/>
                <w:kern w:val="0"/>
                <w:vertAlign w:val="superscript"/>
                <w:lang w:val="en-US"/>
                <w14:textFill>
                  <w14:solidFill>
                    <w14:schemeClr w14:val="tx1"/>
                  </w14:solidFill>
                </w14:textFill>
              </w:rPr>
              <w:t>3</w:t>
            </w:r>
            <w:r>
              <w:rPr>
                <w:snapToGrid w:val="0"/>
                <w:color w:val="000000" w:themeColor="text1"/>
                <w:kern w:val="0"/>
                <w:lang w:val="en-US"/>
                <w14:textFill>
                  <w14:solidFill>
                    <w14:schemeClr w14:val="tx1"/>
                  </w14:solidFill>
                </w14:textFill>
              </w:rPr>
              <w:t>/d</w:t>
            </w:r>
            <w:r>
              <w:rPr>
                <w:rFonts w:hint="eastAsia"/>
                <w:snapToGrid w:val="0"/>
                <w:color w:val="000000" w:themeColor="text1"/>
                <w:kern w:val="0"/>
                <w:lang w:val="en-US"/>
                <w14:textFill>
                  <w14:solidFill>
                    <w14:schemeClr w14:val="tx1"/>
                  </w14:solidFill>
                </w14:textFill>
              </w:rPr>
              <w:t>的</w:t>
            </w:r>
            <w:r>
              <w:rPr>
                <w:snapToGrid w:val="0"/>
                <w:color w:val="000000" w:themeColor="text1"/>
                <w:kern w:val="0"/>
                <w:lang w:val="en-US"/>
                <w14:textFill>
                  <w14:solidFill>
                    <w14:schemeClr w14:val="tx1"/>
                  </w14:solidFill>
                </w14:textFill>
              </w:rPr>
              <w:t>污水处理站处理满足《</w:t>
            </w:r>
            <w:r>
              <w:rPr>
                <w:rFonts w:hint="eastAsia"/>
                <w:snapToGrid w:val="0"/>
                <w:color w:val="000000" w:themeColor="text1"/>
                <w:kern w:val="0"/>
                <w:lang w:val="en-US" w:eastAsia="zh-CN"/>
                <w14:textFill>
                  <w14:solidFill>
                    <w14:schemeClr w14:val="tx1"/>
                  </w14:solidFill>
                </w14:textFill>
              </w:rPr>
              <w:t>酒类制造业水污染物排放标准</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GB19821-2025</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标准及</w:t>
            </w:r>
            <w:r>
              <w:rPr>
                <w:rFonts w:hint="eastAsia"/>
                <w:snapToGrid w:val="0"/>
                <w:color w:val="000000" w:themeColor="text1"/>
                <w:kern w:val="0"/>
                <w:lang w:val="en-US" w:eastAsia="zh-CN"/>
                <w14:textFill>
                  <w14:solidFill>
                    <w14:schemeClr w14:val="tx1"/>
                  </w14:solidFill>
                </w14:textFill>
              </w:rPr>
              <w:t>桦南县城镇污水处理厂</w:t>
            </w:r>
            <w:r>
              <w:rPr>
                <w:snapToGrid w:val="0"/>
                <w:color w:val="000000" w:themeColor="text1"/>
                <w:kern w:val="0"/>
                <w:lang w:val="en-US"/>
                <w14:textFill>
                  <w14:solidFill>
                    <w14:schemeClr w14:val="tx1"/>
                  </w14:solidFill>
                </w14:textFill>
              </w:rPr>
              <w:t>进水指标后进入</w:t>
            </w:r>
            <w:r>
              <w:rPr>
                <w:rFonts w:hint="eastAsia"/>
                <w:snapToGrid w:val="0"/>
                <w:color w:val="000000" w:themeColor="text1"/>
                <w:kern w:val="0"/>
                <w:lang w:val="en-US" w:eastAsia="zh-CN"/>
                <w14:textFill>
                  <w14:solidFill>
                    <w14:schemeClr w14:val="tx1"/>
                  </w14:solidFill>
                </w14:textFill>
              </w:rPr>
              <w:t>园区</w:t>
            </w:r>
            <w:r>
              <w:rPr>
                <w:snapToGrid w:val="0"/>
                <w:color w:val="000000" w:themeColor="text1"/>
                <w:kern w:val="0"/>
                <w:lang w:val="en-US"/>
                <w14:textFill>
                  <w14:solidFill>
                    <w14:schemeClr w14:val="tx1"/>
                  </w14:solidFill>
                </w14:textFill>
              </w:rPr>
              <w:t>污水管网，排入</w:t>
            </w:r>
            <w:r>
              <w:rPr>
                <w:rFonts w:hint="eastAsia"/>
                <w:snapToGrid w:val="0"/>
                <w:color w:val="000000" w:themeColor="text1"/>
                <w:kern w:val="0"/>
                <w:lang w:val="en-US" w:eastAsia="zh-CN"/>
                <w14:textFill>
                  <w14:solidFill>
                    <w14:schemeClr w14:val="tx1"/>
                  </w14:solidFill>
                </w14:textFill>
              </w:rPr>
              <w:t>桦南县城镇污水处理厂</w:t>
            </w:r>
            <w:r>
              <w:rPr>
                <w:snapToGrid w:val="0"/>
                <w:color w:val="000000" w:themeColor="text1"/>
                <w:kern w:val="0"/>
                <w:lang w:val="en-US"/>
                <w14:textFill>
                  <w14:solidFill>
                    <w14:schemeClr w14:val="tx1"/>
                  </w14:solidFill>
                </w14:textFill>
              </w:rPr>
              <w:t>统一处理，废水</w:t>
            </w:r>
            <w:r>
              <w:rPr>
                <w:rFonts w:hint="eastAsia"/>
                <w:snapToGrid w:val="0"/>
                <w:color w:val="000000" w:themeColor="text1"/>
                <w:kern w:val="0"/>
                <w:lang w:val="en-US"/>
                <w14:textFill>
                  <w14:solidFill>
                    <w14:schemeClr w14:val="tx1"/>
                  </w14:solidFill>
                </w14:textFill>
              </w:rPr>
              <w:t>达到《城镇污水处理厂污染物排放标准》（GB 18918-2002）及修改单中的一级A标准</w:t>
            </w:r>
            <w:r>
              <w:rPr>
                <w:rFonts w:hint="eastAsia"/>
                <w:snapToGrid w:val="0"/>
                <w:color w:val="000000" w:themeColor="text1"/>
                <w:kern w:val="0"/>
                <w:lang w:val="en-US" w:eastAsia="zh-CN"/>
                <w14:textFill>
                  <w14:solidFill>
                    <w14:schemeClr w14:val="tx1"/>
                  </w14:solidFill>
                </w14:textFill>
              </w:rPr>
              <w:t>要求排入八虎力河，最终汇入倭肯河</w:t>
            </w:r>
            <w:r>
              <w:rPr>
                <w:rFonts w:hint="eastAsia"/>
                <w:snapToGrid w:val="0"/>
                <w:color w:val="000000" w:themeColor="text1"/>
                <w:kern w:val="0"/>
                <w:lang w:val="en-US"/>
                <w14:textFill>
                  <w14:solidFill>
                    <w14:schemeClr w14:val="tx1"/>
                  </w14:solidFill>
                </w14:textFill>
              </w:rPr>
              <w:t>。</w:t>
            </w:r>
          </w:p>
        </w:tc>
        <w:tc>
          <w:tcPr>
            <w:tcW w:w="850" w:type="dxa"/>
            <w:vAlign w:val="center"/>
          </w:tcPr>
          <w:p w14:paraId="6F769157">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新建</w:t>
            </w:r>
          </w:p>
        </w:tc>
      </w:tr>
      <w:tr w14:paraId="2FE7AB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7FE9D5AC">
            <w:pPr>
              <w:pStyle w:val="143"/>
              <w:rPr>
                <w:snapToGrid w:val="0"/>
                <w:color w:val="000000" w:themeColor="text1"/>
                <w:kern w:val="0"/>
                <w14:textFill>
                  <w14:solidFill>
                    <w14:schemeClr w14:val="tx1"/>
                  </w14:solidFill>
                </w14:textFill>
              </w:rPr>
            </w:pPr>
          </w:p>
        </w:tc>
        <w:tc>
          <w:tcPr>
            <w:tcW w:w="1682" w:type="dxa"/>
            <w:noWrap/>
            <w:vAlign w:val="center"/>
          </w:tcPr>
          <w:p w14:paraId="48B7276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废气</w:t>
            </w:r>
          </w:p>
        </w:tc>
        <w:tc>
          <w:tcPr>
            <w:tcW w:w="5245" w:type="dxa"/>
            <w:gridSpan w:val="2"/>
            <w:vAlign w:val="center"/>
          </w:tcPr>
          <w:p w14:paraId="2B888519">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1</w:t>
            </w:r>
            <w:r>
              <w:rPr>
                <w:snapToGrid w:val="0"/>
                <w:color w:val="000000" w:themeColor="text1"/>
                <w:kern w:val="0"/>
                <w:lang w:val="en-US"/>
                <w14:textFill>
                  <w14:solidFill>
                    <w14:schemeClr w14:val="tx1"/>
                  </w14:solidFill>
                </w14:textFill>
              </w:rPr>
              <w:t>、施工期</w:t>
            </w:r>
          </w:p>
          <w:p w14:paraId="2F66EC9F">
            <w:pPr>
              <w:pStyle w:val="143"/>
              <w:jc w:val="both"/>
              <w:rPr>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施工过程中产生的废气、粉尘（扬尘）将会造成周围大气环境污染，在采取相应的污染防治措施后，则可将对环境的不利影响控制在最低限度内。因此，整个施工期间对环境所产生的影响是可以接受的。</w:t>
            </w:r>
          </w:p>
          <w:p w14:paraId="1A904FC1">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2</w:t>
            </w:r>
            <w:r>
              <w:rPr>
                <w:snapToGrid w:val="0"/>
                <w:color w:val="000000" w:themeColor="text1"/>
                <w:kern w:val="0"/>
                <w:lang w:val="en-US"/>
                <w14:textFill>
                  <w14:solidFill>
                    <w14:schemeClr w14:val="tx1"/>
                  </w14:solidFill>
                </w14:textFill>
              </w:rPr>
              <w:t>、运营期</w:t>
            </w:r>
          </w:p>
          <w:p w14:paraId="2D50573C">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（1）污水处理站恶臭及发酵车间异味</w:t>
            </w:r>
          </w:p>
          <w:p w14:paraId="22580E56">
            <w:pPr>
              <w:pStyle w:val="143"/>
              <w:jc w:val="both"/>
              <w:rPr>
                <w:rFonts w:hint="eastAsia"/>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污水处理站恶臭气体经引风机引至</w:t>
            </w:r>
            <w:r>
              <w:rPr>
                <w:rFonts w:hint="eastAsia"/>
                <w:snapToGrid w:val="0"/>
                <w:color w:val="000000" w:themeColor="text1"/>
                <w:kern w:val="0"/>
                <w:lang w:val="en-US" w:eastAsia="zh-CN"/>
                <w14:textFill>
                  <w14:solidFill>
                    <w14:schemeClr w14:val="tx1"/>
                  </w14:solidFill>
                </w14:textFill>
              </w:rPr>
              <w:t>活性炭吸附</w:t>
            </w:r>
            <w:r>
              <w:rPr>
                <w:snapToGrid w:val="0"/>
                <w:color w:val="000000" w:themeColor="text1"/>
                <w:kern w:val="0"/>
                <w:lang w:val="en-US"/>
                <w14:textFill>
                  <w14:solidFill>
                    <w14:schemeClr w14:val="tx1"/>
                  </w14:solidFill>
                </w14:textFill>
              </w:rPr>
              <w:t>设施，经处理后由15m排气筒</w:t>
            </w:r>
            <w:r>
              <w:rPr>
                <w:rFonts w:hint="eastAsia"/>
                <w:snapToGrid w:val="0"/>
                <w:color w:val="000000" w:themeColor="text1"/>
                <w:kern w:val="0"/>
                <w:lang w:val="en-US"/>
                <w14:textFill>
                  <w14:solidFill>
                    <w14:schemeClr w14:val="tx1"/>
                  </w14:solidFill>
                </w14:textFill>
              </w:rPr>
              <w:t>D</w:t>
            </w:r>
            <w:r>
              <w:rPr>
                <w:snapToGrid w:val="0"/>
                <w:color w:val="000000" w:themeColor="text1"/>
                <w:kern w:val="0"/>
                <w:lang w:val="en-US"/>
                <w14:textFill>
                  <w14:solidFill>
                    <w14:schemeClr w14:val="tx1"/>
                  </w14:solidFill>
                </w14:textFill>
              </w:rPr>
              <w:t>A00</w:t>
            </w:r>
            <w:r>
              <w:rPr>
                <w:rFonts w:hint="eastAsia"/>
                <w:snapToGrid w:val="0"/>
                <w:color w:val="000000" w:themeColor="text1"/>
                <w:kern w:val="0"/>
                <w:lang w:val="en-US" w:eastAsia="zh-CN"/>
                <w14:textFill>
                  <w14:solidFill>
                    <w14:schemeClr w14:val="tx1"/>
                  </w14:solidFill>
                </w14:textFill>
              </w:rPr>
              <w:t>1</w:t>
            </w:r>
            <w:r>
              <w:rPr>
                <w:snapToGrid w:val="0"/>
                <w:color w:val="000000" w:themeColor="text1"/>
                <w:kern w:val="0"/>
                <w:lang w:val="en-US"/>
                <w14:textFill>
                  <w14:solidFill>
                    <w14:schemeClr w14:val="tx1"/>
                  </w14:solidFill>
                </w14:textFill>
              </w:rPr>
              <w:t>排放</w:t>
            </w:r>
            <w:r>
              <w:rPr>
                <w:rFonts w:hint="eastAsia"/>
                <w:snapToGrid w:val="0"/>
                <w:color w:val="000000" w:themeColor="text1"/>
                <w:kern w:val="0"/>
                <w:lang w:val="en-US"/>
                <w14:textFill>
                  <w14:solidFill>
                    <w14:schemeClr w14:val="tx1"/>
                  </w14:solidFill>
                </w14:textFill>
              </w:rPr>
              <w:t>。硫化氢、氨排放速率</w:t>
            </w:r>
            <w:r>
              <w:rPr>
                <w:rFonts w:hint="eastAsia"/>
                <w:snapToGrid w:val="0"/>
                <w:color w:val="000000" w:themeColor="text1"/>
                <w:kern w:val="0"/>
                <w:lang w:val="en-US" w:eastAsia="zh-CN"/>
                <w14:textFill>
                  <w14:solidFill>
                    <w14:schemeClr w14:val="tx1"/>
                  </w14:solidFill>
                </w14:textFill>
              </w:rPr>
              <w:t>、</w:t>
            </w:r>
            <w:r>
              <w:rPr>
                <w:rFonts w:hint="eastAsia"/>
                <w:snapToGrid w:val="0"/>
                <w:color w:val="000000" w:themeColor="text1"/>
                <w:kern w:val="0"/>
                <w:lang w:val="en-US"/>
                <w14:textFill>
                  <w14:solidFill>
                    <w14:schemeClr w14:val="tx1"/>
                  </w14:solidFill>
                </w14:textFill>
              </w:rPr>
              <w:t>臭气浓度满足《恶臭污染物排放标准》（GB14554-93）表2中15m高排气筒标准要求；</w:t>
            </w:r>
            <w:r>
              <w:rPr>
                <w:rFonts w:hint="eastAsia"/>
                <w:snapToGrid w:val="0"/>
                <w:color w:val="000000" w:themeColor="text1"/>
                <w:kern w:val="0"/>
                <w14:textFill>
                  <w14:solidFill>
                    <w14:schemeClr w14:val="tx1"/>
                  </w14:solidFill>
                </w14:textFill>
              </w:rPr>
              <w:t>厂界H</w:t>
            </w:r>
            <w:r>
              <w:rPr>
                <w:rFonts w:hint="eastAsia"/>
                <w:snapToGrid w:val="0"/>
                <w:color w:val="000000" w:themeColor="text1"/>
                <w:kern w:val="0"/>
                <w:vertAlign w:val="subscript"/>
                <w14:textFill>
                  <w14:solidFill>
                    <w14:schemeClr w14:val="tx1"/>
                  </w14:solidFill>
                </w14:textFill>
              </w:rPr>
              <w:t>2</w:t>
            </w:r>
            <w:r>
              <w:rPr>
                <w:rFonts w:hint="eastAsia"/>
                <w:snapToGrid w:val="0"/>
                <w:color w:val="000000" w:themeColor="text1"/>
                <w:kern w:val="0"/>
                <w14:textFill>
                  <w14:solidFill>
                    <w14:schemeClr w14:val="tx1"/>
                  </w14:solidFill>
                </w14:textFill>
              </w:rPr>
              <w:t>S、NH</w:t>
            </w:r>
            <w:r>
              <w:rPr>
                <w:rFonts w:hint="eastAsia"/>
                <w:snapToGrid w:val="0"/>
                <w:color w:val="000000" w:themeColor="text1"/>
                <w:kern w:val="0"/>
                <w:vertAlign w:val="subscript"/>
                <w14:textFill>
                  <w14:solidFill>
                    <w14:schemeClr w14:val="tx1"/>
                  </w14:solidFill>
                </w14:textFill>
              </w:rPr>
              <w:t>3</w:t>
            </w:r>
            <w:r>
              <w:rPr>
                <w:rFonts w:hint="eastAsia"/>
                <w:snapToGrid w:val="0"/>
                <w:color w:val="000000" w:themeColor="text1"/>
                <w:kern w:val="0"/>
                <w14:textFill>
                  <w14:solidFill>
                    <w14:schemeClr w14:val="tx1"/>
                  </w14:solidFill>
                </w14:textFill>
              </w:rPr>
              <w:t>、臭气浓度</w:t>
            </w:r>
            <w:r>
              <w:rPr>
                <w:rFonts w:hint="eastAsia"/>
                <w:snapToGrid w:val="0"/>
                <w:color w:val="000000" w:themeColor="text1"/>
                <w:kern w:val="0"/>
                <w:lang w:val="en-US"/>
                <w14:textFill>
                  <w14:solidFill>
                    <w14:schemeClr w14:val="tx1"/>
                  </w14:solidFill>
                </w14:textFill>
              </w:rPr>
              <w:t>满足</w:t>
            </w:r>
            <w:r>
              <w:rPr>
                <w:rFonts w:hint="eastAsia"/>
                <w:snapToGrid w:val="0"/>
                <w:color w:val="000000" w:themeColor="text1"/>
                <w:kern w:val="0"/>
                <w14:textFill>
                  <w14:solidFill>
                    <w14:schemeClr w14:val="tx1"/>
                  </w14:solidFill>
                </w14:textFill>
              </w:rPr>
              <w:t>《恶臭污染物排放标准》（GB14554-93）表1中二级新扩改建标准</w:t>
            </w:r>
            <w:r>
              <w:rPr>
                <w:rFonts w:hint="eastAsia"/>
                <w:snapToGrid w:val="0"/>
                <w:color w:val="000000" w:themeColor="text1"/>
                <w:kern w:val="0"/>
                <w:lang w:val="en-US"/>
                <w14:textFill>
                  <w14:solidFill>
                    <w14:schemeClr w14:val="tx1"/>
                  </w14:solidFill>
                </w14:textFill>
              </w:rPr>
              <w:t>要求。</w:t>
            </w:r>
          </w:p>
          <w:p w14:paraId="25368F1D">
            <w:pPr>
              <w:pStyle w:val="143"/>
              <w:jc w:val="both"/>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（2）发酵废气</w:t>
            </w:r>
          </w:p>
          <w:p w14:paraId="7E2F7481">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二氧化碳逸出夹带少量异味废气排出，其异味废气产生量极少，在二氧化碳回收系统采用活性炭吸附异味气体后排放量甚微，主要为无组织排放。</w:t>
            </w:r>
            <w:r>
              <w:rPr>
                <w:snapToGrid w:val="0"/>
                <w:color w:val="000000" w:themeColor="text1"/>
                <w:kern w:val="0"/>
                <w:lang w:val="en-US"/>
                <w14:textFill>
                  <w14:solidFill>
                    <w14:schemeClr w14:val="tx1"/>
                  </w14:solidFill>
                </w14:textFill>
              </w:rPr>
              <w:t>在厂区道路两边种植灌木，厂界边缘地带种植杨、槐等高大乔木树种，形成多层防护林带，以降低恶臭污染的影响。</w:t>
            </w:r>
          </w:p>
          <w:p w14:paraId="3C30F9A7">
            <w:pPr>
              <w:pStyle w:val="143"/>
              <w:jc w:val="both"/>
              <w:rPr>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14:textFill>
                  <w14:solidFill>
                    <w14:schemeClr w14:val="tx1"/>
                  </w14:solidFill>
                </w14:textFill>
              </w:rPr>
              <w:t>3</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14:textFill>
                  <w14:solidFill>
                    <w14:schemeClr w14:val="tx1"/>
                  </w14:solidFill>
                </w14:textFill>
              </w:rPr>
              <w:t>锅炉烟气</w:t>
            </w:r>
          </w:p>
          <w:p w14:paraId="2DBE11D9">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本项目锅炉配套</w:t>
            </w:r>
            <w:r>
              <w:rPr>
                <w:snapToGrid w:val="0"/>
                <w:color w:val="000000" w:themeColor="text1"/>
                <w:kern w:val="0"/>
                <w:lang w:val="en-US"/>
                <w14:textFill>
                  <w14:solidFill>
                    <w14:schemeClr w14:val="tx1"/>
                  </w14:solidFill>
                </w14:textFill>
              </w:rPr>
              <w:t>低氮燃烧</w:t>
            </w:r>
            <w:r>
              <w:rPr>
                <w:rFonts w:hint="eastAsia"/>
                <w:snapToGrid w:val="0"/>
                <w:color w:val="000000" w:themeColor="text1"/>
                <w:kern w:val="0"/>
                <w:lang w:val="en-US"/>
                <w14:textFill>
                  <w14:solidFill>
                    <w14:schemeClr w14:val="tx1"/>
                  </w14:solidFill>
                </w14:textFill>
              </w:rPr>
              <w:t>，锅炉烟气</w:t>
            </w:r>
            <w:r>
              <w:rPr>
                <w:rFonts w:hint="eastAsia"/>
                <w:snapToGrid w:val="0"/>
                <w:color w:val="000000" w:themeColor="text1"/>
                <w:kern w:val="0"/>
                <w:lang w:val="en-US" w:eastAsia="zh-CN"/>
                <w14:textFill>
                  <w14:solidFill>
                    <w14:schemeClr w14:val="tx1"/>
                  </w14:solidFill>
                </w14:textFill>
              </w:rPr>
              <w:t>经</w:t>
            </w:r>
            <w:r>
              <w:rPr>
                <w:snapToGrid w:val="0"/>
                <w:color w:val="000000" w:themeColor="text1"/>
                <w:kern w:val="0"/>
                <w:lang w:val="en-US"/>
                <w14:textFill>
                  <w14:solidFill>
                    <w14:schemeClr w14:val="tx1"/>
                  </w14:solidFill>
                </w14:textFill>
              </w:rPr>
              <w:t>25m烟囱DA00</w:t>
            </w:r>
            <w:r>
              <w:rPr>
                <w:rFonts w:hint="eastAsia"/>
                <w:snapToGrid w:val="0"/>
                <w:color w:val="000000" w:themeColor="text1"/>
                <w:kern w:val="0"/>
                <w:lang w:val="en-US" w:eastAsia="zh-CN"/>
                <w14:textFill>
                  <w14:solidFill>
                    <w14:schemeClr w14:val="tx1"/>
                  </w14:solidFill>
                </w14:textFill>
              </w:rPr>
              <w:t>2</w:t>
            </w:r>
            <w:r>
              <w:rPr>
                <w:snapToGrid w:val="0"/>
                <w:color w:val="000000" w:themeColor="text1"/>
                <w:kern w:val="0"/>
                <w:lang w:val="en-US"/>
                <w14:textFill>
                  <w14:solidFill>
                    <w14:schemeClr w14:val="tx1"/>
                  </w14:solidFill>
                </w14:textFill>
              </w:rPr>
              <w:t>排放</w:t>
            </w:r>
            <w:r>
              <w:rPr>
                <w:rFonts w:hint="eastAsia"/>
                <w:snapToGrid w:val="0"/>
                <w:color w:val="000000" w:themeColor="text1"/>
                <w:kern w:val="0"/>
                <w:lang w:val="en-US"/>
                <w14:textFill>
                  <w14:solidFill>
                    <w14:schemeClr w14:val="tx1"/>
                  </w14:solidFill>
                </w14:textFill>
              </w:rPr>
              <w:t>。</w:t>
            </w:r>
            <w:r>
              <w:rPr>
                <w:rFonts w:hint="eastAsia"/>
                <w:bCs/>
                <w:snapToGrid w:val="0"/>
                <w:color w:val="000000" w:themeColor="text1"/>
                <w:kern w:val="0"/>
                <w:lang w:val="en-US"/>
                <w14:textFill>
                  <w14:solidFill>
                    <w14:schemeClr w14:val="tx1"/>
                  </w14:solidFill>
                </w14:textFill>
              </w:rPr>
              <w:t>颗粒物、</w:t>
            </w:r>
            <w:r>
              <w:rPr>
                <w:bCs/>
                <w:snapToGrid w:val="0"/>
                <w:color w:val="000000" w:themeColor="text1"/>
                <w:kern w:val="0"/>
                <w:lang w:val="en-US"/>
                <w14:textFill>
                  <w14:solidFill>
                    <w14:schemeClr w14:val="tx1"/>
                  </w14:solidFill>
                </w14:textFill>
              </w:rPr>
              <w:t>SO</w:t>
            </w:r>
            <w:r>
              <w:rPr>
                <w:bCs/>
                <w:snapToGrid w:val="0"/>
                <w:color w:val="000000" w:themeColor="text1"/>
                <w:kern w:val="0"/>
                <w:vertAlign w:val="subscript"/>
                <w:lang w:val="en-US"/>
                <w14:textFill>
                  <w14:solidFill>
                    <w14:schemeClr w14:val="tx1"/>
                  </w14:solidFill>
                </w14:textFill>
              </w:rPr>
              <w:t>2</w:t>
            </w:r>
            <w:r>
              <w:rPr>
                <w:rFonts w:hint="eastAsia"/>
                <w:bCs/>
                <w:snapToGrid w:val="0"/>
                <w:color w:val="000000" w:themeColor="text1"/>
                <w:kern w:val="0"/>
                <w:lang w:val="en-US"/>
                <w14:textFill>
                  <w14:solidFill>
                    <w14:schemeClr w14:val="tx1"/>
                  </w14:solidFill>
                </w14:textFill>
              </w:rPr>
              <w:t>、</w:t>
            </w:r>
            <w:r>
              <w:rPr>
                <w:bCs/>
                <w:snapToGrid w:val="0"/>
                <w:color w:val="000000" w:themeColor="text1"/>
                <w:kern w:val="0"/>
                <w:lang w:val="en-US"/>
                <w14:textFill>
                  <w14:solidFill>
                    <w14:schemeClr w14:val="tx1"/>
                  </w14:solidFill>
                </w14:textFill>
              </w:rPr>
              <w:t>NOx</w:t>
            </w:r>
            <w:r>
              <w:rPr>
                <w:rFonts w:hint="eastAsia"/>
                <w:bCs/>
                <w:snapToGrid w:val="0"/>
                <w:color w:val="000000" w:themeColor="text1"/>
                <w:kern w:val="0"/>
                <w:lang w:val="en-US"/>
                <w14:textFill>
                  <w14:solidFill>
                    <w14:schemeClr w14:val="tx1"/>
                  </w14:solidFill>
                </w14:textFill>
              </w:rPr>
              <w:t>排放浓度及烟气黑度满足《锅炉大气污染物排放标准》（GB13271-2014）表2</w:t>
            </w:r>
            <w:r>
              <w:rPr>
                <w:rFonts w:hint="eastAsia"/>
                <w:bCs/>
                <w:snapToGrid w:val="0"/>
                <w:color w:val="000000" w:themeColor="text1"/>
                <w:kern w:val="0"/>
                <w:lang w:val="en-US" w:eastAsia="zh-CN"/>
                <w14:textFill>
                  <w14:solidFill>
                    <w14:schemeClr w14:val="tx1"/>
                  </w14:solidFill>
                </w14:textFill>
              </w:rPr>
              <w:t>燃气</w:t>
            </w:r>
            <w:r>
              <w:rPr>
                <w:rFonts w:hint="eastAsia"/>
                <w:bCs/>
                <w:snapToGrid w:val="0"/>
                <w:color w:val="000000" w:themeColor="text1"/>
                <w:kern w:val="0"/>
                <w:lang w:val="en-US"/>
                <w14:textFill>
                  <w14:solidFill>
                    <w14:schemeClr w14:val="tx1"/>
                  </w14:solidFill>
                </w14:textFill>
              </w:rPr>
              <w:t>锅炉标准。</w:t>
            </w:r>
          </w:p>
          <w:p w14:paraId="39523CF6">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w:t>
            </w:r>
            <w:r>
              <w:rPr>
                <w:snapToGrid w:val="0"/>
                <w:color w:val="000000" w:themeColor="text1"/>
                <w:kern w:val="0"/>
                <w:lang w:val="en-US"/>
                <w14:textFill>
                  <w14:solidFill>
                    <w14:schemeClr w14:val="tx1"/>
                  </w14:solidFill>
                </w14:textFill>
              </w:rPr>
              <w:t>4</w:t>
            </w:r>
            <w:r>
              <w:rPr>
                <w:rFonts w:hint="eastAsia"/>
                <w:snapToGrid w:val="0"/>
                <w:color w:val="000000" w:themeColor="text1"/>
                <w:kern w:val="0"/>
                <w:lang w:val="en-US"/>
                <w14:textFill>
                  <w14:solidFill>
                    <w14:schemeClr w14:val="tx1"/>
                  </w14:solidFill>
                </w14:textFill>
              </w:rPr>
              <w:t>）原料处理间粉尘</w:t>
            </w:r>
          </w:p>
          <w:p w14:paraId="5303B6C7">
            <w:pPr>
              <w:pStyle w:val="143"/>
              <w:jc w:val="both"/>
              <w:rPr>
                <w:rFonts w:hint="eastAsia"/>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原料处理间为封闭设备，原料</w:t>
            </w:r>
            <w:r>
              <w:rPr>
                <w:rFonts w:hint="eastAsia"/>
                <w:snapToGrid w:val="0"/>
                <w:color w:val="000000" w:themeColor="text1"/>
                <w:lang w:val="en-US" w:eastAsia="zh-CN"/>
                <w14:textFill>
                  <w14:solidFill>
                    <w14:schemeClr w14:val="tx1"/>
                  </w14:solidFill>
                </w14:textFill>
              </w:rPr>
              <w:t>拆包、</w:t>
            </w:r>
            <w:r>
              <w:rPr>
                <w:rFonts w:hint="eastAsia"/>
                <w:snapToGrid w:val="0"/>
                <w:color w:val="000000" w:themeColor="text1"/>
                <w14:textFill>
                  <w14:solidFill>
                    <w14:schemeClr w14:val="tx1"/>
                  </w14:solidFill>
                </w14:textFill>
              </w:rPr>
              <w:t>投料、</w:t>
            </w:r>
            <w:r>
              <w:rPr>
                <w:rFonts w:hint="eastAsia"/>
                <w:snapToGrid w:val="0"/>
                <w:color w:val="000000" w:themeColor="text1"/>
                <w:lang w:val="en-US" w:eastAsia="zh-CN"/>
                <w14:textFill>
                  <w14:solidFill>
                    <w14:schemeClr w14:val="tx1"/>
                  </w14:solidFill>
                </w14:textFill>
              </w:rPr>
              <w:t>湿粉碎</w:t>
            </w:r>
            <w:r>
              <w:rPr>
                <w:rFonts w:hint="eastAsia"/>
                <w:snapToGrid w:val="0"/>
                <w:color w:val="000000" w:themeColor="text1"/>
                <w:kern w:val="0"/>
                <w:lang w:val="en-US"/>
                <w14:textFill>
                  <w14:solidFill>
                    <w14:schemeClr w14:val="tx1"/>
                  </w14:solidFill>
                </w14:textFill>
              </w:rPr>
              <w:t>过程中产生的粉尘</w:t>
            </w:r>
            <w:r>
              <w:rPr>
                <w:snapToGrid w:val="0"/>
                <w:color w:val="000000" w:themeColor="text1"/>
                <w:kern w:val="0"/>
                <w:lang w:val="en-US"/>
                <w14:textFill>
                  <w14:solidFill>
                    <w14:schemeClr w14:val="tx1"/>
                  </w14:solidFill>
                </w14:textFill>
              </w:rPr>
              <w:t>经引风机引至布袋除尘器，经处理后由</w:t>
            </w:r>
            <w:r>
              <w:rPr>
                <w:rFonts w:hint="eastAsia"/>
                <w:snapToGrid w:val="0"/>
                <w:color w:val="000000" w:themeColor="text1"/>
                <w:kern w:val="0"/>
                <w:lang w:val="en-US" w:eastAsia="zh-CN"/>
                <w14:textFill>
                  <w14:solidFill>
                    <w14:schemeClr w14:val="tx1"/>
                  </w14:solidFill>
                </w14:textFill>
              </w:rPr>
              <w:t>15</w:t>
            </w:r>
            <w:r>
              <w:rPr>
                <w:snapToGrid w:val="0"/>
                <w:color w:val="000000" w:themeColor="text1"/>
                <w:kern w:val="0"/>
                <w:lang w:val="en-US"/>
                <w14:textFill>
                  <w14:solidFill>
                    <w14:schemeClr w14:val="tx1"/>
                  </w14:solidFill>
                </w14:textFill>
              </w:rPr>
              <w:t>m排气筒</w:t>
            </w:r>
            <w:r>
              <w:rPr>
                <w:rFonts w:hint="eastAsia"/>
                <w:snapToGrid w:val="0"/>
                <w:color w:val="000000" w:themeColor="text1"/>
                <w:kern w:val="0"/>
                <w:lang w:val="en-US"/>
                <w14:textFill>
                  <w14:solidFill>
                    <w14:schemeClr w14:val="tx1"/>
                  </w14:solidFill>
                </w14:textFill>
              </w:rPr>
              <w:t>D</w:t>
            </w:r>
            <w:r>
              <w:rPr>
                <w:snapToGrid w:val="0"/>
                <w:color w:val="000000" w:themeColor="text1"/>
                <w:kern w:val="0"/>
                <w:lang w:val="en-US"/>
                <w14:textFill>
                  <w14:solidFill>
                    <w14:schemeClr w14:val="tx1"/>
                  </w14:solidFill>
                </w14:textFill>
              </w:rPr>
              <w:t>A00</w:t>
            </w:r>
            <w:r>
              <w:rPr>
                <w:rFonts w:hint="eastAsia"/>
                <w:snapToGrid w:val="0"/>
                <w:color w:val="000000" w:themeColor="text1"/>
                <w:kern w:val="0"/>
                <w:lang w:val="en-US" w:eastAsia="zh-CN"/>
                <w14:textFill>
                  <w14:solidFill>
                    <w14:schemeClr w14:val="tx1"/>
                  </w14:solidFill>
                </w14:textFill>
              </w:rPr>
              <w:t>3</w:t>
            </w:r>
            <w:r>
              <w:rPr>
                <w:snapToGrid w:val="0"/>
                <w:color w:val="000000" w:themeColor="text1"/>
                <w:kern w:val="0"/>
                <w:lang w:val="en-US"/>
                <w14:textFill>
                  <w14:solidFill>
                    <w14:schemeClr w14:val="tx1"/>
                  </w14:solidFill>
                </w14:textFill>
              </w:rPr>
              <w:t>排放，</w:t>
            </w:r>
            <w:r>
              <w:rPr>
                <w:rFonts w:hint="eastAsia"/>
                <w:snapToGrid w:val="0"/>
                <w:color w:val="000000" w:themeColor="text1"/>
                <w:kern w:val="0"/>
                <w:lang w:val="en-US"/>
                <w14:textFill>
                  <w14:solidFill>
                    <w14:schemeClr w14:val="tx1"/>
                  </w14:solidFill>
                </w14:textFill>
              </w:rPr>
              <w:t>原料间粉尘粉尘排放速率和排放浓度执行《大气污染物综合排放标准》（GB16297-1996）表2中二级标准</w:t>
            </w:r>
            <w:r>
              <w:rPr>
                <w:rFonts w:hint="eastAsia"/>
                <w:snapToGrid w:val="0"/>
              </w:rPr>
              <w:t>（排放速率严格50%执行）</w:t>
            </w:r>
            <w:r>
              <w:rPr>
                <w:rFonts w:hint="eastAsia"/>
                <w:snapToGrid w:val="0"/>
                <w:color w:val="000000" w:themeColor="text1"/>
                <w:kern w:val="0"/>
                <w:lang w:val="en-US"/>
                <w14:textFill>
                  <w14:solidFill>
                    <w14:schemeClr w14:val="tx1"/>
                  </w14:solidFill>
                </w14:textFill>
              </w:rPr>
              <w:t>要求。</w:t>
            </w:r>
          </w:p>
          <w:p w14:paraId="7D9585A6">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5</w:t>
            </w:r>
            <w:r>
              <w:rPr>
                <w:rFonts w:hint="eastAsia"/>
                <w:snapToGrid w:val="0"/>
                <w:color w:val="000000" w:themeColor="text1"/>
                <w:kern w:val="0"/>
                <w:lang w:val="en-US"/>
                <w14:textFill>
                  <w14:solidFill>
                    <w14:schemeClr w14:val="tx1"/>
                  </w14:solidFill>
                </w14:textFill>
              </w:rPr>
              <w:t>）沼气</w:t>
            </w:r>
            <w:r>
              <w:rPr>
                <w:snapToGrid w:val="0"/>
                <w:color w:val="000000" w:themeColor="text1"/>
                <w:kern w:val="0"/>
                <w:lang w:val="en-US"/>
                <w14:textFill>
                  <w14:solidFill>
                    <w14:schemeClr w14:val="tx1"/>
                  </w14:solidFill>
                </w14:textFill>
              </w:rPr>
              <w:t>燃烧废气</w:t>
            </w:r>
          </w:p>
          <w:p w14:paraId="6C353D32">
            <w:pPr>
              <w:pStyle w:val="143"/>
              <w:jc w:val="both"/>
              <w:rPr>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沼气</w:t>
            </w:r>
            <w:r>
              <w:rPr>
                <w:rFonts w:hint="eastAsia"/>
                <w:snapToGrid w:val="0"/>
                <w:color w:val="000000" w:themeColor="text1"/>
                <w:kern w:val="0"/>
                <w:lang w:val="en-US" w:eastAsia="zh-CN"/>
                <w14:textFill>
                  <w14:solidFill>
                    <w14:schemeClr w14:val="tx1"/>
                  </w14:solidFill>
                </w14:textFill>
              </w:rPr>
              <w:t>经干法</w:t>
            </w:r>
            <w:r>
              <w:rPr>
                <w:snapToGrid w:val="0"/>
                <w:color w:val="000000" w:themeColor="text1"/>
                <w:kern w:val="0"/>
                <w:lang w:val="en-US"/>
                <w14:textFill>
                  <w14:solidFill>
                    <w14:schemeClr w14:val="tx1"/>
                  </w14:solidFill>
                </w14:textFill>
              </w:rPr>
              <w:t>脱硫后火炬燃烧排放，</w:t>
            </w:r>
            <w:r>
              <w:rPr>
                <w:rFonts w:hint="eastAsia"/>
                <w:snapToGrid w:val="0"/>
                <w:color w:val="000000" w:themeColor="text1"/>
                <w:kern w:val="0"/>
                <w:lang w:val="en-US"/>
                <w14:textFill>
                  <w14:solidFill>
                    <w14:schemeClr w14:val="tx1"/>
                  </w14:solidFill>
                </w14:textFill>
              </w:rPr>
              <w:t>颗粒物</w:t>
            </w:r>
            <w:r>
              <w:rPr>
                <w:snapToGrid w:val="0"/>
                <w:color w:val="000000" w:themeColor="text1"/>
                <w:kern w:val="0"/>
                <w:lang w:val="en-US"/>
                <w14:textFill>
                  <w14:solidFill>
                    <w14:schemeClr w14:val="tx1"/>
                  </w14:solidFill>
                </w14:textFill>
              </w:rPr>
              <w:t>、NOx、SO</w:t>
            </w:r>
            <w:r>
              <w:rPr>
                <w:snapToGrid w:val="0"/>
                <w:color w:val="000000" w:themeColor="text1"/>
                <w:kern w:val="0"/>
                <w:vertAlign w:val="subscript"/>
                <w:lang w:val="en-US"/>
                <w14:textFill>
                  <w14:solidFill>
                    <w14:schemeClr w14:val="tx1"/>
                  </w14:solidFill>
                </w14:textFill>
              </w:rPr>
              <w:t>2</w:t>
            </w:r>
            <w:r>
              <w:rPr>
                <w:snapToGrid w:val="0"/>
                <w:color w:val="000000" w:themeColor="text1"/>
                <w:kern w:val="0"/>
                <w:lang w:val="en-US"/>
                <w14:textFill>
                  <w14:solidFill>
                    <w14:schemeClr w14:val="tx1"/>
                  </w14:solidFill>
                </w14:textFill>
              </w:rPr>
              <w:t>排放</w:t>
            </w:r>
            <w:r>
              <w:rPr>
                <w:rFonts w:hint="eastAsia"/>
                <w:snapToGrid w:val="0"/>
                <w:color w:val="000000" w:themeColor="text1"/>
                <w:kern w:val="0"/>
                <w:lang w:val="en-US"/>
                <w14:textFill>
                  <w14:solidFill>
                    <w14:schemeClr w14:val="tx1"/>
                  </w14:solidFill>
                </w14:textFill>
              </w:rPr>
              <w:t>量均较小</w:t>
            </w:r>
            <w:r>
              <w:rPr>
                <w:snapToGrid w:val="0"/>
                <w:color w:val="000000" w:themeColor="text1"/>
                <w:kern w:val="0"/>
                <w:lang w:val="en-US"/>
                <w14:textFill>
                  <w14:solidFill>
                    <w14:schemeClr w14:val="tx1"/>
                  </w14:solidFill>
                </w14:textFill>
              </w:rPr>
              <w:t>，对环境影响很小，可以被环境接受。</w:t>
            </w:r>
            <w:r>
              <w:rPr>
                <w:rFonts w:hint="eastAsia"/>
                <w:snapToGrid w:val="0"/>
                <w:color w:val="000000" w:themeColor="text1"/>
                <w:kern w:val="0"/>
                <w:lang w:val="en-US"/>
                <w14:textFill>
                  <w14:solidFill>
                    <w14:schemeClr w14:val="tx1"/>
                  </w14:solidFill>
                </w14:textFill>
              </w:rPr>
              <w:t>沼气燃烧排放的颗粒物</w:t>
            </w:r>
            <w:r>
              <w:rPr>
                <w:snapToGrid w:val="0"/>
                <w:color w:val="000000" w:themeColor="text1"/>
                <w:kern w:val="0"/>
                <w:lang w:val="en-US"/>
                <w14:textFill>
                  <w14:solidFill>
                    <w14:schemeClr w14:val="tx1"/>
                  </w14:solidFill>
                </w14:textFill>
              </w:rPr>
              <w:t>、NOx、SO</w:t>
            </w:r>
            <w:r>
              <w:rPr>
                <w:snapToGrid w:val="0"/>
                <w:color w:val="000000" w:themeColor="text1"/>
                <w:kern w:val="0"/>
                <w:vertAlign w:val="subscript"/>
                <w:lang w:val="en-US"/>
                <w14:textFill>
                  <w14:solidFill>
                    <w14:schemeClr w14:val="tx1"/>
                  </w14:solidFill>
                </w14:textFill>
              </w:rPr>
              <w:t>2</w:t>
            </w:r>
            <w:r>
              <w:rPr>
                <w:rFonts w:hint="eastAsia"/>
                <w:snapToGrid w:val="0"/>
                <w:color w:val="000000" w:themeColor="text1"/>
                <w:kern w:val="0"/>
                <w:lang w:val="en-US"/>
                <w14:textFill>
                  <w14:solidFill>
                    <w14:schemeClr w14:val="tx1"/>
                  </w14:solidFill>
                </w14:textFill>
              </w:rPr>
              <w:t>无组织排放浓度满足</w:t>
            </w:r>
            <w:r>
              <w:rPr>
                <w:snapToGrid w:val="0"/>
                <w:color w:val="000000" w:themeColor="text1"/>
                <w:kern w:val="0"/>
                <w:lang w:val="en-US"/>
                <w14:textFill>
                  <w14:solidFill>
                    <w14:schemeClr w14:val="tx1"/>
                  </w14:solidFill>
                </w14:textFill>
              </w:rPr>
              <w:t>《大气污染物综合排放标准》（GB16297-1996）表2中无组织排放浓度监控限值要求。</w:t>
            </w:r>
          </w:p>
          <w:p w14:paraId="36250542">
            <w:pPr>
              <w:pStyle w:val="143"/>
              <w:numPr>
                <w:ilvl w:val="0"/>
                <w:numId w:val="6"/>
              </w:numPr>
              <w:jc w:val="both"/>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食堂油烟</w:t>
            </w:r>
          </w:p>
          <w:p w14:paraId="4D2449CF">
            <w:pPr>
              <w:pStyle w:val="143"/>
              <w:numPr>
                <w:ilvl w:val="0"/>
                <w:numId w:val="0"/>
              </w:numPr>
              <w:jc w:val="both"/>
              <w:rPr>
                <w:rFonts w:hint="default"/>
                <w:snapToGrid w:val="0"/>
                <w:color w:val="000000" w:themeColor="text1"/>
                <w:kern w:val="0"/>
                <w:lang w:val="en-US" w:eastAsia="zh-CN"/>
                <w14:textFill>
                  <w14:solidFill>
                    <w14:schemeClr w14:val="tx1"/>
                  </w14:solidFill>
                </w14:textFill>
              </w:rPr>
            </w:pPr>
            <w:r>
              <w:rPr>
                <w:rFonts w:hint="default"/>
                <w:snapToGrid w:val="0"/>
                <w:color w:val="000000" w:themeColor="text1"/>
                <w:kern w:val="0"/>
                <w:lang w:val="en-US" w:eastAsia="zh-CN"/>
                <w14:textFill>
                  <w14:solidFill>
                    <w14:schemeClr w14:val="tx1"/>
                  </w14:solidFill>
                </w14:textFill>
              </w:rPr>
              <w:t>项目食堂设置净化效率为85%的油烟净化设施，经油烟净化设施处理后引至屋顶排放</w:t>
            </w:r>
            <w:r>
              <w:rPr>
                <w:rFonts w:hint="eastAsia"/>
                <w:snapToGrid w:val="0"/>
                <w:color w:val="000000" w:themeColor="text1"/>
                <w:kern w:val="0"/>
                <w:lang w:val="en-US" w:eastAsia="zh-CN"/>
                <w14:textFill>
                  <w14:solidFill>
                    <w14:schemeClr w14:val="tx1"/>
                  </w14:solidFill>
                </w14:textFill>
              </w:rPr>
              <w:t>。油烟排放浓度满足《饮食业油烟排放标准》（GB18483-2001）中最高允许排放浓度2.0mg/m</w:t>
            </w:r>
            <w:r>
              <w:rPr>
                <w:rFonts w:hint="eastAsia"/>
                <w:snapToGrid w:val="0"/>
                <w:color w:val="000000" w:themeColor="text1"/>
                <w:kern w:val="0"/>
                <w:vertAlign w:val="superscript"/>
                <w:lang w:val="en-US" w:eastAsia="zh-CN"/>
                <w14:textFill>
                  <w14:solidFill>
                    <w14:schemeClr w14:val="tx1"/>
                  </w14:solidFill>
                </w14:textFill>
              </w:rPr>
              <w:t>3</w:t>
            </w:r>
            <w:r>
              <w:rPr>
                <w:rFonts w:hint="eastAsia"/>
                <w:snapToGrid w:val="0"/>
                <w:color w:val="000000" w:themeColor="text1"/>
                <w:kern w:val="0"/>
                <w:lang w:val="en-US" w:eastAsia="zh-CN"/>
                <w14:textFill>
                  <w14:solidFill>
                    <w14:schemeClr w14:val="tx1"/>
                  </w14:solidFill>
                </w14:textFill>
              </w:rPr>
              <w:t>的标准要求。</w:t>
            </w:r>
          </w:p>
          <w:p w14:paraId="4E8D7F47">
            <w:pPr>
              <w:pStyle w:val="143"/>
              <w:numPr>
                <w:ilvl w:val="0"/>
                <w:numId w:val="6"/>
              </w:numPr>
              <w:ind w:left="0" w:leftChars="0" w:firstLine="0" w:firstLineChars="0"/>
              <w:jc w:val="both"/>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柴油发电机废气</w:t>
            </w:r>
          </w:p>
          <w:p w14:paraId="13164772">
            <w:pPr>
              <w:pStyle w:val="143"/>
              <w:numPr>
                <w:ilvl w:val="0"/>
                <w:numId w:val="0"/>
              </w:numPr>
              <w:ind w:leftChars="0"/>
              <w:jc w:val="both"/>
              <w:rPr>
                <w:rFonts w:hint="default"/>
                <w:snapToGrid w:val="0"/>
                <w:color w:val="000000" w:themeColor="text1"/>
                <w:kern w:val="0"/>
                <w:lang w:val="en-US" w:eastAsia="zh-CN"/>
                <w14:textFill>
                  <w14:solidFill>
                    <w14:schemeClr w14:val="tx1"/>
                  </w14:solidFill>
                </w14:textFill>
              </w:rPr>
            </w:pPr>
            <w:r>
              <w:rPr>
                <w:rFonts w:hint="eastAsia" w:ascii="Times New Roman"/>
                <w:snapToGrid w:val="0"/>
                <w:color w:val="000000"/>
                <w:sz w:val="21"/>
                <w:szCs w:val="21"/>
              </w:rPr>
              <w:t>经内置烟井引至房顶无组织排放</w:t>
            </w:r>
          </w:p>
        </w:tc>
        <w:tc>
          <w:tcPr>
            <w:tcW w:w="850" w:type="dxa"/>
            <w:vAlign w:val="center"/>
          </w:tcPr>
          <w:p w14:paraId="7928DE5E">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新建</w:t>
            </w:r>
          </w:p>
        </w:tc>
      </w:tr>
      <w:tr w14:paraId="3F2427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659C782F">
            <w:pPr>
              <w:pStyle w:val="143"/>
              <w:rPr>
                <w:snapToGrid w:val="0"/>
                <w:color w:val="000000" w:themeColor="text1"/>
                <w:kern w:val="0"/>
                <w14:textFill>
                  <w14:solidFill>
                    <w14:schemeClr w14:val="tx1"/>
                  </w14:solidFill>
                </w14:textFill>
              </w:rPr>
            </w:pPr>
          </w:p>
        </w:tc>
        <w:tc>
          <w:tcPr>
            <w:tcW w:w="1682" w:type="dxa"/>
            <w:noWrap/>
            <w:vAlign w:val="center"/>
          </w:tcPr>
          <w:p w14:paraId="3EBB9E8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噪声</w:t>
            </w:r>
          </w:p>
        </w:tc>
        <w:tc>
          <w:tcPr>
            <w:tcW w:w="5245" w:type="dxa"/>
            <w:gridSpan w:val="2"/>
            <w:noWrap/>
            <w:vAlign w:val="center"/>
          </w:tcPr>
          <w:p w14:paraId="2A1D01A8">
            <w:pPr>
              <w:pStyle w:val="143"/>
              <w:jc w:val="both"/>
              <w:rPr>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在严格控制夜间施工不使用噪声设备的前提下，本项目施工期间产生的噪声不会对周围环境造成明显影响，其施工场界声环境可满足</w:t>
            </w:r>
            <w:r>
              <w:rPr>
                <w:rFonts w:hint="eastAsia"/>
                <w:snapToGrid w:val="0"/>
                <w:color w:val="000000" w:themeColor="text1"/>
                <w:kern w:val="0"/>
                <w:lang w:val="en-US" w:eastAsia="zh-CN"/>
                <w14:textFill>
                  <w14:solidFill>
                    <w14:schemeClr w14:val="tx1"/>
                  </w14:solidFill>
                </w14:textFill>
              </w:rPr>
              <w:t>《建筑施工噪声排放标准》（GB12523-2025）</w:t>
            </w:r>
            <w:r>
              <w:rPr>
                <w:snapToGrid w:val="0"/>
                <w:color w:val="000000" w:themeColor="text1"/>
                <w:kern w:val="0"/>
                <w:lang w:val="en-US"/>
                <w14:textFill>
                  <w14:solidFill>
                    <w14:schemeClr w14:val="tx1"/>
                  </w14:solidFill>
                </w14:textFill>
              </w:rPr>
              <w:t>要求，对区域声环境不会产生显著性不良影响。</w:t>
            </w:r>
          </w:p>
          <w:p w14:paraId="3EBE949D">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选用低噪声设备，项目在建筑上采取隔声、吸声措施，在厂区内外种植树木，以降低噪声影响；通过合理布局，达到阻隔、衰减噪声的目的</w:t>
            </w:r>
            <w:r>
              <w:rPr>
                <w:rFonts w:hint="eastAsia"/>
                <w:snapToGrid w:val="0"/>
                <w:color w:val="000000" w:themeColor="text1"/>
                <w:kern w:val="0"/>
                <w:lang w:val="en-US" w:eastAsia="zh-CN"/>
                <w14:textFill>
                  <w14:solidFill>
                    <w14:schemeClr w14:val="tx1"/>
                  </w14:solidFill>
                </w14:textFill>
              </w:rPr>
              <w:t>，</w:t>
            </w:r>
            <w:r>
              <w:rPr>
                <w:snapToGrid w:val="0"/>
                <w:color w:val="000000" w:themeColor="text1"/>
                <w:kern w:val="0"/>
                <w:lang w:val="en-US"/>
                <w14:textFill>
                  <w14:solidFill>
                    <w14:schemeClr w14:val="tx1"/>
                  </w14:solidFill>
                </w14:textFill>
              </w:rPr>
              <w:t>在落实各项噪声污染控制措施后，项目运营期</w:t>
            </w:r>
            <w:r>
              <w:rPr>
                <w:rFonts w:hint="eastAsia"/>
                <w:snapToGrid w:val="0"/>
                <w:color w:val="000000" w:themeColor="text1"/>
                <w:kern w:val="0"/>
                <w:lang w:val="en-US" w:eastAsia="zh-CN"/>
                <w14:textFill>
                  <w14:solidFill>
                    <w14:schemeClr w14:val="tx1"/>
                  </w14:solidFill>
                </w14:textFill>
              </w:rPr>
              <w:t>厂界东侧、南侧、北侧</w:t>
            </w:r>
            <w:r>
              <w:rPr>
                <w:snapToGrid w:val="0"/>
                <w:color w:val="000000" w:themeColor="text1"/>
                <w:kern w:val="0"/>
                <w:lang w:val="en-US"/>
                <w14:textFill>
                  <w14:solidFill>
                    <w14:schemeClr w14:val="tx1"/>
                  </w14:solidFill>
                </w14:textFill>
              </w:rPr>
              <w:t>可满足《工业企业厂界噪声标准》（GB12348-2008）表1中的</w:t>
            </w:r>
            <w:r>
              <w:rPr>
                <w:rFonts w:hint="eastAsia"/>
                <w:snapToGrid w:val="0"/>
                <w:color w:val="000000" w:themeColor="text1"/>
                <w:kern w:val="0"/>
                <w:lang w:val="en-US"/>
                <w14:textFill>
                  <w14:solidFill>
                    <w14:schemeClr w14:val="tx1"/>
                  </w14:solidFill>
                </w14:textFill>
              </w:rPr>
              <w:t>3类</w:t>
            </w:r>
            <w:r>
              <w:rPr>
                <w:snapToGrid w:val="0"/>
                <w:color w:val="000000" w:themeColor="text1"/>
                <w:kern w:val="0"/>
                <w:lang w:val="en-US"/>
                <w14:textFill>
                  <w14:solidFill>
                    <w14:schemeClr w14:val="tx1"/>
                  </w14:solidFill>
                </w14:textFill>
              </w:rPr>
              <w:t>功能区标准</w:t>
            </w:r>
            <w:r>
              <w:rPr>
                <w:rFonts w:hint="eastAsia"/>
                <w:snapToGrid w:val="0"/>
                <w:color w:val="000000" w:themeColor="text1"/>
                <w:kern w:val="0"/>
                <w:lang w:val="en-US" w:eastAsia="zh-CN"/>
                <w14:textFill>
                  <w14:solidFill>
                    <w14:schemeClr w14:val="tx1"/>
                  </w14:solidFill>
                </w14:textFill>
              </w:rPr>
              <w:t>限值</w:t>
            </w:r>
            <w:r>
              <w:rPr>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西侧</w:t>
            </w:r>
            <w:r>
              <w:rPr>
                <w:snapToGrid w:val="0"/>
                <w:color w:val="000000" w:themeColor="text1"/>
                <w:kern w:val="0"/>
                <w:lang w:val="en-US"/>
                <w14:textFill>
                  <w14:solidFill>
                    <w14:schemeClr w14:val="tx1"/>
                  </w14:solidFill>
                </w14:textFill>
              </w:rPr>
              <w:t>可满足《工业企业厂界噪声标准》（GB12348-2008）表1中的</w:t>
            </w:r>
            <w:r>
              <w:rPr>
                <w:rFonts w:hint="eastAsia"/>
                <w:snapToGrid w:val="0"/>
                <w:color w:val="000000" w:themeColor="text1"/>
                <w:kern w:val="0"/>
                <w:lang w:val="en-US" w:eastAsia="zh-CN"/>
                <w14:textFill>
                  <w14:solidFill>
                    <w14:schemeClr w14:val="tx1"/>
                  </w14:solidFill>
                </w14:textFill>
              </w:rPr>
              <w:t>4</w:t>
            </w:r>
            <w:r>
              <w:rPr>
                <w:rFonts w:hint="eastAsia"/>
                <w:snapToGrid w:val="0"/>
                <w:color w:val="000000" w:themeColor="text1"/>
                <w:kern w:val="0"/>
                <w:lang w:val="en-US"/>
                <w14:textFill>
                  <w14:solidFill>
                    <w14:schemeClr w14:val="tx1"/>
                  </w14:solidFill>
                </w14:textFill>
              </w:rPr>
              <w:t>类</w:t>
            </w:r>
            <w:r>
              <w:rPr>
                <w:snapToGrid w:val="0"/>
                <w:color w:val="000000" w:themeColor="text1"/>
                <w:kern w:val="0"/>
                <w:lang w:val="en-US"/>
                <w14:textFill>
                  <w14:solidFill>
                    <w14:schemeClr w14:val="tx1"/>
                  </w14:solidFill>
                </w14:textFill>
              </w:rPr>
              <w:t>功能区标准</w:t>
            </w:r>
            <w:r>
              <w:rPr>
                <w:rFonts w:hint="eastAsia"/>
                <w:snapToGrid w:val="0"/>
                <w:color w:val="000000" w:themeColor="text1"/>
                <w:kern w:val="0"/>
                <w:lang w:val="en-US" w:eastAsia="zh-CN"/>
                <w14:textFill>
                  <w14:solidFill>
                    <w14:schemeClr w14:val="tx1"/>
                  </w14:solidFill>
                </w14:textFill>
              </w:rPr>
              <w:t>限值，</w:t>
            </w:r>
            <w:r>
              <w:rPr>
                <w:snapToGrid w:val="0"/>
                <w:color w:val="000000" w:themeColor="text1"/>
                <w:kern w:val="0"/>
                <w:lang w:val="en-US"/>
                <w14:textFill>
                  <w14:solidFill>
                    <w14:schemeClr w14:val="tx1"/>
                  </w14:solidFill>
                </w14:textFill>
              </w:rPr>
              <w:t>对区域声环境的影响较小。</w:t>
            </w:r>
          </w:p>
        </w:tc>
        <w:tc>
          <w:tcPr>
            <w:tcW w:w="850" w:type="dxa"/>
            <w:vAlign w:val="center"/>
          </w:tcPr>
          <w:p w14:paraId="30581B82">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新建</w:t>
            </w:r>
          </w:p>
        </w:tc>
      </w:tr>
      <w:tr w14:paraId="11A88E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69012C6A">
            <w:pPr>
              <w:pStyle w:val="143"/>
              <w:rPr>
                <w:snapToGrid w:val="0"/>
                <w:color w:val="000000" w:themeColor="text1"/>
                <w:kern w:val="0"/>
                <w14:textFill>
                  <w14:solidFill>
                    <w14:schemeClr w14:val="tx1"/>
                  </w14:solidFill>
                </w14:textFill>
              </w:rPr>
            </w:pPr>
          </w:p>
        </w:tc>
        <w:tc>
          <w:tcPr>
            <w:tcW w:w="1682" w:type="dxa"/>
            <w:noWrap/>
            <w:vAlign w:val="center"/>
          </w:tcPr>
          <w:p w14:paraId="6D11CAA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固体废物</w:t>
            </w:r>
          </w:p>
        </w:tc>
        <w:tc>
          <w:tcPr>
            <w:tcW w:w="5245" w:type="dxa"/>
            <w:gridSpan w:val="2"/>
            <w:vAlign w:val="center"/>
          </w:tcPr>
          <w:p w14:paraId="490C7BF5">
            <w:pPr>
              <w:pStyle w:val="143"/>
              <w:jc w:val="both"/>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施工期建筑垃圾、施工弃土弃渣中可再利用的建筑废料，应进行回收利用，以节省资源。多余废弃的砂、砾石可结合修路利用；除可回收利用外建筑垃圾应运输到环境保护管理部门指定的地点进行填埋，最大程度减小对环境的影响。在施工现场设置垃圾收集箱，集中收集后应由市政环卫部门统一清运处置。</w:t>
            </w:r>
          </w:p>
          <w:p w14:paraId="3CBC95E1">
            <w:pPr>
              <w:pStyle w:val="143"/>
              <w:jc w:val="both"/>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14:textFill>
                  <w14:solidFill>
                    <w14:schemeClr w14:val="tx1"/>
                  </w14:solidFill>
                </w14:textFill>
              </w:rPr>
              <w:t>运营期</w:t>
            </w:r>
            <w:r>
              <w:rPr>
                <w:rFonts w:hint="eastAsia"/>
                <w:snapToGrid w:val="0"/>
                <w:color w:val="000000" w:themeColor="text1"/>
                <w:kern w:val="0"/>
                <w:lang w:val="en-US" w:eastAsia="zh-CN"/>
                <w14:textFill>
                  <w14:solidFill>
                    <w14:schemeClr w14:val="tx1"/>
                  </w14:solidFill>
                </w14:textFill>
              </w:rPr>
              <w:t>生活垃圾经垃圾桶收集暂存后委托环卫部门集中处理；</w:t>
            </w:r>
            <w:r>
              <w:rPr>
                <w:rFonts w:hint="eastAsia"/>
                <w:snapToGrid w:val="0"/>
                <w:color w:val="000000" w:themeColor="text1"/>
                <w:highlight w:val="none"/>
                <w14:textFill>
                  <w14:solidFill>
                    <w14:schemeClr w14:val="tx1"/>
                  </w14:solidFill>
                </w14:textFill>
              </w:rPr>
              <w:t>餐厨垃圾</w:t>
            </w:r>
            <w:r>
              <w:rPr>
                <w:rFonts w:hint="eastAsia"/>
                <w:snapToGrid w:val="0"/>
                <w:color w:val="000000" w:themeColor="text1"/>
                <w:kern w:val="0"/>
                <w:lang w:val="en-US" w:eastAsia="zh-CN"/>
                <w14:textFill>
                  <w14:solidFill>
                    <w14:schemeClr w14:val="tx1"/>
                  </w14:solidFill>
                </w14:textFill>
              </w:rPr>
              <w:t>集中收集，交由有资质单位处理；</w:t>
            </w:r>
          </w:p>
          <w:p w14:paraId="5E976072">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原料杂质</w:t>
            </w:r>
            <w:r>
              <w:rPr>
                <w:rFonts w:hint="eastAsia"/>
                <w:snapToGrid w:val="0"/>
                <w:color w:val="auto"/>
              </w:rPr>
              <w:t>集中收集，外售有机肥厂生产有机肥</w:t>
            </w:r>
            <w:r>
              <w:rPr>
                <w:rFonts w:hint="eastAsia"/>
                <w:snapToGrid w:val="0"/>
                <w:color w:val="000000" w:themeColor="text1"/>
                <w:kern w:val="0"/>
                <w:lang w:val="en-US" w:eastAsia="zh-CN"/>
                <w14:textFill>
                  <w14:solidFill>
                    <w14:schemeClr w14:val="tx1"/>
                  </w14:solidFill>
                </w14:textFill>
              </w:rPr>
              <w:t>；废</w:t>
            </w:r>
            <w:r>
              <w:rPr>
                <w:snapToGrid w:val="0"/>
                <w:color w:val="000000" w:themeColor="text1"/>
                <w:kern w:val="0"/>
                <w:lang w:val="en-US"/>
                <w14:textFill>
                  <w14:solidFill>
                    <w14:schemeClr w14:val="tx1"/>
                  </w14:solidFill>
                </w14:textFill>
              </w:rPr>
              <w:t>酒糟及废酵母采用专用容器收集并加盖密封，外售作饲料，日产日清</w:t>
            </w:r>
            <w:r>
              <w:rPr>
                <w:rFonts w:hint="eastAsia"/>
                <w:snapToGrid w:val="0"/>
                <w:color w:val="000000" w:themeColor="text1"/>
                <w:kern w:val="0"/>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废硅藻土暂存在密闭废土罐中，外售综合利用，定期转运不在厂区长时间贮存；</w:t>
            </w:r>
            <w:r>
              <w:rPr>
                <w:rFonts w:hint="eastAsia"/>
                <w:snapToGrid w:val="0"/>
                <w:color w:val="000000" w:themeColor="text1"/>
                <w:kern w:val="0"/>
                <w:lang w:val="en-US"/>
                <w14:textFill>
                  <w14:solidFill>
                    <w14:schemeClr w14:val="tx1"/>
                  </w14:solidFill>
                </w14:textFill>
              </w:rPr>
              <w:t>除尘器收尘</w:t>
            </w:r>
            <w:r>
              <w:rPr>
                <w:snapToGrid w:val="0"/>
                <w:color w:val="000000" w:themeColor="text1"/>
                <w:kern w:val="0"/>
                <w:lang w:val="en-US"/>
                <w14:textFill>
                  <w14:solidFill>
                    <w14:schemeClr w14:val="tx1"/>
                  </w14:solidFill>
                </w14:textFill>
              </w:rPr>
              <w:t>集中</w:t>
            </w:r>
            <w:r>
              <w:rPr>
                <w:rFonts w:hint="eastAsia"/>
                <w:snapToGrid w:val="0"/>
                <w:color w:val="000000" w:themeColor="text1"/>
                <w:kern w:val="0"/>
                <w:lang w:val="en-US" w:eastAsia="zh-CN"/>
                <w14:textFill>
                  <w14:solidFill>
                    <w14:schemeClr w14:val="tx1"/>
                  </w14:solidFill>
                </w14:textFill>
              </w:rPr>
              <w:t>收集，</w:t>
            </w:r>
            <w:r>
              <w:rPr>
                <w:rFonts w:hint="eastAsia"/>
                <w:snapToGrid w:val="0"/>
                <w:color w:val="000000" w:themeColor="text1"/>
                <w14:textFill>
                  <w14:solidFill>
                    <w14:schemeClr w14:val="tx1"/>
                  </w14:solidFill>
                </w14:textFill>
              </w:rPr>
              <w:t>外售有机肥厂生产有机肥</w:t>
            </w:r>
            <w:r>
              <w:rPr>
                <w:rFonts w:hint="eastAsia"/>
                <w:snapToGrid w:val="0"/>
                <w:color w:val="000000" w:themeColor="text1"/>
                <w:lang w:eastAsia="zh-CN"/>
                <w14:textFill>
                  <w14:solidFill>
                    <w14:schemeClr w14:val="tx1"/>
                  </w14:solidFill>
                </w14:textFill>
              </w:rPr>
              <w:t>；</w:t>
            </w:r>
            <w:r>
              <w:rPr>
                <w:rFonts w:hint="eastAsia"/>
                <w:snapToGrid w:val="0"/>
                <w:color w:val="000000" w:themeColor="text1"/>
                <w:kern w:val="0"/>
                <w:lang w:val="en-US"/>
                <w14:textFill>
                  <w14:solidFill>
                    <w14:schemeClr w14:val="tx1"/>
                  </w14:solidFill>
                </w14:textFill>
              </w:rPr>
              <w:t>废布袋更换时交厂家回收处置</w:t>
            </w:r>
            <w:r>
              <w:rPr>
                <w:rFonts w:hint="eastAsia"/>
                <w:snapToGrid w:val="0"/>
                <w:color w:val="000000" w:themeColor="text1"/>
                <w:kern w:val="0"/>
                <w:lang w:val="en-US" w:eastAsia="zh-CN"/>
                <w14:textFill>
                  <w14:solidFill>
                    <w14:schemeClr w14:val="tx1"/>
                  </w14:solidFill>
                </w14:textFill>
              </w:rPr>
              <w:t>；</w:t>
            </w:r>
            <w:r>
              <w:rPr>
                <w:rFonts w:hint="eastAsia"/>
                <w:snapToGrid w:val="0"/>
                <w:color w:val="000000" w:themeColor="text1"/>
                <w:kern w:val="0"/>
                <w:lang w:val="en-US"/>
                <w14:textFill>
                  <w14:solidFill>
                    <w14:schemeClr w14:val="tx1"/>
                  </w14:solidFill>
                </w14:textFill>
              </w:rPr>
              <w:t>污水处理站污泥采取压滤脱水处理，确保含水率低于</w:t>
            </w:r>
            <w:r>
              <w:rPr>
                <w:snapToGrid w:val="0"/>
                <w:color w:val="000000" w:themeColor="text1"/>
                <w:kern w:val="0"/>
                <w:lang w:val="en-US"/>
                <w14:textFill>
                  <w14:solidFill>
                    <w14:schemeClr w14:val="tx1"/>
                  </w14:solidFill>
                </w14:textFill>
              </w:rPr>
              <w:t>60%，</w:t>
            </w:r>
            <w:r>
              <w:rPr>
                <w:rFonts w:hint="eastAsia"/>
                <w:snapToGrid w:val="0"/>
                <w:color w:val="000000" w:themeColor="text1"/>
                <w:kern w:val="0"/>
                <w:lang w:val="en-US"/>
                <w14:textFill>
                  <w14:solidFill>
                    <w14:schemeClr w14:val="tx1"/>
                  </w14:solidFill>
                </w14:textFill>
              </w:rPr>
              <w:t>定期</w:t>
            </w:r>
            <w:r>
              <w:rPr>
                <w:snapToGrid w:val="0"/>
                <w:color w:val="000000" w:themeColor="text1"/>
                <w:kern w:val="0"/>
                <w:lang w:val="en-US"/>
                <w14:textFill>
                  <w14:solidFill>
                    <w14:schemeClr w14:val="tx1"/>
                  </w14:solidFill>
                </w14:textFill>
              </w:rPr>
              <w:t>交由</w:t>
            </w:r>
            <w:r>
              <w:rPr>
                <w:rFonts w:hint="eastAsia"/>
                <w:snapToGrid w:val="0"/>
                <w:color w:val="000000" w:themeColor="text1"/>
                <w:kern w:val="0"/>
                <w:lang w:val="en-US"/>
                <w14:textFill>
                  <w14:solidFill>
                    <w14:schemeClr w14:val="tx1"/>
                  </w14:solidFill>
                </w14:textFill>
              </w:rPr>
              <w:t>市政部门统一处理</w:t>
            </w:r>
            <w:r>
              <w:rPr>
                <w:rFonts w:hint="eastAsia"/>
                <w:snapToGrid w:val="0"/>
                <w:color w:val="000000" w:themeColor="text1"/>
                <w:kern w:val="0"/>
                <w:lang w:val="en-US" w:eastAsia="zh-CN"/>
                <w14:textFill>
                  <w14:solidFill>
                    <w14:schemeClr w14:val="tx1"/>
                  </w14:solidFill>
                </w14:textFill>
              </w:rPr>
              <w:t>；</w:t>
            </w:r>
            <w:r>
              <w:rPr>
                <w:rFonts w:hint="eastAsia"/>
                <w:snapToGrid w:val="0"/>
                <w:color w:val="000000" w:themeColor="text1"/>
                <w:kern w:val="0"/>
                <w:lang w:val="en-US"/>
                <w14:textFill>
                  <w14:solidFill>
                    <w14:schemeClr w14:val="tx1"/>
                  </w14:solidFill>
                </w14:textFill>
              </w:rPr>
              <w:t>废脱硫剂更换时由厂家回收</w:t>
            </w:r>
            <w:r>
              <w:rPr>
                <w:rFonts w:hint="eastAsia"/>
                <w:snapToGrid w:val="0"/>
                <w:color w:val="000000" w:themeColor="text1"/>
                <w:kern w:val="0"/>
                <w:lang w:val="en-US" w:eastAsia="zh-CN"/>
                <w14:textFill>
                  <w14:solidFill>
                    <w14:schemeClr w14:val="tx1"/>
                  </w14:solidFill>
                </w14:textFill>
              </w:rPr>
              <w:t>；</w:t>
            </w:r>
            <w:r>
              <w:rPr>
                <w:rFonts w:hint="eastAsia"/>
                <w:snapToGrid w:val="0"/>
                <w:color w:val="000000" w:themeColor="text1"/>
                <w:kern w:val="0"/>
                <w:lang w:val="en-US"/>
                <w14:textFill>
                  <w14:solidFill>
                    <w14:schemeClr w14:val="tx1"/>
                  </w14:solidFill>
                </w14:textFill>
              </w:rPr>
              <w:t>废包装物</w:t>
            </w:r>
            <w:r>
              <w:rPr>
                <w:rFonts w:hint="eastAsia"/>
                <w:snapToGrid w:val="0"/>
                <w:color w:val="000000" w:themeColor="text1"/>
                <w:kern w:val="0"/>
                <w:lang w:val="en-US" w:eastAsia="zh-CN"/>
                <w14:textFill>
                  <w14:solidFill>
                    <w14:schemeClr w14:val="tx1"/>
                  </w14:solidFill>
                </w14:textFill>
              </w:rPr>
              <w:t>集中收集</w:t>
            </w:r>
            <w:r>
              <w:rPr>
                <w:snapToGrid w:val="0"/>
                <w:color w:val="000000" w:themeColor="text1"/>
                <w:kern w:val="0"/>
                <w:lang w:val="en-US"/>
                <w14:textFill>
                  <w14:solidFill>
                    <w14:schemeClr w14:val="tx1"/>
                  </w14:solidFill>
                </w14:textFill>
              </w:rPr>
              <w:t>，</w:t>
            </w:r>
            <w:r>
              <w:rPr>
                <w:rFonts w:hint="eastAsia"/>
                <w:snapToGrid w:val="0"/>
                <w:color w:val="000000" w:themeColor="text1"/>
                <w14:textFill>
                  <w14:solidFill>
                    <w14:schemeClr w14:val="tx1"/>
                  </w14:solidFill>
                </w14:textFill>
              </w:rPr>
              <w:t>外售废品收购站综合利用</w:t>
            </w:r>
            <w:r>
              <w:rPr>
                <w:rFonts w:hint="eastAsia"/>
                <w:snapToGrid w:val="0"/>
                <w:color w:val="000000" w:themeColor="text1"/>
                <w:kern w:val="0"/>
                <w:lang w:val="en-US" w:eastAsia="zh-CN"/>
                <w14:textFill>
                  <w14:solidFill>
                    <w14:schemeClr w14:val="tx1"/>
                  </w14:solidFill>
                </w14:textFill>
              </w:rPr>
              <w:t>；</w:t>
            </w:r>
            <w:r>
              <w:rPr>
                <w:rFonts w:hint="eastAsia"/>
                <w:snapToGrid w:val="0"/>
                <w:color w:val="000000" w:themeColor="text1"/>
                <w14:textFill>
                  <w14:solidFill>
                    <w14:schemeClr w14:val="tx1"/>
                  </w14:solidFill>
                </w14:textFill>
              </w:rPr>
              <w:t>废过滤材料由纯水设备公司</w:t>
            </w:r>
            <w:r>
              <w:rPr>
                <w:rFonts w:hint="eastAsia"/>
                <w:snapToGrid w:val="0"/>
                <w:color w:val="000000" w:themeColor="text1"/>
                <w:lang w:val="en-US" w:eastAsia="zh-CN"/>
                <w14:textFill>
                  <w14:solidFill>
                    <w14:schemeClr w14:val="tx1"/>
                  </w14:solidFill>
                </w14:textFill>
              </w:rPr>
              <w:t>定期更换时</w:t>
            </w:r>
            <w:r>
              <w:rPr>
                <w:rFonts w:hint="eastAsia"/>
                <w:snapToGrid w:val="0"/>
                <w:color w:val="000000" w:themeColor="text1"/>
                <w14:textFill>
                  <w14:solidFill>
                    <w14:schemeClr w14:val="tx1"/>
                  </w14:solidFill>
                </w14:textFill>
              </w:rPr>
              <w:t>回收处理</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废离子交换树脂由软水设备</w:t>
            </w:r>
            <w:r>
              <w:rPr>
                <w:rFonts w:hint="eastAsia"/>
                <w:snapToGrid w:val="0"/>
                <w:color w:val="000000" w:themeColor="text1"/>
                <w:lang w:val="en-US" w:eastAsia="zh-CN"/>
                <w14:textFill>
                  <w14:solidFill>
                    <w14:schemeClr w14:val="tx1"/>
                  </w14:solidFill>
                </w14:textFill>
              </w:rPr>
              <w:t>公司更换时</w:t>
            </w:r>
            <w:r>
              <w:rPr>
                <w:rFonts w:hint="eastAsia"/>
                <w:snapToGrid w:val="0"/>
                <w:color w:val="000000" w:themeColor="text1"/>
                <w14:textFill>
                  <w14:solidFill>
                    <w14:schemeClr w14:val="tx1"/>
                  </w14:solidFill>
                </w14:textFill>
              </w:rPr>
              <w:t>回收处理</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废分子筛和废活性炭，</w:t>
            </w:r>
            <w:r>
              <w:rPr>
                <w:rFonts w:hint="eastAsia"/>
                <w:snapToGrid w:val="0"/>
                <w:color w:val="000000" w:themeColor="text1"/>
                <w:lang w:eastAsia="zh-CN"/>
                <w14:textFill>
                  <w14:solidFill>
                    <w14:schemeClr w14:val="tx1"/>
                  </w14:solidFill>
                </w14:textFill>
              </w:rPr>
              <w:t>由生产厂家</w:t>
            </w:r>
            <w:r>
              <w:rPr>
                <w:rFonts w:hint="eastAsia"/>
                <w:snapToGrid w:val="0"/>
                <w:color w:val="000000" w:themeColor="text1"/>
                <w:lang w:val="en-US" w:eastAsia="zh-CN"/>
                <w14:textFill>
                  <w14:solidFill>
                    <w14:schemeClr w14:val="tx1"/>
                  </w14:solidFill>
                </w14:textFill>
              </w:rPr>
              <w:t>更换时</w:t>
            </w:r>
            <w:r>
              <w:rPr>
                <w:rFonts w:hint="eastAsia"/>
                <w:snapToGrid w:val="0"/>
                <w:color w:val="000000" w:themeColor="text1"/>
                <w:lang w:eastAsia="zh-CN"/>
                <w14:textFill>
                  <w14:solidFill>
                    <w14:schemeClr w14:val="tx1"/>
                  </w14:solidFill>
                </w14:textFill>
              </w:rPr>
              <w:t>回收处理；</w:t>
            </w:r>
            <w:r>
              <w:rPr>
                <w:rFonts w:hint="eastAsia"/>
                <w:snapToGrid w:val="0"/>
                <w:color w:val="000000" w:themeColor="text1"/>
                <w:lang w:val="en-US" w:eastAsia="zh-CN"/>
                <w14:textFill>
                  <w14:solidFill>
                    <w14:schemeClr w14:val="tx1"/>
                  </w14:solidFill>
                </w14:textFill>
              </w:rPr>
              <w:t>废危化品包装材料、</w:t>
            </w:r>
            <w:r>
              <w:rPr>
                <w:rFonts w:hint="eastAsia"/>
                <w:snapToGrid w:val="0"/>
                <w:color w:val="000000" w:themeColor="text1"/>
                <w14:textFill>
                  <w14:solidFill>
                    <w14:schemeClr w14:val="tx1"/>
                  </w14:solidFill>
                </w14:textFill>
              </w:rPr>
              <w:t>化验室废液</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废机油、废机油桶、废含油抹布手套分类暂存于危险废物贮存点，定期委托有资质单位处置</w:t>
            </w:r>
            <w:r>
              <w:rPr>
                <w:snapToGrid w:val="0"/>
                <w:color w:val="000000" w:themeColor="text1"/>
                <w:kern w:val="0"/>
                <w:lang w:val="en-US"/>
                <w14:textFill>
                  <w14:solidFill>
                    <w14:schemeClr w14:val="tx1"/>
                  </w14:solidFill>
                </w14:textFill>
              </w:rPr>
              <w:t>。</w:t>
            </w:r>
          </w:p>
        </w:tc>
        <w:tc>
          <w:tcPr>
            <w:tcW w:w="850" w:type="dxa"/>
            <w:vAlign w:val="center"/>
          </w:tcPr>
          <w:p w14:paraId="705BED39">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新建</w:t>
            </w:r>
          </w:p>
        </w:tc>
      </w:tr>
      <w:tr w14:paraId="4937F3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846" w:hRule="atLeast"/>
        </w:trPr>
        <w:tc>
          <w:tcPr>
            <w:tcW w:w="728" w:type="dxa"/>
            <w:vMerge w:val="continue"/>
            <w:vAlign w:val="center"/>
          </w:tcPr>
          <w:p w14:paraId="0A71B854">
            <w:pPr>
              <w:pStyle w:val="143"/>
              <w:rPr>
                <w:snapToGrid w:val="0"/>
                <w:color w:val="000000" w:themeColor="text1"/>
                <w:kern w:val="0"/>
                <w14:textFill>
                  <w14:solidFill>
                    <w14:schemeClr w14:val="tx1"/>
                  </w14:solidFill>
                </w14:textFill>
              </w:rPr>
            </w:pPr>
          </w:p>
        </w:tc>
        <w:tc>
          <w:tcPr>
            <w:tcW w:w="1682" w:type="dxa"/>
            <w:vMerge w:val="restart"/>
            <w:noWrap/>
            <w:vAlign w:val="center"/>
          </w:tcPr>
          <w:p w14:paraId="47B920B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地下水防治</w:t>
            </w:r>
          </w:p>
        </w:tc>
        <w:tc>
          <w:tcPr>
            <w:tcW w:w="851" w:type="dxa"/>
            <w:vAlign w:val="center"/>
          </w:tcPr>
          <w:p w14:paraId="24290125">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分区防渗</w:t>
            </w:r>
          </w:p>
        </w:tc>
        <w:tc>
          <w:tcPr>
            <w:tcW w:w="4394" w:type="dxa"/>
            <w:vAlign w:val="center"/>
          </w:tcPr>
          <w:p w14:paraId="2A78BE9A">
            <w:pPr>
              <w:pStyle w:val="143"/>
              <w:jc w:val="both"/>
              <w:rPr>
                <w:snapToGrid w:val="0"/>
                <w:color w:val="000000" w:themeColor="text1"/>
                <w:kern w:val="0"/>
                <w:szCs w:val="21"/>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一般防渗区：</w:t>
            </w:r>
            <w:r>
              <w:rPr>
                <w:rFonts w:hint="eastAsia" w:ascii="Times New Roman"/>
                <w:snapToGrid w:val="0"/>
                <w:color w:val="000000" w:themeColor="text1"/>
                <w:kern w:val="2"/>
                <w:sz w:val="21"/>
                <w:szCs w:val="21"/>
                <w14:textFill>
                  <w14:solidFill>
                    <w14:schemeClr w14:val="tx1"/>
                  </w14:solidFill>
                </w14:textFill>
              </w:rPr>
              <w:t>污水处理站</w:t>
            </w:r>
            <w:r>
              <w:rPr>
                <w:rFonts w:hint="eastAsia" w:ascii="Times New Roman"/>
                <w:snapToGrid w:val="0"/>
                <w:color w:val="000000" w:themeColor="text1"/>
                <w:kern w:val="2"/>
                <w:sz w:val="21"/>
                <w:szCs w:val="21"/>
                <w:lang w:eastAsia="zh-CN"/>
                <w14:textFill>
                  <w14:solidFill>
                    <w14:schemeClr w14:val="tx1"/>
                  </w14:solidFill>
                </w14:textFill>
              </w:rPr>
              <w:t>、</w:t>
            </w:r>
            <w:r>
              <w:rPr>
                <w:rFonts w:hint="eastAsia"/>
                <w:snapToGrid w:val="0"/>
                <w:color w:val="000000" w:themeColor="text1"/>
                <w:kern w:val="0"/>
                <w:szCs w:val="21"/>
                <w:lang w:val="en-US" w:eastAsia="zh-CN"/>
                <w14:textFill>
                  <w14:solidFill>
                    <w14:schemeClr w14:val="tx1"/>
                  </w14:solidFill>
                </w14:textFill>
              </w:rPr>
              <w:t>柴油发电机房、</w:t>
            </w:r>
            <w:r>
              <w:rPr>
                <w:snapToGrid w:val="0"/>
                <w:color w:val="000000" w:themeColor="text1"/>
                <w:kern w:val="0"/>
                <w14:textFill>
                  <w14:solidFill>
                    <w14:schemeClr w14:val="tx1"/>
                  </w14:solidFill>
                </w14:textFill>
              </w:rPr>
              <w:t>危险废物贮存</w:t>
            </w:r>
            <w:r>
              <w:rPr>
                <w:rFonts w:hint="eastAsia"/>
                <w:snapToGrid w:val="0"/>
                <w:color w:val="000000" w:themeColor="text1"/>
                <w:kern w:val="0"/>
                <w:lang w:eastAsia="zh-CN"/>
                <w14:textFill>
                  <w14:solidFill>
                    <w14:schemeClr w14:val="tx1"/>
                  </w14:solidFill>
                </w14:textFill>
              </w:rPr>
              <w:t>点、</w:t>
            </w:r>
            <w:r>
              <w:rPr>
                <w:rFonts w:hint="eastAsia"/>
                <w:snapToGrid w:val="0"/>
                <w:color w:val="000000" w:themeColor="text1"/>
                <w:kern w:val="0"/>
                <w:szCs w:val="21"/>
                <w:lang w:val="en-US" w:eastAsia="zh-CN"/>
                <w14:textFill>
                  <w14:solidFill>
                    <w14:schemeClr w14:val="tx1"/>
                  </w14:solidFill>
                </w14:textFill>
              </w:rPr>
              <w:t>化验室、发酵罐区</w:t>
            </w:r>
            <w:r>
              <w:rPr>
                <w:rFonts w:hint="eastAsia"/>
                <w:snapToGrid w:val="0"/>
                <w:color w:val="000000" w:themeColor="text1"/>
                <w:kern w:val="0"/>
                <w:szCs w:val="21"/>
                <w:lang w:eastAsia="zh-CN"/>
                <w14:textFill>
                  <w14:solidFill>
                    <w14:schemeClr w14:val="tx1"/>
                  </w14:solidFill>
                </w14:textFill>
              </w:rPr>
              <w:t>：</w:t>
            </w:r>
            <w:r>
              <w:rPr>
                <w:rFonts w:ascii="Times New Roman"/>
                <w:snapToGrid w:val="0"/>
                <w:color w:val="000000" w:themeColor="text1"/>
                <w:kern w:val="2"/>
                <w:sz w:val="21"/>
                <w:szCs w:val="21"/>
                <w14:textFill>
                  <w14:solidFill>
                    <w14:schemeClr w14:val="tx1"/>
                  </w14:solidFill>
                </w14:textFill>
              </w:rPr>
              <w:t>池体</w:t>
            </w:r>
            <w:r>
              <w:rPr>
                <w:rFonts w:hint="eastAsia" w:ascii="Times New Roman"/>
                <w:snapToGrid w:val="0"/>
                <w:color w:val="000000" w:themeColor="text1"/>
                <w:kern w:val="2"/>
                <w:sz w:val="21"/>
                <w:szCs w:val="21"/>
                <w14:textFill>
                  <w14:solidFill>
                    <w14:schemeClr w14:val="tx1"/>
                  </w14:solidFill>
                </w14:textFill>
              </w:rPr>
              <w:t>及</w:t>
            </w:r>
            <w:r>
              <w:rPr>
                <w:rFonts w:ascii="Times New Roman"/>
                <w:snapToGrid w:val="0"/>
                <w:color w:val="000000" w:themeColor="text1"/>
                <w:kern w:val="2"/>
                <w:sz w:val="21"/>
                <w:szCs w:val="21"/>
                <w:lang w:val="en-GB"/>
                <w14:textFill>
                  <w14:solidFill>
                    <w14:schemeClr w14:val="tx1"/>
                  </w14:solidFill>
                </w14:textFill>
              </w:rPr>
              <w:t>地面基础防渗，防渗层为至少1m厚粘土层或2mm厚高密度聚乙烯，需满足等效黏土防渗层Mb≥1.5m，K≤1×10</w:t>
            </w:r>
            <w:r>
              <w:rPr>
                <w:rFonts w:ascii="Times New Roman"/>
                <w:snapToGrid w:val="0"/>
                <w:color w:val="000000" w:themeColor="text1"/>
                <w:kern w:val="2"/>
                <w:sz w:val="21"/>
                <w:szCs w:val="21"/>
                <w:vertAlign w:val="superscript"/>
                <w:lang w:val="en-GB"/>
                <w14:textFill>
                  <w14:solidFill>
                    <w14:schemeClr w14:val="tx1"/>
                  </w14:solidFill>
                </w14:textFill>
              </w:rPr>
              <w:t>-7</w:t>
            </w:r>
            <w:r>
              <w:rPr>
                <w:rFonts w:ascii="Times New Roman"/>
                <w:snapToGrid w:val="0"/>
                <w:color w:val="000000" w:themeColor="text1"/>
                <w:kern w:val="2"/>
                <w:sz w:val="21"/>
                <w:szCs w:val="21"/>
                <w:lang w:val="en-GB"/>
                <w14:textFill>
                  <w14:solidFill>
                    <w14:schemeClr w14:val="tx1"/>
                  </w14:solidFill>
                </w14:textFill>
              </w:rPr>
              <w:t>cm/s的要求</w:t>
            </w:r>
          </w:p>
          <w:p w14:paraId="541DBB29">
            <w:pPr>
              <w:pStyle w:val="143"/>
              <w:jc w:val="both"/>
              <w:rPr>
                <w:snapToGrid w:val="0"/>
                <w:color w:val="000000" w:themeColor="text1"/>
                <w:kern w:val="0"/>
                <w:szCs w:val="21"/>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简单防渗区：</w:t>
            </w:r>
            <w:r>
              <w:rPr>
                <w:rFonts w:hint="eastAsia"/>
                <w:snapToGrid w:val="0"/>
                <w:color w:val="000000" w:themeColor="text1"/>
                <w:kern w:val="0"/>
                <w:lang w:val="en-US" w:eastAsia="zh-CN"/>
                <w14:textFill>
                  <w14:solidFill>
                    <w14:schemeClr w14:val="tx1"/>
                  </w14:solidFill>
                </w14:textFill>
              </w:rPr>
              <w:t>酿造车间、包装车间等其他区域</w:t>
            </w:r>
            <w:r>
              <w:rPr>
                <w:rFonts w:hint="eastAsia"/>
                <w:snapToGrid w:val="0"/>
                <w:color w:val="000000" w:themeColor="text1"/>
                <w:kern w:val="0"/>
                <w:szCs w:val="21"/>
                <w:lang w:eastAsia="zh-CN"/>
                <w14:textFill>
                  <w14:solidFill>
                    <w14:schemeClr w14:val="tx1"/>
                  </w14:solidFill>
                </w14:textFill>
              </w:rPr>
              <w:t>：</w:t>
            </w:r>
            <w:r>
              <w:rPr>
                <w:snapToGrid w:val="0"/>
                <w:color w:val="000000" w:themeColor="text1"/>
                <w:kern w:val="0"/>
                <w14:textFill>
                  <w14:solidFill>
                    <w14:schemeClr w14:val="tx1"/>
                  </w14:solidFill>
                </w14:textFill>
              </w:rPr>
              <w:t>采取基础防渗地面，防渗性能应与1.5m厚黏土层的防渗性能等效（渗透系数≤1.0×10</w:t>
            </w:r>
            <w:r>
              <w:rPr>
                <w:snapToGrid w:val="0"/>
                <w:color w:val="000000" w:themeColor="text1"/>
                <w:kern w:val="0"/>
                <w:vertAlign w:val="superscript"/>
                <w14:textFill>
                  <w14:solidFill>
                    <w14:schemeClr w14:val="tx1"/>
                  </w14:solidFill>
                </w14:textFill>
              </w:rPr>
              <w:t>-7</w:t>
            </w:r>
            <w:r>
              <w:rPr>
                <w:snapToGrid w:val="0"/>
                <w:color w:val="000000" w:themeColor="text1"/>
                <w:kern w:val="0"/>
                <w14:textFill>
                  <w14:solidFill>
                    <w14:schemeClr w14:val="tx1"/>
                  </w14:solidFill>
                </w14:textFill>
              </w:rPr>
              <w:t>cm/s）</w:t>
            </w:r>
          </w:p>
        </w:tc>
        <w:tc>
          <w:tcPr>
            <w:tcW w:w="850" w:type="dxa"/>
            <w:vAlign w:val="center"/>
          </w:tcPr>
          <w:p w14:paraId="13A2021E">
            <w:pPr>
              <w:pStyle w:val="143"/>
              <w:rPr>
                <w:snapToGrid w:val="0"/>
                <w:color w:val="000000" w:themeColor="text1"/>
                <w:kern w:val="0"/>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新建</w:t>
            </w:r>
          </w:p>
        </w:tc>
      </w:tr>
      <w:tr w14:paraId="67AE69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728" w:type="dxa"/>
            <w:vMerge w:val="continue"/>
            <w:vAlign w:val="center"/>
          </w:tcPr>
          <w:p w14:paraId="029083BF">
            <w:pPr>
              <w:pStyle w:val="143"/>
              <w:rPr>
                <w:snapToGrid w:val="0"/>
                <w:color w:val="000000" w:themeColor="text1"/>
                <w:kern w:val="0"/>
                <w14:textFill>
                  <w14:solidFill>
                    <w14:schemeClr w14:val="tx1"/>
                  </w14:solidFill>
                </w14:textFill>
              </w:rPr>
            </w:pPr>
          </w:p>
        </w:tc>
        <w:tc>
          <w:tcPr>
            <w:tcW w:w="1682" w:type="dxa"/>
            <w:vMerge w:val="continue"/>
            <w:noWrap/>
            <w:vAlign w:val="center"/>
          </w:tcPr>
          <w:p w14:paraId="7D1AF76C">
            <w:pPr>
              <w:pStyle w:val="143"/>
              <w:rPr>
                <w:snapToGrid w:val="0"/>
                <w:color w:val="FF0000"/>
                <w:kern w:val="0"/>
              </w:rPr>
            </w:pPr>
          </w:p>
        </w:tc>
        <w:tc>
          <w:tcPr>
            <w:tcW w:w="851" w:type="dxa"/>
            <w:vAlign w:val="center"/>
          </w:tcPr>
          <w:p w14:paraId="0E92DD8E">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lang w:eastAsia="zh-CN"/>
                <w14:textFill>
                  <w14:solidFill>
                    <w14:schemeClr w14:val="tx1"/>
                  </w14:solidFill>
                </w14:textFill>
              </w:rPr>
              <w:t>跟踪监测</w:t>
            </w:r>
          </w:p>
        </w:tc>
        <w:tc>
          <w:tcPr>
            <w:tcW w:w="4394" w:type="dxa"/>
            <w:vAlign w:val="center"/>
          </w:tcPr>
          <w:p w14:paraId="334A499C">
            <w:pPr>
              <w:pStyle w:val="143"/>
              <w:jc w:val="both"/>
              <w:rPr>
                <w:snapToGrid w:val="0"/>
                <w:color w:val="000000" w:themeColor="text1"/>
                <w:kern w:val="0"/>
                <w:szCs w:val="21"/>
                <w14:textFill>
                  <w14:solidFill>
                    <w14:schemeClr w14:val="tx1"/>
                  </w14:solidFill>
                </w14:textFill>
              </w:rPr>
            </w:pPr>
            <w:r>
              <w:rPr>
                <w:snapToGrid w:val="0"/>
                <w:color w:val="000000" w:themeColor="text1"/>
                <w:kern w:val="0"/>
                <w:szCs w:val="21"/>
                <w:lang w:val="en-US"/>
                <w14:textFill>
                  <w14:solidFill>
                    <w14:schemeClr w14:val="tx1"/>
                  </w14:solidFill>
                </w14:textFill>
              </w:rPr>
              <w:t>本项目建议设置1口跟踪监测井，为直观反应厂区地下水污染情况，</w:t>
            </w:r>
            <w:r>
              <w:rPr>
                <w:rFonts w:ascii="Times New Roman" w:hAnsi="Times New Roman" w:eastAsia="宋体" w:cs="Times New Roman"/>
                <w:snapToGrid w:val="0"/>
                <w:color w:val="000000" w:themeColor="text1"/>
                <w:kern w:val="0"/>
                <w:szCs w:val="24"/>
                <w14:textFill>
                  <w14:solidFill>
                    <w14:schemeClr w14:val="tx1"/>
                  </w14:solidFill>
                </w14:textFill>
              </w:rPr>
              <w:t>污水处理站调节池最近对应</w:t>
            </w:r>
            <w:r>
              <w:rPr>
                <w:rFonts w:hint="eastAsia" w:ascii="Times New Roman" w:hAnsi="Times New Roman" w:eastAsia="宋体" w:cs="Times New Roman"/>
                <w:snapToGrid w:val="0"/>
                <w:color w:val="000000" w:themeColor="text1"/>
                <w:kern w:val="0"/>
                <w:szCs w:val="24"/>
                <w:lang w:val="en-US" w:eastAsia="zh-CN"/>
                <w14:textFill>
                  <w14:solidFill>
                    <w14:schemeClr w14:val="tx1"/>
                  </w14:solidFill>
                </w14:textFill>
              </w:rPr>
              <w:t>西</w:t>
            </w:r>
            <w:r>
              <w:rPr>
                <w:rFonts w:hint="eastAsia" w:ascii="Times New Roman" w:hAnsi="Times New Roman" w:eastAsia="宋体" w:cs="Times New Roman"/>
                <w:snapToGrid w:val="0"/>
                <w:color w:val="000000" w:themeColor="text1"/>
                <w:kern w:val="0"/>
                <w:szCs w:val="24"/>
                <w14:textFill>
                  <w14:solidFill>
                    <w14:schemeClr w14:val="tx1"/>
                  </w14:solidFill>
                </w14:textFill>
              </w:rPr>
              <w:t>北角</w:t>
            </w:r>
            <w:r>
              <w:rPr>
                <w:rFonts w:ascii="Times New Roman" w:hAnsi="Times New Roman" w:eastAsia="宋体" w:cs="Times New Roman"/>
                <w:snapToGrid w:val="0"/>
                <w:color w:val="000000" w:themeColor="text1"/>
                <w:kern w:val="0"/>
                <w:szCs w:val="24"/>
                <w14:textFill>
                  <w14:solidFill>
                    <w14:schemeClr w14:val="tx1"/>
                  </w14:solidFill>
                </w14:textFill>
              </w:rPr>
              <w:t>处设置</w:t>
            </w:r>
            <w:r>
              <w:rPr>
                <w:rFonts w:hint="eastAsia" w:ascii="Times New Roman" w:hAnsi="Times New Roman" w:eastAsia="宋体" w:cs="Times New Roman"/>
                <w:snapToGrid w:val="0"/>
                <w:color w:val="000000" w:themeColor="text1"/>
                <w:kern w:val="0"/>
                <w:szCs w:val="24"/>
                <w14:textFill>
                  <w14:solidFill>
                    <w14:schemeClr w14:val="tx1"/>
                  </w14:solidFill>
                </w14:textFill>
              </w:rPr>
              <w:t>地下水跟踪</w:t>
            </w:r>
            <w:r>
              <w:rPr>
                <w:rFonts w:ascii="Times New Roman" w:hAnsi="Times New Roman" w:eastAsia="宋体" w:cs="Times New Roman"/>
                <w:snapToGrid w:val="0"/>
                <w:color w:val="000000" w:themeColor="text1"/>
                <w:kern w:val="0"/>
                <w:szCs w:val="24"/>
                <w14:textFill>
                  <w14:solidFill>
                    <w14:schemeClr w14:val="tx1"/>
                  </w14:solidFill>
                </w14:textFill>
              </w:rPr>
              <w:t>监测井</w:t>
            </w:r>
            <w:r>
              <w:rPr>
                <w:rFonts w:hint="eastAsia" w:ascii="Times New Roman" w:hAnsi="Times New Roman" w:eastAsia="宋体" w:cs="Times New Roman"/>
                <w:snapToGrid w:val="0"/>
                <w:color w:val="000000" w:themeColor="text1"/>
                <w:kern w:val="0"/>
                <w:szCs w:val="24"/>
                <w14:textFill>
                  <w14:solidFill>
                    <w14:schemeClr w14:val="tx1"/>
                  </w14:solidFill>
                </w14:textFill>
              </w:rPr>
              <w:t>1</w:t>
            </w:r>
            <w:r>
              <w:rPr>
                <w:rFonts w:ascii="Times New Roman" w:hAnsi="Times New Roman" w:eastAsia="宋体" w:cs="Times New Roman"/>
                <w:snapToGrid w:val="0"/>
                <w:color w:val="000000" w:themeColor="text1"/>
                <w:kern w:val="0"/>
                <w:szCs w:val="24"/>
                <w14:textFill>
                  <w14:solidFill>
                    <w14:schemeClr w14:val="tx1"/>
                  </w14:solidFill>
                </w14:textFill>
              </w:rPr>
              <w:t>口</w:t>
            </w:r>
            <w:r>
              <w:rPr>
                <w:snapToGrid w:val="0"/>
                <w:color w:val="000000" w:themeColor="text1"/>
                <w:kern w:val="0"/>
                <w:szCs w:val="21"/>
                <w:lang w:val="en-US"/>
                <w14:textFill>
                  <w14:solidFill>
                    <w14:schemeClr w14:val="tx1"/>
                  </w14:solidFill>
                </w14:textFill>
              </w:rPr>
              <w:t>，井深</w:t>
            </w:r>
            <w:r>
              <w:rPr>
                <w:rFonts w:hint="eastAsia"/>
                <w:snapToGrid w:val="0"/>
                <w:color w:val="000000" w:themeColor="text1"/>
                <w:kern w:val="0"/>
                <w:szCs w:val="21"/>
                <w:lang w:val="en-US" w:eastAsia="zh-CN"/>
                <w14:textFill>
                  <w14:solidFill>
                    <w14:schemeClr w14:val="tx1"/>
                  </w14:solidFill>
                </w14:textFill>
              </w:rPr>
              <w:t>35</w:t>
            </w:r>
            <w:r>
              <w:rPr>
                <w:snapToGrid w:val="0"/>
                <w:color w:val="000000" w:themeColor="text1"/>
                <w:kern w:val="0"/>
                <w:szCs w:val="21"/>
                <w:lang w:val="en-US"/>
                <w14:textFill>
                  <w14:solidFill>
                    <w14:schemeClr w14:val="tx1"/>
                  </w14:solidFill>
                </w14:textFill>
              </w:rPr>
              <w:t>m。</w:t>
            </w:r>
          </w:p>
        </w:tc>
        <w:tc>
          <w:tcPr>
            <w:tcW w:w="850" w:type="dxa"/>
            <w:vAlign w:val="center"/>
          </w:tcPr>
          <w:p w14:paraId="43F6A1EA">
            <w:pPr>
              <w:pStyle w:val="143"/>
              <w:rPr>
                <w:snapToGrid w:val="0"/>
                <w:color w:val="000000" w:themeColor="text1"/>
                <w:kern w:val="0"/>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新建</w:t>
            </w:r>
          </w:p>
        </w:tc>
      </w:tr>
      <w:bookmarkEnd w:id="93"/>
    </w:tbl>
    <w:p w14:paraId="67E49828">
      <w:pPr>
        <w:pStyle w:val="6"/>
        <w:rPr>
          <w:snapToGrid w:val="0"/>
          <w:color w:val="000000" w:themeColor="text1"/>
          <w14:textFill>
            <w14:solidFill>
              <w14:schemeClr w14:val="tx1"/>
            </w14:solidFill>
          </w14:textFill>
        </w:rPr>
      </w:pPr>
      <w:bookmarkStart w:id="94" w:name="_Toc2830"/>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.2.3</w:t>
      </w:r>
      <w:r>
        <w:rPr>
          <w:rFonts w:hint="eastAsia"/>
          <w:snapToGrid w:val="0"/>
          <w:color w:val="000000" w:themeColor="text1"/>
          <w14:textFill>
            <w14:solidFill>
              <w14:schemeClr w14:val="tx1"/>
            </w14:solidFill>
          </w14:textFill>
        </w:rPr>
        <w:t>本项目主要设备</w:t>
      </w:r>
      <w:bookmarkEnd w:id="94"/>
    </w:p>
    <w:p w14:paraId="58CD6FC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本项目运营期新增主要设备见下表。</w:t>
      </w:r>
    </w:p>
    <w:p w14:paraId="7CD09182">
      <w:pPr>
        <w:pStyle w:val="206"/>
        <w:rPr>
          <w:rFonts w:hint="eastAsia"/>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表3</w:t>
      </w:r>
      <w:r>
        <w:rPr>
          <w:snapToGrid w:val="0"/>
          <w:color w:val="000000" w:themeColor="text1"/>
          <w:lang w:eastAsia="zh-CN"/>
          <w14:textFill>
            <w14:solidFill>
              <w14:schemeClr w14:val="tx1"/>
            </w14:solidFill>
          </w14:textFill>
        </w:rPr>
        <w:t xml:space="preserve">-2-2 </w:t>
      </w:r>
      <w:r>
        <w:rPr>
          <w:rFonts w:hint="eastAsia"/>
          <w:snapToGrid w:val="0"/>
          <w:color w:val="000000" w:themeColor="text1"/>
          <w:lang w:val="en-US" w:eastAsia="zh-CN"/>
          <w14:textFill>
            <w14:solidFill>
              <w14:schemeClr w14:val="tx1"/>
            </w14:solidFill>
          </w14:textFill>
        </w:rPr>
        <w:t>运营期新增</w:t>
      </w:r>
      <w:r>
        <w:rPr>
          <w:rFonts w:hint="eastAsia"/>
          <w:snapToGrid w:val="0"/>
          <w:color w:val="000000" w:themeColor="text1"/>
          <w:lang w:eastAsia="zh-CN"/>
          <w14:textFill>
            <w14:solidFill>
              <w14:schemeClr w14:val="tx1"/>
            </w14:solidFill>
          </w14:textFill>
        </w:rPr>
        <w:t>主要设备一览表</w:t>
      </w:r>
    </w:p>
    <w:tbl>
      <w:tblPr>
        <w:tblStyle w:val="49"/>
        <w:tblW w:w="4871"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1035"/>
        <w:gridCol w:w="2584"/>
        <w:gridCol w:w="1102"/>
        <w:gridCol w:w="1245"/>
        <w:gridCol w:w="779"/>
        <w:gridCol w:w="1347"/>
      </w:tblGrid>
      <w:tr w14:paraId="3A2064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C5E0B3"/>
            <w:vAlign w:val="center"/>
          </w:tcPr>
          <w:p w14:paraId="0B5BCB3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序号</w:t>
            </w:r>
          </w:p>
        </w:tc>
        <w:tc>
          <w:tcPr>
            <w:tcW w:w="1596" w:type="pct"/>
            <w:tcBorders>
              <w:tl2br w:val="nil"/>
              <w:tr2bl w:val="nil"/>
            </w:tcBorders>
            <w:shd w:val="clear" w:color="auto" w:fill="C5E0B3"/>
            <w:vAlign w:val="center"/>
          </w:tcPr>
          <w:p w14:paraId="461F400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名称</w:t>
            </w:r>
          </w:p>
        </w:tc>
        <w:tc>
          <w:tcPr>
            <w:tcW w:w="681" w:type="pct"/>
            <w:tcBorders>
              <w:tl2br w:val="nil"/>
              <w:tr2bl w:val="nil"/>
            </w:tcBorders>
            <w:shd w:val="clear" w:color="auto" w:fill="C5E0B3"/>
            <w:vAlign w:val="center"/>
          </w:tcPr>
          <w:p w14:paraId="12B989A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规格</w:t>
            </w:r>
          </w:p>
        </w:tc>
        <w:tc>
          <w:tcPr>
            <w:tcW w:w="768" w:type="pct"/>
            <w:tcBorders>
              <w:tl2br w:val="nil"/>
              <w:tr2bl w:val="nil"/>
            </w:tcBorders>
            <w:shd w:val="clear" w:color="auto" w:fill="C5E0B3"/>
            <w:vAlign w:val="center"/>
          </w:tcPr>
          <w:p w14:paraId="785D916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单位</w:t>
            </w:r>
          </w:p>
        </w:tc>
        <w:tc>
          <w:tcPr>
            <w:tcW w:w="481" w:type="pct"/>
            <w:tcBorders>
              <w:tl2br w:val="nil"/>
              <w:tr2bl w:val="nil"/>
            </w:tcBorders>
            <w:shd w:val="clear" w:color="auto" w:fill="C5E0B3"/>
            <w:vAlign w:val="center"/>
          </w:tcPr>
          <w:p w14:paraId="01D7E6D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数量</w:t>
            </w:r>
          </w:p>
        </w:tc>
        <w:tc>
          <w:tcPr>
            <w:tcW w:w="832" w:type="pct"/>
            <w:tcBorders>
              <w:tl2br w:val="nil"/>
              <w:tr2bl w:val="nil"/>
            </w:tcBorders>
            <w:shd w:val="clear" w:color="auto" w:fill="C5E0B3"/>
            <w:vAlign w:val="center"/>
          </w:tcPr>
          <w:p w14:paraId="015A52E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单位</w:t>
            </w:r>
          </w:p>
        </w:tc>
      </w:tr>
      <w:tr w14:paraId="5F3CBAF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5BE7FAB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1 </w:t>
            </w:r>
          </w:p>
        </w:tc>
        <w:tc>
          <w:tcPr>
            <w:tcW w:w="1596" w:type="pct"/>
            <w:tcBorders>
              <w:tl2br w:val="nil"/>
              <w:tr2bl w:val="nil"/>
            </w:tcBorders>
            <w:shd w:val="clear" w:color="auto" w:fill="auto"/>
            <w:vAlign w:val="center"/>
          </w:tcPr>
          <w:p w14:paraId="2BBB085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麦芽斗提机及进仓设备</w:t>
            </w:r>
          </w:p>
        </w:tc>
        <w:tc>
          <w:tcPr>
            <w:tcW w:w="681" w:type="pct"/>
            <w:tcBorders>
              <w:tl2br w:val="nil"/>
              <w:tr2bl w:val="nil"/>
            </w:tcBorders>
            <w:shd w:val="clear" w:color="auto" w:fill="auto"/>
            <w:vAlign w:val="center"/>
          </w:tcPr>
          <w:p w14:paraId="5432641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15 </w:t>
            </w:r>
          </w:p>
        </w:tc>
        <w:tc>
          <w:tcPr>
            <w:tcW w:w="768" w:type="pct"/>
            <w:tcBorders>
              <w:tl2br w:val="nil"/>
              <w:tr2bl w:val="nil"/>
            </w:tcBorders>
            <w:shd w:val="clear" w:color="auto" w:fill="auto"/>
            <w:vAlign w:val="center"/>
          </w:tcPr>
          <w:p w14:paraId="5622619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t/h</w:t>
            </w:r>
          </w:p>
        </w:tc>
        <w:tc>
          <w:tcPr>
            <w:tcW w:w="481" w:type="pct"/>
            <w:tcBorders>
              <w:tl2br w:val="nil"/>
              <w:tr2bl w:val="nil"/>
            </w:tcBorders>
            <w:shd w:val="clear" w:color="auto" w:fill="auto"/>
            <w:vAlign w:val="center"/>
          </w:tcPr>
          <w:p w14:paraId="2666F4D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1</w:t>
            </w:r>
          </w:p>
        </w:tc>
        <w:tc>
          <w:tcPr>
            <w:tcW w:w="832" w:type="pct"/>
            <w:tcBorders>
              <w:tl2br w:val="nil"/>
              <w:tr2bl w:val="nil"/>
            </w:tcBorders>
            <w:shd w:val="clear" w:color="auto" w:fill="auto"/>
            <w:vAlign w:val="center"/>
          </w:tcPr>
          <w:p w14:paraId="0659B24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2A59A1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777142E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2 </w:t>
            </w:r>
          </w:p>
        </w:tc>
        <w:tc>
          <w:tcPr>
            <w:tcW w:w="1596" w:type="pct"/>
            <w:tcBorders>
              <w:tl2br w:val="nil"/>
              <w:tr2bl w:val="nil"/>
            </w:tcBorders>
            <w:shd w:val="clear" w:color="auto" w:fill="auto"/>
            <w:vAlign w:val="center"/>
          </w:tcPr>
          <w:p w14:paraId="35E7D3B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大米斗提机及进仓设备</w:t>
            </w:r>
          </w:p>
        </w:tc>
        <w:tc>
          <w:tcPr>
            <w:tcW w:w="681" w:type="pct"/>
            <w:tcBorders>
              <w:tl2br w:val="nil"/>
              <w:tr2bl w:val="nil"/>
            </w:tcBorders>
            <w:shd w:val="clear" w:color="auto" w:fill="auto"/>
            <w:vAlign w:val="center"/>
          </w:tcPr>
          <w:p w14:paraId="19A0A22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10 </w:t>
            </w:r>
          </w:p>
        </w:tc>
        <w:tc>
          <w:tcPr>
            <w:tcW w:w="768" w:type="pct"/>
            <w:tcBorders>
              <w:tl2br w:val="nil"/>
              <w:tr2bl w:val="nil"/>
            </w:tcBorders>
            <w:shd w:val="clear" w:color="auto" w:fill="auto"/>
            <w:vAlign w:val="center"/>
          </w:tcPr>
          <w:p w14:paraId="42975E6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t/h</w:t>
            </w:r>
          </w:p>
        </w:tc>
        <w:tc>
          <w:tcPr>
            <w:tcW w:w="481" w:type="pct"/>
            <w:tcBorders>
              <w:tl2br w:val="nil"/>
              <w:tr2bl w:val="nil"/>
            </w:tcBorders>
            <w:shd w:val="clear" w:color="auto" w:fill="auto"/>
            <w:vAlign w:val="center"/>
          </w:tcPr>
          <w:p w14:paraId="7F66EFF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5792192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15D7C7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62" w:hRule="atLeast"/>
        </w:trPr>
        <w:tc>
          <w:tcPr>
            <w:tcW w:w="640" w:type="pct"/>
            <w:tcBorders>
              <w:tl2br w:val="nil"/>
              <w:tr2bl w:val="nil"/>
            </w:tcBorders>
            <w:shd w:val="clear" w:color="auto" w:fill="auto"/>
            <w:vAlign w:val="center"/>
          </w:tcPr>
          <w:p w14:paraId="062CB55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3</w:t>
            </w:r>
            <w:r>
              <w:rPr>
                <w:snapToGrid w:val="0"/>
                <w:color w:val="000000" w:themeColor="text1"/>
                <w:kern w:val="0"/>
                <w:szCs w:val="21"/>
                <w:lang w:val="en-US" w:eastAsia="zh-CN"/>
                <w14:textFill>
                  <w14:solidFill>
                    <w14:schemeClr w14:val="tx1"/>
                  </w14:solidFill>
                </w14:textFill>
              </w:rPr>
              <w:t xml:space="preserve"> </w:t>
            </w:r>
          </w:p>
        </w:tc>
        <w:tc>
          <w:tcPr>
            <w:tcW w:w="1596" w:type="pct"/>
            <w:tcBorders>
              <w:tl2br w:val="nil"/>
              <w:tr2bl w:val="nil"/>
            </w:tcBorders>
            <w:shd w:val="clear" w:color="auto" w:fill="auto"/>
            <w:vAlign w:val="center"/>
          </w:tcPr>
          <w:p w14:paraId="615BFF0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麦芽立仓</w:t>
            </w:r>
          </w:p>
        </w:tc>
        <w:tc>
          <w:tcPr>
            <w:tcW w:w="681" w:type="pct"/>
            <w:tcBorders>
              <w:tl2br w:val="nil"/>
              <w:tr2bl w:val="nil"/>
            </w:tcBorders>
            <w:shd w:val="clear" w:color="auto" w:fill="auto"/>
            <w:vAlign w:val="center"/>
          </w:tcPr>
          <w:p w14:paraId="2CCC9E8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200 </w:t>
            </w:r>
          </w:p>
        </w:tc>
        <w:tc>
          <w:tcPr>
            <w:tcW w:w="768" w:type="pct"/>
            <w:tcBorders>
              <w:tl2br w:val="nil"/>
              <w:tr2bl w:val="nil"/>
            </w:tcBorders>
            <w:shd w:val="clear" w:color="auto" w:fill="auto"/>
            <w:vAlign w:val="center"/>
          </w:tcPr>
          <w:p w14:paraId="353C1CB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m</w:t>
            </w:r>
            <w:r>
              <w:rPr>
                <w:snapToGrid w:val="0"/>
                <w:color w:val="000000" w:themeColor="text1"/>
                <w:kern w:val="0"/>
                <w:szCs w:val="21"/>
                <w:vertAlign w:val="superscript"/>
                <w:lang w:val="en-US" w:eastAsia="zh-CN"/>
                <w14:textFill>
                  <w14:solidFill>
                    <w14:schemeClr w14:val="tx1"/>
                  </w14:solidFill>
                </w14:textFill>
              </w:rPr>
              <w:t>3</w:t>
            </w:r>
          </w:p>
        </w:tc>
        <w:tc>
          <w:tcPr>
            <w:tcW w:w="481" w:type="pct"/>
            <w:tcBorders>
              <w:tl2br w:val="nil"/>
              <w:tr2bl w:val="nil"/>
            </w:tcBorders>
            <w:shd w:val="clear" w:color="auto" w:fill="auto"/>
            <w:vAlign w:val="center"/>
          </w:tcPr>
          <w:p w14:paraId="1D1C751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5</w:t>
            </w:r>
          </w:p>
        </w:tc>
        <w:tc>
          <w:tcPr>
            <w:tcW w:w="832" w:type="pct"/>
            <w:tcBorders>
              <w:tl2br w:val="nil"/>
              <w:tr2bl w:val="nil"/>
            </w:tcBorders>
            <w:shd w:val="clear" w:color="auto" w:fill="auto"/>
            <w:vAlign w:val="center"/>
          </w:tcPr>
          <w:p w14:paraId="57C1B91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5C9654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609DDA97">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4 </w:t>
            </w:r>
          </w:p>
        </w:tc>
        <w:tc>
          <w:tcPr>
            <w:tcW w:w="1596" w:type="pct"/>
            <w:tcBorders>
              <w:tl2br w:val="nil"/>
              <w:tr2bl w:val="nil"/>
            </w:tcBorders>
            <w:shd w:val="clear" w:color="auto" w:fill="auto"/>
            <w:vAlign w:val="center"/>
          </w:tcPr>
          <w:p w14:paraId="0D1E431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大米立仓</w:t>
            </w:r>
          </w:p>
        </w:tc>
        <w:tc>
          <w:tcPr>
            <w:tcW w:w="681" w:type="pct"/>
            <w:tcBorders>
              <w:tl2br w:val="nil"/>
              <w:tr2bl w:val="nil"/>
            </w:tcBorders>
            <w:shd w:val="clear" w:color="auto" w:fill="auto"/>
            <w:vAlign w:val="center"/>
          </w:tcPr>
          <w:p w14:paraId="7895D8D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200 </w:t>
            </w:r>
          </w:p>
        </w:tc>
        <w:tc>
          <w:tcPr>
            <w:tcW w:w="768" w:type="pct"/>
            <w:tcBorders>
              <w:tl2br w:val="nil"/>
              <w:tr2bl w:val="nil"/>
            </w:tcBorders>
            <w:shd w:val="clear" w:color="auto" w:fill="auto"/>
            <w:vAlign w:val="center"/>
          </w:tcPr>
          <w:p w14:paraId="63D3936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m</w:t>
            </w:r>
            <w:r>
              <w:rPr>
                <w:snapToGrid w:val="0"/>
                <w:color w:val="000000" w:themeColor="text1"/>
                <w:kern w:val="0"/>
                <w:szCs w:val="21"/>
                <w:vertAlign w:val="superscript"/>
                <w:lang w:val="en-US" w:eastAsia="zh-CN"/>
                <w14:textFill>
                  <w14:solidFill>
                    <w14:schemeClr w14:val="tx1"/>
                  </w14:solidFill>
                </w14:textFill>
              </w:rPr>
              <w:t>3</w:t>
            </w:r>
          </w:p>
        </w:tc>
        <w:tc>
          <w:tcPr>
            <w:tcW w:w="481" w:type="pct"/>
            <w:tcBorders>
              <w:tl2br w:val="nil"/>
              <w:tr2bl w:val="nil"/>
            </w:tcBorders>
            <w:shd w:val="clear" w:color="auto" w:fill="auto"/>
            <w:vAlign w:val="center"/>
          </w:tcPr>
          <w:p w14:paraId="2BCA39D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EF82C0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3111CA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035" w:type="dxa"/>
            <w:tcBorders>
              <w:tl2br w:val="nil"/>
              <w:tr2bl w:val="nil"/>
            </w:tcBorders>
            <w:shd w:val="clear" w:color="auto" w:fill="auto"/>
            <w:vAlign w:val="center"/>
          </w:tcPr>
          <w:p w14:paraId="7CA6BF0F">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5 </w:t>
            </w:r>
          </w:p>
        </w:tc>
        <w:tc>
          <w:tcPr>
            <w:tcW w:w="1596" w:type="pct"/>
            <w:tcBorders>
              <w:tl2br w:val="nil"/>
              <w:tr2bl w:val="nil"/>
            </w:tcBorders>
            <w:shd w:val="clear" w:color="auto" w:fill="auto"/>
            <w:vAlign w:val="center"/>
          </w:tcPr>
          <w:p w14:paraId="65D2DBC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燕麦仓</w:t>
            </w:r>
          </w:p>
        </w:tc>
        <w:tc>
          <w:tcPr>
            <w:tcW w:w="681" w:type="pct"/>
            <w:tcBorders>
              <w:tl2br w:val="nil"/>
              <w:tr2bl w:val="nil"/>
            </w:tcBorders>
            <w:shd w:val="clear" w:color="auto" w:fill="auto"/>
            <w:vAlign w:val="center"/>
          </w:tcPr>
          <w:p w14:paraId="2D9C04B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20 </w:t>
            </w:r>
          </w:p>
        </w:tc>
        <w:tc>
          <w:tcPr>
            <w:tcW w:w="768" w:type="pct"/>
            <w:tcBorders>
              <w:tl2br w:val="nil"/>
              <w:tr2bl w:val="nil"/>
            </w:tcBorders>
            <w:shd w:val="clear" w:color="auto" w:fill="auto"/>
            <w:vAlign w:val="center"/>
          </w:tcPr>
          <w:p w14:paraId="307E962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m</w:t>
            </w:r>
            <w:r>
              <w:rPr>
                <w:snapToGrid w:val="0"/>
                <w:color w:val="000000" w:themeColor="text1"/>
                <w:kern w:val="0"/>
                <w:szCs w:val="21"/>
                <w:vertAlign w:val="superscript"/>
                <w:lang w:val="en-US" w:eastAsia="zh-CN"/>
                <w14:textFill>
                  <w14:solidFill>
                    <w14:schemeClr w14:val="tx1"/>
                  </w14:solidFill>
                </w14:textFill>
              </w:rPr>
              <w:t>3</w:t>
            </w:r>
          </w:p>
        </w:tc>
        <w:tc>
          <w:tcPr>
            <w:tcW w:w="481" w:type="pct"/>
            <w:tcBorders>
              <w:tl2br w:val="nil"/>
              <w:tr2bl w:val="nil"/>
            </w:tcBorders>
            <w:shd w:val="clear" w:color="auto" w:fill="auto"/>
            <w:vAlign w:val="center"/>
          </w:tcPr>
          <w:p w14:paraId="730DAFD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5DAE967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00399C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22A94312">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 xml:space="preserve">6 </w:t>
            </w:r>
          </w:p>
        </w:tc>
        <w:tc>
          <w:tcPr>
            <w:tcW w:w="1596" w:type="pct"/>
            <w:tcBorders>
              <w:tl2br w:val="nil"/>
              <w:tr2bl w:val="nil"/>
            </w:tcBorders>
            <w:shd w:val="clear" w:color="auto" w:fill="auto"/>
            <w:vAlign w:val="center"/>
          </w:tcPr>
          <w:p w14:paraId="412C7FE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麦芽出仓设备</w:t>
            </w:r>
          </w:p>
        </w:tc>
        <w:tc>
          <w:tcPr>
            <w:tcW w:w="681" w:type="pct"/>
            <w:tcBorders>
              <w:tl2br w:val="nil"/>
              <w:tr2bl w:val="nil"/>
            </w:tcBorders>
            <w:shd w:val="clear" w:color="auto" w:fill="auto"/>
            <w:vAlign w:val="center"/>
          </w:tcPr>
          <w:p w14:paraId="50FE271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5 </w:t>
            </w:r>
          </w:p>
        </w:tc>
        <w:tc>
          <w:tcPr>
            <w:tcW w:w="768" w:type="pct"/>
            <w:tcBorders>
              <w:tl2br w:val="nil"/>
              <w:tr2bl w:val="nil"/>
            </w:tcBorders>
            <w:shd w:val="clear" w:color="auto" w:fill="auto"/>
            <w:vAlign w:val="center"/>
          </w:tcPr>
          <w:p w14:paraId="7E84E2E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t/h</w:t>
            </w:r>
          </w:p>
        </w:tc>
        <w:tc>
          <w:tcPr>
            <w:tcW w:w="481" w:type="pct"/>
            <w:tcBorders>
              <w:tl2br w:val="nil"/>
              <w:tr2bl w:val="nil"/>
            </w:tcBorders>
            <w:shd w:val="clear" w:color="auto" w:fill="auto"/>
            <w:vAlign w:val="center"/>
          </w:tcPr>
          <w:p w14:paraId="7C2A81E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2460916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785181D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081C5921">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7 </w:t>
            </w:r>
          </w:p>
        </w:tc>
        <w:tc>
          <w:tcPr>
            <w:tcW w:w="1596" w:type="pct"/>
            <w:tcBorders>
              <w:tl2br w:val="nil"/>
              <w:tr2bl w:val="nil"/>
            </w:tcBorders>
            <w:shd w:val="clear" w:color="auto" w:fill="auto"/>
            <w:vAlign w:val="center"/>
          </w:tcPr>
          <w:p w14:paraId="7666B03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大米出仓设备</w:t>
            </w:r>
          </w:p>
        </w:tc>
        <w:tc>
          <w:tcPr>
            <w:tcW w:w="681" w:type="pct"/>
            <w:tcBorders>
              <w:tl2br w:val="nil"/>
              <w:tr2bl w:val="nil"/>
            </w:tcBorders>
            <w:shd w:val="clear" w:color="auto" w:fill="auto"/>
            <w:vAlign w:val="center"/>
          </w:tcPr>
          <w:p w14:paraId="008AABC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5 </w:t>
            </w:r>
          </w:p>
        </w:tc>
        <w:tc>
          <w:tcPr>
            <w:tcW w:w="768" w:type="pct"/>
            <w:tcBorders>
              <w:tl2br w:val="nil"/>
              <w:tr2bl w:val="nil"/>
            </w:tcBorders>
            <w:shd w:val="clear" w:color="auto" w:fill="auto"/>
            <w:vAlign w:val="center"/>
          </w:tcPr>
          <w:p w14:paraId="320F70D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t/h</w:t>
            </w:r>
          </w:p>
        </w:tc>
        <w:tc>
          <w:tcPr>
            <w:tcW w:w="481" w:type="pct"/>
            <w:tcBorders>
              <w:tl2br w:val="nil"/>
              <w:tr2bl w:val="nil"/>
            </w:tcBorders>
            <w:shd w:val="clear" w:color="auto" w:fill="auto"/>
            <w:vAlign w:val="center"/>
          </w:tcPr>
          <w:p w14:paraId="0F159C5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661748B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31A656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6B8E13A2">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8 </w:t>
            </w:r>
          </w:p>
        </w:tc>
        <w:tc>
          <w:tcPr>
            <w:tcW w:w="1596" w:type="pct"/>
            <w:tcBorders>
              <w:tl2br w:val="nil"/>
              <w:tr2bl w:val="nil"/>
            </w:tcBorders>
            <w:shd w:val="clear" w:color="auto" w:fill="auto"/>
            <w:vAlign w:val="center"/>
          </w:tcPr>
          <w:p w14:paraId="33D8334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燕麦出仓设备</w:t>
            </w:r>
          </w:p>
        </w:tc>
        <w:tc>
          <w:tcPr>
            <w:tcW w:w="681" w:type="pct"/>
            <w:tcBorders>
              <w:tl2br w:val="nil"/>
              <w:tr2bl w:val="nil"/>
            </w:tcBorders>
            <w:shd w:val="clear" w:color="auto" w:fill="auto"/>
            <w:vAlign w:val="center"/>
          </w:tcPr>
          <w:p w14:paraId="2CB9EF5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5 </w:t>
            </w:r>
          </w:p>
        </w:tc>
        <w:tc>
          <w:tcPr>
            <w:tcW w:w="768" w:type="pct"/>
            <w:tcBorders>
              <w:tl2br w:val="nil"/>
              <w:tr2bl w:val="nil"/>
            </w:tcBorders>
            <w:shd w:val="clear" w:color="auto" w:fill="auto"/>
            <w:vAlign w:val="center"/>
          </w:tcPr>
          <w:p w14:paraId="178330E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t/h</w:t>
            </w:r>
          </w:p>
        </w:tc>
        <w:tc>
          <w:tcPr>
            <w:tcW w:w="481" w:type="pct"/>
            <w:tcBorders>
              <w:tl2br w:val="nil"/>
              <w:tr2bl w:val="nil"/>
            </w:tcBorders>
            <w:shd w:val="clear" w:color="auto" w:fill="auto"/>
            <w:vAlign w:val="center"/>
          </w:tcPr>
          <w:p w14:paraId="37827D4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6FF6F54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05F72A8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71C9A289">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9 </w:t>
            </w:r>
          </w:p>
        </w:tc>
        <w:tc>
          <w:tcPr>
            <w:tcW w:w="1596" w:type="pct"/>
            <w:tcBorders>
              <w:tl2br w:val="nil"/>
              <w:tr2bl w:val="nil"/>
            </w:tcBorders>
            <w:shd w:val="clear" w:color="auto" w:fill="auto"/>
            <w:vAlign w:val="center"/>
          </w:tcPr>
          <w:p w14:paraId="29458B4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麦芽暂贮仓</w:t>
            </w:r>
          </w:p>
        </w:tc>
        <w:tc>
          <w:tcPr>
            <w:tcW w:w="681" w:type="pct"/>
            <w:tcBorders>
              <w:tl2br w:val="nil"/>
              <w:tr2bl w:val="nil"/>
            </w:tcBorders>
            <w:shd w:val="clear" w:color="auto" w:fill="auto"/>
            <w:vAlign w:val="center"/>
          </w:tcPr>
          <w:p w14:paraId="6F43780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5 </w:t>
            </w:r>
          </w:p>
        </w:tc>
        <w:tc>
          <w:tcPr>
            <w:tcW w:w="768" w:type="pct"/>
            <w:tcBorders>
              <w:tl2br w:val="nil"/>
              <w:tr2bl w:val="nil"/>
            </w:tcBorders>
            <w:shd w:val="clear" w:color="auto" w:fill="auto"/>
            <w:vAlign w:val="center"/>
          </w:tcPr>
          <w:p w14:paraId="1A307B4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m</w:t>
            </w:r>
            <w:r>
              <w:rPr>
                <w:snapToGrid w:val="0"/>
                <w:color w:val="000000" w:themeColor="text1"/>
                <w:kern w:val="0"/>
                <w:szCs w:val="21"/>
                <w:vertAlign w:val="superscript"/>
                <w:lang w:val="en-US" w:eastAsia="zh-CN"/>
                <w14:textFill>
                  <w14:solidFill>
                    <w14:schemeClr w14:val="tx1"/>
                  </w14:solidFill>
                </w14:textFill>
              </w:rPr>
              <w:t>3</w:t>
            </w:r>
          </w:p>
        </w:tc>
        <w:tc>
          <w:tcPr>
            <w:tcW w:w="481" w:type="pct"/>
            <w:tcBorders>
              <w:tl2br w:val="nil"/>
              <w:tr2bl w:val="nil"/>
            </w:tcBorders>
            <w:shd w:val="clear" w:color="auto" w:fill="auto"/>
            <w:vAlign w:val="center"/>
          </w:tcPr>
          <w:p w14:paraId="532073F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706F9D4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76A3F1B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2E1BCE5B">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10 </w:t>
            </w:r>
          </w:p>
        </w:tc>
        <w:tc>
          <w:tcPr>
            <w:tcW w:w="1596" w:type="pct"/>
            <w:tcBorders>
              <w:tl2br w:val="nil"/>
              <w:tr2bl w:val="nil"/>
            </w:tcBorders>
            <w:shd w:val="clear" w:color="auto" w:fill="auto"/>
            <w:vAlign w:val="center"/>
          </w:tcPr>
          <w:p w14:paraId="105BE12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大米暂贮仓</w:t>
            </w:r>
          </w:p>
        </w:tc>
        <w:tc>
          <w:tcPr>
            <w:tcW w:w="681" w:type="pct"/>
            <w:tcBorders>
              <w:tl2br w:val="nil"/>
              <w:tr2bl w:val="nil"/>
            </w:tcBorders>
            <w:shd w:val="clear" w:color="auto" w:fill="auto"/>
            <w:vAlign w:val="center"/>
          </w:tcPr>
          <w:p w14:paraId="7525112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 </w:t>
            </w:r>
          </w:p>
        </w:tc>
        <w:tc>
          <w:tcPr>
            <w:tcW w:w="768" w:type="pct"/>
            <w:tcBorders>
              <w:tl2br w:val="nil"/>
              <w:tr2bl w:val="nil"/>
            </w:tcBorders>
            <w:shd w:val="clear" w:color="auto" w:fill="auto"/>
            <w:vAlign w:val="center"/>
          </w:tcPr>
          <w:p w14:paraId="4C8B0E6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m</w:t>
            </w:r>
            <w:r>
              <w:rPr>
                <w:snapToGrid w:val="0"/>
                <w:color w:val="000000" w:themeColor="text1"/>
                <w:kern w:val="0"/>
                <w:szCs w:val="21"/>
                <w:vertAlign w:val="superscript"/>
                <w:lang w:val="en-US" w:eastAsia="zh-CN"/>
                <w14:textFill>
                  <w14:solidFill>
                    <w14:schemeClr w14:val="tx1"/>
                  </w14:solidFill>
                </w14:textFill>
              </w:rPr>
              <w:t>3</w:t>
            </w:r>
          </w:p>
        </w:tc>
        <w:tc>
          <w:tcPr>
            <w:tcW w:w="481" w:type="pct"/>
            <w:tcBorders>
              <w:tl2br w:val="nil"/>
              <w:tr2bl w:val="nil"/>
            </w:tcBorders>
            <w:shd w:val="clear" w:color="auto" w:fill="auto"/>
            <w:vAlign w:val="center"/>
          </w:tcPr>
          <w:p w14:paraId="3B94042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26D83F3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02FBD3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0ED86DF0">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11 </w:t>
            </w:r>
          </w:p>
        </w:tc>
        <w:tc>
          <w:tcPr>
            <w:tcW w:w="1596" w:type="pct"/>
            <w:tcBorders>
              <w:tl2br w:val="nil"/>
              <w:tr2bl w:val="nil"/>
            </w:tcBorders>
            <w:shd w:val="clear" w:color="auto" w:fill="auto"/>
            <w:vAlign w:val="center"/>
          </w:tcPr>
          <w:p w14:paraId="0CAE6EE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麦芽湿粉碎机</w:t>
            </w:r>
          </w:p>
        </w:tc>
        <w:tc>
          <w:tcPr>
            <w:tcW w:w="681" w:type="pct"/>
            <w:tcBorders>
              <w:tl2br w:val="nil"/>
              <w:tr2bl w:val="nil"/>
            </w:tcBorders>
            <w:shd w:val="clear" w:color="auto" w:fill="auto"/>
            <w:vAlign w:val="center"/>
          </w:tcPr>
          <w:p w14:paraId="5A921DB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 </w:t>
            </w:r>
          </w:p>
        </w:tc>
        <w:tc>
          <w:tcPr>
            <w:tcW w:w="768" w:type="pct"/>
            <w:tcBorders>
              <w:tl2br w:val="nil"/>
              <w:tr2bl w:val="nil"/>
            </w:tcBorders>
            <w:shd w:val="clear" w:color="auto" w:fill="auto"/>
            <w:vAlign w:val="center"/>
          </w:tcPr>
          <w:p w14:paraId="0E5D7D1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t/h</w:t>
            </w:r>
          </w:p>
        </w:tc>
        <w:tc>
          <w:tcPr>
            <w:tcW w:w="481" w:type="pct"/>
            <w:tcBorders>
              <w:tl2br w:val="nil"/>
              <w:tr2bl w:val="nil"/>
            </w:tcBorders>
            <w:shd w:val="clear" w:color="auto" w:fill="auto"/>
            <w:vAlign w:val="center"/>
          </w:tcPr>
          <w:p w14:paraId="13263C9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1A016A5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0632368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4AC4AFA5">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12 </w:t>
            </w:r>
          </w:p>
        </w:tc>
        <w:tc>
          <w:tcPr>
            <w:tcW w:w="1596" w:type="pct"/>
            <w:tcBorders>
              <w:tl2br w:val="nil"/>
              <w:tr2bl w:val="nil"/>
            </w:tcBorders>
            <w:shd w:val="clear" w:color="auto" w:fill="auto"/>
            <w:vAlign w:val="center"/>
          </w:tcPr>
          <w:p w14:paraId="217092F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大米湿粉碎机</w:t>
            </w:r>
          </w:p>
        </w:tc>
        <w:tc>
          <w:tcPr>
            <w:tcW w:w="681" w:type="pct"/>
            <w:tcBorders>
              <w:tl2br w:val="nil"/>
              <w:tr2bl w:val="nil"/>
            </w:tcBorders>
            <w:shd w:val="clear" w:color="auto" w:fill="auto"/>
            <w:vAlign w:val="center"/>
          </w:tcPr>
          <w:p w14:paraId="08B7FF2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 </w:t>
            </w:r>
          </w:p>
        </w:tc>
        <w:tc>
          <w:tcPr>
            <w:tcW w:w="768" w:type="pct"/>
            <w:tcBorders>
              <w:tl2br w:val="nil"/>
              <w:tr2bl w:val="nil"/>
            </w:tcBorders>
            <w:shd w:val="clear" w:color="auto" w:fill="auto"/>
            <w:vAlign w:val="center"/>
          </w:tcPr>
          <w:p w14:paraId="6447325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t/h</w:t>
            </w:r>
          </w:p>
        </w:tc>
        <w:tc>
          <w:tcPr>
            <w:tcW w:w="481" w:type="pct"/>
            <w:tcBorders>
              <w:tl2br w:val="nil"/>
              <w:tr2bl w:val="nil"/>
            </w:tcBorders>
            <w:shd w:val="clear" w:color="auto" w:fill="auto"/>
            <w:vAlign w:val="center"/>
          </w:tcPr>
          <w:p w14:paraId="771BB0F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6823606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43CF25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3F49658A">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13 </w:t>
            </w:r>
          </w:p>
        </w:tc>
        <w:tc>
          <w:tcPr>
            <w:tcW w:w="1596" w:type="pct"/>
            <w:tcBorders>
              <w:tl2br w:val="nil"/>
              <w:tr2bl w:val="nil"/>
            </w:tcBorders>
            <w:shd w:val="clear" w:color="auto" w:fill="auto"/>
            <w:vAlign w:val="center"/>
          </w:tcPr>
          <w:p w14:paraId="124489F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糊化锅</w:t>
            </w:r>
          </w:p>
        </w:tc>
        <w:tc>
          <w:tcPr>
            <w:tcW w:w="681" w:type="pct"/>
            <w:tcBorders>
              <w:tl2br w:val="nil"/>
              <w:tr2bl w:val="nil"/>
            </w:tcBorders>
            <w:shd w:val="clear" w:color="auto" w:fill="auto"/>
            <w:vAlign w:val="center"/>
          </w:tcPr>
          <w:p w14:paraId="12CFFE3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5 </w:t>
            </w:r>
          </w:p>
        </w:tc>
        <w:tc>
          <w:tcPr>
            <w:tcW w:w="768" w:type="pct"/>
            <w:tcBorders>
              <w:tl2br w:val="nil"/>
              <w:tr2bl w:val="nil"/>
            </w:tcBorders>
            <w:shd w:val="clear" w:color="auto" w:fill="auto"/>
            <w:vAlign w:val="center"/>
          </w:tcPr>
          <w:p w14:paraId="3A02DEA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5702F52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7C21E8F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0152993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777BD8EF">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14 </w:t>
            </w:r>
          </w:p>
        </w:tc>
        <w:tc>
          <w:tcPr>
            <w:tcW w:w="1596" w:type="pct"/>
            <w:tcBorders>
              <w:tl2br w:val="nil"/>
              <w:tr2bl w:val="nil"/>
            </w:tcBorders>
            <w:shd w:val="clear" w:color="auto" w:fill="auto"/>
            <w:vAlign w:val="center"/>
          </w:tcPr>
          <w:p w14:paraId="2F90CAD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糖化锅</w:t>
            </w:r>
          </w:p>
        </w:tc>
        <w:tc>
          <w:tcPr>
            <w:tcW w:w="681" w:type="pct"/>
            <w:tcBorders>
              <w:tl2br w:val="nil"/>
              <w:tr2bl w:val="nil"/>
            </w:tcBorders>
            <w:shd w:val="clear" w:color="auto" w:fill="auto"/>
            <w:vAlign w:val="center"/>
          </w:tcPr>
          <w:p w14:paraId="12DA2AC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12 </w:t>
            </w:r>
          </w:p>
        </w:tc>
        <w:tc>
          <w:tcPr>
            <w:tcW w:w="768" w:type="pct"/>
            <w:tcBorders>
              <w:tl2br w:val="nil"/>
              <w:tr2bl w:val="nil"/>
            </w:tcBorders>
            <w:shd w:val="clear" w:color="auto" w:fill="auto"/>
            <w:vAlign w:val="center"/>
          </w:tcPr>
          <w:p w14:paraId="34A663A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1B7EC7C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9815E4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5858EF8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1E7BED76">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15 </w:t>
            </w:r>
          </w:p>
        </w:tc>
        <w:tc>
          <w:tcPr>
            <w:tcW w:w="1596" w:type="pct"/>
            <w:tcBorders>
              <w:tl2br w:val="nil"/>
              <w:tr2bl w:val="nil"/>
            </w:tcBorders>
            <w:shd w:val="clear" w:color="auto" w:fill="auto"/>
            <w:vAlign w:val="center"/>
          </w:tcPr>
          <w:p w14:paraId="4A79C06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过滤槽</w:t>
            </w:r>
          </w:p>
        </w:tc>
        <w:tc>
          <w:tcPr>
            <w:tcW w:w="681" w:type="pct"/>
            <w:tcBorders>
              <w:tl2br w:val="nil"/>
              <w:tr2bl w:val="nil"/>
            </w:tcBorders>
            <w:shd w:val="clear" w:color="auto" w:fill="auto"/>
            <w:vAlign w:val="center"/>
          </w:tcPr>
          <w:p w14:paraId="4EB1263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12 </w:t>
            </w:r>
          </w:p>
        </w:tc>
        <w:tc>
          <w:tcPr>
            <w:tcW w:w="768" w:type="pct"/>
            <w:tcBorders>
              <w:tl2br w:val="nil"/>
              <w:tr2bl w:val="nil"/>
            </w:tcBorders>
            <w:shd w:val="clear" w:color="auto" w:fill="auto"/>
            <w:vAlign w:val="center"/>
          </w:tcPr>
          <w:p w14:paraId="5A58217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04A1A66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7FA7FFC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1B06DC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022CFB75">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16 </w:t>
            </w:r>
          </w:p>
        </w:tc>
        <w:tc>
          <w:tcPr>
            <w:tcW w:w="1596" w:type="pct"/>
            <w:tcBorders>
              <w:tl2br w:val="nil"/>
              <w:tr2bl w:val="nil"/>
            </w:tcBorders>
            <w:shd w:val="clear" w:color="auto" w:fill="auto"/>
            <w:vAlign w:val="center"/>
          </w:tcPr>
          <w:p w14:paraId="0163CAA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暂存锅</w:t>
            </w:r>
          </w:p>
        </w:tc>
        <w:tc>
          <w:tcPr>
            <w:tcW w:w="681" w:type="pct"/>
            <w:tcBorders>
              <w:tl2br w:val="nil"/>
              <w:tr2bl w:val="nil"/>
            </w:tcBorders>
            <w:shd w:val="clear" w:color="auto" w:fill="auto"/>
            <w:vAlign w:val="center"/>
          </w:tcPr>
          <w:p w14:paraId="53D83F4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17 </w:t>
            </w:r>
          </w:p>
        </w:tc>
        <w:tc>
          <w:tcPr>
            <w:tcW w:w="768" w:type="pct"/>
            <w:tcBorders>
              <w:tl2br w:val="nil"/>
              <w:tr2bl w:val="nil"/>
            </w:tcBorders>
            <w:shd w:val="clear" w:color="auto" w:fill="auto"/>
            <w:vAlign w:val="center"/>
          </w:tcPr>
          <w:p w14:paraId="1AEEE80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4558EDD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C4DB3D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25779FA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2D717FFA">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17 </w:t>
            </w:r>
          </w:p>
        </w:tc>
        <w:tc>
          <w:tcPr>
            <w:tcW w:w="1596" w:type="pct"/>
            <w:tcBorders>
              <w:tl2br w:val="nil"/>
              <w:tr2bl w:val="nil"/>
            </w:tcBorders>
            <w:shd w:val="clear" w:color="auto" w:fill="auto"/>
            <w:vAlign w:val="center"/>
          </w:tcPr>
          <w:p w14:paraId="6C0CFAF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煮沸锅</w:t>
            </w:r>
          </w:p>
        </w:tc>
        <w:tc>
          <w:tcPr>
            <w:tcW w:w="681" w:type="pct"/>
            <w:tcBorders>
              <w:tl2br w:val="nil"/>
              <w:tr2bl w:val="nil"/>
            </w:tcBorders>
            <w:shd w:val="clear" w:color="auto" w:fill="auto"/>
            <w:vAlign w:val="center"/>
          </w:tcPr>
          <w:p w14:paraId="048C67D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17 </w:t>
            </w:r>
          </w:p>
        </w:tc>
        <w:tc>
          <w:tcPr>
            <w:tcW w:w="768" w:type="pct"/>
            <w:tcBorders>
              <w:tl2br w:val="nil"/>
              <w:tr2bl w:val="nil"/>
            </w:tcBorders>
            <w:shd w:val="clear" w:color="auto" w:fill="auto"/>
            <w:vAlign w:val="center"/>
          </w:tcPr>
          <w:p w14:paraId="61E5606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51E83D7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2B9859D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205C5C3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16CACD87">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18 </w:t>
            </w:r>
          </w:p>
        </w:tc>
        <w:tc>
          <w:tcPr>
            <w:tcW w:w="1596" w:type="pct"/>
            <w:tcBorders>
              <w:tl2br w:val="nil"/>
              <w:tr2bl w:val="nil"/>
            </w:tcBorders>
            <w:shd w:val="clear" w:color="auto" w:fill="auto"/>
            <w:vAlign w:val="center"/>
          </w:tcPr>
          <w:p w14:paraId="391E201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回旋沉淀槽</w:t>
            </w:r>
          </w:p>
        </w:tc>
        <w:tc>
          <w:tcPr>
            <w:tcW w:w="681" w:type="pct"/>
            <w:tcBorders>
              <w:tl2br w:val="nil"/>
              <w:tr2bl w:val="nil"/>
            </w:tcBorders>
            <w:shd w:val="clear" w:color="auto" w:fill="auto"/>
            <w:vAlign w:val="center"/>
          </w:tcPr>
          <w:p w14:paraId="3D2020A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16 </w:t>
            </w:r>
          </w:p>
        </w:tc>
        <w:tc>
          <w:tcPr>
            <w:tcW w:w="768" w:type="pct"/>
            <w:tcBorders>
              <w:tl2br w:val="nil"/>
              <w:tr2bl w:val="nil"/>
            </w:tcBorders>
            <w:shd w:val="clear" w:color="auto" w:fill="auto"/>
            <w:vAlign w:val="center"/>
          </w:tcPr>
          <w:p w14:paraId="5728ECB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379DFE8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top"/>
          </w:tcPr>
          <w:p w14:paraId="1D59E5A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台</w:t>
            </w:r>
          </w:p>
        </w:tc>
      </w:tr>
      <w:tr w14:paraId="2A3CA01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4690D77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19</w:t>
            </w:r>
            <w:r>
              <w:rPr>
                <w:rFonts w:hint="default"/>
                <w:snapToGrid w:val="0"/>
                <w:color w:val="000000" w:themeColor="text1"/>
                <w:kern w:val="0"/>
                <w:szCs w:val="21"/>
                <w:lang w:val="en-US" w:eastAsia="zh-CN"/>
                <w14:textFill>
                  <w14:solidFill>
                    <w14:schemeClr w14:val="tx1"/>
                  </w14:solidFill>
                </w14:textFill>
              </w:rPr>
              <w:t xml:space="preserve"> </w:t>
            </w:r>
          </w:p>
        </w:tc>
        <w:tc>
          <w:tcPr>
            <w:tcW w:w="1596" w:type="pct"/>
            <w:tcBorders>
              <w:tl2br w:val="nil"/>
              <w:tr2bl w:val="nil"/>
            </w:tcBorders>
            <w:shd w:val="clear" w:color="auto" w:fill="auto"/>
            <w:vAlign w:val="center"/>
          </w:tcPr>
          <w:p w14:paraId="56842DF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酿造水罐</w:t>
            </w:r>
          </w:p>
        </w:tc>
        <w:tc>
          <w:tcPr>
            <w:tcW w:w="681" w:type="pct"/>
            <w:tcBorders>
              <w:tl2br w:val="nil"/>
              <w:tr2bl w:val="nil"/>
            </w:tcBorders>
            <w:shd w:val="clear" w:color="auto" w:fill="auto"/>
            <w:vAlign w:val="center"/>
          </w:tcPr>
          <w:p w14:paraId="4C9A4B5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65 </w:t>
            </w:r>
          </w:p>
        </w:tc>
        <w:tc>
          <w:tcPr>
            <w:tcW w:w="768" w:type="pct"/>
            <w:tcBorders>
              <w:tl2br w:val="nil"/>
              <w:tr2bl w:val="nil"/>
            </w:tcBorders>
            <w:shd w:val="clear" w:color="auto" w:fill="auto"/>
            <w:vAlign w:val="center"/>
          </w:tcPr>
          <w:p w14:paraId="14D0A85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623CC83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77006D6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6E69892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1FF2C864">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20 </w:t>
            </w:r>
          </w:p>
        </w:tc>
        <w:tc>
          <w:tcPr>
            <w:tcW w:w="1596" w:type="pct"/>
            <w:tcBorders>
              <w:tl2br w:val="nil"/>
              <w:tr2bl w:val="nil"/>
            </w:tcBorders>
            <w:shd w:val="clear" w:color="auto" w:fill="auto"/>
            <w:vAlign w:val="center"/>
          </w:tcPr>
          <w:p w14:paraId="496E5A8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热酿造水罐</w:t>
            </w:r>
          </w:p>
        </w:tc>
        <w:tc>
          <w:tcPr>
            <w:tcW w:w="681" w:type="pct"/>
            <w:tcBorders>
              <w:tl2br w:val="nil"/>
              <w:tr2bl w:val="nil"/>
            </w:tcBorders>
            <w:shd w:val="clear" w:color="auto" w:fill="auto"/>
            <w:vAlign w:val="center"/>
          </w:tcPr>
          <w:p w14:paraId="7210393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65 </w:t>
            </w:r>
          </w:p>
        </w:tc>
        <w:tc>
          <w:tcPr>
            <w:tcW w:w="768" w:type="pct"/>
            <w:tcBorders>
              <w:tl2br w:val="nil"/>
              <w:tr2bl w:val="nil"/>
            </w:tcBorders>
            <w:shd w:val="clear" w:color="auto" w:fill="auto"/>
            <w:vAlign w:val="center"/>
          </w:tcPr>
          <w:p w14:paraId="78C784C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516BDDF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57D38B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06E518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35217C71">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21 </w:t>
            </w:r>
          </w:p>
        </w:tc>
        <w:tc>
          <w:tcPr>
            <w:tcW w:w="1596" w:type="pct"/>
            <w:tcBorders>
              <w:tl2br w:val="nil"/>
              <w:tr2bl w:val="nil"/>
            </w:tcBorders>
            <w:shd w:val="clear" w:color="auto" w:fill="auto"/>
            <w:vAlign w:val="center"/>
          </w:tcPr>
          <w:p w14:paraId="1938C13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冰水罐</w:t>
            </w:r>
          </w:p>
        </w:tc>
        <w:tc>
          <w:tcPr>
            <w:tcW w:w="681" w:type="pct"/>
            <w:tcBorders>
              <w:tl2br w:val="nil"/>
              <w:tr2bl w:val="nil"/>
            </w:tcBorders>
            <w:shd w:val="clear" w:color="auto" w:fill="auto"/>
            <w:vAlign w:val="center"/>
          </w:tcPr>
          <w:p w14:paraId="6FA8E98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65 </w:t>
            </w:r>
          </w:p>
        </w:tc>
        <w:tc>
          <w:tcPr>
            <w:tcW w:w="768" w:type="pct"/>
            <w:tcBorders>
              <w:tl2br w:val="nil"/>
              <w:tr2bl w:val="nil"/>
            </w:tcBorders>
            <w:shd w:val="clear" w:color="auto" w:fill="auto"/>
            <w:vAlign w:val="center"/>
          </w:tcPr>
          <w:p w14:paraId="21861C3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11D9FC0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67ABCFE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3B4353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31342132">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22 </w:t>
            </w:r>
          </w:p>
        </w:tc>
        <w:tc>
          <w:tcPr>
            <w:tcW w:w="1596" w:type="pct"/>
            <w:tcBorders>
              <w:tl2br w:val="nil"/>
              <w:tr2bl w:val="nil"/>
            </w:tcBorders>
            <w:shd w:val="clear" w:color="auto" w:fill="auto"/>
            <w:vAlign w:val="center"/>
          </w:tcPr>
          <w:p w14:paraId="5B13E15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贮能罐</w:t>
            </w:r>
          </w:p>
        </w:tc>
        <w:tc>
          <w:tcPr>
            <w:tcW w:w="681" w:type="pct"/>
            <w:tcBorders>
              <w:tl2br w:val="nil"/>
              <w:tr2bl w:val="nil"/>
            </w:tcBorders>
            <w:shd w:val="clear" w:color="auto" w:fill="auto"/>
            <w:vAlign w:val="center"/>
          </w:tcPr>
          <w:p w14:paraId="14A7889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65 </w:t>
            </w:r>
          </w:p>
        </w:tc>
        <w:tc>
          <w:tcPr>
            <w:tcW w:w="768" w:type="pct"/>
            <w:tcBorders>
              <w:tl2br w:val="nil"/>
              <w:tr2bl w:val="nil"/>
            </w:tcBorders>
            <w:shd w:val="clear" w:color="auto" w:fill="auto"/>
            <w:vAlign w:val="center"/>
          </w:tcPr>
          <w:p w14:paraId="7E2632B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41BE561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23E44E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772631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67F14396">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23 </w:t>
            </w:r>
          </w:p>
        </w:tc>
        <w:tc>
          <w:tcPr>
            <w:tcW w:w="1596" w:type="pct"/>
            <w:tcBorders>
              <w:tl2br w:val="nil"/>
              <w:tr2bl w:val="nil"/>
            </w:tcBorders>
            <w:shd w:val="clear" w:color="auto" w:fill="auto"/>
            <w:vAlign w:val="center"/>
          </w:tcPr>
          <w:p w14:paraId="398D6C2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麦汁冷却器</w:t>
            </w:r>
          </w:p>
        </w:tc>
        <w:tc>
          <w:tcPr>
            <w:tcW w:w="681" w:type="pct"/>
            <w:tcBorders>
              <w:tl2br w:val="nil"/>
              <w:tr2bl w:val="nil"/>
            </w:tcBorders>
            <w:shd w:val="clear" w:color="auto" w:fill="auto"/>
            <w:vAlign w:val="center"/>
          </w:tcPr>
          <w:p w14:paraId="701DF44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20 </w:t>
            </w:r>
          </w:p>
        </w:tc>
        <w:tc>
          <w:tcPr>
            <w:tcW w:w="768" w:type="pct"/>
            <w:tcBorders>
              <w:tl2br w:val="nil"/>
              <w:tr2bl w:val="nil"/>
            </w:tcBorders>
            <w:shd w:val="clear" w:color="auto" w:fill="auto"/>
            <w:vAlign w:val="center"/>
          </w:tcPr>
          <w:p w14:paraId="640801C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m</w:t>
            </w:r>
            <w:r>
              <w:rPr>
                <w:snapToGrid w:val="0"/>
                <w:color w:val="000000" w:themeColor="text1"/>
                <w:kern w:val="0"/>
                <w:szCs w:val="21"/>
                <w:vertAlign w:val="superscript"/>
                <w:lang w:val="en-US" w:eastAsia="zh-CN"/>
                <w14:textFill>
                  <w14:solidFill>
                    <w14:schemeClr w14:val="tx1"/>
                  </w14:solidFill>
                </w14:textFill>
              </w:rPr>
              <w:t>3</w:t>
            </w:r>
            <w:r>
              <w:rPr>
                <w:snapToGrid w:val="0"/>
                <w:color w:val="000000" w:themeColor="text1"/>
                <w:kern w:val="0"/>
                <w:szCs w:val="21"/>
                <w:lang w:val="en-US" w:eastAsia="zh-CN"/>
                <w14:textFill>
                  <w14:solidFill>
                    <w14:schemeClr w14:val="tx1"/>
                  </w14:solidFill>
                </w14:textFill>
              </w:rPr>
              <w:t>/h</w:t>
            </w:r>
          </w:p>
        </w:tc>
        <w:tc>
          <w:tcPr>
            <w:tcW w:w="481" w:type="pct"/>
            <w:tcBorders>
              <w:tl2br w:val="nil"/>
              <w:tr2bl w:val="nil"/>
            </w:tcBorders>
            <w:shd w:val="clear" w:color="auto" w:fill="auto"/>
            <w:vAlign w:val="center"/>
          </w:tcPr>
          <w:p w14:paraId="23B898F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5247F2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1D84543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7E8D7345">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24 </w:t>
            </w:r>
          </w:p>
        </w:tc>
        <w:tc>
          <w:tcPr>
            <w:tcW w:w="1596" w:type="pct"/>
            <w:tcBorders>
              <w:tl2br w:val="nil"/>
              <w:tr2bl w:val="nil"/>
            </w:tcBorders>
            <w:shd w:val="clear" w:color="auto" w:fill="auto"/>
            <w:vAlign w:val="center"/>
          </w:tcPr>
          <w:p w14:paraId="6D3E5DE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酒花添加罐</w:t>
            </w:r>
          </w:p>
        </w:tc>
        <w:tc>
          <w:tcPr>
            <w:tcW w:w="681" w:type="pct"/>
            <w:tcBorders>
              <w:tl2br w:val="nil"/>
              <w:tr2bl w:val="nil"/>
            </w:tcBorders>
            <w:shd w:val="clear" w:color="auto" w:fill="auto"/>
            <w:vAlign w:val="center"/>
          </w:tcPr>
          <w:p w14:paraId="4A655E7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60 </w:t>
            </w:r>
          </w:p>
        </w:tc>
        <w:tc>
          <w:tcPr>
            <w:tcW w:w="768" w:type="pct"/>
            <w:tcBorders>
              <w:tl2br w:val="nil"/>
              <w:tr2bl w:val="nil"/>
            </w:tcBorders>
            <w:shd w:val="clear" w:color="auto" w:fill="auto"/>
            <w:vAlign w:val="center"/>
          </w:tcPr>
          <w:p w14:paraId="776A7B7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L</w:t>
            </w:r>
          </w:p>
        </w:tc>
        <w:tc>
          <w:tcPr>
            <w:tcW w:w="481" w:type="pct"/>
            <w:tcBorders>
              <w:tl2br w:val="nil"/>
              <w:tr2bl w:val="nil"/>
            </w:tcBorders>
            <w:shd w:val="clear" w:color="auto" w:fill="auto"/>
            <w:vAlign w:val="center"/>
          </w:tcPr>
          <w:p w14:paraId="305A455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 </w:t>
            </w:r>
          </w:p>
        </w:tc>
        <w:tc>
          <w:tcPr>
            <w:tcW w:w="832" w:type="pct"/>
            <w:tcBorders>
              <w:tl2br w:val="nil"/>
              <w:tr2bl w:val="nil"/>
            </w:tcBorders>
            <w:shd w:val="clear" w:color="auto" w:fill="auto"/>
            <w:vAlign w:val="center"/>
          </w:tcPr>
          <w:p w14:paraId="455F662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1E1EFF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75777054">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25 </w:t>
            </w:r>
          </w:p>
        </w:tc>
        <w:tc>
          <w:tcPr>
            <w:tcW w:w="1596" w:type="pct"/>
            <w:tcBorders>
              <w:tl2br w:val="nil"/>
              <w:tr2bl w:val="nil"/>
            </w:tcBorders>
            <w:shd w:val="clear" w:color="auto" w:fill="auto"/>
            <w:vAlign w:val="center"/>
          </w:tcPr>
          <w:p w14:paraId="08084CF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淡麦汁暂存罐</w:t>
            </w:r>
          </w:p>
        </w:tc>
        <w:tc>
          <w:tcPr>
            <w:tcW w:w="681" w:type="pct"/>
            <w:tcBorders>
              <w:tl2br w:val="nil"/>
              <w:tr2bl w:val="nil"/>
            </w:tcBorders>
            <w:shd w:val="clear" w:color="auto" w:fill="auto"/>
            <w:vAlign w:val="center"/>
          </w:tcPr>
          <w:p w14:paraId="704D331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5 </w:t>
            </w:r>
          </w:p>
        </w:tc>
        <w:tc>
          <w:tcPr>
            <w:tcW w:w="768" w:type="pct"/>
            <w:tcBorders>
              <w:tl2br w:val="nil"/>
              <w:tr2bl w:val="nil"/>
            </w:tcBorders>
            <w:shd w:val="clear" w:color="auto" w:fill="auto"/>
            <w:vAlign w:val="center"/>
          </w:tcPr>
          <w:p w14:paraId="639F4D7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18EE599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5BCE311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4D2EFB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06C11883">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26 </w:t>
            </w:r>
          </w:p>
        </w:tc>
        <w:tc>
          <w:tcPr>
            <w:tcW w:w="1596" w:type="pct"/>
            <w:tcBorders>
              <w:tl2br w:val="nil"/>
              <w:tr2bl w:val="nil"/>
            </w:tcBorders>
            <w:shd w:val="clear" w:color="auto" w:fill="auto"/>
            <w:vAlign w:val="center"/>
          </w:tcPr>
          <w:p w14:paraId="2D463D6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热凝固物罐</w:t>
            </w:r>
          </w:p>
        </w:tc>
        <w:tc>
          <w:tcPr>
            <w:tcW w:w="681" w:type="pct"/>
            <w:tcBorders>
              <w:tl2br w:val="nil"/>
              <w:tr2bl w:val="nil"/>
            </w:tcBorders>
            <w:shd w:val="clear" w:color="auto" w:fill="auto"/>
            <w:vAlign w:val="center"/>
          </w:tcPr>
          <w:p w14:paraId="21BDAE5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1.6 </w:t>
            </w:r>
          </w:p>
        </w:tc>
        <w:tc>
          <w:tcPr>
            <w:tcW w:w="768" w:type="pct"/>
            <w:tcBorders>
              <w:tl2br w:val="nil"/>
              <w:tr2bl w:val="nil"/>
            </w:tcBorders>
            <w:shd w:val="clear" w:color="auto" w:fill="auto"/>
            <w:vAlign w:val="center"/>
          </w:tcPr>
          <w:p w14:paraId="6C05E32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37FFEE5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D80FEC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78BC842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7BE7349F">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27 </w:t>
            </w:r>
          </w:p>
        </w:tc>
        <w:tc>
          <w:tcPr>
            <w:tcW w:w="1596" w:type="pct"/>
            <w:tcBorders>
              <w:tl2br w:val="nil"/>
              <w:tr2bl w:val="nil"/>
            </w:tcBorders>
            <w:shd w:val="clear" w:color="auto" w:fill="auto"/>
            <w:vAlign w:val="center"/>
          </w:tcPr>
          <w:p w14:paraId="50D95E6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麦糟罐</w:t>
            </w:r>
          </w:p>
        </w:tc>
        <w:tc>
          <w:tcPr>
            <w:tcW w:w="681" w:type="pct"/>
            <w:tcBorders>
              <w:tl2br w:val="nil"/>
              <w:tr2bl w:val="nil"/>
            </w:tcBorders>
            <w:shd w:val="clear" w:color="auto" w:fill="auto"/>
            <w:vAlign w:val="center"/>
          </w:tcPr>
          <w:p w14:paraId="07926EE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25 </w:t>
            </w:r>
          </w:p>
        </w:tc>
        <w:tc>
          <w:tcPr>
            <w:tcW w:w="768" w:type="pct"/>
            <w:tcBorders>
              <w:tl2br w:val="nil"/>
              <w:tr2bl w:val="nil"/>
            </w:tcBorders>
            <w:shd w:val="clear" w:color="auto" w:fill="auto"/>
            <w:vAlign w:val="center"/>
          </w:tcPr>
          <w:p w14:paraId="120A71D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4A2C897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6960CEF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7FCF112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662B4224">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28 </w:t>
            </w:r>
          </w:p>
        </w:tc>
        <w:tc>
          <w:tcPr>
            <w:tcW w:w="1596" w:type="pct"/>
            <w:tcBorders>
              <w:tl2br w:val="nil"/>
              <w:tr2bl w:val="nil"/>
            </w:tcBorders>
            <w:shd w:val="clear" w:color="auto" w:fill="auto"/>
            <w:vAlign w:val="center"/>
          </w:tcPr>
          <w:p w14:paraId="74B17F8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麦汁充氧及酵母添加</w:t>
            </w:r>
          </w:p>
        </w:tc>
        <w:tc>
          <w:tcPr>
            <w:tcW w:w="681" w:type="pct"/>
            <w:tcBorders>
              <w:tl2br w:val="nil"/>
              <w:tr2bl w:val="nil"/>
            </w:tcBorders>
            <w:shd w:val="clear" w:color="auto" w:fill="auto"/>
            <w:vAlign w:val="top"/>
          </w:tcPr>
          <w:p w14:paraId="2E4E0B9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top"/>
          </w:tcPr>
          <w:p w14:paraId="6DE2309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6F6704F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17ED0C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770B6B9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2D10B0C4">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29 </w:t>
            </w:r>
          </w:p>
        </w:tc>
        <w:tc>
          <w:tcPr>
            <w:tcW w:w="1596" w:type="pct"/>
            <w:tcBorders>
              <w:tl2br w:val="nil"/>
              <w:tr2bl w:val="nil"/>
            </w:tcBorders>
            <w:shd w:val="clear" w:color="auto" w:fill="auto"/>
            <w:vAlign w:val="center"/>
          </w:tcPr>
          <w:p w14:paraId="51B5B00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酵母扩培系统</w:t>
            </w:r>
          </w:p>
        </w:tc>
        <w:tc>
          <w:tcPr>
            <w:tcW w:w="1450" w:type="pct"/>
            <w:gridSpan w:val="2"/>
            <w:tcBorders>
              <w:tl2br w:val="nil"/>
              <w:tr2bl w:val="nil"/>
            </w:tcBorders>
            <w:shd w:val="clear" w:color="auto" w:fill="auto"/>
            <w:vAlign w:val="center"/>
          </w:tcPr>
          <w:p w14:paraId="6D74533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3KL*1+0.3KL*2</w:t>
            </w:r>
          </w:p>
        </w:tc>
        <w:tc>
          <w:tcPr>
            <w:tcW w:w="481" w:type="pct"/>
            <w:tcBorders>
              <w:tl2br w:val="nil"/>
              <w:tr2bl w:val="nil"/>
            </w:tcBorders>
            <w:shd w:val="clear" w:color="auto" w:fill="auto"/>
            <w:vAlign w:val="center"/>
          </w:tcPr>
          <w:p w14:paraId="58D4348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B5D13E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31D3ED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20EF95F7">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30 </w:t>
            </w:r>
          </w:p>
        </w:tc>
        <w:tc>
          <w:tcPr>
            <w:tcW w:w="1596" w:type="pct"/>
            <w:tcBorders>
              <w:tl2br w:val="nil"/>
              <w:tr2bl w:val="nil"/>
            </w:tcBorders>
            <w:shd w:val="clear" w:color="auto" w:fill="auto"/>
            <w:vAlign w:val="center"/>
          </w:tcPr>
          <w:p w14:paraId="3DAD130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酵母贮存系统</w:t>
            </w:r>
          </w:p>
        </w:tc>
        <w:tc>
          <w:tcPr>
            <w:tcW w:w="681" w:type="pct"/>
            <w:tcBorders>
              <w:tl2br w:val="nil"/>
              <w:tr2bl w:val="nil"/>
            </w:tcBorders>
            <w:shd w:val="clear" w:color="auto" w:fill="auto"/>
            <w:vAlign w:val="center"/>
          </w:tcPr>
          <w:p w14:paraId="08858A6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 </w:t>
            </w:r>
          </w:p>
        </w:tc>
        <w:tc>
          <w:tcPr>
            <w:tcW w:w="768" w:type="pct"/>
            <w:tcBorders>
              <w:tl2br w:val="nil"/>
              <w:tr2bl w:val="nil"/>
            </w:tcBorders>
            <w:shd w:val="clear" w:color="auto" w:fill="auto"/>
            <w:vAlign w:val="center"/>
          </w:tcPr>
          <w:p w14:paraId="2098E27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7CB910C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 </w:t>
            </w:r>
          </w:p>
        </w:tc>
        <w:tc>
          <w:tcPr>
            <w:tcW w:w="832" w:type="pct"/>
            <w:tcBorders>
              <w:tl2br w:val="nil"/>
              <w:tr2bl w:val="nil"/>
            </w:tcBorders>
            <w:shd w:val="clear" w:color="auto" w:fill="auto"/>
            <w:vAlign w:val="center"/>
          </w:tcPr>
          <w:p w14:paraId="53D0A18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4C75A2F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791BEE9C">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31 </w:t>
            </w:r>
          </w:p>
        </w:tc>
        <w:tc>
          <w:tcPr>
            <w:tcW w:w="1596" w:type="pct"/>
            <w:tcBorders>
              <w:tl2br w:val="nil"/>
              <w:tr2bl w:val="nil"/>
            </w:tcBorders>
            <w:shd w:val="clear" w:color="auto" w:fill="auto"/>
            <w:vAlign w:val="center"/>
          </w:tcPr>
          <w:p w14:paraId="079BDEA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小发酵罐</w:t>
            </w:r>
          </w:p>
        </w:tc>
        <w:tc>
          <w:tcPr>
            <w:tcW w:w="681" w:type="pct"/>
            <w:tcBorders>
              <w:tl2br w:val="nil"/>
              <w:tr2bl w:val="nil"/>
            </w:tcBorders>
            <w:shd w:val="clear" w:color="auto" w:fill="auto"/>
            <w:vAlign w:val="center"/>
          </w:tcPr>
          <w:p w14:paraId="75CE7BB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30 </w:t>
            </w:r>
          </w:p>
        </w:tc>
        <w:tc>
          <w:tcPr>
            <w:tcW w:w="768" w:type="pct"/>
            <w:tcBorders>
              <w:tl2br w:val="nil"/>
              <w:tr2bl w:val="nil"/>
            </w:tcBorders>
            <w:shd w:val="clear" w:color="auto" w:fill="auto"/>
            <w:vAlign w:val="center"/>
          </w:tcPr>
          <w:p w14:paraId="79FF0F4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0852116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20 </w:t>
            </w:r>
          </w:p>
        </w:tc>
        <w:tc>
          <w:tcPr>
            <w:tcW w:w="832" w:type="pct"/>
            <w:tcBorders>
              <w:tl2br w:val="nil"/>
              <w:tr2bl w:val="nil"/>
            </w:tcBorders>
            <w:shd w:val="clear" w:color="auto" w:fill="auto"/>
            <w:vAlign w:val="center"/>
          </w:tcPr>
          <w:p w14:paraId="40D11CF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58B534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0C5D9890">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32 </w:t>
            </w:r>
          </w:p>
        </w:tc>
        <w:tc>
          <w:tcPr>
            <w:tcW w:w="1596" w:type="pct"/>
            <w:tcBorders>
              <w:tl2br w:val="nil"/>
              <w:tr2bl w:val="nil"/>
            </w:tcBorders>
            <w:shd w:val="clear" w:color="auto" w:fill="auto"/>
            <w:vAlign w:val="center"/>
          </w:tcPr>
          <w:p w14:paraId="09A6CCC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大发酵罐</w:t>
            </w:r>
          </w:p>
        </w:tc>
        <w:tc>
          <w:tcPr>
            <w:tcW w:w="681" w:type="pct"/>
            <w:tcBorders>
              <w:tl2br w:val="nil"/>
              <w:tr2bl w:val="nil"/>
            </w:tcBorders>
            <w:shd w:val="clear" w:color="auto" w:fill="auto"/>
            <w:vAlign w:val="center"/>
          </w:tcPr>
          <w:p w14:paraId="5318E6D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90 </w:t>
            </w:r>
          </w:p>
        </w:tc>
        <w:tc>
          <w:tcPr>
            <w:tcW w:w="768" w:type="pct"/>
            <w:tcBorders>
              <w:tl2br w:val="nil"/>
              <w:tr2bl w:val="nil"/>
            </w:tcBorders>
            <w:shd w:val="clear" w:color="auto" w:fill="auto"/>
            <w:vAlign w:val="center"/>
          </w:tcPr>
          <w:p w14:paraId="3DA64E4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36B0361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24 </w:t>
            </w:r>
          </w:p>
        </w:tc>
        <w:tc>
          <w:tcPr>
            <w:tcW w:w="832" w:type="pct"/>
            <w:tcBorders>
              <w:tl2br w:val="nil"/>
              <w:tr2bl w:val="nil"/>
            </w:tcBorders>
            <w:shd w:val="clear" w:color="auto" w:fill="auto"/>
            <w:vAlign w:val="center"/>
          </w:tcPr>
          <w:p w14:paraId="4FE220A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03149B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3A04B4D6">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33 </w:t>
            </w:r>
          </w:p>
        </w:tc>
        <w:tc>
          <w:tcPr>
            <w:tcW w:w="1596" w:type="pct"/>
            <w:tcBorders>
              <w:tl2br w:val="nil"/>
              <w:tr2bl w:val="nil"/>
            </w:tcBorders>
            <w:shd w:val="clear" w:color="auto" w:fill="auto"/>
            <w:vAlign w:val="center"/>
          </w:tcPr>
          <w:p w14:paraId="250DB62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废酵母罐</w:t>
            </w:r>
          </w:p>
        </w:tc>
        <w:tc>
          <w:tcPr>
            <w:tcW w:w="681" w:type="pct"/>
            <w:tcBorders>
              <w:tl2br w:val="nil"/>
              <w:tr2bl w:val="nil"/>
            </w:tcBorders>
            <w:shd w:val="clear" w:color="auto" w:fill="auto"/>
            <w:vAlign w:val="center"/>
          </w:tcPr>
          <w:p w14:paraId="7BD5A47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10 </w:t>
            </w:r>
          </w:p>
        </w:tc>
        <w:tc>
          <w:tcPr>
            <w:tcW w:w="768" w:type="pct"/>
            <w:tcBorders>
              <w:tl2br w:val="nil"/>
              <w:tr2bl w:val="nil"/>
            </w:tcBorders>
            <w:shd w:val="clear" w:color="auto" w:fill="auto"/>
            <w:vAlign w:val="center"/>
          </w:tcPr>
          <w:p w14:paraId="780245E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7F77DBB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099D462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1DF706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0973690E">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34 </w:t>
            </w:r>
          </w:p>
        </w:tc>
        <w:tc>
          <w:tcPr>
            <w:tcW w:w="1596" w:type="pct"/>
            <w:tcBorders>
              <w:tl2br w:val="nil"/>
              <w:tr2bl w:val="nil"/>
            </w:tcBorders>
            <w:shd w:val="clear" w:color="auto" w:fill="auto"/>
            <w:vAlign w:val="center"/>
          </w:tcPr>
          <w:p w14:paraId="47C4E64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酿造CIP</w:t>
            </w:r>
          </w:p>
        </w:tc>
        <w:tc>
          <w:tcPr>
            <w:tcW w:w="681" w:type="pct"/>
            <w:tcBorders>
              <w:tl2br w:val="nil"/>
              <w:tr2bl w:val="nil"/>
            </w:tcBorders>
            <w:shd w:val="clear" w:color="auto" w:fill="auto"/>
            <w:vAlign w:val="top"/>
          </w:tcPr>
          <w:p w14:paraId="79ADC99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top"/>
          </w:tcPr>
          <w:p w14:paraId="4F61574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706493B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2C10D5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6DBDCF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6B2A0872">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35 </w:t>
            </w:r>
          </w:p>
        </w:tc>
        <w:tc>
          <w:tcPr>
            <w:tcW w:w="1596" w:type="pct"/>
            <w:tcBorders>
              <w:tl2br w:val="nil"/>
              <w:tr2bl w:val="nil"/>
            </w:tcBorders>
            <w:shd w:val="clear" w:color="auto" w:fill="auto"/>
            <w:vAlign w:val="center"/>
          </w:tcPr>
          <w:p w14:paraId="66EB2D9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化碱系统</w:t>
            </w:r>
          </w:p>
        </w:tc>
        <w:tc>
          <w:tcPr>
            <w:tcW w:w="681" w:type="pct"/>
            <w:tcBorders>
              <w:tl2br w:val="nil"/>
              <w:tr2bl w:val="nil"/>
            </w:tcBorders>
            <w:shd w:val="clear" w:color="auto" w:fill="auto"/>
            <w:vAlign w:val="top"/>
          </w:tcPr>
          <w:p w14:paraId="2FF0DE0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top"/>
          </w:tcPr>
          <w:p w14:paraId="0577833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6183681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6D8909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2D50C0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41E7ADF9">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36 </w:t>
            </w:r>
          </w:p>
        </w:tc>
        <w:tc>
          <w:tcPr>
            <w:tcW w:w="1596" w:type="pct"/>
            <w:tcBorders>
              <w:tl2br w:val="nil"/>
              <w:tr2bl w:val="nil"/>
            </w:tcBorders>
            <w:shd w:val="clear" w:color="auto" w:fill="auto"/>
            <w:vAlign w:val="center"/>
          </w:tcPr>
          <w:p w14:paraId="3AA2ACC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脱氧水制备系统</w:t>
            </w:r>
          </w:p>
        </w:tc>
        <w:tc>
          <w:tcPr>
            <w:tcW w:w="681" w:type="pct"/>
            <w:tcBorders>
              <w:tl2br w:val="nil"/>
              <w:tr2bl w:val="nil"/>
            </w:tcBorders>
            <w:shd w:val="clear" w:color="auto" w:fill="auto"/>
            <w:vAlign w:val="center"/>
          </w:tcPr>
          <w:p w14:paraId="00390CC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15 </w:t>
            </w:r>
          </w:p>
        </w:tc>
        <w:tc>
          <w:tcPr>
            <w:tcW w:w="768" w:type="pct"/>
            <w:tcBorders>
              <w:tl2br w:val="nil"/>
              <w:tr2bl w:val="nil"/>
            </w:tcBorders>
            <w:shd w:val="clear" w:color="auto" w:fill="auto"/>
            <w:vAlign w:val="center"/>
          </w:tcPr>
          <w:p w14:paraId="6E4A1A7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KL/h</w:t>
            </w:r>
          </w:p>
        </w:tc>
        <w:tc>
          <w:tcPr>
            <w:tcW w:w="481" w:type="pct"/>
            <w:tcBorders>
              <w:tl2br w:val="nil"/>
              <w:tr2bl w:val="nil"/>
            </w:tcBorders>
            <w:shd w:val="clear" w:color="auto" w:fill="auto"/>
            <w:vAlign w:val="center"/>
          </w:tcPr>
          <w:p w14:paraId="682FA65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6CDA032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21DDA2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14D1A4E1">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37 </w:t>
            </w:r>
          </w:p>
        </w:tc>
        <w:tc>
          <w:tcPr>
            <w:tcW w:w="1596" w:type="pct"/>
            <w:tcBorders>
              <w:tl2br w:val="nil"/>
              <w:tr2bl w:val="nil"/>
            </w:tcBorders>
            <w:shd w:val="clear" w:color="auto" w:fill="auto"/>
            <w:vAlign w:val="center"/>
          </w:tcPr>
          <w:p w14:paraId="2409653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脱氧水罐</w:t>
            </w:r>
          </w:p>
        </w:tc>
        <w:tc>
          <w:tcPr>
            <w:tcW w:w="681" w:type="pct"/>
            <w:tcBorders>
              <w:tl2br w:val="nil"/>
              <w:tr2bl w:val="nil"/>
            </w:tcBorders>
            <w:shd w:val="clear" w:color="auto" w:fill="auto"/>
            <w:vAlign w:val="center"/>
          </w:tcPr>
          <w:p w14:paraId="27D4C8D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30 </w:t>
            </w:r>
          </w:p>
        </w:tc>
        <w:tc>
          <w:tcPr>
            <w:tcW w:w="768" w:type="pct"/>
            <w:tcBorders>
              <w:tl2br w:val="nil"/>
              <w:tr2bl w:val="nil"/>
            </w:tcBorders>
            <w:shd w:val="clear" w:color="auto" w:fill="auto"/>
            <w:vAlign w:val="center"/>
          </w:tcPr>
          <w:p w14:paraId="485E2C9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42EECF4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D144D6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0AA841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317C8BE2">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38 </w:t>
            </w:r>
          </w:p>
        </w:tc>
        <w:tc>
          <w:tcPr>
            <w:tcW w:w="1596" w:type="pct"/>
            <w:tcBorders>
              <w:tl2br w:val="nil"/>
              <w:tr2bl w:val="nil"/>
            </w:tcBorders>
            <w:shd w:val="clear" w:color="auto" w:fill="auto"/>
            <w:vAlign w:val="center"/>
          </w:tcPr>
          <w:p w14:paraId="64D3373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离心机</w:t>
            </w:r>
          </w:p>
        </w:tc>
        <w:tc>
          <w:tcPr>
            <w:tcW w:w="681" w:type="pct"/>
            <w:tcBorders>
              <w:tl2br w:val="nil"/>
              <w:tr2bl w:val="nil"/>
            </w:tcBorders>
            <w:shd w:val="clear" w:color="auto" w:fill="auto"/>
            <w:vAlign w:val="center"/>
          </w:tcPr>
          <w:p w14:paraId="207631F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10 </w:t>
            </w:r>
          </w:p>
        </w:tc>
        <w:tc>
          <w:tcPr>
            <w:tcW w:w="768" w:type="pct"/>
            <w:tcBorders>
              <w:tl2br w:val="nil"/>
              <w:tr2bl w:val="nil"/>
            </w:tcBorders>
            <w:shd w:val="clear" w:color="auto" w:fill="auto"/>
            <w:vAlign w:val="center"/>
          </w:tcPr>
          <w:p w14:paraId="745E632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KL/h</w:t>
            </w:r>
          </w:p>
        </w:tc>
        <w:tc>
          <w:tcPr>
            <w:tcW w:w="481" w:type="pct"/>
            <w:tcBorders>
              <w:tl2br w:val="nil"/>
              <w:tr2bl w:val="nil"/>
            </w:tcBorders>
            <w:shd w:val="clear" w:color="auto" w:fill="auto"/>
            <w:vAlign w:val="center"/>
          </w:tcPr>
          <w:p w14:paraId="6099B47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7445215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331488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1C59A839">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39 </w:t>
            </w:r>
          </w:p>
        </w:tc>
        <w:tc>
          <w:tcPr>
            <w:tcW w:w="1596" w:type="pct"/>
            <w:tcBorders>
              <w:tl2br w:val="nil"/>
              <w:tr2bl w:val="nil"/>
            </w:tcBorders>
            <w:shd w:val="clear" w:color="auto" w:fill="auto"/>
            <w:vAlign w:val="center"/>
          </w:tcPr>
          <w:p w14:paraId="7E0D043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硅藻过滤机</w:t>
            </w:r>
          </w:p>
        </w:tc>
        <w:tc>
          <w:tcPr>
            <w:tcW w:w="681" w:type="pct"/>
            <w:tcBorders>
              <w:tl2br w:val="nil"/>
              <w:tr2bl w:val="nil"/>
            </w:tcBorders>
            <w:shd w:val="clear" w:color="auto" w:fill="auto"/>
            <w:vAlign w:val="center"/>
          </w:tcPr>
          <w:p w14:paraId="78682F1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10 </w:t>
            </w:r>
          </w:p>
        </w:tc>
        <w:tc>
          <w:tcPr>
            <w:tcW w:w="768" w:type="pct"/>
            <w:tcBorders>
              <w:tl2br w:val="nil"/>
              <w:tr2bl w:val="nil"/>
            </w:tcBorders>
            <w:shd w:val="clear" w:color="auto" w:fill="auto"/>
            <w:vAlign w:val="center"/>
          </w:tcPr>
          <w:p w14:paraId="6DC936D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KL/h</w:t>
            </w:r>
          </w:p>
        </w:tc>
        <w:tc>
          <w:tcPr>
            <w:tcW w:w="481" w:type="pct"/>
            <w:tcBorders>
              <w:tl2br w:val="nil"/>
              <w:tr2bl w:val="nil"/>
            </w:tcBorders>
            <w:shd w:val="clear" w:color="auto" w:fill="auto"/>
            <w:vAlign w:val="center"/>
          </w:tcPr>
          <w:p w14:paraId="134B8D3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C0BD4A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31DE9E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7CD778D9">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40 </w:t>
            </w:r>
          </w:p>
        </w:tc>
        <w:tc>
          <w:tcPr>
            <w:tcW w:w="1596" w:type="pct"/>
            <w:tcBorders>
              <w:tl2br w:val="nil"/>
              <w:tr2bl w:val="nil"/>
            </w:tcBorders>
            <w:shd w:val="clear" w:color="auto" w:fill="auto"/>
            <w:vAlign w:val="center"/>
          </w:tcPr>
          <w:p w14:paraId="1F08DA3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废土罐</w:t>
            </w:r>
          </w:p>
        </w:tc>
        <w:tc>
          <w:tcPr>
            <w:tcW w:w="681" w:type="pct"/>
            <w:tcBorders>
              <w:tl2br w:val="nil"/>
              <w:tr2bl w:val="nil"/>
            </w:tcBorders>
            <w:shd w:val="clear" w:color="auto" w:fill="auto"/>
            <w:vAlign w:val="center"/>
          </w:tcPr>
          <w:p w14:paraId="6B4AA0A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10 </w:t>
            </w:r>
          </w:p>
        </w:tc>
        <w:tc>
          <w:tcPr>
            <w:tcW w:w="768" w:type="pct"/>
            <w:tcBorders>
              <w:tl2br w:val="nil"/>
              <w:tr2bl w:val="nil"/>
            </w:tcBorders>
            <w:shd w:val="clear" w:color="auto" w:fill="auto"/>
            <w:vAlign w:val="center"/>
          </w:tcPr>
          <w:p w14:paraId="2D478A5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38747F5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FEA516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234378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069EE037">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41 </w:t>
            </w:r>
          </w:p>
        </w:tc>
        <w:tc>
          <w:tcPr>
            <w:tcW w:w="1596" w:type="pct"/>
            <w:tcBorders>
              <w:tl2br w:val="nil"/>
              <w:tr2bl w:val="nil"/>
            </w:tcBorders>
            <w:shd w:val="clear" w:color="auto" w:fill="auto"/>
            <w:vAlign w:val="center"/>
          </w:tcPr>
          <w:p w14:paraId="2961EC5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高浓稀释系统</w:t>
            </w:r>
          </w:p>
        </w:tc>
        <w:tc>
          <w:tcPr>
            <w:tcW w:w="1450" w:type="pct"/>
            <w:gridSpan w:val="2"/>
            <w:tcBorders>
              <w:tl2br w:val="nil"/>
              <w:tr2bl w:val="nil"/>
            </w:tcBorders>
            <w:shd w:val="clear" w:color="auto" w:fill="auto"/>
            <w:vAlign w:val="center"/>
          </w:tcPr>
          <w:p w14:paraId="13D9164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(10+6)KL/h</w:t>
            </w:r>
          </w:p>
        </w:tc>
        <w:tc>
          <w:tcPr>
            <w:tcW w:w="481" w:type="pct"/>
            <w:tcBorders>
              <w:tl2br w:val="nil"/>
              <w:tr2bl w:val="nil"/>
            </w:tcBorders>
            <w:shd w:val="clear" w:color="auto" w:fill="auto"/>
            <w:vAlign w:val="center"/>
          </w:tcPr>
          <w:p w14:paraId="68D12A9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095EE4F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6BB123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2D6F12C1">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42</w:t>
            </w:r>
          </w:p>
        </w:tc>
        <w:tc>
          <w:tcPr>
            <w:tcW w:w="1596" w:type="pct"/>
            <w:tcBorders>
              <w:tl2br w:val="nil"/>
              <w:tr2bl w:val="nil"/>
            </w:tcBorders>
            <w:shd w:val="clear" w:color="auto" w:fill="auto"/>
            <w:vAlign w:val="center"/>
          </w:tcPr>
          <w:p w14:paraId="517503D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大清酒罐</w:t>
            </w:r>
          </w:p>
        </w:tc>
        <w:tc>
          <w:tcPr>
            <w:tcW w:w="681" w:type="pct"/>
            <w:tcBorders>
              <w:tl2br w:val="nil"/>
              <w:tr2bl w:val="nil"/>
            </w:tcBorders>
            <w:shd w:val="clear" w:color="auto" w:fill="auto"/>
            <w:vAlign w:val="center"/>
          </w:tcPr>
          <w:p w14:paraId="4EAA277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60 </w:t>
            </w:r>
          </w:p>
        </w:tc>
        <w:tc>
          <w:tcPr>
            <w:tcW w:w="768" w:type="pct"/>
            <w:tcBorders>
              <w:tl2br w:val="nil"/>
              <w:tr2bl w:val="nil"/>
            </w:tcBorders>
            <w:shd w:val="clear" w:color="auto" w:fill="auto"/>
            <w:vAlign w:val="center"/>
          </w:tcPr>
          <w:p w14:paraId="790B29C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4764D9A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4 </w:t>
            </w:r>
          </w:p>
        </w:tc>
        <w:tc>
          <w:tcPr>
            <w:tcW w:w="832" w:type="pct"/>
            <w:tcBorders>
              <w:tl2br w:val="nil"/>
              <w:tr2bl w:val="nil"/>
            </w:tcBorders>
            <w:shd w:val="clear" w:color="auto" w:fill="auto"/>
            <w:vAlign w:val="center"/>
          </w:tcPr>
          <w:p w14:paraId="2FBDFC6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722C49B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63D71C72">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43</w:t>
            </w:r>
          </w:p>
        </w:tc>
        <w:tc>
          <w:tcPr>
            <w:tcW w:w="1596" w:type="pct"/>
            <w:tcBorders>
              <w:tl2br w:val="nil"/>
              <w:tr2bl w:val="nil"/>
            </w:tcBorders>
            <w:shd w:val="clear" w:color="auto" w:fill="auto"/>
            <w:vAlign w:val="center"/>
          </w:tcPr>
          <w:p w14:paraId="6D45425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小清酒罐</w:t>
            </w:r>
          </w:p>
        </w:tc>
        <w:tc>
          <w:tcPr>
            <w:tcW w:w="681" w:type="pct"/>
            <w:tcBorders>
              <w:tl2br w:val="nil"/>
              <w:tr2bl w:val="nil"/>
            </w:tcBorders>
            <w:shd w:val="clear" w:color="auto" w:fill="auto"/>
            <w:vAlign w:val="center"/>
          </w:tcPr>
          <w:p w14:paraId="3A09890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30 </w:t>
            </w:r>
          </w:p>
        </w:tc>
        <w:tc>
          <w:tcPr>
            <w:tcW w:w="768" w:type="pct"/>
            <w:tcBorders>
              <w:tl2br w:val="nil"/>
              <w:tr2bl w:val="nil"/>
            </w:tcBorders>
            <w:shd w:val="clear" w:color="auto" w:fill="auto"/>
            <w:vAlign w:val="center"/>
          </w:tcPr>
          <w:p w14:paraId="5FB8C9F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55CE38E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 </w:t>
            </w:r>
          </w:p>
        </w:tc>
        <w:tc>
          <w:tcPr>
            <w:tcW w:w="832" w:type="pct"/>
            <w:tcBorders>
              <w:tl2br w:val="nil"/>
              <w:tr2bl w:val="nil"/>
            </w:tcBorders>
            <w:shd w:val="clear" w:color="auto" w:fill="auto"/>
            <w:vAlign w:val="center"/>
          </w:tcPr>
          <w:p w14:paraId="592D687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13ACDE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6BBD22BA">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44</w:t>
            </w:r>
          </w:p>
        </w:tc>
        <w:tc>
          <w:tcPr>
            <w:tcW w:w="1596" w:type="pct"/>
            <w:tcBorders>
              <w:tl2br w:val="nil"/>
              <w:tr2bl w:val="nil"/>
            </w:tcBorders>
            <w:shd w:val="clear" w:color="auto" w:fill="auto"/>
            <w:vAlign w:val="center"/>
          </w:tcPr>
          <w:p w14:paraId="1375FB6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清酒阀阵</w:t>
            </w:r>
          </w:p>
        </w:tc>
        <w:tc>
          <w:tcPr>
            <w:tcW w:w="681" w:type="pct"/>
            <w:tcBorders>
              <w:tl2br w:val="nil"/>
              <w:tr2bl w:val="nil"/>
            </w:tcBorders>
            <w:shd w:val="clear" w:color="auto" w:fill="auto"/>
            <w:vAlign w:val="top"/>
          </w:tcPr>
          <w:p w14:paraId="53A433B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top"/>
          </w:tcPr>
          <w:p w14:paraId="20FEE6B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48FFFF9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40B8B2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个</w:t>
            </w:r>
          </w:p>
        </w:tc>
      </w:tr>
      <w:tr w14:paraId="266E22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23F700AD">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45</w:t>
            </w:r>
          </w:p>
        </w:tc>
        <w:tc>
          <w:tcPr>
            <w:tcW w:w="1596" w:type="pct"/>
            <w:tcBorders>
              <w:tl2br w:val="nil"/>
              <w:tr2bl w:val="nil"/>
            </w:tcBorders>
            <w:shd w:val="clear" w:color="auto" w:fill="auto"/>
            <w:vAlign w:val="center"/>
          </w:tcPr>
          <w:p w14:paraId="40C0335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灌装线-玻璃瓶</w:t>
            </w:r>
          </w:p>
        </w:tc>
        <w:tc>
          <w:tcPr>
            <w:tcW w:w="681" w:type="pct"/>
            <w:tcBorders>
              <w:tl2br w:val="nil"/>
              <w:tr2bl w:val="nil"/>
            </w:tcBorders>
            <w:shd w:val="clear" w:color="auto" w:fill="auto"/>
            <w:vAlign w:val="center"/>
          </w:tcPr>
          <w:p w14:paraId="4CAEE30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24000 </w:t>
            </w:r>
          </w:p>
        </w:tc>
        <w:tc>
          <w:tcPr>
            <w:tcW w:w="768" w:type="pct"/>
            <w:tcBorders>
              <w:tl2br w:val="nil"/>
              <w:tr2bl w:val="nil"/>
            </w:tcBorders>
            <w:shd w:val="clear" w:color="auto" w:fill="auto"/>
            <w:vAlign w:val="center"/>
          </w:tcPr>
          <w:p w14:paraId="089D7D3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b/h</w:t>
            </w:r>
          </w:p>
        </w:tc>
        <w:tc>
          <w:tcPr>
            <w:tcW w:w="481" w:type="pct"/>
            <w:tcBorders>
              <w:tl2br w:val="nil"/>
              <w:tr2bl w:val="nil"/>
            </w:tcBorders>
            <w:shd w:val="clear" w:color="auto" w:fill="auto"/>
            <w:vAlign w:val="center"/>
          </w:tcPr>
          <w:p w14:paraId="18CBE47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5120F2C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条</w:t>
            </w:r>
          </w:p>
        </w:tc>
      </w:tr>
      <w:tr w14:paraId="2CBA63B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035" w:type="dxa"/>
            <w:tcBorders>
              <w:tl2br w:val="nil"/>
              <w:tr2bl w:val="nil"/>
            </w:tcBorders>
            <w:shd w:val="clear" w:color="auto" w:fill="auto"/>
            <w:vAlign w:val="center"/>
          </w:tcPr>
          <w:p w14:paraId="13595B81">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46</w:t>
            </w:r>
          </w:p>
        </w:tc>
        <w:tc>
          <w:tcPr>
            <w:tcW w:w="1596" w:type="pct"/>
            <w:tcBorders>
              <w:tl2br w:val="nil"/>
              <w:tr2bl w:val="nil"/>
            </w:tcBorders>
            <w:shd w:val="clear" w:color="auto" w:fill="auto"/>
            <w:vAlign w:val="center"/>
          </w:tcPr>
          <w:p w14:paraId="67A63BE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灌装线-易拉罐柔性线</w:t>
            </w:r>
          </w:p>
        </w:tc>
        <w:tc>
          <w:tcPr>
            <w:tcW w:w="681" w:type="pct"/>
            <w:tcBorders>
              <w:tl2br w:val="nil"/>
              <w:tr2bl w:val="nil"/>
            </w:tcBorders>
            <w:shd w:val="clear" w:color="auto" w:fill="auto"/>
            <w:vAlign w:val="center"/>
          </w:tcPr>
          <w:p w14:paraId="73FDC4E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24000 </w:t>
            </w:r>
          </w:p>
        </w:tc>
        <w:tc>
          <w:tcPr>
            <w:tcW w:w="768" w:type="pct"/>
            <w:tcBorders>
              <w:tl2br w:val="nil"/>
              <w:tr2bl w:val="nil"/>
            </w:tcBorders>
            <w:shd w:val="clear" w:color="auto" w:fill="auto"/>
            <w:vAlign w:val="center"/>
          </w:tcPr>
          <w:p w14:paraId="6B0C49D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c/h</w:t>
            </w:r>
          </w:p>
        </w:tc>
        <w:tc>
          <w:tcPr>
            <w:tcW w:w="481" w:type="pct"/>
            <w:tcBorders>
              <w:tl2br w:val="nil"/>
              <w:tr2bl w:val="nil"/>
            </w:tcBorders>
            <w:shd w:val="clear" w:color="auto" w:fill="auto"/>
            <w:vAlign w:val="center"/>
          </w:tcPr>
          <w:p w14:paraId="061A468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AB41C6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条</w:t>
            </w:r>
          </w:p>
        </w:tc>
      </w:tr>
      <w:tr w14:paraId="5844AF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5A12CC3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47</w:t>
            </w:r>
          </w:p>
        </w:tc>
        <w:tc>
          <w:tcPr>
            <w:tcW w:w="1596" w:type="pct"/>
            <w:tcBorders>
              <w:tl2br w:val="nil"/>
              <w:tr2bl w:val="nil"/>
            </w:tcBorders>
            <w:shd w:val="clear" w:color="auto" w:fill="auto"/>
            <w:vAlign w:val="center"/>
          </w:tcPr>
          <w:p w14:paraId="2B08369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灌装线-桶装线</w:t>
            </w:r>
          </w:p>
        </w:tc>
        <w:tc>
          <w:tcPr>
            <w:tcW w:w="681" w:type="pct"/>
            <w:tcBorders>
              <w:tl2br w:val="nil"/>
              <w:tr2bl w:val="nil"/>
            </w:tcBorders>
            <w:shd w:val="clear" w:color="auto" w:fill="auto"/>
            <w:vAlign w:val="center"/>
          </w:tcPr>
          <w:p w14:paraId="0357E0F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120 </w:t>
            </w:r>
          </w:p>
        </w:tc>
        <w:tc>
          <w:tcPr>
            <w:tcW w:w="768" w:type="pct"/>
            <w:tcBorders>
              <w:tl2br w:val="nil"/>
              <w:tr2bl w:val="nil"/>
            </w:tcBorders>
            <w:shd w:val="clear" w:color="auto" w:fill="auto"/>
            <w:vAlign w:val="center"/>
          </w:tcPr>
          <w:p w14:paraId="60F4A7F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桶/h</w:t>
            </w:r>
          </w:p>
        </w:tc>
        <w:tc>
          <w:tcPr>
            <w:tcW w:w="481" w:type="pct"/>
            <w:tcBorders>
              <w:tl2br w:val="nil"/>
              <w:tr2bl w:val="nil"/>
            </w:tcBorders>
            <w:shd w:val="clear" w:color="auto" w:fill="auto"/>
            <w:vAlign w:val="center"/>
          </w:tcPr>
          <w:p w14:paraId="04FF5BD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0E871A3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条</w:t>
            </w:r>
          </w:p>
        </w:tc>
      </w:tr>
      <w:tr w14:paraId="48A8932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3FF0BA0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48</w:t>
            </w:r>
          </w:p>
        </w:tc>
        <w:tc>
          <w:tcPr>
            <w:tcW w:w="1596" w:type="pct"/>
            <w:tcBorders>
              <w:tl2br w:val="nil"/>
              <w:tr2bl w:val="nil"/>
            </w:tcBorders>
            <w:shd w:val="clear" w:color="auto" w:fill="auto"/>
            <w:vAlign w:val="center"/>
          </w:tcPr>
          <w:p w14:paraId="5E6D39B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CO</w:t>
            </w:r>
            <w:r>
              <w:rPr>
                <w:snapToGrid w:val="0"/>
                <w:color w:val="000000" w:themeColor="text1"/>
                <w:kern w:val="0"/>
                <w:szCs w:val="21"/>
                <w:vertAlign w:val="subscript"/>
                <w:lang w:val="en-US" w:eastAsia="zh-CN"/>
                <w14:textFill>
                  <w14:solidFill>
                    <w14:schemeClr w14:val="tx1"/>
                  </w14:solidFill>
                </w14:textFill>
              </w:rPr>
              <w:t>2</w:t>
            </w:r>
            <w:r>
              <w:rPr>
                <w:snapToGrid w:val="0"/>
                <w:color w:val="000000" w:themeColor="text1"/>
                <w:kern w:val="0"/>
                <w:szCs w:val="21"/>
                <w:lang w:val="en-US" w:eastAsia="zh-CN"/>
                <w14:textFill>
                  <w14:solidFill>
                    <w14:schemeClr w14:val="tx1"/>
                  </w14:solidFill>
                </w14:textFill>
              </w:rPr>
              <w:t>回收设备</w:t>
            </w:r>
          </w:p>
        </w:tc>
        <w:tc>
          <w:tcPr>
            <w:tcW w:w="681" w:type="pct"/>
            <w:tcBorders>
              <w:tl2br w:val="nil"/>
              <w:tr2bl w:val="nil"/>
            </w:tcBorders>
            <w:shd w:val="clear" w:color="auto" w:fill="auto"/>
            <w:vAlign w:val="center"/>
          </w:tcPr>
          <w:p w14:paraId="4C4C22E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150 </w:t>
            </w:r>
          </w:p>
        </w:tc>
        <w:tc>
          <w:tcPr>
            <w:tcW w:w="768" w:type="pct"/>
            <w:tcBorders>
              <w:tl2br w:val="nil"/>
              <w:tr2bl w:val="nil"/>
            </w:tcBorders>
            <w:shd w:val="clear" w:color="auto" w:fill="auto"/>
            <w:vAlign w:val="center"/>
          </w:tcPr>
          <w:p w14:paraId="18B0A33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kg/h</w:t>
            </w:r>
          </w:p>
        </w:tc>
        <w:tc>
          <w:tcPr>
            <w:tcW w:w="481" w:type="pct"/>
            <w:tcBorders>
              <w:tl2br w:val="nil"/>
              <w:tr2bl w:val="nil"/>
            </w:tcBorders>
            <w:shd w:val="clear" w:color="auto" w:fill="auto"/>
            <w:vAlign w:val="center"/>
          </w:tcPr>
          <w:p w14:paraId="5383BB7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 </w:t>
            </w:r>
          </w:p>
        </w:tc>
        <w:tc>
          <w:tcPr>
            <w:tcW w:w="832" w:type="pct"/>
            <w:tcBorders>
              <w:tl2br w:val="nil"/>
              <w:tr2bl w:val="nil"/>
            </w:tcBorders>
            <w:shd w:val="clear" w:color="auto" w:fill="auto"/>
            <w:vAlign w:val="center"/>
          </w:tcPr>
          <w:p w14:paraId="1B03B8C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486EB1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420DE71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49</w:t>
            </w:r>
          </w:p>
        </w:tc>
        <w:tc>
          <w:tcPr>
            <w:tcW w:w="1596" w:type="pct"/>
            <w:tcBorders>
              <w:tl2br w:val="nil"/>
              <w:tr2bl w:val="nil"/>
            </w:tcBorders>
            <w:shd w:val="clear" w:color="auto" w:fill="auto"/>
            <w:vAlign w:val="center"/>
          </w:tcPr>
          <w:p w14:paraId="655C60D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CO</w:t>
            </w:r>
            <w:r>
              <w:rPr>
                <w:snapToGrid w:val="0"/>
                <w:color w:val="000000" w:themeColor="text1"/>
                <w:kern w:val="0"/>
                <w:szCs w:val="21"/>
                <w:vertAlign w:val="subscript"/>
                <w:lang w:val="en-US" w:eastAsia="zh-CN"/>
                <w14:textFill>
                  <w14:solidFill>
                    <w14:schemeClr w14:val="tx1"/>
                  </w14:solidFill>
                </w14:textFill>
              </w:rPr>
              <w:t>2</w:t>
            </w:r>
            <w:r>
              <w:rPr>
                <w:snapToGrid w:val="0"/>
                <w:color w:val="000000" w:themeColor="text1"/>
                <w:kern w:val="0"/>
                <w:szCs w:val="21"/>
                <w:lang w:val="en-US" w:eastAsia="zh-CN"/>
                <w14:textFill>
                  <w14:solidFill>
                    <w14:schemeClr w14:val="tx1"/>
                  </w14:solidFill>
                </w14:textFill>
              </w:rPr>
              <w:t>贮罐</w:t>
            </w:r>
          </w:p>
        </w:tc>
        <w:tc>
          <w:tcPr>
            <w:tcW w:w="681" w:type="pct"/>
            <w:tcBorders>
              <w:tl2br w:val="nil"/>
              <w:tr2bl w:val="nil"/>
            </w:tcBorders>
            <w:shd w:val="clear" w:color="auto" w:fill="auto"/>
            <w:vAlign w:val="center"/>
          </w:tcPr>
          <w:p w14:paraId="372A505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30 </w:t>
            </w:r>
          </w:p>
        </w:tc>
        <w:tc>
          <w:tcPr>
            <w:tcW w:w="768" w:type="pct"/>
            <w:tcBorders>
              <w:tl2br w:val="nil"/>
              <w:tr2bl w:val="nil"/>
            </w:tcBorders>
            <w:shd w:val="clear" w:color="auto" w:fill="auto"/>
            <w:vAlign w:val="center"/>
          </w:tcPr>
          <w:p w14:paraId="53C68DA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w:t>
            </w:r>
          </w:p>
        </w:tc>
        <w:tc>
          <w:tcPr>
            <w:tcW w:w="481" w:type="pct"/>
            <w:tcBorders>
              <w:tl2br w:val="nil"/>
              <w:tr2bl w:val="nil"/>
            </w:tcBorders>
            <w:shd w:val="clear" w:color="auto" w:fill="auto"/>
            <w:vAlign w:val="center"/>
          </w:tcPr>
          <w:p w14:paraId="038778E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6A6809B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2DF1B8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4510D16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50</w:t>
            </w:r>
          </w:p>
        </w:tc>
        <w:tc>
          <w:tcPr>
            <w:tcW w:w="1596" w:type="pct"/>
            <w:tcBorders>
              <w:tl2br w:val="nil"/>
              <w:tr2bl w:val="nil"/>
            </w:tcBorders>
            <w:shd w:val="clear" w:color="auto" w:fill="auto"/>
            <w:vAlign w:val="center"/>
          </w:tcPr>
          <w:p w14:paraId="487CCB9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螺杆空压机</w:t>
            </w:r>
          </w:p>
        </w:tc>
        <w:tc>
          <w:tcPr>
            <w:tcW w:w="681" w:type="pct"/>
            <w:tcBorders>
              <w:tl2br w:val="nil"/>
              <w:tr2bl w:val="nil"/>
            </w:tcBorders>
            <w:shd w:val="clear" w:color="auto" w:fill="auto"/>
            <w:vAlign w:val="center"/>
          </w:tcPr>
          <w:p w14:paraId="624E31B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6.5 </w:t>
            </w:r>
          </w:p>
        </w:tc>
        <w:tc>
          <w:tcPr>
            <w:tcW w:w="768" w:type="pct"/>
            <w:tcBorders>
              <w:tl2br w:val="nil"/>
              <w:tr2bl w:val="nil"/>
            </w:tcBorders>
            <w:shd w:val="clear" w:color="auto" w:fill="auto"/>
            <w:vAlign w:val="center"/>
          </w:tcPr>
          <w:p w14:paraId="090CE1B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Nm</w:t>
            </w:r>
            <w:r>
              <w:rPr>
                <w:snapToGrid w:val="0"/>
                <w:color w:val="000000" w:themeColor="text1"/>
                <w:kern w:val="0"/>
                <w:szCs w:val="21"/>
                <w:vertAlign w:val="superscript"/>
                <w:lang w:val="en-US" w:eastAsia="zh-CN"/>
                <w14:textFill>
                  <w14:solidFill>
                    <w14:schemeClr w14:val="tx1"/>
                  </w14:solidFill>
                </w14:textFill>
              </w:rPr>
              <w:t>3</w:t>
            </w:r>
            <w:r>
              <w:rPr>
                <w:snapToGrid w:val="0"/>
                <w:color w:val="000000" w:themeColor="text1"/>
                <w:kern w:val="0"/>
                <w:szCs w:val="21"/>
                <w:lang w:val="en-US" w:eastAsia="zh-CN"/>
                <w14:textFill>
                  <w14:solidFill>
                    <w14:schemeClr w14:val="tx1"/>
                  </w14:solidFill>
                </w14:textFill>
              </w:rPr>
              <w:t>/min</w:t>
            </w:r>
          </w:p>
        </w:tc>
        <w:tc>
          <w:tcPr>
            <w:tcW w:w="481" w:type="pct"/>
            <w:tcBorders>
              <w:tl2br w:val="nil"/>
              <w:tr2bl w:val="nil"/>
            </w:tcBorders>
            <w:shd w:val="clear" w:color="auto" w:fill="auto"/>
            <w:vAlign w:val="center"/>
          </w:tcPr>
          <w:p w14:paraId="27C06F7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 </w:t>
            </w:r>
          </w:p>
        </w:tc>
        <w:tc>
          <w:tcPr>
            <w:tcW w:w="832" w:type="pct"/>
            <w:tcBorders>
              <w:tl2br w:val="nil"/>
              <w:tr2bl w:val="nil"/>
            </w:tcBorders>
            <w:shd w:val="clear" w:color="auto" w:fill="auto"/>
            <w:vAlign w:val="center"/>
          </w:tcPr>
          <w:p w14:paraId="62742B7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3CE5F8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0FEFA8E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51</w:t>
            </w:r>
          </w:p>
        </w:tc>
        <w:tc>
          <w:tcPr>
            <w:tcW w:w="1596" w:type="pct"/>
            <w:tcBorders>
              <w:tl2br w:val="nil"/>
              <w:tr2bl w:val="nil"/>
            </w:tcBorders>
            <w:shd w:val="clear" w:color="auto" w:fill="auto"/>
            <w:vAlign w:val="center"/>
          </w:tcPr>
          <w:p w14:paraId="0927653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吸附式干燥机</w:t>
            </w:r>
          </w:p>
        </w:tc>
        <w:tc>
          <w:tcPr>
            <w:tcW w:w="681" w:type="pct"/>
            <w:tcBorders>
              <w:tl2br w:val="nil"/>
              <w:tr2bl w:val="nil"/>
            </w:tcBorders>
            <w:shd w:val="clear" w:color="auto" w:fill="auto"/>
            <w:vAlign w:val="center"/>
          </w:tcPr>
          <w:p w14:paraId="5129EEA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6.5 </w:t>
            </w:r>
          </w:p>
        </w:tc>
        <w:tc>
          <w:tcPr>
            <w:tcW w:w="768" w:type="pct"/>
            <w:tcBorders>
              <w:tl2br w:val="nil"/>
              <w:tr2bl w:val="nil"/>
            </w:tcBorders>
            <w:shd w:val="clear" w:color="auto" w:fill="auto"/>
            <w:vAlign w:val="center"/>
          </w:tcPr>
          <w:p w14:paraId="3B68238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Nm</w:t>
            </w:r>
            <w:r>
              <w:rPr>
                <w:snapToGrid w:val="0"/>
                <w:color w:val="000000" w:themeColor="text1"/>
                <w:kern w:val="0"/>
                <w:szCs w:val="21"/>
                <w:vertAlign w:val="superscript"/>
                <w:lang w:val="en-US" w:eastAsia="zh-CN"/>
                <w14:textFill>
                  <w14:solidFill>
                    <w14:schemeClr w14:val="tx1"/>
                  </w14:solidFill>
                </w14:textFill>
              </w:rPr>
              <w:t>3</w:t>
            </w:r>
            <w:r>
              <w:rPr>
                <w:snapToGrid w:val="0"/>
                <w:color w:val="000000" w:themeColor="text1"/>
                <w:kern w:val="0"/>
                <w:szCs w:val="21"/>
                <w:lang w:val="en-US" w:eastAsia="zh-CN"/>
                <w14:textFill>
                  <w14:solidFill>
                    <w14:schemeClr w14:val="tx1"/>
                  </w14:solidFill>
                </w14:textFill>
              </w:rPr>
              <w:t>/min</w:t>
            </w:r>
          </w:p>
        </w:tc>
        <w:tc>
          <w:tcPr>
            <w:tcW w:w="481" w:type="pct"/>
            <w:tcBorders>
              <w:tl2br w:val="nil"/>
              <w:tr2bl w:val="nil"/>
            </w:tcBorders>
            <w:shd w:val="clear" w:color="auto" w:fill="auto"/>
            <w:vAlign w:val="center"/>
          </w:tcPr>
          <w:p w14:paraId="7F8B7CE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 </w:t>
            </w:r>
          </w:p>
        </w:tc>
        <w:tc>
          <w:tcPr>
            <w:tcW w:w="832" w:type="pct"/>
            <w:tcBorders>
              <w:tl2br w:val="nil"/>
              <w:tr2bl w:val="nil"/>
            </w:tcBorders>
            <w:shd w:val="clear" w:color="auto" w:fill="auto"/>
            <w:vAlign w:val="center"/>
          </w:tcPr>
          <w:p w14:paraId="4F3C75C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43BB337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3FA2F81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52</w:t>
            </w:r>
          </w:p>
        </w:tc>
        <w:tc>
          <w:tcPr>
            <w:tcW w:w="1596" w:type="pct"/>
            <w:tcBorders>
              <w:tl2br w:val="nil"/>
              <w:tr2bl w:val="nil"/>
            </w:tcBorders>
            <w:shd w:val="clear" w:color="auto" w:fill="auto"/>
            <w:vAlign w:val="center"/>
          </w:tcPr>
          <w:p w14:paraId="460E181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制冷压缩机组</w:t>
            </w:r>
          </w:p>
        </w:tc>
        <w:tc>
          <w:tcPr>
            <w:tcW w:w="681" w:type="pct"/>
            <w:tcBorders>
              <w:tl2br w:val="nil"/>
              <w:tr2bl w:val="nil"/>
            </w:tcBorders>
            <w:shd w:val="clear" w:color="auto" w:fill="auto"/>
            <w:vAlign w:val="center"/>
          </w:tcPr>
          <w:p w14:paraId="7CBAC50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210 </w:t>
            </w:r>
          </w:p>
        </w:tc>
        <w:tc>
          <w:tcPr>
            <w:tcW w:w="768" w:type="pct"/>
            <w:tcBorders>
              <w:tl2br w:val="nil"/>
              <w:tr2bl w:val="nil"/>
            </w:tcBorders>
            <w:shd w:val="clear" w:color="auto" w:fill="auto"/>
            <w:vAlign w:val="center"/>
          </w:tcPr>
          <w:p w14:paraId="4AF00CB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KW</w:t>
            </w:r>
          </w:p>
        </w:tc>
        <w:tc>
          <w:tcPr>
            <w:tcW w:w="481" w:type="pct"/>
            <w:tcBorders>
              <w:tl2br w:val="nil"/>
              <w:tr2bl w:val="nil"/>
            </w:tcBorders>
            <w:shd w:val="clear" w:color="auto" w:fill="auto"/>
            <w:vAlign w:val="center"/>
          </w:tcPr>
          <w:p w14:paraId="2EABD21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 </w:t>
            </w:r>
          </w:p>
        </w:tc>
        <w:tc>
          <w:tcPr>
            <w:tcW w:w="832" w:type="pct"/>
            <w:tcBorders>
              <w:tl2br w:val="nil"/>
              <w:tr2bl w:val="nil"/>
            </w:tcBorders>
            <w:shd w:val="clear" w:color="auto" w:fill="auto"/>
            <w:vAlign w:val="center"/>
          </w:tcPr>
          <w:p w14:paraId="2CD73E2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41F2FB5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0BC421A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53</w:t>
            </w:r>
          </w:p>
        </w:tc>
        <w:tc>
          <w:tcPr>
            <w:tcW w:w="1596" w:type="pct"/>
            <w:tcBorders>
              <w:tl2br w:val="nil"/>
              <w:tr2bl w:val="nil"/>
            </w:tcBorders>
            <w:shd w:val="clear" w:color="auto" w:fill="auto"/>
            <w:vAlign w:val="center"/>
          </w:tcPr>
          <w:p w14:paraId="3366EC2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制冷压缩机组</w:t>
            </w:r>
          </w:p>
        </w:tc>
        <w:tc>
          <w:tcPr>
            <w:tcW w:w="681" w:type="pct"/>
            <w:tcBorders>
              <w:tl2br w:val="nil"/>
              <w:tr2bl w:val="nil"/>
            </w:tcBorders>
            <w:shd w:val="clear" w:color="auto" w:fill="auto"/>
            <w:vAlign w:val="center"/>
          </w:tcPr>
          <w:p w14:paraId="5BCC106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300 </w:t>
            </w:r>
          </w:p>
        </w:tc>
        <w:tc>
          <w:tcPr>
            <w:tcW w:w="768" w:type="pct"/>
            <w:tcBorders>
              <w:tl2br w:val="nil"/>
              <w:tr2bl w:val="nil"/>
            </w:tcBorders>
            <w:shd w:val="clear" w:color="auto" w:fill="auto"/>
            <w:vAlign w:val="center"/>
          </w:tcPr>
          <w:p w14:paraId="5AD87D0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KW</w:t>
            </w:r>
          </w:p>
        </w:tc>
        <w:tc>
          <w:tcPr>
            <w:tcW w:w="481" w:type="pct"/>
            <w:tcBorders>
              <w:tl2br w:val="nil"/>
              <w:tr2bl w:val="nil"/>
            </w:tcBorders>
            <w:shd w:val="clear" w:color="auto" w:fill="auto"/>
            <w:vAlign w:val="center"/>
          </w:tcPr>
          <w:p w14:paraId="3772428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00861BC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107236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4F820ED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54</w:t>
            </w:r>
          </w:p>
        </w:tc>
        <w:tc>
          <w:tcPr>
            <w:tcW w:w="1596" w:type="pct"/>
            <w:tcBorders>
              <w:tl2br w:val="nil"/>
              <w:tr2bl w:val="nil"/>
            </w:tcBorders>
            <w:shd w:val="clear" w:color="auto" w:fill="auto"/>
            <w:vAlign w:val="center"/>
          </w:tcPr>
          <w:p w14:paraId="4986111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制冷压缩机组</w:t>
            </w:r>
          </w:p>
        </w:tc>
        <w:tc>
          <w:tcPr>
            <w:tcW w:w="681" w:type="pct"/>
            <w:tcBorders>
              <w:tl2br w:val="nil"/>
              <w:tr2bl w:val="nil"/>
            </w:tcBorders>
            <w:shd w:val="clear" w:color="auto" w:fill="auto"/>
            <w:vAlign w:val="center"/>
          </w:tcPr>
          <w:p w14:paraId="75DE057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370 </w:t>
            </w:r>
          </w:p>
        </w:tc>
        <w:tc>
          <w:tcPr>
            <w:tcW w:w="768" w:type="pct"/>
            <w:tcBorders>
              <w:tl2br w:val="nil"/>
              <w:tr2bl w:val="nil"/>
            </w:tcBorders>
            <w:shd w:val="clear" w:color="auto" w:fill="auto"/>
            <w:vAlign w:val="center"/>
          </w:tcPr>
          <w:p w14:paraId="30594D8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KW</w:t>
            </w:r>
          </w:p>
        </w:tc>
        <w:tc>
          <w:tcPr>
            <w:tcW w:w="481" w:type="pct"/>
            <w:tcBorders>
              <w:tl2br w:val="nil"/>
              <w:tr2bl w:val="nil"/>
            </w:tcBorders>
            <w:shd w:val="clear" w:color="auto" w:fill="auto"/>
            <w:vAlign w:val="center"/>
          </w:tcPr>
          <w:p w14:paraId="0760D08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0972A3C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08D76F2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1ED7204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55</w:t>
            </w:r>
          </w:p>
        </w:tc>
        <w:tc>
          <w:tcPr>
            <w:tcW w:w="1596" w:type="pct"/>
            <w:tcBorders>
              <w:tl2br w:val="nil"/>
              <w:tr2bl w:val="nil"/>
            </w:tcBorders>
            <w:shd w:val="clear" w:color="auto" w:fill="auto"/>
            <w:vAlign w:val="center"/>
          </w:tcPr>
          <w:p w14:paraId="1F8D336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丙二醇水罐</w:t>
            </w:r>
          </w:p>
        </w:tc>
        <w:tc>
          <w:tcPr>
            <w:tcW w:w="681" w:type="pct"/>
            <w:tcBorders>
              <w:tl2br w:val="nil"/>
              <w:tr2bl w:val="nil"/>
            </w:tcBorders>
            <w:shd w:val="clear" w:color="auto" w:fill="auto"/>
            <w:vAlign w:val="center"/>
          </w:tcPr>
          <w:p w14:paraId="57F6C67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150 </w:t>
            </w:r>
          </w:p>
        </w:tc>
        <w:tc>
          <w:tcPr>
            <w:tcW w:w="768" w:type="pct"/>
            <w:tcBorders>
              <w:tl2br w:val="nil"/>
              <w:tr2bl w:val="nil"/>
            </w:tcBorders>
            <w:shd w:val="clear" w:color="auto" w:fill="auto"/>
            <w:vAlign w:val="center"/>
          </w:tcPr>
          <w:p w14:paraId="030C556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w:t>
            </w:r>
          </w:p>
        </w:tc>
        <w:tc>
          <w:tcPr>
            <w:tcW w:w="481" w:type="pct"/>
            <w:tcBorders>
              <w:tl2br w:val="nil"/>
              <w:tr2bl w:val="nil"/>
            </w:tcBorders>
            <w:shd w:val="clear" w:color="auto" w:fill="auto"/>
            <w:vAlign w:val="center"/>
          </w:tcPr>
          <w:p w14:paraId="7FEA42A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57DC4AA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5EF0D8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195CCE9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56</w:t>
            </w:r>
          </w:p>
        </w:tc>
        <w:tc>
          <w:tcPr>
            <w:tcW w:w="1596" w:type="pct"/>
            <w:tcBorders>
              <w:tl2br w:val="nil"/>
              <w:tr2bl w:val="nil"/>
            </w:tcBorders>
            <w:shd w:val="clear" w:color="auto" w:fill="auto"/>
            <w:vAlign w:val="center"/>
          </w:tcPr>
          <w:p w14:paraId="5EAA701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水处理系统</w:t>
            </w:r>
          </w:p>
        </w:tc>
        <w:tc>
          <w:tcPr>
            <w:tcW w:w="681" w:type="pct"/>
            <w:tcBorders>
              <w:tl2br w:val="nil"/>
              <w:tr2bl w:val="nil"/>
            </w:tcBorders>
            <w:shd w:val="clear" w:color="auto" w:fill="auto"/>
            <w:vAlign w:val="center"/>
          </w:tcPr>
          <w:p w14:paraId="66E1CDF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30 </w:t>
            </w:r>
          </w:p>
        </w:tc>
        <w:tc>
          <w:tcPr>
            <w:tcW w:w="768" w:type="pct"/>
            <w:tcBorders>
              <w:tl2br w:val="nil"/>
              <w:tr2bl w:val="nil"/>
            </w:tcBorders>
            <w:shd w:val="clear" w:color="auto" w:fill="auto"/>
            <w:vAlign w:val="center"/>
          </w:tcPr>
          <w:p w14:paraId="05FDCA4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KL/h</w:t>
            </w:r>
          </w:p>
        </w:tc>
        <w:tc>
          <w:tcPr>
            <w:tcW w:w="481" w:type="pct"/>
            <w:tcBorders>
              <w:tl2br w:val="nil"/>
              <w:tr2bl w:val="nil"/>
            </w:tcBorders>
            <w:shd w:val="clear" w:color="auto" w:fill="auto"/>
            <w:vAlign w:val="center"/>
          </w:tcPr>
          <w:p w14:paraId="5B9B032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2 </w:t>
            </w:r>
          </w:p>
        </w:tc>
        <w:tc>
          <w:tcPr>
            <w:tcW w:w="832" w:type="pct"/>
            <w:tcBorders>
              <w:tl2br w:val="nil"/>
              <w:tr2bl w:val="nil"/>
            </w:tcBorders>
            <w:shd w:val="clear" w:color="auto" w:fill="auto"/>
            <w:vAlign w:val="center"/>
          </w:tcPr>
          <w:p w14:paraId="79769E2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75609D6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7B43A0B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57</w:t>
            </w:r>
          </w:p>
        </w:tc>
        <w:tc>
          <w:tcPr>
            <w:tcW w:w="1596" w:type="pct"/>
            <w:tcBorders>
              <w:tl2br w:val="nil"/>
              <w:tr2bl w:val="nil"/>
            </w:tcBorders>
            <w:shd w:val="clear" w:color="auto" w:fill="auto"/>
            <w:vAlign w:val="center"/>
          </w:tcPr>
          <w:p w14:paraId="2F7436E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锅炉</w:t>
            </w:r>
          </w:p>
        </w:tc>
        <w:tc>
          <w:tcPr>
            <w:tcW w:w="681" w:type="pct"/>
            <w:tcBorders>
              <w:tl2br w:val="nil"/>
              <w:tr2bl w:val="nil"/>
            </w:tcBorders>
            <w:shd w:val="clear" w:color="auto" w:fill="auto"/>
            <w:vAlign w:val="center"/>
          </w:tcPr>
          <w:p w14:paraId="298B790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4 </w:t>
            </w:r>
          </w:p>
        </w:tc>
        <w:tc>
          <w:tcPr>
            <w:tcW w:w="768" w:type="pct"/>
            <w:tcBorders>
              <w:tl2br w:val="nil"/>
              <w:tr2bl w:val="nil"/>
            </w:tcBorders>
            <w:shd w:val="clear" w:color="auto" w:fill="auto"/>
            <w:vAlign w:val="center"/>
          </w:tcPr>
          <w:p w14:paraId="618E1B9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t/h</w:t>
            </w:r>
          </w:p>
        </w:tc>
        <w:tc>
          <w:tcPr>
            <w:tcW w:w="481" w:type="pct"/>
            <w:tcBorders>
              <w:tl2br w:val="nil"/>
              <w:tr2bl w:val="nil"/>
            </w:tcBorders>
            <w:shd w:val="clear" w:color="auto" w:fill="auto"/>
            <w:vAlign w:val="center"/>
          </w:tcPr>
          <w:p w14:paraId="0373BCE1">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3 </w:t>
            </w:r>
          </w:p>
        </w:tc>
        <w:tc>
          <w:tcPr>
            <w:tcW w:w="832" w:type="pct"/>
            <w:tcBorders>
              <w:tl2br w:val="nil"/>
              <w:tr2bl w:val="nil"/>
            </w:tcBorders>
            <w:shd w:val="clear" w:color="auto" w:fill="auto"/>
            <w:vAlign w:val="center"/>
          </w:tcPr>
          <w:p w14:paraId="6D5A0CB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台</w:t>
            </w:r>
          </w:p>
        </w:tc>
      </w:tr>
      <w:tr w14:paraId="6CB467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5D7909B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58</w:t>
            </w:r>
          </w:p>
        </w:tc>
        <w:tc>
          <w:tcPr>
            <w:tcW w:w="1596" w:type="pct"/>
            <w:tcBorders>
              <w:tl2br w:val="nil"/>
              <w:tr2bl w:val="nil"/>
            </w:tcBorders>
            <w:shd w:val="clear" w:color="auto" w:fill="auto"/>
            <w:vAlign w:val="center"/>
          </w:tcPr>
          <w:p w14:paraId="6A2D944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污水处理系统</w:t>
            </w:r>
          </w:p>
        </w:tc>
        <w:tc>
          <w:tcPr>
            <w:tcW w:w="681" w:type="pct"/>
            <w:tcBorders>
              <w:tl2br w:val="nil"/>
              <w:tr2bl w:val="nil"/>
            </w:tcBorders>
            <w:shd w:val="clear" w:color="auto" w:fill="auto"/>
            <w:vAlign w:val="center"/>
          </w:tcPr>
          <w:p w14:paraId="7379754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400 </w:t>
            </w:r>
          </w:p>
        </w:tc>
        <w:tc>
          <w:tcPr>
            <w:tcW w:w="768" w:type="pct"/>
            <w:tcBorders>
              <w:tl2br w:val="nil"/>
              <w:tr2bl w:val="nil"/>
            </w:tcBorders>
            <w:shd w:val="clear" w:color="auto" w:fill="auto"/>
            <w:vAlign w:val="center"/>
          </w:tcPr>
          <w:p w14:paraId="5EF67E4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m</w:t>
            </w:r>
            <w:r>
              <w:rPr>
                <w:snapToGrid w:val="0"/>
                <w:color w:val="000000" w:themeColor="text1"/>
                <w:kern w:val="0"/>
                <w:szCs w:val="21"/>
                <w:vertAlign w:val="superscript"/>
                <w:lang w:val="en-US" w:eastAsia="zh-CN"/>
                <w14:textFill>
                  <w14:solidFill>
                    <w14:schemeClr w14:val="tx1"/>
                  </w14:solidFill>
                </w14:textFill>
              </w:rPr>
              <w:t>3</w:t>
            </w:r>
          </w:p>
        </w:tc>
        <w:tc>
          <w:tcPr>
            <w:tcW w:w="481" w:type="pct"/>
            <w:tcBorders>
              <w:tl2br w:val="nil"/>
              <w:tr2bl w:val="nil"/>
            </w:tcBorders>
            <w:shd w:val="clear" w:color="auto" w:fill="auto"/>
            <w:vAlign w:val="center"/>
          </w:tcPr>
          <w:p w14:paraId="3DADB3E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3500968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239FF8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4D78484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59</w:t>
            </w:r>
          </w:p>
        </w:tc>
        <w:tc>
          <w:tcPr>
            <w:tcW w:w="1596" w:type="pct"/>
            <w:tcBorders>
              <w:tl2br w:val="nil"/>
              <w:tr2bl w:val="nil"/>
            </w:tcBorders>
            <w:shd w:val="clear" w:color="auto" w:fill="auto"/>
            <w:vAlign w:val="center"/>
          </w:tcPr>
          <w:p w14:paraId="67EF623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布袋除尘器</w:t>
            </w:r>
          </w:p>
        </w:tc>
        <w:tc>
          <w:tcPr>
            <w:tcW w:w="681" w:type="pct"/>
            <w:tcBorders>
              <w:tl2br w:val="nil"/>
              <w:tr2bl w:val="nil"/>
            </w:tcBorders>
            <w:shd w:val="clear" w:color="auto" w:fill="auto"/>
            <w:vAlign w:val="center"/>
          </w:tcPr>
          <w:p w14:paraId="5A4FBEF5">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center"/>
          </w:tcPr>
          <w:p w14:paraId="27B103FD">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52782C94">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7E955B1E">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5736F53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0A3FB4D9">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60</w:t>
            </w:r>
          </w:p>
        </w:tc>
        <w:tc>
          <w:tcPr>
            <w:tcW w:w="1596" w:type="pct"/>
            <w:tcBorders>
              <w:tl2br w:val="nil"/>
              <w:tr2bl w:val="nil"/>
            </w:tcBorders>
            <w:shd w:val="clear" w:color="auto" w:fill="auto"/>
            <w:vAlign w:val="center"/>
          </w:tcPr>
          <w:p w14:paraId="109360DF">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低氮燃烧器</w:t>
            </w:r>
          </w:p>
        </w:tc>
        <w:tc>
          <w:tcPr>
            <w:tcW w:w="681" w:type="pct"/>
            <w:tcBorders>
              <w:tl2br w:val="nil"/>
              <w:tr2bl w:val="nil"/>
            </w:tcBorders>
            <w:shd w:val="clear" w:color="auto" w:fill="auto"/>
            <w:vAlign w:val="center"/>
          </w:tcPr>
          <w:p w14:paraId="3D1CA0E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center"/>
          </w:tcPr>
          <w:p w14:paraId="0662E94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4815B800">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0AB912EA">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392F463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730441E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61</w:t>
            </w:r>
          </w:p>
        </w:tc>
        <w:tc>
          <w:tcPr>
            <w:tcW w:w="1596" w:type="pct"/>
            <w:tcBorders>
              <w:tl2br w:val="nil"/>
              <w:tr2bl w:val="nil"/>
            </w:tcBorders>
            <w:shd w:val="clear" w:color="auto" w:fill="auto"/>
            <w:vAlign w:val="center"/>
          </w:tcPr>
          <w:p w14:paraId="6B50950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油烟净化器</w:t>
            </w:r>
          </w:p>
        </w:tc>
        <w:tc>
          <w:tcPr>
            <w:tcW w:w="681" w:type="pct"/>
            <w:tcBorders>
              <w:tl2br w:val="nil"/>
              <w:tr2bl w:val="nil"/>
            </w:tcBorders>
            <w:shd w:val="clear" w:color="auto" w:fill="auto"/>
            <w:vAlign w:val="center"/>
          </w:tcPr>
          <w:p w14:paraId="09C67A6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center"/>
          </w:tcPr>
          <w:p w14:paraId="14CF2AE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762AADAB">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snapToGrid w:val="0"/>
                <w:color w:val="000000" w:themeColor="text1"/>
                <w:kern w:val="0"/>
                <w:szCs w:val="21"/>
                <w:lang w:val="en-US" w:eastAsia="zh-CN"/>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0D5545D5">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12D8C6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5E3ECE0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62</w:t>
            </w:r>
          </w:p>
        </w:tc>
        <w:tc>
          <w:tcPr>
            <w:tcW w:w="1596" w:type="pct"/>
            <w:tcBorders>
              <w:tl2br w:val="nil"/>
              <w:tr2bl w:val="nil"/>
            </w:tcBorders>
            <w:shd w:val="clear" w:color="auto" w:fill="auto"/>
            <w:vAlign w:val="center"/>
          </w:tcPr>
          <w:p w14:paraId="1D479B27">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沼气燃烧器</w:t>
            </w:r>
          </w:p>
        </w:tc>
        <w:tc>
          <w:tcPr>
            <w:tcW w:w="681" w:type="pct"/>
            <w:tcBorders>
              <w:tl2br w:val="nil"/>
              <w:tr2bl w:val="nil"/>
            </w:tcBorders>
            <w:shd w:val="clear" w:color="auto" w:fill="auto"/>
            <w:vAlign w:val="center"/>
          </w:tcPr>
          <w:p w14:paraId="3BE8A63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center"/>
          </w:tcPr>
          <w:p w14:paraId="7221745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08B7D0F8">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rFonts w:hint="default"/>
                <w:snapToGrid w:val="0"/>
                <w:color w:val="000000" w:themeColor="text1"/>
                <w:kern w:val="0"/>
                <w:szCs w:val="21"/>
                <w:lang w:val="en-US" w:eastAsia="zh-CN"/>
                <w14:textFill>
                  <w14:solidFill>
                    <w14:schemeClr w14:val="tx1"/>
                  </w14:solidFill>
                </w14:textFill>
              </w:rPr>
              <w:t xml:space="preserve">1 </w:t>
            </w:r>
          </w:p>
        </w:tc>
        <w:tc>
          <w:tcPr>
            <w:tcW w:w="832" w:type="pct"/>
            <w:tcBorders>
              <w:tl2br w:val="nil"/>
              <w:tr2bl w:val="nil"/>
            </w:tcBorders>
            <w:shd w:val="clear" w:color="auto" w:fill="auto"/>
            <w:vAlign w:val="center"/>
          </w:tcPr>
          <w:p w14:paraId="4F851938">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套</w:t>
            </w:r>
          </w:p>
        </w:tc>
      </w:tr>
      <w:tr w14:paraId="25F3E6F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07A182FE">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63</w:t>
            </w:r>
          </w:p>
        </w:tc>
        <w:tc>
          <w:tcPr>
            <w:tcW w:w="1596" w:type="pct"/>
            <w:tcBorders>
              <w:tl2br w:val="nil"/>
              <w:tr2bl w:val="nil"/>
            </w:tcBorders>
            <w:shd w:val="clear" w:color="auto" w:fill="auto"/>
            <w:vAlign w:val="center"/>
          </w:tcPr>
          <w:p w14:paraId="4161014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活性炭吸附装置</w:t>
            </w:r>
          </w:p>
        </w:tc>
        <w:tc>
          <w:tcPr>
            <w:tcW w:w="681" w:type="pct"/>
            <w:tcBorders>
              <w:tl2br w:val="nil"/>
              <w:tr2bl w:val="nil"/>
            </w:tcBorders>
            <w:shd w:val="clear" w:color="auto" w:fill="auto"/>
            <w:vAlign w:val="center"/>
          </w:tcPr>
          <w:p w14:paraId="5CE9D09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p>
        </w:tc>
        <w:tc>
          <w:tcPr>
            <w:tcW w:w="768" w:type="pct"/>
            <w:tcBorders>
              <w:tl2br w:val="nil"/>
              <w:tr2bl w:val="nil"/>
            </w:tcBorders>
            <w:shd w:val="clear" w:color="auto" w:fill="auto"/>
            <w:vAlign w:val="center"/>
          </w:tcPr>
          <w:p w14:paraId="29C65EC0">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snapToGrid w:val="0"/>
                <w:color w:val="000000" w:themeColor="text1"/>
                <w:kern w:val="0"/>
                <w:szCs w:val="21"/>
                <w:lang w:val="en-US" w:eastAsia="zh-CN"/>
                <w14:textFill>
                  <w14:solidFill>
                    <w14:schemeClr w14:val="tx1"/>
                  </w14:solidFill>
                </w14:textFill>
              </w:rPr>
            </w:pPr>
          </w:p>
        </w:tc>
        <w:tc>
          <w:tcPr>
            <w:tcW w:w="481" w:type="pct"/>
            <w:tcBorders>
              <w:tl2br w:val="nil"/>
              <w:tr2bl w:val="nil"/>
            </w:tcBorders>
            <w:shd w:val="clear" w:color="auto" w:fill="auto"/>
            <w:vAlign w:val="center"/>
          </w:tcPr>
          <w:p w14:paraId="73963EDB">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2</w:t>
            </w:r>
          </w:p>
        </w:tc>
        <w:tc>
          <w:tcPr>
            <w:tcW w:w="832" w:type="pct"/>
            <w:tcBorders>
              <w:tl2br w:val="nil"/>
              <w:tr2bl w:val="nil"/>
            </w:tcBorders>
            <w:shd w:val="clear" w:color="auto" w:fill="auto"/>
            <w:vAlign w:val="center"/>
          </w:tcPr>
          <w:p w14:paraId="29B8DFF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套</w:t>
            </w:r>
          </w:p>
        </w:tc>
      </w:tr>
      <w:tr w14:paraId="71D4D25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78E40DC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64</w:t>
            </w:r>
          </w:p>
        </w:tc>
        <w:tc>
          <w:tcPr>
            <w:tcW w:w="1596" w:type="pct"/>
            <w:tcBorders>
              <w:tl2br w:val="nil"/>
              <w:tr2bl w:val="nil"/>
            </w:tcBorders>
            <w:shd w:val="clear" w:color="auto" w:fill="auto"/>
            <w:vAlign w:val="center"/>
          </w:tcPr>
          <w:p w14:paraId="231E1C3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风机</w:t>
            </w:r>
          </w:p>
        </w:tc>
        <w:tc>
          <w:tcPr>
            <w:tcW w:w="681" w:type="pct"/>
            <w:tcBorders>
              <w:tl2br w:val="nil"/>
              <w:tr2bl w:val="nil"/>
            </w:tcBorders>
            <w:shd w:val="clear" w:color="auto" w:fill="auto"/>
            <w:vAlign w:val="center"/>
          </w:tcPr>
          <w:p w14:paraId="012EF7C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10000</w:t>
            </w:r>
          </w:p>
        </w:tc>
        <w:tc>
          <w:tcPr>
            <w:tcW w:w="768" w:type="pct"/>
            <w:tcBorders>
              <w:tl2br w:val="nil"/>
              <w:tr2bl w:val="nil"/>
            </w:tcBorders>
            <w:shd w:val="clear" w:color="auto" w:fill="auto"/>
            <w:vAlign w:val="center"/>
          </w:tcPr>
          <w:p w14:paraId="5622C2D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m</w:t>
            </w:r>
            <w:r>
              <w:rPr>
                <w:snapToGrid w:val="0"/>
                <w:color w:val="000000" w:themeColor="text1"/>
                <w:kern w:val="0"/>
                <w:szCs w:val="21"/>
                <w:vertAlign w:val="superscript"/>
                <w:lang w:val="en-US" w:eastAsia="zh-CN"/>
                <w14:textFill>
                  <w14:solidFill>
                    <w14:schemeClr w14:val="tx1"/>
                  </w14:solidFill>
                </w14:textFill>
              </w:rPr>
              <w:t>3</w:t>
            </w:r>
            <w:r>
              <w:rPr>
                <w:rFonts w:hint="eastAsia"/>
                <w:snapToGrid w:val="0"/>
                <w:color w:val="000000" w:themeColor="text1"/>
                <w:kern w:val="0"/>
                <w:szCs w:val="21"/>
                <w:vertAlign w:val="baseline"/>
                <w:lang w:val="en-US" w:eastAsia="zh-CN"/>
                <w14:textFill>
                  <w14:solidFill>
                    <w14:schemeClr w14:val="tx1"/>
                  </w14:solidFill>
                </w14:textFill>
              </w:rPr>
              <w:t>/h</w:t>
            </w:r>
          </w:p>
        </w:tc>
        <w:tc>
          <w:tcPr>
            <w:tcW w:w="481" w:type="pct"/>
            <w:tcBorders>
              <w:tl2br w:val="nil"/>
              <w:tr2bl w:val="nil"/>
            </w:tcBorders>
            <w:shd w:val="clear" w:color="auto" w:fill="auto"/>
            <w:vAlign w:val="center"/>
          </w:tcPr>
          <w:p w14:paraId="220829E3">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5</w:t>
            </w:r>
          </w:p>
        </w:tc>
        <w:tc>
          <w:tcPr>
            <w:tcW w:w="832" w:type="pct"/>
            <w:tcBorders>
              <w:tl2br w:val="nil"/>
              <w:tr2bl w:val="nil"/>
            </w:tcBorders>
            <w:shd w:val="clear" w:color="auto" w:fill="auto"/>
            <w:vAlign w:val="center"/>
          </w:tcPr>
          <w:p w14:paraId="61D99892">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台</w:t>
            </w:r>
          </w:p>
        </w:tc>
      </w:tr>
      <w:tr w14:paraId="0EDA61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40" w:type="pct"/>
            <w:tcBorders>
              <w:tl2br w:val="nil"/>
              <w:tr2bl w:val="nil"/>
            </w:tcBorders>
            <w:shd w:val="clear" w:color="auto" w:fill="auto"/>
            <w:vAlign w:val="center"/>
          </w:tcPr>
          <w:p w14:paraId="2324BFB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65</w:t>
            </w:r>
          </w:p>
        </w:tc>
        <w:tc>
          <w:tcPr>
            <w:tcW w:w="1596" w:type="pct"/>
            <w:tcBorders>
              <w:tl2br w:val="nil"/>
              <w:tr2bl w:val="nil"/>
            </w:tcBorders>
            <w:shd w:val="clear" w:color="auto" w:fill="auto"/>
            <w:vAlign w:val="center"/>
          </w:tcPr>
          <w:p w14:paraId="228F2BF6">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柴油发电机</w:t>
            </w:r>
          </w:p>
        </w:tc>
        <w:tc>
          <w:tcPr>
            <w:tcW w:w="681" w:type="pct"/>
            <w:tcBorders>
              <w:tl2br w:val="nil"/>
              <w:tr2bl w:val="nil"/>
            </w:tcBorders>
            <w:shd w:val="clear" w:color="auto" w:fill="auto"/>
            <w:vAlign w:val="center"/>
          </w:tcPr>
          <w:p w14:paraId="28871454">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800</w:t>
            </w:r>
          </w:p>
        </w:tc>
        <w:tc>
          <w:tcPr>
            <w:tcW w:w="768" w:type="pct"/>
            <w:tcBorders>
              <w:tl2br w:val="nil"/>
              <w:tr2bl w:val="nil"/>
            </w:tcBorders>
            <w:shd w:val="clear" w:color="auto" w:fill="auto"/>
            <w:vAlign w:val="center"/>
          </w:tcPr>
          <w:p w14:paraId="39542828">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kW</w:t>
            </w:r>
          </w:p>
        </w:tc>
        <w:tc>
          <w:tcPr>
            <w:tcW w:w="481" w:type="pct"/>
            <w:tcBorders>
              <w:tl2br w:val="nil"/>
              <w:tr2bl w:val="nil"/>
            </w:tcBorders>
            <w:shd w:val="clear" w:color="auto" w:fill="auto"/>
            <w:vAlign w:val="center"/>
          </w:tcPr>
          <w:p w14:paraId="62483F3A">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1</w:t>
            </w:r>
          </w:p>
        </w:tc>
        <w:tc>
          <w:tcPr>
            <w:tcW w:w="832" w:type="pct"/>
            <w:tcBorders>
              <w:tl2br w:val="nil"/>
              <w:tr2bl w:val="nil"/>
            </w:tcBorders>
            <w:shd w:val="clear" w:color="auto" w:fill="auto"/>
            <w:vAlign w:val="center"/>
          </w:tcPr>
          <w:p w14:paraId="1E77CF0C">
            <w:pPr>
              <w:pStyle w:val="143"/>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台</w:t>
            </w:r>
          </w:p>
        </w:tc>
      </w:tr>
    </w:tbl>
    <w:p w14:paraId="124EA301">
      <w:pPr>
        <w:pStyle w:val="6"/>
        <w:rPr>
          <w:snapToGrid w:val="0"/>
          <w:color w:val="000000" w:themeColor="text1"/>
          <w14:textFill>
            <w14:solidFill>
              <w14:schemeClr w14:val="tx1"/>
            </w14:solidFill>
          </w14:textFill>
        </w:rPr>
      </w:pPr>
      <w:bookmarkStart w:id="95" w:name="_Toc11892"/>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.2.4</w:t>
      </w:r>
      <w:r>
        <w:rPr>
          <w:rFonts w:hint="eastAsia"/>
          <w:snapToGrid w:val="0"/>
          <w:color w:val="000000" w:themeColor="text1"/>
          <w14:textFill>
            <w14:solidFill>
              <w14:schemeClr w14:val="tx1"/>
            </w14:solidFill>
          </w14:textFill>
        </w:rPr>
        <w:t>本项目原辅材料消耗及产品</w:t>
      </w:r>
      <w:bookmarkEnd w:id="95"/>
    </w:p>
    <w:p w14:paraId="614583B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本项目设计原辅材料主要获取途径为进口或国内市场外购。本项目原辅材料消耗及产品见下表3</w:t>
      </w:r>
      <w:r>
        <w:rPr>
          <w:color w:val="000000" w:themeColor="text1"/>
          <w14:textFill>
            <w14:solidFill>
              <w14:schemeClr w14:val="tx1"/>
            </w14:solidFill>
          </w14:textFill>
        </w:rPr>
        <w:t>-2-3</w:t>
      </w:r>
      <w:r>
        <w:rPr>
          <w:rFonts w:hint="eastAsia"/>
          <w:color w:val="000000" w:themeColor="text1"/>
          <w:lang w:val="en-US" w:eastAsia="zh-CN"/>
          <w14:textFill>
            <w14:solidFill>
              <w14:schemeClr w14:val="tx1"/>
            </w14:solidFill>
          </w14:textFill>
        </w:rPr>
        <w:t>及表3-2-4</w:t>
      </w:r>
      <w:r>
        <w:rPr>
          <w:rFonts w:hint="eastAsia"/>
          <w:color w:val="000000" w:themeColor="text1"/>
          <w14:textFill>
            <w14:solidFill>
              <w14:schemeClr w14:val="tx1"/>
            </w14:solidFill>
          </w14:textFill>
        </w:rPr>
        <w:t>。</w:t>
      </w:r>
    </w:p>
    <w:p w14:paraId="0B98DFCC">
      <w:pPr>
        <w:pStyle w:val="206"/>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表</w:t>
      </w:r>
      <w:r>
        <w:rPr>
          <w:color w:val="000000" w:themeColor="text1"/>
          <w:lang w:val="en-US"/>
          <w14:textFill>
            <w14:solidFill>
              <w14:schemeClr w14:val="tx1"/>
            </w14:solidFill>
          </w14:textFill>
        </w:rPr>
        <w:t xml:space="preserve">3-2-3 </w:t>
      </w:r>
      <w:r>
        <w:rPr>
          <w:rFonts w:hint="eastAsia"/>
          <w:color w:val="000000" w:themeColor="text1"/>
          <w:lang w:val="en-US"/>
          <w14:textFill>
            <w14:solidFill>
              <w14:schemeClr w14:val="tx1"/>
            </w14:solidFill>
          </w14:textFill>
        </w:rPr>
        <w:t>原辅材料消耗</w:t>
      </w:r>
      <w:r>
        <w:rPr>
          <w:rFonts w:hint="eastAsia"/>
          <w:color w:val="000000" w:themeColor="text1"/>
          <w:lang w:val="en-US" w:eastAsia="zh-CN"/>
          <w14:textFill>
            <w14:solidFill>
              <w14:schemeClr w14:val="tx1"/>
            </w14:solidFill>
          </w14:textFill>
        </w:rPr>
        <w:t>一览表</w:t>
      </w:r>
    </w:p>
    <w:tbl>
      <w:tblPr>
        <w:tblStyle w:val="49"/>
        <w:tblW w:w="4871" w:type="pct"/>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536"/>
        <w:gridCol w:w="1502"/>
        <w:gridCol w:w="1343"/>
        <w:gridCol w:w="1115"/>
        <w:gridCol w:w="897"/>
        <w:gridCol w:w="1414"/>
        <w:gridCol w:w="1285"/>
      </w:tblGrid>
      <w:tr w14:paraId="7C6BFDE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0" w:hRule="atLeast"/>
        </w:trPr>
        <w:tc>
          <w:tcPr>
            <w:tcW w:w="331" w:type="pct"/>
            <w:tcBorders>
              <w:tl2br w:val="nil"/>
              <w:tr2bl w:val="nil"/>
            </w:tcBorders>
            <w:shd w:val="clear" w:color="auto" w:fill="auto"/>
            <w:vAlign w:val="center"/>
          </w:tcPr>
          <w:p w14:paraId="6561167F">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序号</w:t>
            </w:r>
          </w:p>
        </w:tc>
        <w:tc>
          <w:tcPr>
            <w:tcW w:w="927" w:type="pct"/>
            <w:tcBorders>
              <w:tl2br w:val="nil"/>
              <w:tr2bl w:val="nil"/>
            </w:tcBorders>
            <w:shd w:val="clear" w:color="auto" w:fill="auto"/>
            <w:vAlign w:val="center"/>
          </w:tcPr>
          <w:p w14:paraId="5B76DD31">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原料名称</w:t>
            </w:r>
          </w:p>
        </w:tc>
        <w:tc>
          <w:tcPr>
            <w:tcW w:w="829" w:type="pct"/>
            <w:tcBorders>
              <w:tl2br w:val="nil"/>
              <w:tr2bl w:val="nil"/>
            </w:tcBorders>
            <w:shd w:val="clear" w:color="auto" w:fill="auto"/>
            <w:vAlign w:val="center"/>
          </w:tcPr>
          <w:p w14:paraId="7B871C6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年耗量</w:t>
            </w:r>
          </w:p>
        </w:tc>
        <w:tc>
          <w:tcPr>
            <w:tcW w:w="688" w:type="pct"/>
            <w:tcBorders>
              <w:tl2br w:val="nil"/>
              <w:tr2bl w:val="nil"/>
            </w:tcBorders>
            <w:shd w:val="clear" w:color="auto" w:fill="auto"/>
            <w:vAlign w:val="center"/>
          </w:tcPr>
          <w:p w14:paraId="0233AB6C">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最大储存量</w:t>
            </w:r>
          </w:p>
        </w:tc>
        <w:tc>
          <w:tcPr>
            <w:tcW w:w="554" w:type="pct"/>
            <w:tcBorders>
              <w:tl2br w:val="nil"/>
              <w:tr2bl w:val="nil"/>
            </w:tcBorders>
            <w:shd w:val="clear" w:color="auto" w:fill="auto"/>
            <w:vAlign w:val="center"/>
          </w:tcPr>
          <w:p w14:paraId="58D5419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单位</w:t>
            </w:r>
          </w:p>
        </w:tc>
        <w:tc>
          <w:tcPr>
            <w:tcW w:w="873" w:type="pct"/>
            <w:tcBorders>
              <w:tl2br w:val="nil"/>
              <w:tr2bl w:val="nil"/>
            </w:tcBorders>
            <w:shd w:val="clear" w:color="auto" w:fill="auto"/>
            <w:vAlign w:val="center"/>
          </w:tcPr>
          <w:p w14:paraId="5BD303B3">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主要成分</w:t>
            </w:r>
          </w:p>
        </w:tc>
        <w:tc>
          <w:tcPr>
            <w:tcW w:w="793" w:type="pct"/>
            <w:tcBorders>
              <w:tl2br w:val="nil"/>
              <w:tr2bl w:val="nil"/>
            </w:tcBorders>
            <w:shd w:val="clear" w:color="auto" w:fill="auto"/>
            <w:vAlign w:val="center"/>
          </w:tcPr>
          <w:p w14:paraId="4849A6B3">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储存位置</w:t>
            </w:r>
          </w:p>
        </w:tc>
      </w:tr>
      <w:tr w14:paraId="2D686DD5">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421BD01F">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1</w:t>
            </w:r>
          </w:p>
        </w:tc>
        <w:tc>
          <w:tcPr>
            <w:tcW w:w="927" w:type="pct"/>
            <w:tcBorders>
              <w:tl2br w:val="nil"/>
              <w:tr2bl w:val="nil"/>
            </w:tcBorders>
            <w:shd w:val="clear" w:color="auto" w:fill="auto"/>
            <w:vAlign w:val="center"/>
          </w:tcPr>
          <w:p w14:paraId="40927909">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麦芽</w:t>
            </w:r>
          </w:p>
        </w:tc>
        <w:tc>
          <w:tcPr>
            <w:tcW w:w="829" w:type="pct"/>
            <w:tcBorders>
              <w:tl2br w:val="nil"/>
              <w:tr2bl w:val="nil"/>
            </w:tcBorders>
            <w:shd w:val="clear" w:color="auto" w:fill="auto"/>
            <w:vAlign w:val="center"/>
          </w:tcPr>
          <w:p w14:paraId="1AB7ACFB">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7200</w:t>
            </w:r>
          </w:p>
        </w:tc>
        <w:tc>
          <w:tcPr>
            <w:tcW w:w="688" w:type="pct"/>
            <w:tcBorders>
              <w:tl2br w:val="nil"/>
              <w:tr2bl w:val="nil"/>
            </w:tcBorders>
            <w:shd w:val="clear" w:color="auto" w:fill="auto"/>
            <w:vAlign w:val="center"/>
          </w:tcPr>
          <w:p w14:paraId="4EEC8AD0">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240</w:t>
            </w:r>
          </w:p>
        </w:tc>
        <w:tc>
          <w:tcPr>
            <w:tcW w:w="554" w:type="pct"/>
            <w:tcBorders>
              <w:tl2br w:val="nil"/>
              <w:tr2bl w:val="nil"/>
            </w:tcBorders>
            <w:shd w:val="clear" w:color="auto" w:fill="auto"/>
            <w:vAlign w:val="center"/>
          </w:tcPr>
          <w:p w14:paraId="7699B657">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吨</w:t>
            </w:r>
          </w:p>
        </w:tc>
        <w:tc>
          <w:tcPr>
            <w:tcW w:w="873" w:type="pct"/>
            <w:tcBorders>
              <w:tl2br w:val="nil"/>
              <w:tr2bl w:val="nil"/>
            </w:tcBorders>
            <w:shd w:val="clear" w:color="auto" w:fill="auto"/>
            <w:vAlign w:val="center"/>
          </w:tcPr>
          <w:p w14:paraId="51D75C4A">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淀粉</w:t>
            </w:r>
          </w:p>
        </w:tc>
        <w:tc>
          <w:tcPr>
            <w:tcW w:w="793" w:type="pct"/>
            <w:tcBorders>
              <w:tl2br w:val="nil"/>
              <w:tr2bl w:val="nil"/>
            </w:tcBorders>
            <w:shd w:val="clear" w:color="auto" w:fill="auto"/>
            <w:vAlign w:val="center"/>
          </w:tcPr>
          <w:p w14:paraId="07B43D24">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筒仓</w:t>
            </w:r>
          </w:p>
        </w:tc>
      </w:tr>
      <w:tr w14:paraId="106FC048">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7599F3BF">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2</w:t>
            </w:r>
          </w:p>
        </w:tc>
        <w:tc>
          <w:tcPr>
            <w:tcW w:w="927" w:type="pct"/>
            <w:tcBorders>
              <w:tl2br w:val="nil"/>
              <w:tr2bl w:val="nil"/>
            </w:tcBorders>
            <w:shd w:val="clear" w:color="auto" w:fill="auto"/>
            <w:vAlign w:val="center"/>
          </w:tcPr>
          <w:p w14:paraId="2ABD3E27">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酒花</w:t>
            </w:r>
          </w:p>
        </w:tc>
        <w:tc>
          <w:tcPr>
            <w:tcW w:w="829" w:type="pct"/>
            <w:tcBorders>
              <w:tl2br w:val="nil"/>
              <w:tr2bl w:val="nil"/>
            </w:tcBorders>
            <w:shd w:val="clear" w:color="auto" w:fill="auto"/>
            <w:vAlign w:val="center"/>
          </w:tcPr>
          <w:p w14:paraId="39C6841C">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4</w:t>
            </w:r>
            <w:r>
              <w:rPr>
                <w:rFonts w:hint="eastAsia" w:ascii="Times New Roman" w:hAnsi="Times New Roman" w:eastAsia="宋体"/>
                <w:b w:val="0"/>
                <w:bCs w:val="0"/>
                <w:snapToGrid w:val="0"/>
                <w:color w:val="000000" w:themeColor="text1"/>
                <w:kern w:val="0"/>
                <w:lang w:val="en-US"/>
                <w14:textFill>
                  <w14:solidFill>
                    <w14:schemeClr w14:val="tx1"/>
                  </w14:solidFill>
                </w14:textFill>
              </w:rPr>
              <w:t>0</w:t>
            </w:r>
          </w:p>
        </w:tc>
        <w:tc>
          <w:tcPr>
            <w:tcW w:w="688" w:type="pct"/>
            <w:tcBorders>
              <w:tl2br w:val="nil"/>
              <w:tr2bl w:val="nil"/>
            </w:tcBorders>
            <w:shd w:val="clear" w:color="auto" w:fill="auto"/>
            <w:vAlign w:val="center"/>
          </w:tcPr>
          <w:p w14:paraId="4CD60ED5">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1.5</w:t>
            </w:r>
          </w:p>
        </w:tc>
        <w:tc>
          <w:tcPr>
            <w:tcW w:w="554" w:type="pct"/>
            <w:tcBorders>
              <w:tl2br w:val="nil"/>
              <w:tr2bl w:val="nil"/>
            </w:tcBorders>
            <w:shd w:val="clear" w:color="auto" w:fill="auto"/>
            <w:vAlign w:val="center"/>
          </w:tcPr>
          <w:p w14:paraId="39F4F10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吨</w:t>
            </w:r>
          </w:p>
        </w:tc>
        <w:tc>
          <w:tcPr>
            <w:tcW w:w="873" w:type="pct"/>
            <w:tcBorders>
              <w:tl2br w:val="nil"/>
              <w:tr2bl w:val="nil"/>
            </w:tcBorders>
            <w:shd w:val="clear" w:color="auto" w:fill="auto"/>
            <w:vAlign w:val="center"/>
          </w:tcPr>
          <w:p w14:paraId="10741EA5">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α-酸</w:t>
            </w:r>
          </w:p>
        </w:tc>
        <w:tc>
          <w:tcPr>
            <w:tcW w:w="793" w:type="pct"/>
            <w:tcBorders>
              <w:tl2br w:val="nil"/>
              <w:tr2bl w:val="nil"/>
            </w:tcBorders>
            <w:shd w:val="clear" w:color="auto" w:fill="auto"/>
            <w:vAlign w:val="center"/>
          </w:tcPr>
          <w:p w14:paraId="6D94D36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冷库</w:t>
            </w:r>
          </w:p>
        </w:tc>
      </w:tr>
      <w:tr w14:paraId="5BF7B810">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3A01DF0C">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3</w:t>
            </w:r>
          </w:p>
        </w:tc>
        <w:tc>
          <w:tcPr>
            <w:tcW w:w="927" w:type="pct"/>
            <w:tcBorders>
              <w:tl2br w:val="nil"/>
              <w:tr2bl w:val="nil"/>
            </w:tcBorders>
            <w:shd w:val="clear" w:color="auto" w:fill="auto"/>
            <w:vAlign w:val="center"/>
          </w:tcPr>
          <w:p w14:paraId="62323A66">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大米</w:t>
            </w:r>
          </w:p>
        </w:tc>
        <w:tc>
          <w:tcPr>
            <w:tcW w:w="829" w:type="pct"/>
            <w:tcBorders>
              <w:tl2br w:val="nil"/>
              <w:tr2bl w:val="nil"/>
            </w:tcBorders>
            <w:shd w:val="clear" w:color="auto" w:fill="auto"/>
            <w:vAlign w:val="center"/>
          </w:tcPr>
          <w:p w14:paraId="7B63B738">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3090</w:t>
            </w:r>
          </w:p>
        </w:tc>
        <w:tc>
          <w:tcPr>
            <w:tcW w:w="688" w:type="pct"/>
            <w:tcBorders>
              <w:tl2br w:val="nil"/>
              <w:tr2bl w:val="nil"/>
            </w:tcBorders>
            <w:shd w:val="clear" w:color="auto" w:fill="auto"/>
            <w:vAlign w:val="center"/>
          </w:tcPr>
          <w:p w14:paraId="667CAAC6">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103</w:t>
            </w:r>
          </w:p>
        </w:tc>
        <w:tc>
          <w:tcPr>
            <w:tcW w:w="554" w:type="pct"/>
            <w:tcBorders>
              <w:tl2br w:val="nil"/>
              <w:tr2bl w:val="nil"/>
            </w:tcBorders>
            <w:shd w:val="clear" w:color="auto" w:fill="auto"/>
            <w:vAlign w:val="center"/>
          </w:tcPr>
          <w:p w14:paraId="0F458D72">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吨</w:t>
            </w:r>
          </w:p>
        </w:tc>
        <w:tc>
          <w:tcPr>
            <w:tcW w:w="873" w:type="pct"/>
            <w:tcBorders>
              <w:tl2br w:val="nil"/>
              <w:tr2bl w:val="nil"/>
            </w:tcBorders>
            <w:shd w:val="clear" w:color="auto" w:fill="auto"/>
            <w:vAlign w:val="center"/>
          </w:tcPr>
          <w:p w14:paraId="0E368030">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大米</w:t>
            </w:r>
          </w:p>
        </w:tc>
        <w:tc>
          <w:tcPr>
            <w:tcW w:w="793" w:type="pct"/>
            <w:tcBorders>
              <w:tl2br w:val="nil"/>
              <w:tr2bl w:val="nil"/>
            </w:tcBorders>
            <w:shd w:val="clear" w:color="auto" w:fill="auto"/>
            <w:vAlign w:val="center"/>
          </w:tcPr>
          <w:p w14:paraId="61D7E848">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筒仓</w:t>
            </w:r>
          </w:p>
        </w:tc>
      </w:tr>
      <w:tr w14:paraId="46510BF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57EF0752">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4</w:t>
            </w:r>
          </w:p>
        </w:tc>
        <w:tc>
          <w:tcPr>
            <w:tcW w:w="927" w:type="pct"/>
            <w:tcBorders>
              <w:tl2br w:val="nil"/>
              <w:tr2bl w:val="nil"/>
            </w:tcBorders>
            <w:shd w:val="clear" w:color="auto" w:fill="auto"/>
            <w:vAlign w:val="center"/>
          </w:tcPr>
          <w:p w14:paraId="0B4F702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玻璃酒瓶</w:t>
            </w:r>
            <w:r>
              <w:rPr>
                <w:rFonts w:hint="eastAsia"/>
                <w:b w:val="0"/>
                <w:bCs w:val="0"/>
                <w:snapToGrid w:val="0"/>
                <w:color w:val="000000" w:themeColor="text1"/>
                <w:kern w:val="0"/>
                <w:lang w:val="en-US" w:eastAsia="zh-CN"/>
                <w14:textFill>
                  <w14:solidFill>
                    <w14:schemeClr w14:val="tx1"/>
                  </w14:solidFill>
                </w14:textFill>
              </w:rPr>
              <w:t>75</w:t>
            </w:r>
            <w:r>
              <w:rPr>
                <w:rFonts w:hint="eastAsia" w:ascii="Times New Roman" w:hAnsi="Times New Roman" w:eastAsia="宋体"/>
                <w:b w:val="0"/>
                <w:bCs w:val="0"/>
                <w:snapToGrid w:val="0"/>
                <w:color w:val="000000" w:themeColor="text1"/>
                <w:kern w:val="0"/>
                <w:lang w:val="en-US"/>
                <w14:textFill>
                  <w14:solidFill>
                    <w14:schemeClr w14:val="tx1"/>
                  </w14:solidFill>
                </w14:textFill>
              </w:rPr>
              <w:t>0ml</w:t>
            </w:r>
          </w:p>
        </w:tc>
        <w:tc>
          <w:tcPr>
            <w:tcW w:w="829" w:type="pct"/>
            <w:tcBorders>
              <w:tl2br w:val="nil"/>
              <w:tr2bl w:val="nil"/>
            </w:tcBorders>
            <w:shd w:val="clear" w:color="auto" w:fill="auto"/>
            <w:vAlign w:val="center"/>
          </w:tcPr>
          <w:p w14:paraId="075C067C">
            <w:pPr>
              <w:pStyle w:val="143"/>
              <w:rPr>
                <w:rFonts w:ascii="Times New Roman" w:hAnsi="Times New Roman" w:eastAsia="宋体"/>
                <w:b w:val="0"/>
                <w:bCs w:val="0"/>
                <w:snapToGrid w:val="0"/>
                <w:color w:val="000000" w:themeColor="text1"/>
                <w:kern w:val="0"/>
                <w:highlight w:val="none"/>
                <w:lang w:val="en-US"/>
                <w14:textFill>
                  <w14:solidFill>
                    <w14:schemeClr w14:val="tx1"/>
                  </w14:solidFill>
                </w14:textFill>
              </w:rPr>
            </w:pPr>
            <w:r>
              <w:rPr>
                <w:rFonts w:ascii="Times New Roman" w:hAnsi="Times New Roman" w:eastAsia="宋体"/>
                <w:b w:val="0"/>
                <w:bCs w:val="0"/>
                <w:snapToGrid w:val="0"/>
                <w:color w:val="000000" w:themeColor="text1"/>
                <w:kern w:val="0"/>
                <w:highlight w:val="none"/>
                <w:lang w:val="en-US"/>
                <w14:textFill>
                  <w14:solidFill>
                    <w14:schemeClr w14:val="tx1"/>
                  </w14:solidFill>
                </w14:textFill>
              </w:rPr>
              <w:t>666.67</w:t>
            </w:r>
          </w:p>
        </w:tc>
        <w:tc>
          <w:tcPr>
            <w:tcW w:w="688" w:type="pct"/>
            <w:tcBorders>
              <w:tl2br w:val="nil"/>
              <w:tr2bl w:val="nil"/>
            </w:tcBorders>
            <w:shd w:val="clear" w:color="auto" w:fill="auto"/>
            <w:vAlign w:val="center"/>
          </w:tcPr>
          <w:p w14:paraId="51A9BA17">
            <w:pPr>
              <w:pStyle w:val="143"/>
              <w:rPr>
                <w:rFonts w:hint="default" w:ascii="Times New Roman" w:hAnsi="Times New Roman" w:eastAsia="宋体"/>
                <w:b w:val="0"/>
                <w:bCs w:val="0"/>
                <w:snapToGrid w:val="0"/>
                <w:color w:val="000000" w:themeColor="text1"/>
                <w:kern w:val="0"/>
                <w:highlight w:val="none"/>
                <w:lang w:val="en-US" w:eastAsia="zh-CN"/>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22.22</w:t>
            </w:r>
          </w:p>
        </w:tc>
        <w:tc>
          <w:tcPr>
            <w:tcW w:w="554" w:type="pct"/>
            <w:tcBorders>
              <w:tl2br w:val="nil"/>
              <w:tr2bl w:val="nil"/>
            </w:tcBorders>
            <w:shd w:val="clear" w:color="auto" w:fill="auto"/>
            <w:vAlign w:val="center"/>
          </w:tcPr>
          <w:p w14:paraId="3C5C453F">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万</w:t>
            </w:r>
            <w:r>
              <w:rPr>
                <w:rFonts w:hint="eastAsia" w:ascii="Times New Roman" w:hAnsi="Times New Roman" w:eastAsia="宋体"/>
                <w:b w:val="0"/>
                <w:bCs w:val="0"/>
                <w:snapToGrid w:val="0"/>
                <w:color w:val="000000" w:themeColor="text1"/>
                <w:kern w:val="0"/>
                <w:lang w:val="en-US"/>
                <w14:textFill>
                  <w14:solidFill>
                    <w14:schemeClr w14:val="tx1"/>
                  </w14:solidFill>
                </w14:textFill>
              </w:rPr>
              <w:t>个</w:t>
            </w:r>
          </w:p>
        </w:tc>
        <w:tc>
          <w:tcPr>
            <w:tcW w:w="873" w:type="pct"/>
            <w:tcBorders>
              <w:tl2br w:val="nil"/>
              <w:tr2bl w:val="nil"/>
            </w:tcBorders>
            <w:shd w:val="clear" w:color="auto" w:fill="auto"/>
            <w:vAlign w:val="center"/>
          </w:tcPr>
          <w:p w14:paraId="53544506">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0C608663">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52D6B6CB">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04B21351">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5</w:t>
            </w:r>
          </w:p>
        </w:tc>
        <w:tc>
          <w:tcPr>
            <w:tcW w:w="927" w:type="pct"/>
            <w:tcBorders>
              <w:tl2br w:val="nil"/>
              <w:tr2bl w:val="nil"/>
            </w:tcBorders>
            <w:shd w:val="clear" w:color="auto" w:fill="auto"/>
            <w:vAlign w:val="center"/>
          </w:tcPr>
          <w:p w14:paraId="4B73589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玻璃酒瓶</w:t>
            </w:r>
            <w:r>
              <w:rPr>
                <w:rFonts w:hint="eastAsia"/>
                <w:b w:val="0"/>
                <w:bCs w:val="0"/>
                <w:snapToGrid w:val="0"/>
                <w:color w:val="000000" w:themeColor="text1"/>
                <w:kern w:val="0"/>
                <w:lang w:val="en-US" w:eastAsia="zh-CN"/>
                <w14:textFill>
                  <w14:solidFill>
                    <w14:schemeClr w14:val="tx1"/>
                  </w14:solidFill>
                </w14:textFill>
              </w:rPr>
              <w:t>70</w:t>
            </w:r>
            <w:r>
              <w:rPr>
                <w:rFonts w:hint="eastAsia" w:ascii="Times New Roman" w:hAnsi="Times New Roman" w:eastAsia="宋体"/>
                <w:b w:val="0"/>
                <w:bCs w:val="0"/>
                <w:snapToGrid w:val="0"/>
                <w:color w:val="000000" w:themeColor="text1"/>
                <w:kern w:val="0"/>
                <w:lang w:val="en-US"/>
                <w14:textFill>
                  <w14:solidFill>
                    <w14:schemeClr w14:val="tx1"/>
                  </w14:solidFill>
                </w14:textFill>
              </w:rPr>
              <w:t>0ml</w:t>
            </w:r>
          </w:p>
        </w:tc>
        <w:tc>
          <w:tcPr>
            <w:tcW w:w="829" w:type="pct"/>
            <w:tcBorders>
              <w:tl2br w:val="nil"/>
              <w:tr2bl w:val="nil"/>
            </w:tcBorders>
            <w:shd w:val="clear" w:color="auto" w:fill="auto"/>
            <w:vAlign w:val="center"/>
          </w:tcPr>
          <w:p w14:paraId="2D11FE46">
            <w:pPr>
              <w:pStyle w:val="143"/>
              <w:rPr>
                <w:rFonts w:hint="default" w:ascii="Times New Roman" w:hAnsi="Times New Roman" w:eastAsia="宋体"/>
                <w:b w:val="0"/>
                <w:bCs w:val="0"/>
                <w:snapToGrid w:val="0"/>
                <w:color w:val="000000" w:themeColor="text1"/>
                <w:kern w:val="0"/>
                <w:highlight w:val="none"/>
                <w:lang w:val="en-US" w:eastAsia="zh-CN"/>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714.29</w:t>
            </w:r>
          </w:p>
        </w:tc>
        <w:tc>
          <w:tcPr>
            <w:tcW w:w="688" w:type="pct"/>
            <w:tcBorders>
              <w:tl2br w:val="nil"/>
              <w:tr2bl w:val="nil"/>
            </w:tcBorders>
            <w:shd w:val="clear" w:color="auto" w:fill="auto"/>
            <w:vAlign w:val="center"/>
          </w:tcPr>
          <w:p w14:paraId="7E831B3C">
            <w:pPr>
              <w:pStyle w:val="143"/>
              <w:rPr>
                <w:rFonts w:hint="default" w:ascii="Times New Roman" w:hAnsi="Times New Roman" w:eastAsia="宋体"/>
                <w:b w:val="0"/>
                <w:bCs w:val="0"/>
                <w:snapToGrid w:val="0"/>
                <w:color w:val="000000" w:themeColor="text1"/>
                <w:kern w:val="0"/>
                <w:highlight w:val="none"/>
                <w:lang w:val="en-US" w:eastAsia="zh-CN"/>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23.81</w:t>
            </w:r>
          </w:p>
        </w:tc>
        <w:tc>
          <w:tcPr>
            <w:tcW w:w="554" w:type="pct"/>
            <w:tcBorders>
              <w:tl2br w:val="nil"/>
              <w:tr2bl w:val="nil"/>
            </w:tcBorders>
            <w:shd w:val="clear" w:color="auto" w:fill="auto"/>
            <w:vAlign w:val="center"/>
          </w:tcPr>
          <w:p w14:paraId="44ACD43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万</w:t>
            </w:r>
            <w:r>
              <w:rPr>
                <w:rFonts w:hint="eastAsia" w:ascii="Times New Roman" w:hAnsi="Times New Roman" w:eastAsia="宋体"/>
                <w:b w:val="0"/>
                <w:bCs w:val="0"/>
                <w:snapToGrid w:val="0"/>
                <w:color w:val="000000" w:themeColor="text1"/>
                <w:kern w:val="0"/>
                <w:lang w:val="en-US"/>
                <w14:textFill>
                  <w14:solidFill>
                    <w14:schemeClr w14:val="tx1"/>
                  </w14:solidFill>
                </w14:textFill>
              </w:rPr>
              <w:t>个</w:t>
            </w:r>
          </w:p>
        </w:tc>
        <w:tc>
          <w:tcPr>
            <w:tcW w:w="873" w:type="pct"/>
            <w:tcBorders>
              <w:tl2br w:val="nil"/>
              <w:tr2bl w:val="nil"/>
            </w:tcBorders>
            <w:shd w:val="clear" w:color="auto" w:fill="auto"/>
            <w:vAlign w:val="center"/>
          </w:tcPr>
          <w:p w14:paraId="45830E0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1C3FEA00">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2154F8AB">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07DAE3F9">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6</w:t>
            </w:r>
          </w:p>
        </w:tc>
        <w:tc>
          <w:tcPr>
            <w:tcW w:w="927" w:type="pct"/>
            <w:tcBorders>
              <w:tl2br w:val="nil"/>
              <w:tr2bl w:val="nil"/>
            </w:tcBorders>
            <w:shd w:val="clear" w:color="auto" w:fill="auto"/>
            <w:vAlign w:val="center"/>
          </w:tcPr>
          <w:p w14:paraId="2C58560E">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玻璃酒瓶</w:t>
            </w:r>
            <w:r>
              <w:rPr>
                <w:rFonts w:hint="eastAsia"/>
                <w:b w:val="0"/>
                <w:bCs w:val="0"/>
                <w:snapToGrid w:val="0"/>
                <w:color w:val="000000" w:themeColor="text1"/>
                <w:kern w:val="0"/>
                <w:lang w:val="en-US" w:eastAsia="zh-CN"/>
                <w14:textFill>
                  <w14:solidFill>
                    <w14:schemeClr w14:val="tx1"/>
                  </w14:solidFill>
                </w14:textFill>
              </w:rPr>
              <w:t>50</w:t>
            </w:r>
            <w:r>
              <w:rPr>
                <w:rFonts w:hint="eastAsia" w:ascii="Times New Roman" w:hAnsi="Times New Roman" w:eastAsia="宋体"/>
                <w:b w:val="0"/>
                <w:bCs w:val="0"/>
                <w:snapToGrid w:val="0"/>
                <w:color w:val="000000" w:themeColor="text1"/>
                <w:kern w:val="0"/>
                <w:lang w:val="en-US"/>
                <w14:textFill>
                  <w14:solidFill>
                    <w14:schemeClr w14:val="tx1"/>
                  </w14:solidFill>
                </w14:textFill>
              </w:rPr>
              <w:t>0ml</w:t>
            </w:r>
          </w:p>
        </w:tc>
        <w:tc>
          <w:tcPr>
            <w:tcW w:w="829" w:type="pct"/>
            <w:tcBorders>
              <w:tl2br w:val="nil"/>
              <w:tr2bl w:val="nil"/>
            </w:tcBorders>
            <w:shd w:val="clear" w:color="auto" w:fill="auto"/>
            <w:vAlign w:val="center"/>
          </w:tcPr>
          <w:p w14:paraId="31F92229">
            <w:pPr>
              <w:pStyle w:val="143"/>
              <w:rPr>
                <w:rFonts w:hint="default" w:ascii="Times New Roman" w:hAnsi="Times New Roman" w:eastAsia="宋体"/>
                <w:b w:val="0"/>
                <w:bCs w:val="0"/>
                <w:snapToGrid w:val="0"/>
                <w:color w:val="000000" w:themeColor="text1"/>
                <w:kern w:val="0"/>
                <w:highlight w:val="none"/>
                <w:lang w:val="en-US" w:eastAsia="zh-CN"/>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1000</w:t>
            </w:r>
          </w:p>
        </w:tc>
        <w:tc>
          <w:tcPr>
            <w:tcW w:w="688" w:type="pct"/>
            <w:tcBorders>
              <w:tl2br w:val="nil"/>
              <w:tr2bl w:val="nil"/>
            </w:tcBorders>
            <w:shd w:val="clear" w:color="auto" w:fill="auto"/>
            <w:vAlign w:val="center"/>
          </w:tcPr>
          <w:p w14:paraId="6C9C5C77">
            <w:pPr>
              <w:pStyle w:val="143"/>
              <w:rPr>
                <w:rFonts w:hint="default" w:ascii="Times New Roman" w:hAnsi="Times New Roman" w:eastAsia="宋体"/>
                <w:b w:val="0"/>
                <w:bCs w:val="0"/>
                <w:snapToGrid w:val="0"/>
                <w:color w:val="000000" w:themeColor="text1"/>
                <w:kern w:val="0"/>
                <w:highlight w:val="none"/>
                <w:lang w:val="en-US" w:eastAsia="zh-CN"/>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33.33</w:t>
            </w:r>
          </w:p>
        </w:tc>
        <w:tc>
          <w:tcPr>
            <w:tcW w:w="554" w:type="pct"/>
            <w:tcBorders>
              <w:tl2br w:val="nil"/>
              <w:tr2bl w:val="nil"/>
            </w:tcBorders>
            <w:shd w:val="clear" w:color="auto" w:fill="auto"/>
            <w:vAlign w:val="center"/>
          </w:tcPr>
          <w:p w14:paraId="4B66ED64">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万</w:t>
            </w:r>
            <w:r>
              <w:rPr>
                <w:rFonts w:hint="eastAsia" w:ascii="Times New Roman" w:hAnsi="Times New Roman" w:eastAsia="宋体"/>
                <w:b w:val="0"/>
                <w:bCs w:val="0"/>
                <w:snapToGrid w:val="0"/>
                <w:color w:val="000000" w:themeColor="text1"/>
                <w:kern w:val="0"/>
                <w:lang w:val="en-US"/>
                <w14:textFill>
                  <w14:solidFill>
                    <w14:schemeClr w14:val="tx1"/>
                  </w14:solidFill>
                </w14:textFill>
              </w:rPr>
              <w:t>个</w:t>
            </w:r>
          </w:p>
        </w:tc>
        <w:tc>
          <w:tcPr>
            <w:tcW w:w="873" w:type="pct"/>
            <w:tcBorders>
              <w:tl2br w:val="nil"/>
              <w:tr2bl w:val="nil"/>
            </w:tcBorders>
            <w:shd w:val="clear" w:color="auto" w:fill="auto"/>
            <w:vAlign w:val="center"/>
          </w:tcPr>
          <w:p w14:paraId="7BC13727">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2F7FC369">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76088665">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18F804D0">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7</w:t>
            </w:r>
          </w:p>
        </w:tc>
        <w:tc>
          <w:tcPr>
            <w:tcW w:w="927" w:type="pct"/>
            <w:tcBorders>
              <w:tl2br w:val="nil"/>
              <w:tr2bl w:val="nil"/>
            </w:tcBorders>
            <w:shd w:val="clear" w:color="auto" w:fill="auto"/>
            <w:vAlign w:val="center"/>
          </w:tcPr>
          <w:p w14:paraId="48C30A43">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玻璃酒瓶</w:t>
            </w:r>
            <w:r>
              <w:rPr>
                <w:rFonts w:hint="eastAsia"/>
                <w:b w:val="0"/>
                <w:bCs w:val="0"/>
                <w:snapToGrid w:val="0"/>
                <w:color w:val="000000" w:themeColor="text1"/>
                <w:kern w:val="0"/>
                <w:lang w:val="en-US" w:eastAsia="zh-CN"/>
                <w14:textFill>
                  <w14:solidFill>
                    <w14:schemeClr w14:val="tx1"/>
                  </w14:solidFill>
                </w14:textFill>
              </w:rPr>
              <w:t>33</w:t>
            </w:r>
            <w:r>
              <w:rPr>
                <w:rFonts w:hint="eastAsia" w:ascii="Times New Roman" w:hAnsi="Times New Roman" w:eastAsia="宋体"/>
                <w:b w:val="0"/>
                <w:bCs w:val="0"/>
                <w:snapToGrid w:val="0"/>
                <w:color w:val="000000" w:themeColor="text1"/>
                <w:kern w:val="0"/>
                <w:lang w:val="en-US"/>
                <w14:textFill>
                  <w14:solidFill>
                    <w14:schemeClr w14:val="tx1"/>
                  </w14:solidFill>
                </w14:textFill>
              </w:rPr>
              <w:t>0ml</w:t>
            </w:r>
          </w:p>
        </w:tc>
        <w:tc>
          <w:tcPr>
            <w:tcW w:w="829" w:type="pct"/>
            <w:tcBorders>
              <w:tl2br w:val="nil"/>
              <w:tr2bl w:val="nil"/>
            </w:tcBorders>
            <w:shd w:val="clear" w:color="auto" w:fill="auto"/>
            <w:vAlign w:val="center"/>
          </w:tcPr>
          <w:p w14:paraId="318ACFB3">
            <w:pPr>
              <w:pStyle w:val="143"/>
              <w:rPr>
                <w:rFonts w:hint="default" w:ascii="Times New Roman" w:hAnsi="Times New Roman" w:eastAsia="宋体"/>
                <w:b w:val="0"/>
                <w:bCs w:val="0"/>
                <w:snapToGrid w:val="0"/>
                <w:color w:val="000000" w:themeColor="text1"/>
                <w:kern w:val="0"/>
                <w:highlight w:val="none"/>
                <w:lang w:val="en-US" w:eastAsia="zh-CN"/>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1515.15</w:t>
            </w:r>
          </w:p>
        </w:tc>
        <w:tc>
          <w:tcPr>
            <w:tcW w:w="688" w:type="pct"/>
            <w:tcBorders>
              <w:tl2br w:val="nil"/>
              <w:tr2bl w:val="nil"/>
            </w:tcBorders>
            <w:shd w:val="clear" w:color="auto" w:fill="auto"/>
            <w:vAlign w:val="center"/>
          </w:tcPr>
          <w:p w14:paraId="02C3FBCF">
            <w:pPr>
              <w:pStyle w:val="143"/>
              <w:rPr>
                <w:rFonts w:ascii="Times New Roman" w:hAnsi="Times New Roman" w:eastAsia="宋体"/>
                <w:b w:val="0"/>
                <w:bCs w:val="0"/>
                <w:snapToGrid w:val="0"/>
                <w:color w:val="000000" w:themeColor="text1"/>
                <w:kern w:val="0"/>
                <w:highlight w:val="none"/>
                <w:lang w:val="en-US"/>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50.51</w:t>
            </w:r>
          </w:p>
        </w:tc>
        <w:tc>
          <w:tcPr>
            <w:tcW w:w="554" w:type="pct"/>
            <w:tcBorders>
              <w:tl2br w:val="nil"/>
              <w:tr2bl w:val="nil"/>
            </w:tcBorders>
            <w:shd w:val="clear" w:color="auto" w:fill="auto"/>
            <w:vAlign w:val="center"/>
          </w:tcPr>
          <w:p w14:paraId="3EAEF05C">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万</w:t>
            </w:r>
            <w:r>
              <w:rPr>
                <w:rFonts w:hint="eastAsia" w:ascii="Times New Roman" w:hAnsi="Times New Roman" w:eastAsia="宋体"/>
                <w:b w:val="0"/>
                <w:bCs w:val="0"/>
                <w:snapToGrid w:val="0"/>
                <w:color w:val="000000" w:themeColor="text1"/>
                <w:kern w:val="0"/>
                <w:lang w:val="en-US"/>
                <w14:textFill>
                  <w14:solidFill>
                    <w14:schemeClr w14:val="tx1"/>
                  </w14:solidFill>
                </w14:textFill>
              </w:rPr>
              <w:t>个</w:t>
            </w:r>
          </w:p>
        </w:tc>
        <w:tc>
          <w:tcPr>
            <w:tcW w:w="873" w:type="pct"/>
            <w:tcBorders>
              <w:tl2br w:val="nil"/>
              <w:tr2bl w:val="nil"/>
            </w:tcBorders>
            <w:shd w:val="clear" w:color="auto" w:fill="auto"/>
            <w:vAlign w:val="center"/>
          </w:tcPr>
          <w:p w14:paraId="59290DE5">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06699B60">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125B067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0" w:hRule="atLeast"/>
        </w:trPr>
        <w:tc>
          <w:tcPr>
            <w:tcW w:w="331" w:type="pct"/>
            <w:tcBorders>
              <w:tl2br w:val="nil"/>
              <w:tr2bl w:val="nil"/>
            </w:tcBorders>
            <w:shd w:val="clear" w:color="auto" w:fill="auto"/>
            <w:vAlign w:val="center"/>
          </w:tcPr>
          <w:p w14:paraId="115C739A">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8</w:t>
            </w:r>
          </w:p>
        </w:tc>
        <w:tc>
          <w:tcPr>
            <w:tcW w:w="927" w:type="pct"/>
            <w:tcBorders>
              <w:tl2br w:val="nil"/>
              <w:tr2bl w:val="nil"/>
            </w:tcBorders>
            <w:shd w:val="clear" w:color="auto" w:fill="auto"/>
            <w:vAlign w:val="center"/>
          </w:tcPr>
          <w:p w14:paraId="3C53B04B">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生啤酒桶1500ml</w:t>
            </w:r>
          </w:p>
        </w:tc>
        <w:tc>
          <w:tcPr>
            <w:tcW w:w="829" w:type="pct"/>
            <w:tcBorders>
              <w:tl2br w:val="nil"/>
              <w:tr2bl w:val="nil"/>
            </w:tcBorders>
            <w:shd w:val="clear" w:color="auto" w:fill="auto"/>
            <w:vAlign w:val="center"/>
          </w:tcPr>
          <w:p w14:paraId="7D3FFE49">
            <w:pPr>
              <w:pStyle w:val="143"/>
              <w:rPr>
                <w:rFonts w:hint="default" w:ascii="Times New Roman" w:hAnsi="Times New Roman" w:eastAsia="宋体"/>
                <w:b w:val="0"/>
                <w:bCs w:val="0"/>
                <w:snapToGrid w:val="0"/>
                <w:color w:val="000000" w:themeColor="text1"/>
                <w:kern w:val="0"/>
                <w:highlight w:val="none"/>
                <w:lang w:val="en-US" w:eastAsia="zh-CN"/>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333.33</w:t>
            </w:r>
          </w:p>
        </w:tc>
        <w:tc>
          <w:tcPr>
            <w:tcW w:w="688" w:type="pct"/>
            <w:tcBorders>
              <w:tl2br w:val="nil"/>
              <w:tr2bl w:val="nil"/>
            </w:tcBorders>
            <w:shd w:val="clear" w:color="auto" w:fill="auto"/>
            <w:vAlign w:val="center"/>
          </w:tcPr>
          <w:p w14:paraId="62AE4278">
            <w:pPr>
              <w:pStyle w:val="143"/>
              <w:rPr>
                <w:rFonts w:hint="default" w:ascii="Times New Roman" w:hAnsi="Times New Roman" w:eastAsia="宋体"/>
                <w:b w:val="0"/>
                <w:bCs w:val="0"/>
                <w:snapToGrid w:val="0"/>
                <w:color w:val="000000" w:themeColor="text1"/>
                <w:kern w:val="0"/>
                <w:highlight w:val="none"/>
                <w:lang w:val="en-US" w:eastAsia="zh-CN"/>
                <w14:textFill>
                  <w14:solidFill>
                    <w14:schemeClr w14:val="tx1"/>
                  </w14:solidFill>
                </w14:textFill>
              </w:rPr>
            </w:pPr>
            <w:r>
              <w:rPr>
                <w:rFonts w:hint="eastAsia"/>
                <w:b w:val="0"/>
                <w:bCs w:val="0"/>
                <w:snapToGrid w:val="0"/>
                <w:color w:val="000000" w:themeColor="text1"/>
                <w:kern w:val="0"/>
                <w:highlight w:val="none"/>
                <w:lang w:val="en-US" w:eastAsia="zh-CN"/>
                <w14:textFill>
                  <w14:solidFill>
                    <w14:schemeClr w14:val="tx1"/>
                  </w14:solidFill>
                </w14:textFill>
              </w:rPr>
              <w:t>11.11</w:t>
            </w:r>
          </w:p>
        </w:tc>
        <w:tc>
          <w:tcPr>
            <w:tcW w:w="554" w:type="pct"/>
            <w:tcBorders>
              <w:tl2br w:val="nil"/>
              <w:tr2bl w:val="nil"/>
            </w:tcBorders>
            <w:shd w:val="clear" w:color="auto" w:fill="auto"/>
            <w:vAlign w:val="center"/>
          </w:tcPr>
          <w:p w14:paraId="755A960D">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万</w:t>
            </w:r>
            <w:r>
              <w:rPr>
                <w:rFonts w:hint="eastAsia" w:ascii="Times New Roman" w:hAnsi="Times New Roman" w:eastAsia="宋体"/>
                <w:b w:val="0"/>
                <w:bCs w:val="0"/>
                <w:snapToGrid w:val="0"/>
                <w:color w:val="000000" w:themeColor="text1"/>
                <w:kern w:val="0"/>
                <w:lang w:val="en-US"/>
                <w14:textFill>
                  <w14:solidFill>
                    <w14:schemeClr w14:val="tx1"/>
                  </w14:solidFill>
                </w14:textFill>
              </w:rPr>
              <w:t>个</w:t>
            </w:r>
          </w:p>
        </w:tc>
        <w:tc>
          <w:tcPr>
            <w:tcW w:w="873" w:type="pct"/>
            <w:tcBorders>
              <w:tl2br w:val="nil"/>
              <w:tr2bl w:val="nil"/>
            </w:tcBorders>
            <w:shd w:val="clear" w:color="auto" w:fill="auto"/>
            <w:vAlign w:val="center"/>
          </w:tcPr>
          <w:p w14:paraId="68EC26A3">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6DF4CEEC">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38134BE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452437B5">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9</w:t>
            </w:r>
          </w:p>
        </w:tc>
        <w:tc>
          <w:tcPr>
            <w:tcW w:w="927" w:type="pct"/>
            <w:tcBorders>
              <w:tl2br w:val="nil"/>
              <w:tr2bl w:val="nil"/>
            </w:tcBorders>
            <w:shd w:val="clear" w:color="auto" w:fill="auto"/>
            <w:vAlign w:val="center"/>
          </w:tcPr>
          <w:p w14:paraId="7DF2D3B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酵母(泥)</w:t>
            </w:r>
          </w:p>
        </w:tc>
        <w:tc>
          <w:tcPr>
            <w:tcW w:w="829" w:type="pct"/>
            <w:tcBorders>
              <w:tl2br w:val="nil"/>
              <w:tr2bl w:val="nil"/>
            </w:tcBorders>
            <w:shd w:val="clear" w:color="auto" w:fill="auto"/>
            <w:vAlign w:val="center"/>
          </w:tcPr>
          <w:p w14:paraId="0D98EC05">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750</w:t>
            </w:r>
          </w:p>
        </w:tc>
        <w:tc>
          <w:tcPr>
            <w:tcW w:w="688" w:type="pct"/>
            <w:tcBorders>
              <w:tl2br w:val="nil"/>
              <w:tr2bl w:val="nil"/>
            </w:tcBorders>
            <w:shd w:val="clear" w:color="auto" w:fill="auto"/>
            <w:vAlign w:val="center"/>
          </w:tcPr>
          <w:p w14:paraId="253177B5">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12</w:t>
            </w:r>
          </w:p>
        </w:tc>
        <w:tc>
          <w:tcPr>
            <w:tcW w:w="554" w:type="pct"/>
            <w:tcBorders>
              <w:tl2br w:val="nil"/>
              <w:tr2bl w:val="nil"/>
            </w:tcBorders>
            <w:shd w:val="clear" w:color="auto" w:fill="auto"/>
            <w:vAlign w:val="center"/>
          </w:tcPr>
          <w:p w14:paraId="638C6C5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吨</w:t>
            </w:r>
          </w:p>
        </w:tc>
        <w:tc>
          <w:tcPr>
            <w:tcW w:w="873" w:type="pct"/>
            <w:tcBorders>
              <w:tl2br w:val="nil"/>
              <w:tr2bl w:val="nil"/>
            </w:tcBorders>
            <w:shd w:val="clear" w:color="auto" w:fill="auto"/>
            <w:vAlign w:val="center"/>
          </w:tcPr>
          <w:p w14:paraId="228C8D53">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酵母</w:t>
            </w:r>
          </w:p>
        </w:tc>
        <w:tc>
          <w:tcPr>
            <w:tcW w:w="793" w:type="pct"/>
            <w:tcBorders>
              <w:tl2br w:val="nil"/>
              <w:tr2bl w:val="nil"/>
            </w:tcBorders>
            <w:shd w:val="clear" w:color="auto" w:fill="auto"/>
            <w:vAlign w:val="center"/>
          </w:tcPr>
          <w:p w14:paraId="1CE9959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酿造间</w:t>
            </w:r>
          </w:p>
        </w:tc>
      </w:tr>
      <w:tr w14:paraId="44726B2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3FECC8D6">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10</w:t>
            </w:r>
          </w:p>
        </w:tc>
        <w:tc>
          <w:tcPr>
            <w:tcW w:w="927" w:type="pct"/>
            <w:tcBorders>
              <w:tl2br w:val="nil"/>
              <w:tr2bl w:val="nil"/>
            </w:tcBorders>
            <w:shd w:val="clear" w:color="auto" w:fill="auto"/>
            <w:vAlign w:val="center"/>
          </w:tcPr>
          <w:p w14:paraId="504306B7">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R410-A制冷剂</w:t>
            </w:r>
          </w:p>
        </w:tc>
        <w:tc>
          <w:tcPr>
            <w:tcW w:w="829" w:type="pct"/>
            <w:tcBorders>
              <w:tl2br w:val="nil"/>
              <w:tr2bl w:val="nil"/>
            </w:tcBorders>
            <w:shd w:val="clear" w:color="auto" w:fill="auto"/>
            <w:vAlign w:val="center"/>
          </w:tcPr>
          <w:p w14:paraId="70C8CFDC">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218</w:t>
            </w:r>
          </w:p>
        </w:tc>
        <w:tc>
          <w:tcPr>
            <w:tcW w:w="688" w:type="pct"/>
            <w:tcBorders>
              <w:tl2br w:val="nil"/>
              <w:tr2bl w:val="nil"/>
            </w:tcBorders>
            <w:shd w:val="clear" w:color="auto" w:fill="auto"/>
            <w:vAlign w:val="center"/>
          </w:tcPr>
          <w:p w14:paraId="3F433A07">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20</w:t>
            </w:r>
          </w:p>
        </w:tc>
        <w:tc>
          <w:tcPr>
            <w:tcW w:w="554" w:type="pct"/>
            <w:tcBorders>
              <w:tl2br w:val="nil"/>
              <w:tr2bl w:val="nil"/>
            </w:tcBorders>
            <w:shd w:val="clear" w:color="auto" w:fill="auto"/>
            <w:vAlign w:val="center"/>
          </w:tcPr>
          <w:p w14:paraId="08998673">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kg</w:t>
            </w:r>
          </w:p>
        </w:tc>
        <w:tc>
          <w:tcPr>
            <w:tcW w:w="873" w:type="pct"/>
            <w:tcBorders>
              <w:tl2br w:val="nil"/>
              <w:tr2bl w:val="nil"/>
            </w:tcBorders>
            <w:shd w:val="clear" w:color="auto" w:fill="auto"/>
            <w:vAlign w:val="center"/>
          </w:tcPr>
          <w:p w14:paraId="50F7843D">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R410-A</w:t>
            </w:r>
          </w:p>
        </w:tc>
        <w:tc>
          <w:tcPr>
            <w:tcW w:w="793" w:type="pct"/>
            <w:tcBorders>
              <w:tl2br w:val="nil"/>
              <w:tr2bl w:val="nil"/>
            </w:tcBorders>
            <w:shd w:val="clear" w:color="auto" w:fill="auto"/>
            <w:vAlign w:val="center"/>
          </w:tcPr>
          <w:p w14:paraId="62469590">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制冷机使用，不储存。</w:t>
            </w:r>
          </w:p>
        </w:tc>
      </w:tr>
      <w:tr w14:paraId="7FCA012D">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7095472B">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11</w:t>
            </w:r>
          </w:p>
        </w:tc>
        <w:tc>
          <w:tcPr>
            <w:tcW w:w="927" w:type="pct"/>
            <w:tcBorders>
              <w:tl2br w:val="nil"/>
              <w:tr2bl w:val="nil"/>
            </w:tcBorders>
            <w:shd w:val="clear" w:color="auto" w:fill="auto"/>
            <w:vAlign w:val="center"/>
          </w:tcPr>
          <w:p w14:paraId="6980BC01">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丙二醇</w:t>
            </w:r>
          </w:p>
        </w:tc>
        <w:tc>
          <w:tcPr>
            <w:tcW w:w="829" w:type="pct"/>
            <w:tcBorders>
              <w:tl2br w:val="nil"/>
              <w:tr2bl w:val="nil"/>
            </w:tcBorders>
            <w:shd w:val="clear" w:color="auto" w:fill="auto"/>
            <w:vAlign w:val="center"/>
          </w:tcPr>
          <w:p w14:paraId="2458EE0C">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18</w:t>
            </w:r>
          </w:p>
        </w:tc>
        <w:tc>
          <w:tcPr>
            <w:tcW w:w="688" w:type="pct"/>
            <w:tcBorders>
              <w:tl2br w:val="nil"/>
              <w:tr2bl w:val="nil"/>
            </w:tcBorders>
            <w:shd w:val="clear" w:color="auto" w:fill="auto"/>
            <w:vAlign w:val="center"/>
          </w:tcPr>
          <w:p w14:paraId="57B2F73A">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16</w:t>
            </w:r>
          </w:p>
        </w:tc>
        <w:tc>
          <w:tcPr>
            <w:tcW w:w="554" w:type="pct"/>
            <w:tcBorders>
              <w:tl2br w:val="nil"/>
              <w:tr2bl w:val="nil"/>
            </w:tcBorders>
            <w:shd w:val="clear" w:color="auto" w:fill="auto"/>
            <w:vAlign w:val="center"/>
          </w:tcPr>
          <w:p w14:paraId="7A5882E5">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吨</w:t>
            </w:r>
          </w:p>
        </w:tc>
        <w:tc>
          <w:tcPr>
            <w:tcW w:w="873" w:type="pct"/>
            <w:tcBorders>
              <w:tl2br w:val="nil"/>
              <w:tr2bl w:val="nil"/>
            </w:tcBorders>
            <w:shd w:val="clear" w:color="auto" w:fill="auto"/>
            <w:vAlign w:val="center"/>
          </w:tcPr>
          <w:p w14:paraId="10DD1FD9">
            <w:pPr>
              <w:pStyle w:val="143"/>
              <w:rPr>
                <w:rFonts w:hint="eastAsia" w:ascii="Times New Roman" w:hAnsi="Times New Roman" w:eastAsia="宋体"/>
                <w:b w:val="0"/>
                <w:bCs w:val="0"/>
                <w:snapToGrid w:val="0"/>
                <w:color w:val="000000" w:themeColor="text1"/>
                <w:kern w:val="0"/>
                <w:lang w:val="en-US"/>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丙二醇</w:t>
            </w:r>
          </w:p>
        </w:tc>
        <w:tc>
          <w:tcPr>
            <w:tcW w:w="793" w:type="pct"/>
            <w:tcBorders>
              <w:tl2br w:val="nil"/>
              <w:tr2bl w:val="nil"/>
            </w:tcBorders>
            <w:shd w:val="clear" w:color="auto" w:fill="auto"/>
            <w:vAlign w:val="center"/>
          </w:tcPr>
          <w:p w14:paraId="068DFA3F">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位于制冷管道中</w:t>
            </w:r>
          </w:p>
        </w:tc>
      </w:tr>
      <w:tr w14:paraId="63FB1128">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787CC549">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12</w:t>
            </w:r>
          </w:p>
        </w:tc>
        <w:tc>
          <w:tcPr>
            <w:tcW w:w="927" w:type="pct"/>
            <w:tcBorders>
              <w:tl2br w:val="nil"/>
              <w:tr2bl w:val="nil"/>
            </w:tcBorders>
            <w:shd w:val="clear" w:color="auto" w:fill="auto"/>
            <w:vAlign w:val="center"/>
          </w:tcPr>
          <w:p w14:paraId="6E89886E">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橡木塞</w:t>
            </w:r>
          </w:p>
        </w:tc>
        <w:tc>
          <w:tcPr>
            <w:tcW w:w="829" w:type="pct"/>
            <w:tcBorders>
              <w:tl2br w:val="nil"/>
              <w:tr2bl w:val="nil"/>
            </w:tcBorders>
            <w:shd w:val="clear" w:color="auto" w:fill="auto"/>
            <w:vAlign w:val="center"/>
          </w:tcPr>
          <w:p w14:paraId="5BCB3DDF">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688" w:type="pct"/>
            <w:tcBorders>
              <w:tl2br w:val="nil"/>
              <w:tr2bl w:val="nil"/>
            </w:tcBorders>
            <w:shd w:val="clear" w:color="auto" w:fill="auto"/>
            <w:vAlign w:val="center"/>
          </w:tcPr>
          <w:p w14:paraId="5F23F42D">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554" w:type="pct"/>
            <w:tcBorders>
              <w:tl2br w:val="nil"/>
              <w:tr2bl w:val="nil"/>
            </w:tcBorders>
            <w:shd w:val="clear" w:color="auto" w:fill="auto"/>
            <w:vAlign w:val="center"/>
          </w:tcPr>
          <w:p w14:paraId="2EF298D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873" w:type="pct"/>
            <w:tcBorders>
              <w:tl2br w:val="nil"/>
              <w:tr2bl w:val="nil"/>
            </w:tcBorders>
            <w:shd w:val="clear" w:color="auto" w:fill="auto"/>
            <w:vAlign w:val="center"/>
          </w:tcPr>
          <w:p w14:paraId="34D33D27">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21D1FBAE">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35AB6DE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23209DDB">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13</w:t>
            </w:r>
          </w:p>
        </w:tc>
        <w:tc>
          <w:tcPr>
            <w:tcW w:w="927" w:type="pct"/>
            <w:tcBorders>
              <w:tl2br w:val="nil"/>
              <w:tr2bl w:val="nil"/>
            </w:tcBorders>
            <w:shd w:val="clear" w:color="auto" w:fill="auto"/>
            <w:vAlign w:val="center"/>
          </w:tcPr>
          <w:p w14:paraId="7A88378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商标</w:t>
            </w:r>
          </w:p>
        </w:tc>
        <w:tc>
          <w:tcPr>
            <w:tcW w:w="829" w:type="pct"/>
            <w:tcBorders>
              <w:tl2br w:val="nil"/>
              <w:tr2bl w:val="nil"/>
            </w:tcBorders>
            <w:shd w:val="clear" w:color="auto" w:fill="auto"/>
            <w:vAlign w:val="center"/>
          </w:tcPr>
          <w:p w14:paraId="4002153E">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153942360</w:t>
            </w:r>
          </w:p>
        </w:tc>
        <w:tc>
          <w:tcPr>
            <w:tcW w:w="688" w:type="pct"/>
            <w:tcBorders>
              <w:tl2br w:val="nil"/>
              <w:tr2bl w:val="nil"/>
            </w:tcBorders>
            <w:shd w:val="clear" w:color="auto" w:fill="auto"/>
            <w:vAlign w:val="center"/>
          </w:tcPr>
          <w:p w14:paraId="690AEA6B">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6157690</w:t>
            </w:r>
          </w:p>
        </w:tc>
        <w:tc>
          <w:tcPr>
            <w:tcW w:w="554" w:type="pct"/>
            <w:tcBorders>
              <w:tl2br w:val="nil"/>
              <w:tr2bl w:val="nil"/>
            </w:tcBorders>
            <w:shd w:val="clear" w:color="auto" w:fill="auto"/>
            <w:vAlign w:val="center"/>
          </w:tcPr>
          <w:p w14:paraId="14F79EE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套</w:t>
            </w:r>
          </w:p>
        </w:tc>
        <w:tc>
          <w:tcPr>
            <w:tcW w:w="873" w:type="pct"/>
            <w:tcBorders>
              <w:tl2br w:val="nil"/>
              <w:tr2bl w:val="nil"/>
            </w:tcBorders>
            <w:shd w:val="clear" w:color="auto" w:fill="auto"/>
            <w:vAlign w:val="center"/>
          </w:tcPr>
          <w:p w14:paraId="76FF999E">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36D6FD06">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77C0647B">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22A96CD0">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14</w:t>
            </w:r>
          </w:p>
        </w:tc>
        <w:tc>
          <w:tcPr>
            <w:tcW w:w="927" w:type="pct"/>
            <w:tcBorders>
              <w:tl2br w:val="nil"/>
              <w:tr2bl w:val="nil"/>
            </w:tcBorders>
            <w:shd w:val="clear" w:color="auto" w:fill="auto"/>
            <w:vAlign w:val="center"/>
          </w:tcPr>
          <w:p w14:paraId="38005A7C">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包装纸箱（6瓶/箱）</w:t>
            </w:r>
          </w:p>
        </w:tc>
        <w:tc>
          <w:tcPr>
            <w:tcW w:w="829" w:type="pct"/>
            <w:tcBorders>
              <w:tl2br w:val="nil"/>
              <w:tr2bl w:val="nil"/>
            </w:tcBorders>
            <w:shd w:val="clear" w:color="auto" w:fill="auto"/>
            <w:vAlign w:val="center"/>
          </w:tcPr>
          <w:p w14:paraId="56FF8F7A">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25657060</w:t>
            </w:r>
          </w:p>
        </w:tc>
        <w:tc>
          <w:tcPr>
            <w:tcW w:w="688" w:type="pct"/>
            <w:tcBorders>
              <w:tl2br w:val="nil"/>
              <w:tr2bl w:val="nil"/>
            </w:tcBorders>
            <w:shd w:val="clear" w:color="auto" w:fill="auto"/>
            <w:noWrap/>
            <w:vAlign w:val="bottom"/>
          </w:tcPr>
          <w:p w14:paraId="4F4E670B">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1026290</w:t>
            </w:r>
          </w:p>
        </w:tc>
        <w:tc>
          <w:tcPr>
            <w:tcW w:w="554" w:type="pct"/>
            <w:tcBorders>
              <w:tl2br w:val="nil"/>
              <w:tr2bl w:val="nil"/>
            </w:tcBorders>
            <w:shd w:val="clear" w:color="auto" w:fill="auto"/>
            <w:vAlign w:val="center"/>
          </w:tcPr>
          <w:p w14:paraId="3A13E846">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个</w:t>
            </w:r>
          </w:p>
        </w:tc>
        <w:tc>
          <w:tcPr>
            <w:tcW w:w="873" w:type="pct"/>
            <w:tcBorders>
              <w:tl2br w:val="nil"/>
              <w:tr2bl w:val="nil"/>
            </w:tcBorders>
            <w:shd w:val="clear" w:color="auto" w:fill="auto"/>
            <w:vAlign w:val="center"/>
          </w:tcPr>
          <w:p w14:paraId="14BEFD41">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57F456A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1F810957">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1BBECB80">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15</w:t>
            </w:r>
          </w:p>
        </w:tc>
        <w:tc>
          <w:tcPr>
            <w:tcW w:w="927" w:type="pct"/>
            <w:tcBorders>
              <w:tl2br w:val="nil"/>
              <w:tr2bl w:val="nil"/>
            </w:tcBorders>
            <w:shd w:val="clear" w:color="auto" w:fill="auto"/>
            <w:vAlign w:val="center"/>
          </w:tcPr>
          <w:p w14:paraId="36986DB4">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包装纸箱（12瓶/箱）</w:t>
            </w:r>
          </w:p>
        </w:tc>
        <w:tc>
          <w:tcPr>
            <w:tcW w:w="829" w:type="pct"/>
            <w:tcBorders>
              <w:tl2br w:val="nil"/>
              <w:tr2bl w:val="nil"/>
            </w:tcBorders>
            <w:shd w:val="clear" w:color="auto" w:fill="auto"/>
            <w:vAlign w:val="center"/>
          </w:tcPr>
          <w:p w14:paraId="5E992D5A">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12828530</w:t>
            </w:r>
          </w:p>
        </w:tc>
        <w:tc>
          <w:tcPr>
            <w:tcW w:w="688" w:type="pct"/>
            <w:tcBorders>
              <w:tl2br w:val="nil"/>
              <w:tr2bl w:val="nil"/>
            </w:tcBorders>
            <w:shd w:val="clear" w:color="auto" w:fill="auto"/>
            <w:vAlign w:val="center"/>
          </w:tcPr>
          <w:p w14:paraId="73E5ECF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513140</w:t>
            </w:r>
          </w:p>
        </w:tc>
        <w:tc>
          <w:tcPr>
            <w:tcW w:w="554" w:type="pct"/>
            <w:tcBorders>
              <w:tl2br w:val="nil"/>
              <w:tr2bl w:val="nil"/>
            </w:tcBorders>
            <w:shd w:val="clear" w:color="auto" w:fill="auto"/>
            <w:vAlign w:val="center"/>
          </w:tcPr>
          <w:p w14:paraId="09CEB6DA">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个</w:t>
            </w:r>
          </w:p>
        </w:tc>
        <w:tc>
          <w:tcPr>
            <w:tcW w:w="873" w:type="pct"/>
            <w:tcBorders>
              <w:tl2br w:val="nil"/>
              <w:tr2bl w:val="nil"/>
            </w:tcBorders>
            <w:shd w:val="clear" w:color="auto" w:fill="auto"/>
            <w:vAlign w:val="center"/>
          </w:tcPr>
          <w:p w14:paraId="6852F397">
            <w:pPr>
              <w:pStyle w:val="143"/>
              <w:rPr>
                <w:rFonts w:ascii="Times New Roman" w:hAnsi="Times New Roman" w:eastAsia="宋体"/>
                <w:b w:val="0"/>
                <w:bCs w:val="0"/>
                <w:snapToGrid w:val="0"/>
                <w:color w:val="000000" w:themeColor="text1"/>
                <w:kern w:val="0"/>
                <w:lang w:val="en-US"/>
                <w14:textFill>
                  <w14:solidFill>
                    <w14:schemeClr w14:val="tx1"/>
                  </w14:solidFill>
                </w14:textFill>
              </w:rPr>
            </w:pPr>
          </w:p>
        </w:tc>
        <w:tc>
          <w:tcPr>
            <w:tcW w:w="793" w:type="pct"/>
            <w:tcBorders>
              <w:tl2br w:val="nil"/>
              <w:tr2bl w:val="nil"/>
            </w:tcBorders>
            <w:shd w:val="clear" w:color="auto" w:fill="auto"/>
            <w:vAlign w:val="center"/>
          </w:tcPr>
          <w:p w14:paraId="7ED21E5A">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包材库</w:t>
            </w:r>
          </w:p>
        </w:tc>
      </w:tr>
      <w:tr w14:paraId="43776DC5">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61BFB228">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16</w:t>
            </w:r>
          </w:p>
        </w:tc>
        <w:tc>
          <w:tcPr>
            <w:tcW w:w="927" w:type="pct"/>
            <w:tcBorders>
              <w:tl2br w:val="nil"/>
              <w:tr2bl w:val="nil"/>
            </w:tcBorders>
            <w:shd w:val="clear" w:color="auto" w:fill="auto"/>
            <w:vAlign w:val="center"/>
          </w:tcPr>
          <w:p w14:paraId="03A1799D">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消毒剂</w:t>
            </w:r>
          </w:p>
        </w:tc>
        <w:tc>
          <w:tcPr>
            <w:tcW w:w="829" w:type="pct"/>
            <w:tcBorders>
              <w:tl2br w:val="nil"/>
              <w:tr2bl w:val="nil"/>
            </w:tcBorders>
            <w:shd w:val="clear" w:color="auto" w:fill="auto"/>
            <w:noWrap/>
            <w:vAlign w:val="center"/>
          </w:tcPr>
          <w:p w14:paraId="2EFE4D50">
            <w:pPr>
              <w:pStyle w:val="143"/>
              <w:jc w:val="center"/>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3</w:t>
            </w:r>
          </w:p>
        </w:tc>
        <w:tc>
          <w:tcPr>
            <w:tcW w:w="688" w:type="pct"/>
            <w:tcBorders>
              <w:tl2br w:val="nil"/>
              <w:tr2bl w:val="nil"/>
            </w:tcBorders>
            <w:shd w:val="clear" w:color="auto" w:fill="auto"/>
            <w:vAlign w:val="center"/>
          </w:tcPr>
          <w:p w14:paraId="75F5E6DF">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0.12</w:t>
            </w:r>
          </w:p>
        </w:tc>
        <w:tc>
          <w:tcPr>
            <w:tcW w:w="554" w:type="pct"/>
            <w:tcBorders>
              <w:tl2br w:val="nil"/>
              <w:tr2bl w:val="nil"/>
            </w:tcBorders>
            <w:shd w:val="clear" w:color="auto" w:fill="auto"/>
            <w:vAlign w:val="center"/>
          </w:tcPr>
          <w:p w14:paraId="6410B64B">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吨</w:t>
            </w:r>
          </w:p>
        </w:tc>
        <w:tc>
          <w:tcPr>
            <w:tcW w:w="873" w:type="pct"/>
            <w:tcBorders>
              <w:tl2br w:val="nil"/>
              <w:tr2bl w:val="nil"/>
            </w:tcBorders>
            <w:shd w:val="clear" w:color="auto" w:fill="auto"/>
            <w:vAlign w:val="center"/>
          </w:tcPr>
          <w:p w14:paraId="6C73F2ED">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15%的过氧乙酸</w:t>
            </w:r>
          </w:p>
        </w:tc>
        <w:tc>
          <w:tcPr>
            <w:tcW w:w="793" w:type="pct"/>
            <w:tcBorders>
              <w:tl2br w:val="nil"/>
              <w:tr2bl w:val="nil"/>
            </w:tcBorders>
            <w:shd w:val="clear" w:color="auto" w:fill="auto"/>
            <w:vAlign w:val="center"/>
          </w:tcPr>
          <w:p w14:paraId="45E0CB35">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化学品间</w:t>
            </w:r>
          </w:p>
        </w:tc>
      </w:tr>
      <w:tr w14:paraId="67D82A98">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3B65DE74">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17</w:t>
            </w:r>
          </w:p>
        </w:tc>
        <w:tc>
          <w:tcPr>
            <w:tcW w:w="927" w:type="pct"/>
            <w:tcBorders>
              <w:tl2br w:val="nil"/>
              <w:tr2bl w:val="nil"/>
            </w:tcBorders>
            <w:shd w:val="clear" w:color="auto" w:fill="auto"/>
            <w:vAlign w:val="center"/>
          </w:tcPr>
          <w:p w14:paraId="3160611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酸性清洗剂</w:t>
            </w:r>
          </w:p>
        </w:tc>
        <w:tc>
          <w:tcPr>
            <w:tcW w:w="829" w:type="pct"/>
            <w:tcBorders>
              <w:tl2br w:val="nil"/>
              <w:tr2bl w:val="nil"/>
            </w:tcBorders>
            <w:shd w:val="clear" w:color="auto" w:fill="auto"/>
            <w:vAlign w:val="center"/>
          </w:tcPr>
          <w:p w14:paraId="4BE7480F">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12</w:t>
            </w:r>
          </w:p>
        </w:tc>
        <w:tc>
          <w:tcPr>
            <w:tcW w:w="688" w:type="pct"/>
            <w:tcBorders>
              <w:tl2br w:val="nil"/>
              <w:tr2bl w:val="nil"/>
            </w:tcBorders>
            <w:shd w:val="clear" w:color="auto" w:fill="auto"/>
            <w:vAlign w:val="center"/>
          </w:tcPr>
          <w:p w14:paraId="34ADB8D5">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1</w:t>
            </w: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w:t>
            </w:r>
            <w:r>
              <w:rPr>
                <w:rFonts w:hint="eastAsia" w:ascii="Times New Roman" w:hAnsi="Times New Roman" w:eastAsia="宋体"/>
                <w:b w:val="0"/>
                <w:bCs w:val="0"/>
                <w:snapToGrid w:val="0"/>
                <w:color w:val="000000" w:themeColor="text1"/>
                <w:kern w:val="0"/>
                <w:lang w:val="en-US"/>
                <w14:textFill>
                  <w14:solidFill>
                    <w14:schemeClr w14:val="tx1"/>
                  </w14:solidFill>
                </w14:textFill>
              </w:rPr>
              <w:t>2</w:t>
            </w:r>
          </w:p>
        </w:tc>
        <w:tc>
          <w:tcPr>
            <w:tcW w:w="554" w:type="pct"/>
            <w:tcBorders>
              <w:tl2br w:val="nil"/>
              <w:tr2bl w:val="nil"/>
            </w:tcBorders>
            <w:shd w:val="clear" w:color="auto" w:fill="auto"/>
            <w:vAlign w:val="center"/>
          </w:tcPr>
          <w:p w14:paraId="27FDC332">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吨</w:t>
            </w:r>
          </w:p>
        </w:tc>
        <w:tc>
          <w:tcPr>
            <w:tcW w:w="873" w:type="pct"/>
            <w:tcBorders>
              <w:tl2br w:val="nil"/>
              <w:tr2bl w:val="nil"/>
            </w:tcBorders>
            <w:shd w:val="clear" w:color="auto" w:fill="auto"/>
            <w:vAlign w:val="center"/>
          </w:tcPr>
          <w:p w14:paraId="0A06A067">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50%~60%的硝酸</w:t>
            </w:r>
          </w:p>
        </w:tc>
        <w:tc>
          <w:tcPr>
            <w:tcW w:w="793" w:type="pct"/>
            <w:tcBorders>
              <w:tl2br w:val="nil"/>
              <w:tr2bl w:val="nil"/>
            </w:tcBorders>
            <w:shd w:val="clear" w:color="auto" w:fill="auto"/>
            <w:vAlign w:val="center"/>
          </w:tcPr>
          <w:p w14:paraId="0A4A2038">
            <w:pPr>
              <w:pStyle w:val="143"/>
              <w:rPr>
                <w:rFonts w:ascii="Times New Roman" w:hAnsi="Times New Roman" w:eastAsia="宋体"/>
                <w:b w:val="0"/>
                <w:bCs w:val="0"/>
                <w:snapToGrid w:val="0"/>
                <w:color w:val="000000" w:themeColor="text1"/>
                <w:kern w:val="0"/>
                <w:lang w:val="en-US"/>
                <w14:textFill>
                  <w14:solidFill>
                    <w14:schemeClr w14:val="tx1"/>
                  </w14:solidFill>
                </w14:textFill>
              </w:rPr>
            </w:pPr>
            <w:r>
              <w:rPr>
                <w:rFonts w:hint="eastAsia" w:ascii="Times New Roman" w:hAnsi="Times New Roman" w:eastAsia="宋体"/>
                <w:b w:val="0"/>
                <w:bCs w:val="0"/>
                <w:snapToGrid w:val="0"/>
                <w:color w:val="000000" w:themeColor="text1"/>
                <w:kern w:val="0"/>
                <w:lang w:val="en-US"/>
                <w14:textFill>
                  <w14:solidFill>
                    <w14:schemeClr w14:val="tx1"/>
                  </w14:solidFill>
                </w14:textFill>
              </w:rPr>
              <w:t>化学品间</w:t>
            </w:r>
          </w:p>
        </w:tc>
      </w:tr>
      <w:tr w14:paraId="16EDD914">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7866AF4E">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18</w:t>
            </w:r>
          </w:p>
        </w:tc>
        <w:tc>
          <w:tcPr>
            <w:tcW w:w="927" w:type="pct"/>
            <w:tcBorders>
              <w:tl2br w:val="nil"/>
              <w:tr2bl w:val="nil"/>
            </w:tcBorders>
            <w:shd w:val="clear" w:color="auto" w:fill="auto"/>
            <w:vAlign w:val="center"/>
          </w:tcPr>
          <w:p w14:paraId="5988A498">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碱性清洗剂</w:t>
            </w:r>
          </w:p>
        </w:tc>
        <w:tc>
          <w:tcPr>
            <w:tcW w:w="829" w:type="pct"/>
            <w:tcBorders>
              <w:tl2br w:val="nil"/>
              <w:tr2bl w:val="nil"/>
            </w:tcBorders>
            <w:shd w:val="clear" w:color="auto" w:fill="auto"/>
            <w:vAlign w:val="center"/>
          </w:tcPr>
          <w:p w14:paraId="68115C5B">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50</w:t>
            </w:r>
          </w:p>
        </w:tc>
        <w:tc>
          <w:tcPr>
            <w:tcW w:w="688" w:type="pct"/>
            <w:tcBorders>
              <w:tl2br w:val="nil"/>
              <w:tr2bl w:val="nil"/>
            </w:tcBorders>
            <w:shd w:val="clear" w:color="auto" w:fill="auto"/>
            <w:vAlign w:val="center"/>
          </w:tcPr>
          <w:p w14:paraId="71AF8588">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1.5</w:t>
            </w:r>
          </w:p>
        </w:tc>
        <w:tc>
          <w:tcPr>
            <w:tcW w:w="554" w:type="pct"/>
            <w:tcBorders>
              <w:tl2br w:val="nil"/>
              <w:tr2bl w:val="nil"/>
            </w:tcBorders>
            <w:shd w:val="clear" w:color="auto" w:fill="auto"/>
            <w:vAlign w:val="center"/>
          </w:tcPr>
          <w:p w14:paraId="5E391D8B">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吨</w:t>
            </w:r>
          </w:p>
        </w:tc>
        <w:tc>
          <w:tcPr>
            <w:tcW w:w="873" w:type="pct"/>
            <w:tcBorders>
              <w:tl2br w:val="nil"/>
              <w:tr2bl w:val="nil"/>
            </w:tcBorders>
            <w:shd w:val="clear" w:color="auto" w:fill="auto"/>
            <w:vAlign w:val="center"/>
          </w:tcPr>
          <w:p w14:paraId="293D0A13">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96%的NaOH计</w:t>
            </w:r>
          </w:p>
        </w:tc>
        <w:tc>
          <w:tcPr>
            <w:tcW w:w="793" w:type="pct"/>
            <w:tcBorders>
              <w:tl2br w:val="nil"/>
              <w:tr2bl w:val="nil"/>
            </w:tcBorders>
            <w:shd w:val="clear" w:color="auto" w:fill="auto"/>
            <w:vAlign w:val="center"/>
          </w:tcPr>
          <w:p w14:paraId="3922BD38">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化学品间</w:t>
            </w:r>
          </w:p>
        </w:tc>
      </w:tr>
      <w:tr w14:paraId="533772E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0E9F0657">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19</w:t>
            </w:r>
          </w:p>
        </w:tc>
        <w:tc>
          <w:tcPr>
            <w:tcW w:w="927" w:type="pct"/>
            <w:tcBorders>
              <w:tl2br w:val="nil"/>
              <w:tr2bl w:val="nil"/>
            </w:tcBorders>
            <w:shd w:val="clear" w:color="auto" w:fill="auto"/>
            <w:vAlign w:val="center"/>
          </w:tcPr>
          <w:p w14:paraId="7FA6B83E">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椰壳活性炭</w:t>
            </w:r>
          </w:p>
        </w:tc>
        <w:tc>
          <w:tcPr>
            <w:tcW w:w="829" w:type="pct"/>
            <w:tcBorders>
              <w:tl2br w:val="nil"/>
              <w:tr2bl w:val="nil"/>
            </w:tcBorders>
            <w:shd w:val="clear" w:color="auto" w:fill="auto"/>
            <w:vAlign w:val="center"/>
          </w:tcPr>
          <w:p w14:paraId="1778D5C8">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1.6</w:t>
            </w:r>
          </w:p>
        </w:tc>
        <w:tc>
          <w:tcPr>
            <w:tcW w:w="688" w:type="pct"/>
            <w:tcBorders>
              <w:tl2br w:val="nil"/>
              <w:tr2bl w:val="nil"/>
            </w:tcBorders>
            <w:shd w:val="clear" w:color="auto" w:fill="auto"/>
            <w:vAlign w:val="center"/>
          </w:tcPr>
          <w:p w14:paraId="338AA197">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0.16</w:t>
            </w:r>
          </w:p>
        </w:tc>
        <w:tc>
          <w:tcPr>
            <w:tcW w:w="554" w:type="pct"/>
            <w:tcBorders>
              <w:tl2br w:val="nil"/>
              <w:tr2bl w:val="nil"/>
            </w:tcBorders>
            <w:shd w:val="clear" w:color="auto" w:fill="auto"/>
            <w:vAlign w:val="center"/>
          </w:tcPr>
          <w:p w14:paraId="66A6291E">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吨</w:t>
            </w:r>
          </w:p>
        </w:tc>
        <w:tc>
          <w:tcPr>
            <w:tcW w:w="873" w:type="pct"/>
            <w:tcBorders>
              <w:tl2br w:val="nil"/>
              <w:tr2bl w:val="nil"/>
            </w:tcBorders>
            <w:shd w:val="clear" w:color="auto" w:fill="auto"/>
            <w:vAlign w:val="center"/>
          </w:tcPr>
          <w:p w14:paraId="145A506B">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碘值≥900，4-8目</w:t>
            </w:r>
          </w:p>
        </w:tc>
        <w:tc>
          <w:tcPr>
            <w:tcW w:w="793" w:type="pct"/>
            <w:tcBorders>
              <w:tl2br w:val="nil"/>
              <w:tr2bl w:val="nil"/>
            </w:tcBorders>
            <w:shd w:val="clear" w:color="auto" w:fill="auto"/>
            <w:vAlign w:val="center"/>
          </w:tcPr>
          <w:p w14:paraId="203B4060">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物料间</w:t>
            </w:r>
          </w:p>
        </w:tc>
      </w:tr>
      <w:tr w14:paraId="7C5CE022">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49998EB5">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20</w:t>
            </w:r>
          </w:p>
        </w:tc>
        <w:tc>
          <w:tcPr>
            <w:tcW w:w="927" w:type="pct"/>
            <w:tcBorders>
              <w:tl2br w:val="nil"/>
              <w:tr2bl w:val="nil"/>
            </w:tcBorders>
            <w:shd w:val="clear" w:color="auto" w:fill="auto"/>
            <w:vAlign w:val="center"/>
          </w:tcPr>
          <w:p w14:paraId="3888EE81">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 xml:space="preserve">石英砂粒径 </w:t>
            </w:r>
          </w:p>
        </w:tc>
        <w:tc>
          <w:tcPr>
            <w:tcW w:w="829" w:type="pct"/>
            <w:tcBorders>
              <w:tl2br w:val="nil"/>
              <w:tr2bl w:val="nil"/>
            </w:tcBorders>
            <w:shd w:val="clear" w:color="auto" w:fill="auto"/>
            <w:vAlign w:val="center"/>
          </w:tcPr>
          <w:p w14:paraId="66C0797B">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1.2</w:t>
            </w:r>
          </w:p>
        </w:tc>
        <w:tc>
          <w:tcPr>
            <w:tcW w:w="688" w:type="pct"/>
            <w:tcBorders>
              <w:tl2br w:val="nil"/>
              <w:tr2bl w:val="nil"/>
            </w:tcBorders>
            <w:shd w:val="clear" w:color="auto" w:fill="auto"/>
            <w:vAlign w:val="center"/>
          </w:tcPr>
          <w:p w14:paraId="6A130A07">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0.12</w:t>
            </w:r>
          </w:p>
        </w:tc>
        <w:tc>
          <w:tcPr>
            <w:tcW w:w="554" w:type="pct"/>
            <w:tcBorders>
              <w:tl2br w:val="nil"/>
              <w:tr2bl w:val="nil"/>
            </w:tcBorders>
            <w:shd w:val="clear" w:color="auto" w:fill="auto"/>
            <w:vAlign w:val="center"/>
          </w:tcPr>
          <w:p w14:paraId="666912DB">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吨</w:t>
            </w:r>
          </w:p>
        </w:tc>
        <w:tc>
          <w:tcPr>
            <w:tcW w:w="873" w:type="pct"/>
            <w:tcBorders>
              <w:tl2br w:val="nil"/>
              <w:tr2bl w:val="nil"/>
            </w:tcBorders>
            <w:shd w:val="clear" w:color="auto" w:fill="auto"/>
            <w:vAlign w:val="center"/>
          </w:tcPr>
          <w:p w14:paraId="29532995">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0.5-1.2mm 级配</w:t>
            </w:r>
          </w:p>
        </w:tc>
        <w:tc>
          <w:tcPr>
            <w:tcW w:w="793" w:type="pct"/>
            <w:tcBorders>
              <w:tl2br w:val="nil"/>
              <w:tr2bl w:val="nil"/>
            </w:tcBorders>
            <w:shd w:val="clear" w:color="auto" w:fill="auto"/>
            <w:vAlign w:val="center"/>
          </w:tcPr>
          <w:p w14:paraId="2A15B320">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物料间</w:t>
            </w:r>
          </w:p>
        </w:tc>
      </w:tr>
      <w:tr w14:paraId="51BAA1DA">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5" w:hRule="atLeast"/>
        </w:trPr>
        <w:tc>
          <w:tcPr>
            <w:tcW w:w="331" w:type="pct"/>
            <w:tcBorders>
              <w:tl2br w:val="nil"/>
              <w:tr2bl w:val="nil"/>
            </w:tcBorders>
            <w:shd w:val="clear" w:color="auto" w:fill="auto"/>
            <w:vAlign w:val="center"/>
          </w:tcPr>
          <w:p w14:paraId="34657A3A">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21</w:t>
            </w:r>
          </w:p>
        </w:tc>
        <w:tc>
          <w:tcPr>
            <w:tcW w:w="927" w:type="pct"/>
            <w:tcBorders>
              <w:tl2br w:val="nil"/>
              <w:tr2bl w:val="nil"/>
            </w:tcBorders>
            <w:shd w:val="clear" w:color="auto" w:fill="auto"/>
            <w:vAlign w:val="center"/>
          </w:tcPr>
          <w:p w14:paraId="37A6BD2D">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絮凝助凝剂</w:t>
            </w:r>
          </w:p>
        </w:tc>
        <w:tc>
          <w:tcPr>
            <w:tcW w:w="829" w:type="pct"/>
            <w:tcBorders>
              <w:tl2br w:val="nil"/>
              <w:tr2bl w:val="nil"/>
            </w:tcBorders>
            <w:shd w:val="clear" w:color="auto" w:fill="auto"/>
            <w:vAlign w:val="center"/>
          </w:tcPr>
          <w:p w14:paraId="0A4864B6">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1</w:t>
            </w:r>
          </w:p>
        </w:tc>
        <w:tc>
          <w:tcPr>
            <w:tcW w:w="688" w:type="pct"/>
            <w:tcBorders>
              <w:tl2br w:val="nil"/>
              <w:tr2bl w:val="nil"/>
            </w:tcBorders>
            <w:shd w:val="clear" w:color="auto" w:fill="auto"/>
            <w:vAlign w:val="center"/>
          </w:tcPr>
          <w:p w14:paraId="557AD06C">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0.1</w:t>
            </w:r>
          </w:p>
        </w:tc>
        <w:tc>
          <w:tcPr>
            <w:tcW w:w="554" w:type="pct"/>
            <w:tcBorders>
              <w:tl2br w:val="nil"/>
              <w:tr2bl w:val="nil"/>
            </w:tcBorders>
            <w:shd w:val="clear" w:color="auto" w:fill="auto"/>
            <w:vAlign w:val="center"/>
          </w:tcPr>
          <w:p w14:paraId="3F27717A">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吨</w:t>
            </w:r>
          </w:p>
        </w:tc>
        <w:tc>
          <w:tcPr>
            <w:tcW w:w="873" w:type="pct"/>
            <w:tcBorders>
              <w:tl2br w:val="nil"/>
              <w:tr2bl w:val="nil"/>
            </w:tcBorders>
            <w:shd w:val="clear" w:color="auto" w:fill="auto"/>
            <w:vAlign w:val="center"/>
          </w:tcPr>
          <w:p w14:paraId="4753624B">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PAC</w:t>
            </w:r>
          </w:p>
        </w:tc>
        <w:tc>
          <w:tcPr>
            <w:tcW w:w="793" w:type="pct"/>
            <w:tcBorders>
              <w:tl2br w:val="nil"/>
              <w:tr2bl w:val="nil"/>
            </w:tcBorders>
            <w:shd w:val="clear" w:color="auto" w:fill="auto"/>
            <w:vAlign w:val="center"/>
          </w:tcPr>
          <w:p w14:paraId="5169F7DA">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物料间</w:t>
            </w:r>
          </w:p>
        </w:tc>
      </w:tr>
      <w:tr w14:paraId="3A6A04D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37" w:hRule="atLeast"/>
        </w:trPr>
        <w:tc>
          <w:tcPr>
            <w:tcW w:w="331" w:type="pct"/>
            <w:tcBorders>
              <w:tl2br w:val="nil"/>
              <w:tr2bl w:val="nil"/>
            </w:tcBorders>
            <w:shd w:val="clear" w:color="auto" w:fill="auto"/>
            <w:vAlign w:val="center"/>
          </w:tcPr>
          <w:p w14:paraId="6CE2D031">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22</w:t>
            </w:r>
          </w:p>
        </w:tc>
        <w:tc>
          <w:tcPr>
            <w:tcW w:w="927" w:type="pct"/>
            <w:tcBorders>
              <w:tl2br w:val="nil"/>
              <w:tr2bl w:val="nil"/>
            </w:tcBorders>
            <w:shd w:val="clear" w:color="auto" w:fill="auto"/>
            <w:vAlign w:val="center"/>
          </w:tcPr>
          <w:p w14:paraId="52043CE3">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柴油</w:t>
            </w:r>
          </w:p>
        </w:tc>
        <w:tc>
          <w:tcPr>
            <w:tcW w:w="829" w:type="pct"/>
            <w:tcBorders>
              <w:tl2br w:val="nil"/>
              <w:tr2bl w:val="nil"/>
            </w:tcBorders>
            <w:shd w:val="clear" w:color="auto" w:fill="auto"/>
            <w:vAlign w:val="center"/>
          </w:tcPr>
          <w:p w14:paraId="5B5962B8">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根据停电情况</w:t>
            </w:r>
          </w:p>
        </w:tc>
        <w:tc>
          <w:tcPr>
            <w:tcW w:w="688" w:type="pct"/>
            <w:tcBorders>
              <w:tl2br w:val="nil"/>
              <w:tr2bl w:val="nil"/>
            </w:tcBorders>
            <w:shd w:val="clear" w:color="auto" w:fill="auto"/>
            <w:vAlign w:val="center"/>
          </w:tcPr>
          <w:p w14:paraId="6E958D60">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2</w:t>
            </w:r>
          </w:p>
        </w:tc>
        <w:tc>
          <w:tcPr>
            <w:tcW w:w="554" w:type="pct"/>
            <w:tcBorders>
              <w:tl2br w:val="nil"/>
              <w:tr2bl w:val="nil"/>
            </w:tcBorders>
            <w:shd w:val="clear" w:color="auto" w:fill="auto"/>
            <w:vAlign w:val="center"/>
          </w:tcPr>
          <w:p w14:paraId="5C88FD3D">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m</w:t>
            </w:r>
            <w:r>
              <w:rPr>
                <w:rFonts w:hint="eastAsia" w:ascii="Times New Roman" w:hAnsi="Times New Roman" w:eastAsia="宋体"/>
                <w:b w:val="0"/>
                <w:bCs w:val="0"/>
                <w:snapToGrid w:val="0"/>
                <w:color w:val="000000" w:themeColor="text1"/>
                <w:kern w:val="0"/>
                <w:vertAlign w:val="superscript"/>
                <w:lang w:val="en-US" w:eastAsia="zh-CN"/>
                <w14:textFill>
                  <w14:solidFill>
                    <w14:schemeClr w14:val="tx1"/>
                  </w14:solidFill>
                </w14:textFill>
              </w:rPr>
              <w:t>3</w:t>
            </w:r>
          </w:p>
        </w:tc>
        <w:tc>
          <w:tcPr>
            <w:tcW w:w="873" w:type="pct"/>
            <w:tcBorders>
              <w:tl2br w:val="nil"/>
              <w:tr2bl w:val="nil"/>
            </w:tcBorders>
            <w:shd w:val="clear" w:color="auto" w:fill="auto"/>
            <w:vAlign w:val="center"/>
          </w:tcPr>
          <w:p w14:paraId="3FF4D83F">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柴油</w:t>
            </w:r>
          </w:p>
        </w:tc>
        <w:tc>
          <w:tcPr>
            <w:tcW w:w="793" w:type="pct"/>
            <w:tcBorders>
              <w:tl2br w:val="nil"/>
              <w:tr2bl w:val="nil"/>
            </w:tcBorders>
            <w:shd w:val="clear" w:color="auto" w:fill="auto"/>
            <w:vAlign w:val="center"/>
          </w:tcPr>
          <w:p w14:paraId="04245593">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柴油发电机间</w:t>
            </w:r>
          </w:p>
        </w:tc>
      </w:tr>
      <w:tr w14:paraId="04DE3164">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0" w:hRule="atLeast"/>
        </w:trPr>
        <w:tc>
          <w:tcPr>
            <w:tcW w:w="536" w:type="dxa"/>
            <w:tcBorders>
              <w:tl2br w:val="nil"/>
              <w:tr2bl w:val="nil"/>
            </w:tcBorders>
            <w:shd w:val="clear" w:color="auto" w:fill="auto"/>
            <w:vAlign w:val="center"/>
          </w:tcPr>
          <w:p w14:paraId="08B7B408">
            <w:pPr>
              <w:pStyle w:val="143"/>
              <w:ind w:firstLine="0" w:firstLineChars="0"/>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23</w:t>
            </w:r>
          </w:p>
        </w:tc>
        <w:tc>
          <w:tcPr>
            <w:tcW w:w="927" w:type="pct"/>
            <w:tcBorders>
              <w:tl2br w:val="nil"/>
              <w:tr2bl w:val="nil"/>
            </w:tcBorders>
            <w:shd w:val="clear" w:color="auto" w:fill="auto"/>
            <w:vAlign w:val="center"/>
          </w:tcPr>
          <w:p w14:paraId="3DFC9E80">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硅藻土耗量</w:t>
            </w:r>
          </w:p>
        </w:tc>
        <w:tc>
          <w:tcPr>
            <w:tcW w:w="829" w:type="pct"/>
            <w:tcBorders>
              <w:tl2br w:val="nil"/>
              <w:tr2bl w:val="nil"/>
            </w:tcBorders>
            <w:shd w:val="clear" w:color="auto" w:fill="auto"/>
            <w:vAlign w:val="center"/>
          </w:tcPr>
          <w:p w14:paraId="58DD5552">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50000</w:t>
            </w:r>
          </w:p>
        </w:tc>
        <w:tc>
          <w:tcPr>
            <w:tcW w:w="688" w:type="pct"/>
            <w:tcBorders>
              <w:tl2br w:val="nil"/>
              <w:tr2bl w:val="nil"/>
            </w:tcBorders>
            <w:shd w:val="clear" w:color="auto" w:fill="auto"/>
            <w:vAlign w:val="center"/>
          </w:tcPr>
          <w:p w14:paraId="09C32B5D">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5000</w:t>
            </w:r>
          </w:p>
        </w:tc>
        <w:tc>
          <w:tcPr>
            <w:tcW w:w="554" w:type="pct"/>
            <w:tcBorders>
              <w:tl2br w:val="nil"/>
              <w:tr2bl w:val="nil"/>
            </w:tcBorders>
            <w:shd w:val="clear" w:color="auto" w:fill="auto"/>
            <w:vAlign w:val="center"/>
          </w:tcPr>
          <w:p w14:paraId="7C080348">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Kg</w:t>
            </w:r>
          </w:p>
        </w:tc>
        <w:tc>
          <w:tcPr>
            <w:tcW w:w="873" w:type="pct"/>
            <w:tcBorders>
              <w:tl2br w:val="nil"/>
              <w:tr2bl w:val="nil"/>
            </w:tcBorders>
            <w:shd w:val="clear" w:color="auto" w:fill="auto"/>
            <w:vAlign w:val="center"/>
          </w:tcPr>
          <w:p w14:paraId="77A5817A">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硅藻土</w:t>
            </w:r>
          </w:p>
        </w:tc>
        <w:tc>
          <w:tcPr>
            <w:tcW w:w="793" w:type="pct"/>
            <w:tcBorders>
              <w:tl2br w:val="nil"/>
              <w:tr2bl w:val="nil"/>
            </w:tcBorders>
            <w:shd w:val="clear" w:color="auto" w:fill="auto"/>
            <w:vAlign w:val="center"/>
          </w:tcPr>
          <w:p w14:paraId="5E256B25">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硅藻土间</w:t>
            </w:r>
          </w:p>
        </w:tc>
      </w:tr>
      <w:tr w14:paraId="6ED28D0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0" w:hRule="atLeast"/>
        </w:trPr>
        <w:tc>
          <w:tcPr>
            <w:tcW w:w="536" w:type="dxa"/>
            <w:tcBorders>
              <w:tl2br w:val="nil"/>
              <w:tr2bl w:val="nil"/>
            </w:tcBorders>
            <w:shd w:val="clear" w:color="auto" w:fill="auto"/>
            <w:vAlign w:val="center"/>
          </w:tcPr>
          <w:p w14:paraId="471EC7BB">
            <w:pPr>
              <w:pStyle w:val="143"/>
              <w:ind w:firstLine="0" w:firstLineChars="0"/>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24</w:t>
            </w:r>
          </w:p>
        </w:tc>
        <w:tc>
          <w:tcPr>
            <w:tcW w:w="927" w:type="pct"/>
            <w:tcBorders>
              <w:tl2br w:val="nil"/>
              <w:tr2bl w:val="nil"/>
            </w:tcBorders>
            <w:shd w:val="clear" w:color="auto" w:fill="auto"/>
            <w:vAlign w:val="center"/>
          </w:tcPr>
          <w:p w14:paraId="2D73C03A">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离子交换树脂</w:t>
            </w:r>
          </w:p>
        </w:tc>
        <w:tc>
          <w:tcPr>
            <w:tcW w:w="829" w:type="pct"/>
            <w:tcBorders>
              <w:tl2br w:val="nil"/>
              <w:tr2bl w:val="nil"/>
            </w:tcBorders>
            <w:shd w:val="clear" w:color="auto" w:fill="auto"/>
            <w:vAlign w:val="center"/>
          </w:tcPr>
          <w:p w14:paraId="30EF1881">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0.05</w:t>
            </w:r>
          </w:p>
        </w:tc>
        <w:tc>
          <w:tcPr>
            <w:tcW w:w="688" w:type="pct"/>
            <w:tcBorders>
              <w:tl2br w:val="nil"/>
              <w:tr2bl w:val="nil"/>
            </w:tcBorders>
            <w:shd w:val="clear" w:color="auto" w:fill="auto"/>
            <w:vAlign w:val="center"/>
          </w:tcPr>
          <w:p w14:paraId="0103587A">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0.05</w:t>
            </w:r>
          </w:p>
        </w:tc>
        <w:tc>
          <w:tcPr>
            <w:tcW w:w="554" w:type="pct"/>
            <w:tcBorders>
              <w:tl2br w:val="nil"/>
              <w:tr2bl w:val="nil"/>
            </w:tcBorders>
            <w:shd w:val="clear" w:color="auto" w:fill="auto"/>
            <w:vAlign w:val="center"/>
          </w:tcPr>
          <w:p w14:paraId="1C5D5B2E">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t</w:t>
            </w:r>
          </w:p>
        </w:tc>
        <w:tc>
          <w:tcPr>
            <w:tcW w:w="873" w:type="pct"/>
            <w:tcBorders>
              <w:tl2br w:val="nil"/>
              <w:tr2bl w:val="nil"/>
            </w:tcBorders>
            <w:shd w:val="clear" w:color="auto" w:fill="auto"/>
            <w:vAlign w:val="center"/>
          </w:tcPr>
          <w:p w14:paraId="4C95F74B">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离子交换树脂</w:t>
            </w:r>
          </w:p>
        </w:tc>
        <w:tc>
          <w:tcPr>
            <w:tcW w:w="793" w:type="pct"/>
            <w:tcBorders>
              <w:tl2br w:val="nil"/>
              <w:tr2bl w:val="nil"/>
            </w:tcBorders>
            <w:shd w:val="clear" w:color="auto" w:fill="auto"/>
            <w:vAlign w:val="center"/>
          </w:tcPr>
          <w:p w14:paraId="7EBF4E98">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color w:val="000000" w:themeColor="text1"/>
                <w14:textFill>
                  <w14:solidFill>
                    <w14:schemeClr w14:val="tx1"/>
                  </w14:solidFill>
                </w14:textFill>
              </w:rPr>
              <w:t>软水设备</w:t>
            </w:r>
          </w:p>
        </w:tc>
      </w:tr>
      <w:tr w14:paraId="45A2E40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0" w:hRule="atLeast"/>
        </w:trPr>
        <w:tc>
          <w:tcPr>
            <w:tcW w:w="536" w:type="dxa"/>
            <w:tcBorders>
              <w:tl2br w:val="nil"/>
              <w:tr2bl w:val="nil"/>
            </w:tcBorders>
            <w:shd w:val="clear" w:color="auto" w:fill="auto"/>
            <w:vAlign w:val="center"/>
          </w:tcPr>
          <w:p w14:paraId="484BA6B5">
            <w:pPr>
              <w:pStyle w:val="143"/>
              <w:ind w:firstLine="0" w:firstLineChars="0"/>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25</w:t>
            </w:r>
          </w:p>
        </w:tc>
        <w:tc>
          <w:tcPr>
            <w:tcW w:w="927" w:type="pct"/>
            <w:tcBorders>
              <w:tl2br w:val="nil"/>
              <w:tr2bl w:val="nil"/>
            </w:tcBorders>
            <w:shd w:val="clear" w:color="auto" w:fill="auto"/>
            <w:vAlign w:val="center"/>
          </w:tcPr>
          <w:p w14:paraId="22209BD7">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天然气</w:t>
            </w:r>
          </w:p>
        </w:tc>
        <w:tc>
          <w:tcPr>
            <w:tcW w:w="829" w:type="pct"/>
            <w:tcBorders>
              <w:tl2br w:val="nil"/>
              <w:tr2bl w:val="nil"/>
            </w:tcBorders>
            <w:shd w:val="clear" w:color="auto" w:fill="auto"/>
            <w:vAlign w:val="center"/>
          </w:tcPr>
          <w:p w14:paraId="4EC4E310">
            <w:pPr>
              <w:pStyle w:val="143"/>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771.43</w:t>
            </w:r>
          </w:p>
        </w:tc>
        <w:tc>
          <w:tcPr>
            <w:tcW w:w="688" w:type="pct"/>
            <w:tcBorders>
              <w:tl2br w:val="nil"/>
              <w:tr2bl w:val="nil"/>
            </w:tcBorders>
            <w:shd w:val="clear" w:color="auto" w:fill="auto"/>
            <w:vAlign w:val="center"/>
          </w:tcPr>
          <w:p w14:paraId="1B95CE7C">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w:t>
            </w:r>
          </w:p>
        </w:tc>
        <w:tc>
          <w:tcPr>
            <w:tcW w:w="554" w:type="pct"/>
            <w:tcBorders>
              <w:tl2br w:val="nil"/>
              <w:tr2bl w:val="nil"/>
            </w:tcBorders>
            <w:shd w:val="clear" w:color="auto" w:fill="auto"/>
            <w:vAlign w:val="center"/>
          </w:tcPr>
          <w:p w14:paraId="580E5BCB">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万</w:t>
            </w: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m</w:t>
            </w:r>
            <w:r>
              <w:rPr>
                <w:rFonts w:hint="eastAsia" w:ascii="Times New Roman" w:hAnsi="Times New Roman" w:eastAsia="宋体"/>
                <w:b w:val="0"/>
                <w:bCs w:val="0"/>
                <w:snapToGrid w:val="0"/>
                <w:color w:val="000000" w:themeColor="text1"/>
                <w:kern w:val="0"/>
                <w:vertAlign w:val="superscript"/>
                <w:lang w:val="en-US" w:eastAsia="zh-CN"/>
                <w14:textFill>
                  <w14:solidFill>
                    <w14:schemeClr w14:val="tx1"/>
                  </w14:solidFill>
                </w14:textFill>
              </w:rPr>
              <w:t>3</w:t>
            </w:r>
          </w:p>
        </w:tc>
        <w:tc>
          <w:tcPr>
            <w:tcW w:w="873" w:type="pct"/>
            <w:tcBorders>
              <w:tl2br w:val="nil"/>
              <w:tr2bl w:val="nil"/>
            </w:tcBorders>
            <w:shd w:val="clear" w:color="auto" w:fill="auto"/>
            <w:vAlign w:val="center"/>
          </w:tcPr>
          <w:p w14:paraId="39C85D4A">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甲烷</w:t>
            </w:r>
          </w:p>
        </w:tc>
        <w:tc>
          <w:tcPr>
            <w:tcW w:w="793" w:type="pct"/>
            <w:tcBorders>
              <w:tl2br w:val="nil"/>
              <w:tr2bl w:val="nil"/>
            </w:tcBorders>
            <w:shd w:val="clear" w:color="auto" w:fill="auto"/>
            <w:vAlign w:val="center"/>
          </w:tcPr>
          <w:p w14:paraId="58D55A92">
            <w:pPr>
              <w:pStyle w:val="143"/>
              <w:rPr>
                <w:rFonts w:hint="default" w:ascii="Times New Roman" w:hAnsi="Times New Roman" w:eastAsia="宋体"/>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不存储，由市政天然气管道提供</w:t>
            </w:r>
          </w:p>
        </w:tc>
      </w:tr>
      <w:tr w14:paraId="2CC5900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0" w:hRule="atLeast"/>
        </w:trPr>
        <w:tc>
          <w:tcPr>
            <w:tcW w:w="536" w:type="dxa"/>
            <w:tcBorders>
              <w:tl2br w:val="nil"/>
              <w:tr2bl w:val="nil"/>
            </w:tcBorders>
            <w:shd w:val="clear" w:color="auto" w:fill="auto"/>
            <w:vAlign w:val="center"/>
          </w:tcPr>
          <w:p w14:paraId="264158D1">
            <w:pPr>
              <w:pStyle w:val="143"/>
              <w:ind w:firstLine="0" w:firstLineChars="0"/>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26</w:t>
            </w:r>
          </w:p>
        </w:tc>
        <w:tc>
          <w:tcPr>
            <w:tcW w:w="927" w:type="pct"/>
            <w:tcBorders>
              <w:tl2br w:val="nil"/>
              <w:tr2bl w:val="nil"/>
            </w:tcBorders>
            <w:shd w:val="clear" w:color="auto" w:fill="auto"/>
            <w:vAlign w:val="center"/>
          </w:tcPr>
          <w:p w14:paraId="293E5AD9">
            <w:pPr>
              <w:pStyle w:val="143"/>
              <w:rPr>
                <w:rFonts w:hint="eastAsia"/>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CO</w:t>
            </w:r>
            <w:r>
              <w:rPr>
                <w:rFonts w:hint="eastAsia"/>
                <w:b w:val="0"/>
                <w:bCs w:val="0"/>
                <w:snapToGrid w:val="0"/>
                <w:color w:val="000000" w:themeColor="text1"/>
                <w:kern w:val="0"/>
                <w:vertAlign w:val="subscript"/>
                <w:lang w:val="en-US" w:eastAsia="zh-CN"/>
                <w14:textFill>
                  <w14:solidFill>
                    <w14:schemeClr w14:val="tx1"/>
                  </w14:solidFill>
                </w14:textFill>
              </w:rPr>
              <w:t>2</w:t>
            </w:r>
            <w:r>
              <w:rPr>
                <w:rFonts w:hint="eastAsia"/>
                <w:b w:val="0"/>
                <w:bCs w:val="0"/>
                <w:snapToGrid w:val="0"/>
                <w:color w:val="000000" w:themeColor="text1"/>
                <w:kern w:val="0"/>
                <w:lang w:val="en-US" w:eastAsia="zh-CN"/>
                <w14:textFill>
                  <w14:solidFill>
                    <w14:schemeClr w14:val="tx1"/>
                  </w14:solidFill>
                </w14:textFill>
              </w:rPr>
              <w:t>回收系统分子筛干燥剂</w:t>
            </w:r>
          </w:p>
        </w:tc>
        <w:tc>
          <w:tcPr>
            <w:tcW w:w="829" w:type="pct"/>
            <w:tcBorders>
              <w:tl2br w:val="nil"/>
              <w:tr2bl w:val="nil"/>
            </w:tcBorders>
            <w:shd w:val="clear" w:color="auto" w:fill="auto"/>
            <w:vAlign w:val="center"/>
          </w:tcPr>
          <w:p w14:paraId="1FBE1362">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w:t>
            </w:r>
          </w:p>
        </w:tc>
        <w:tc>
          <w:tcPr>
            <w:tcW w:w="688" w:type="pct"/>
            <w:tcBorders>
              <w:tl2br w:val="nil"/>
              <w:tr2bl w:val="nil"/>
            </w:tcBorders>
            <w:shd w:val="clear" w:color="auto" w:fill="auto"/>
            <w:vAlign w:val="center"/>
          </w:tcPr>
          <w:p w14:paraId="37BACDD1">
            <w:pPr>
              <w:pStyle w:val="143"/>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0.5</w:t>
            </w:r>
          </w:p>
        </w:tc>
        <w:tc>
          <w:tcPr>
            <w:tcW w:w="554" w:type="pct"/>
            <w:tcBorders>
              <w:tl2br w:val="nil"/>
              <w:tr2bl w:val="nil"/>
            </w:tcBorders>
            <w:shd w:val="clear" w:color="auto" w:fill="auto"/>
            <w:vAlign w:val="center"/>
          </w:tcPr>
          <w:p w14:paraId="39CCF75C">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t</w:t>
            </w:r>
          </w:p>
        </w:tc>
        <w:tc>
          <w:tcPr>
            <w:tcW w:w="873" w:type="pct"/>
            <w:tcBorders>
              <w:tl2br w:val="nil"/>
              <w:tr2bl w:val="nil"/>
            </w:tcBorders>
            <w:shd w:val="clear" w:color="auto" w:fill="auto"/>
            <w:vAlign w:val="center"/>
          </w:tcPr>
          <w:p w14:paraId="2B3DF8E0">
            <w:pPr>
              <w:pStyle w:val="143"/>
              <w:rPr>
                <w:rFonts w:hint="eastAsia"/>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碱金属硅铝酸盐</w:t>
            </w:r>
          </w:p>
        </w:tc>
        <w:tc>
          <w:tcPr>
            <w:tcW w:w="793" w:type="pct"/>
            <w:tcBorders>
              <w:tl2br w:val="nil"/>
              <w:tr2bl w:val="nil"/>
            </w:tcBorders>
            <w:shd w:val="clear" w:color="auto" w:fill="auto"/>
            <w:vAlign w:val="center"/>
          </w:tcPr>
          <w:p w14:paraId="6AD4CC6C">
            <w:pPr>
              <w:pStyle w:val="143"/>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CO</w:t>
            </w:r>
            <w:r>
              <w:rPr>
                <w:rFonts w:hint="eastAsia"/>
                <w:b w:val="0"/>
                <w:bCs w:val="0"/>
                <w:snapToGrid w:val="0"/>
                <w:color w:val="000000" w:themeColor="text1"/>
                <w:kern w:val="0"/>
                <w:vertAlign w:val="subscript"/>
                <w:lang w:val="en-US" w:eastAsia="zh-CN"/>
                <w14:textFill>
                  <w14:solidFill>
                    <w14:schemeClr w14:val="tx1"/>
                  </w14:solidFill>
                </w14:textFill>
              </w:rPr>
              <w:t>2</w:t>
            </w:r>
            <w:r>
              <w:rPr>
                <w:rFonts w:hint="eastAsia"/>
                <w:b w:val="0"/>
                <w:bCs w:val="0"/>
                <w:snapToGrid w:val="0"/>
                <w:color w:val="000000" w:themeColor="text1"/>
                <w:kern w:val="0"/>
                <w:lang w:val="en-US" w:eastAsia="zh-CN"/>
                <w14:textFill>
                  <w14:solidFill>
                    <w14:schemeClr w14:val="tx1"/>
                  </w14:solidFill>
                </w14:textFill>
              </w:rPr>
              <w:t>回收系统中</w:t>
            </w:r>
          </w:p>
        </w:tc>
      </w:tr>
      <w:tr w14:paraId="50454542">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0" w:hRule="atLeast"/>
        </w:trPr>
        <w:tc>
          <w:tcPr>
            <w:tcW w:w="536" w:type="dxa"/>
            <w:tcBorders>
              <w:tl2br w:val="nil"/>
              <w:tr2bl w:val="nil"/>
            </w:tcBorders>
            <w:shd w:val="clear" w:color="auto" w:fill="auto"/>
            <w:vAlign w:val="center"/>
          </w:tcPr>
          <w:p w14:paraId="4B01869F">
            <w:pPr>
              <w:pStyle w:val="143"/>
              <w:ind w:firstLine="0" w:firstLineChars="0"/>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27</w:t>
            </w:r>
          </w:p>
        </w:tc>
        <w:tc>
          <w:tcPr>
            <w:tcW w:w="927" w:type="pct"/>
            <w:tcBorders>
              <w:tl2br w:val="nil"/>
              <w:tr2bl w:val="nil"/>
            </w:tcBorders>
            <w:shd w:val="clear" w:color="auto" w:fill="auto"/>
            <w:vAlign w:val="center"/>
          </w:tcPr>
          <w:p w14:paraId="72BC012F">
            <w:pPr>
              <w:pStyle w:val="143"/>
              <w:rPr>
                <w:rFonts w:hint="eastAsia"/>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CO</w:t>
            </w:r>
            <w:r>
              <w:rPr>
                <w:rFonts w:hint="eastAsia"/>
                <w:b w:val="0"/>
                <w:bCs w:val="0"/>
                <w:snapToGrid w:val="0"/>
                <w:color w:val="000000" w:themeColor="text1"/>
                <w:kern w:val="0"/>
                <w:vertAlign w:val="subscript"/>
                <w:lang w:val="en-US" w:eastAsia="zh-CN"/>
                <w14:textFill>
                  <w14:solidFill>
                    <w14:schemeClr w14:val="tx1"/>
                  </w14:solidFill>
                </w14:textFill>
              </w:rPr>
              <w:t>2</w:t>
            </w:r>
            <w:r>
              <w:rPr>
                <w:rFonts w:hint="eastAsia"/>
                <w:b w:val="0"/>
                <w:bCs w:val="0"/>
                <w:snapToGrid w:val="0"/>
                <w:color w:val="000000" w:themeColor="text1"/>
                <w:kern w:val="0"/>
                <w:lang w:val="en-US" w:eastAsia="zh-CN"/>
                <w14:textFill>
                  <w14:solidFill>
                    <w14:schemeClr w14:val="tx1"/>
                  </w14:solidFill>
                </w14:textFill>
              </w:rPr>
              <w:t>回收系统吸附剂</w:t>
            </w:r>
          </w:p>
        </w:tc>
        <w:tc>
          <w:tcPr>
            <w:tcW w:w="829" w:type="pct"/>
            <w:tcBorders>
              <w:tl2br w:val="nil"/>
              <w:tr2bl w:val="nil"/>
            </w:tcBorders>
            <w:shd w:val="clear" w:color="auto" w:fill="auto"/>
            <w:vAlign w:val="center"/>
          </w:tcPr>
          <w:p w14:paraId="0FCD4368">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w:t>
            </w:r>
          </w:p>
        </w:tc>
        <w:tc>
          <w:tcPr>
            <w:tcW w:w="688" w:type="pct"/>
            <w:tcBorders>
              <w:tl2br w:val="nil"/>
              <w:tr2bl w:val="nil"/>
            </w:tcBorders>
            <w:shd w:val="clear" w:color="auto" w:fill="auto"/>
            <w:vAlign w:val="center"/>
          </w:tcPr>
          <w:p w14:paraId="7D637C77">
            <w:pPr>
              <w:pStyle w:val="143"/>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0.5</w:t>
            </w:r>
          </w:p>
        </w:tc>
        <w:tc>
          <w:tcPr>
            <w:tcW w:w="554" w:type="pct"/>
            <w:tcBorders>
              <w:tl2br w:val="nil"/>
              <w:tr2bl w:val="nil"/>
            </w:tcBorders>
            <w:shd w:val="clear" w:color="auto" w:fill="auto"/>
            <w:vAlign w:val="center"/>
          </w:tcPr>
          <w:p w14:paraId="10F6DEB3">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t</w:t>
            </w:r>
          </w:p>
        </w:tc>
        <w:tc>
          <w:tcPr>
            <w:tcW w:w="873" w:type="pct"/>
            <w:tcBorders>
              <w:tl2br w:val="nil"/>
              <w:tr2bl w:val="nil"/>
            </w:tcBorders>
            <w:shd w:val="clear" w:color="auto" w:fill="auto"/>
            <w:vAlign w:val="center"/>
          </w:tcPr>
          <w:p w14:paraId="4E6135C6">
            <w:pPr>
              <w:pStyle w:val="143"/>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废活性炭</w:t>
            </w:r>
          </w:p>
        </w:tc>
        <w:tc>
          <w:tcPr>
            <w:tcW w:w="793" w:type="pct"/>
            <w:tcBorders>
              <w:tl2br w:val="nil"/>
              <w:tr2bl w:val="nil"/>
            </w:tcBorders>
            <w:shd w:val="clear" w:color="auto" w:fill="auto"/>
            <w:vAlign w:val="center"/>
          </w:tcPr>
          <w:p w14:paraId="03BEB602">
            <w:pPr>
              <w:pStyle w:val="143"/>
              <w:rPr>
                <w:rFonts w:hint="eastAsia"/>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CO</w:t>
            </w:r>
            <w:r>
              <w:rPr>
                <w:rFonts w:hint="eastAsia"/>
                <w:b w:val="0"/>
                <w:bCs w:val="0"/>
                <w:snapToGrid w:val="0"/>
                <w:color w:val="000000" w:themeColor="text1"/>
                <w:kern w:val="0"/>
                <w:vertAlign w:val="subscript"/>
                <w:lang w:val="en-US" w:eastAsia="zh-CN"/>
                <w14:textFill>
                  <w14:solidFill>
                    <w14:schemeClr w14:val="tx1"/>
                  </w14:solidFill>
                </w14:textFill>
              </w:rPr>
              <w:t>2</w:t>
            </w:r>
            <w:r>
              <w:rPr>
                <w:rFonts w:hint="eastAsia"/>
                <w:b w:val="0"/>
                <w:bCs w:val="0"/>
                <w:snapToGrid w:val="0"/>
                <w:color w:val="000000" w:themeColor="text1"/>
                <w:kern w:val="0"/>
                <w:lang w:val="en-US" w:eastAsia="zh-CN"/>
                <w14:textFill>
                  <w14:solidFill>
                    <w14:schemeClr w14:val="tx1"/>
                  </w14:solidFill>
                </w14:textFill>
              </w:rPr>
              <w:t>回收系统中</w:t>
            </w:r>
          </w:p>
        </w:tc>
      </w:tr>
      <w:tr w14:paraId="6CE11A0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0" w:hRule="atLeast"/>
        </w:trPr>
        <w:tc>
          <w:tcPr>
            <w:tcW w:w="536" w:type="dxa"/>
            <w:tcBorders>
              <w:tl2br w:val="nil"/>
              <w:tr2bl w:val="nil"/>
            </w:tcBorders>
            <w:shd w:val="clear" w:color="auto" w:fill="auto"/>
            <w:vAlign w:val="center"/>
          </w:tcPr>
          <w:p w14:paraId="2617EF43">
            <w:pPr>
              <w:pStyle w:val="143"/>
              <w:ind w:firstLine="0" w:firstLineChars="0"/>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28</w:t>
            </w:r>
          </w:p>
        </w:tc>
        <w:tc>
          <w:tcPr>
            <w:tcW w:w="927" w:type="pct"/>
            <w:tcBorders>
              <w:tl2br w:val="nil"/>
              <w:tr2bl w:val="nil"/>
            </w:tcBorders>
            <w:shd w:val="clear" w:color="auto" w:fill="auto"/>
            <w:vAlign w:val="center"/>
          </w:tcPr>
          <w:p w14:paraId="369EC3FA">
            <w:pPr>
              <w:pStyle w:val="143"/>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机油</w:t>
            </w:r>
          </w:p>
        </w:tc>
        <w:tc>
          <w:tcPr>
            <w:tcW w:w="829" w:type="pct"/>
            <w:tcBorders>
              <w:tl2br w:val="nil"/>
              <w:tr2bl w:val="nil"/>
            </w:tcBorders>
            <w:shd w:val="clear" w:color="auto" w:fill="auto"/>
            <w:vAlign w:val="center"/>
          </w:tcPr>
          <w:p w14:paraId="1959B50D">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w:t>
            </w:r>
          </w:p>
        </w:tc>
        <w:tc>
          <w:tcPr>
            <w:tcW w:w="688" w:type="pct"/>
            <w:tcBorders>
              <w:tl2br w:val="nil"/>
              <w:tr2bl w:val="nil"/>
            </w:tcBorders>
            <w:shd w:val="clear" w:color="auto" w:fill="auto"/>
            <w:vAlign w:val="center"/>
          </w:tcPr>
          <w:p w14:paraId="375B166B">
            <w:pPr>
              <w:pStyle w:val="143"/>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1</w:t>
            </w:r>
          </w:p>
        </w:tc>
        <w:tc>
          <w:tcPr>
            <w:tcW w:w="554" w:type="pct"/>
            <w:tcBorders>
              <w:tl2br w:val="nil"/>
              <w:tr2bl w:val="nil"/>
            </w:tcBorders>
            <w:shd w:val="clear" w:color="auto" w:fill="auto"/>
            <w:vAlign w:val="center"/>
          </w:tcPr>
          <w:p w14:paraId="0C2C95BD">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t</w:t>
            </w:r>
          </w:p>
        </w:tc>
        <w:tc>
          <w:tcPr>
            <w:tcW w:w="873" w:type="pct"/>
            <w:tcBorders>
              <w:tl2br w:val="nil"/>
              <w:tr2bl w:val="nil"/>
            </w:tcBorders>
            <w:shd w:val="clear" w:color="auto" w:fill="auto"/>
            <w:vAlign w:val="center"/>
          </w:tcPr>
          <w:p w14:paraId="3580E005">
            <w:pPr>
              <w:pStyle w:val="143"/>
              <w:rPr>
                <w:rFonts w:hint="default"/>
                <w:b w:val="0"/>
                <w:bCs w:val="0"/>
                <w:snapToGrid w:val="0"/>
                <w:color w:val="000000" w:themeColor="text1"/>
                <w:kern w:val="0"/>
                <w:lang w:val="en-US" w:eastAsia="zh-CN"/>
                <w14:textFill>
                  <w14:solidFill>
                    <w14:schemeClr w14:val="tx1"/>
                  </w14:solidFill>
                </w14:textFill>
              </w:rPr>
            </w:pPr>
            <w:r>
              <w:rPr>
                <w:rFonts w:hint="eastAsia"/>
                <w:b w:val="0"/>
                <w:bCs w:val="0"/>
                <w:snapToGrid w:val="0"/>
                <w:color w:val="000000" w:themeColor="text1"/>
                <w:kern w:val="0"/>
                <w:lang w:val="en-US" w:eastAsia="zh-CN"/>
                <w14:textFill>
                  <w14:solidFill>
                    <w14:schemeClr w14:val="tx1"/>
                  </w14:solidFill>
                </w14:textFill>
              </w:rPr>
              <w:t>矿物油</w:t>
            </w:r>
          </w:p>
        </w:tc>
        <w:tc>
          <w:tcPr>
            <w:tcW w:w="793" w:type="pct"/>
            <w:tcBorders>
              <w:tl2br w:val="nil"/>
              <w:tr2bl w:val="nil"/>
            </w:tcBorders>
            <w:shd w:val="clear" w:color="auto" w:fill="auto"/>
            <w:vAlign w:val="center"/>
          </w:tcPr>
          <w:p w14:paraId="3AB4BBA7">
            <w:pPr>
              <w:pStyle w:val="143"/>
              <w:rPr>
                <w:rFonts w:hint="default"/>
                <w:b w:val="0"/>
                <w:bCs w:val="0"/>
                <w:snapToGrid w:val="0"/>
                <w:color w:val="000000" w:themeColor="text1"/>
                <w:kern w:val="0"/>
                <w:lang w:val="en-US" w:eastAsia="zh-CN"/>
                <w14:textFill>
                  <w14:solidFill>
                    <w14:schemeClr w14:val="tx1"/>
                  </w14:solidFill>
                </w14:textFill>
              </w:rPr>
            </w:pPr>
            <w:r>
              <w:rPr>
                <w:rFonts w:hint="eastAsia" w:ascii="Times New Roman" w:hAnsi="Times New Roman" w:eastAsia="宋体"/>
                <w:b w:val="0"/>
                <w:bCs w:val="0"/>
                <w:snapToGrid w:val="0"/>
                <w:color w:val="000000" w:themeColor="text1"/>
                <w:kern w:val="0"/>
                <w:lang w:val="en-US" w:eastAsia="zh-CN"/>
                <w14:textFill>
                  <w14:solidFill>
                    <w14:schemeClr w14:val="tx1"/>
                  </w14:solidFill>
                </w14:textFill>
              </w:rPr>
              <w:t>物料间</w:t>
            </w:r>
          </w:p>
        </w:tc>
      </w:tr>
    </w:tbl>
    <w:p w14:paraId="7E9E5268">
      <w:pPr>
        <w:pStyle w:val="206"/>
        <w:rPr>
          <w:rFonts w:hint="eastAsia" w:eastAsia="黑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表</w:t>
      </w:r>
      <w:r>
        <w:rPr>
          <w:color w:val="000000" w:themeColor="text1"/>
          <w:lang w:val="en-US"/>
          <w14:textFill>
            <w14:solidFill>
              <w14:schemeClr w14:val="tx1"/>
            </w14:solidFill>
          </w14:textFill>
        </w:rPr>
        <w:t>3-2-</w:t>
      </w:r>
      <w:r>
        <w:rPr>
          <w:rFonts w:hint="eastAsia"/>
          <w:color w:val="000000" w:themeColor="text1"/>
          <w:lang w:val="en-US" w:eastAsia="zh-CN"/>
          <w14:textFill>
            <w14:solidFill>
              <w14:schemeClr w14:val="tx1"/>
            </w14:solidFill>
          </w14:textFill>
        </w:rPr>
        <w:t>4</w:t>
      </w:r>
      <w:r>
        <w:rPr>
          <w:color w:val="000000" w:themeColor="text1"/>
          <w:lang w:val="en-US"/>
          <w14:textFill>
            <w14:solidFill>
              <w14:schemeClr w14:val="tx1"/>
            </w14:solidFill>
          </w14:textFill>
        </w:rPr>
        <w:t xml:space="preserve"> </w:t>
      </w:r>
      <w:r>
        <w:rPr>
          <w:rFonts w:hint="eastAsia"/>
          <w:color w:val="000000" w:themeColor="text1"/>
          <w:lang w:val="en-US" w:eastAsia="zh-CN"/>
          <w14:textFill>
            <w14:solidFill>
              <w14:schemeClr w14:val="tx1"/>
            </w14:solidFill>
          </w14:textFill>
        </w:rPr>
        <w:t>产品方案一览表</w:t>
      </w:r>
    </w:p>
    <w:tbl>
      <w:tblPr>
        <w:tblStyle w:val="418"/>
        <w:tblW w:w="4873"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84"/>
        <w:gridCol w:w="2123"/>
        <w:gridCol w:w="1574"/>
        <w:gridCol w:w="3814"/>
      </w:tblGrid>
      <w:tr w14:paraId="086032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4"/>
            <w:vAlign w:val="center"/>
          </w:tcPr>
          <w:p w14:paraId="50761817">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产品</w:t>
            </w:r>
          </w:p>
        </w:tc>
      </w:tr>
      <w:tr w14:paraId="232FA0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61" w:type="pct"/>
            <w:vAlign w:val="center"/>
          </w:tcPr>
          <w:p w14:paraId="316543FA">
            <w:pPr>
              <w:pStyle w:val="143"/>
              <w:rPr>
                <w:snapToGrid w:val="0"/>
                <w:color w:val="000000" w:themeColor="text1"/>
                <w:kern w:val="0"/>
                <w:lang w:val="en-US" w:eastAsia="zh-CN"/>
                <w14:textFill>
                  <w14:solidFill>
                    <w14:schemeClr w14:val="tx1"/>
                  </w14:solidFill>
                </w14:textFill>
              </w:rPr>
            </w:pPr>
            <w:r>
              <w:rPr>
                <w:b/>
                <w:bCs/>
                <w:snapToGrid w:val="0"/>
                <w:color w:val="000000" w:themeColor="text1"/>
                <w:kern w:val="0"/>
                <w:lang w:val="en-US"/>
                <w14:textFill>
                  <w14:solidFill>
                    <w14:schemeClr w14:val="tx1"/>
                  </w14:solidFill>
                </w14:textFill>
              </w:rPr>
              <w:t>序号</w:t>
            </w:r>
          </w:p>
        </w:tc>
        <w:tc>
          <w:tcPr>
            <w:tcW w:w="1311" w:type="pct"/>
            <w:vAlign w:val="center"/>
          </w:tcPr>
          <w:p w14:paraId="01F1EDE2">
            <w:pPr>
              <w:pStyle w:val="143"/>
              <w:rPr>
                <w:snapToGrid w:val="0"/>
                <w:color w:val="000000" w:themeColor="text1"/>
                <w:kern w:val="0"/>
                <w:lang w:val="en-US" w:eastAsia="zh-CN"/>
                <w14:textFill>
                  <w14:solidFill>
                    <w14:schemeClr w14:val="tx1"/>
                  </w14:solidFill>
                </w14:textFill>
              </w:rPr>
            </w:pPr>
            <w:r>
              <w:rPr>
                <w:rFonts w:hint="eastAsia"/>
                <w:b/>
                <w:bCs/>
                <w:snapToGrid w:val="0"/>
                <w:color w:val="000000" w:themeColor="text1"/>
                <w:kern w:val="0"/>
                <w:lang w:val="en-US" w:eastAsia="zh-CN"/>
                <w14:textFill>
                  <w14:solidFill>
                    <w14:schemeClr w14:val="tx1"/>
                  </w14:solidFill>
                </w14:textFill>
              </w:rPr>
              <w:t>产品</w:t>
            </w:r>
            <w:r>
              <w:rPr>
                <w:b/>
                <w:bCs/>
                <w:snapToGrid w:val="0"/>
                <w:color w:val="000000" w:themeColor="text1"/>
                <w:kern w:val="0"/>
                <w:lang w:val="en-US"/>
                <w14:textFill>
                  <w14:solidFill>
                    <w14:schemeClr w14:val="tx1"/>
                  </w14:solidFill>
                </w14:textFill>
              </w:rPr>
              <w:t>名称</w:t>
            </w:r>
          </w:p>
        </w:tc>
        <w:tc>
          <w:tcPr>
            <w:tcW w:w="972" w:type="pct"/>
            <w:vAlign w:val="center"/>
          </w:tcPr>
          <w:p w14:paraId="1DEBEBC5">
            <w:pPr>
              <w:pStyle w:val="143"/>
              <w:rPr>
                <w:snapToGrid w:val="0"/>
                <w:color w:val="000000" w:themeColor="text1"/>
                <w:kern w:val="0"/>
                <w:lang w:val="en-US"/>
                <w14:textFill>
                  <w14:solidFill>
                    <w14:schemeClr w14:val="tx1"/>
                  </w14:solidFill>
                </w14:textFill>
              </w:rPr>
            </w:pPr>
            <w:r>
              <w:rPr>
                <w:b/>
                <w:bCs/>
                <w:snapToGrid w:val="0"/>
                <w:color w:val="000000" w:themeColor="text1"/>
                <w:kern w:val="0"/>
                <w:lang w:val="en-US"/>
                <w14:textFill>
                  <w14:solidFill>
                    <w14:schemeClr w14:val="tx1"/>
                  </w14:solidFill>
                </w14:textFill>
              </w:rPr>
              <w:t>年</w:t>
            </w:r>
            <w:r>
              <w:rPr>
                <w:rFonts w:hint="eastAsia"/>
                <w:b/>
                <w:bCs/>
                <w:snapToGrid w:val="0"/>
                <w:color w:val="000000" w:themeColor="text1"/>
                <w:kern w:val="0"/>
                <w:lang w:val="en-US" w:eastAsia="zh-CN"/>
                <w14:textFill>
                  <w14:solidFill>
                    <w14:schemeClr w14:val="tx1"/>
                  </w14:solidFill>
                </w14:textFill>
              </w:rPr>
              <w:t>产</w:t>
            </w:r>
            <w:r>
              <w:rPr>
                <w:b/>
                <w:bCs/>
                <w:snapToGrid w:val="0"/>
                <w:color w:val="000000" w:themeColor="text1"/>
                <w:kern w:val="0"/>
                <w:lang w:val="en-US"/>
                <w14:textFill>
                  <w14:solidFill>
                    <w14:schemeClr w14:val="tx1"/>
                  </w14:solidFill>
                </w14:textFill>
              </w:rPr>
              <w:t>量kL/a</w:t>
            </w:r>
          </w:p>
        </w:tc>
        <w:tc>
          <w:tcPr>
            <w:tcW w:w="2354" w:type="pct"/>
            <w:vAlign w:val="center"/>
          </w:tcPr>
          <w:p w14:paraId="68311D94">
            <w:pPr>
              <w:pStyle w:val="143"/>
              <w:rPr>
                <w:snapToGrid w:val="0"/>
                <w:color w:val="000000" w:themeColor="text1"/>
                <w:kern w:val="0"/>
                <w:lang w:val="en-US"/>
                <w14:textFill>
                  <w14:solidFill>
                    <w14:schemeClr w14:val="tx1"/>
                  </w14:solidFill>
                </w14:textFill>
              </w:rPr>
            </w:pPr>
            <w:r>
              <w:rPr>
                <w:rFonts w:hint="eastAsia"/>
                <w:b/>
                <w:bCs/>
                <w:snapToGrid w:val="0"/>
                <w:color w:val="000000" w:themeColor="text1"/>
                <w:kern w:val="0"/>
                <w:lang w:val="en-US" w:eastAsia="zh-CN"/>
                <w14:textFill>
                  <w14:solidFill>
                    <w14:schemeClr w14:val="tx1"/>
                  </w14:solidFill>
                </w14:textFill>
              </w:rPr>
              <w:t>规格m</w:t>
            </w:r>
            <w:r>
              <w:rPr>
                <w:b/>
                <w:bCs/>
                <w:snapToGrid w:val="0"/>
                <w:color w:val="000000" w:themeColor="text1"/>
                <w:kern w:val="0"/>
                <w:lang w:val="en-US" w:eastAsia="zh-CN"/>
                <w14:textFill>
                  <w14:solidFill>
                    <w14:schemeClr w14:val="tx1"/>
                  </w14:solidFill>
                </w14:textFill>
              </w:rPr>
              <w:t>L</w:t>
            </w:r>
          </w:p>
        </w:tc>
      </w:tr>
      <w:tr w14:paraId="28B326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61" w:type="pct"/>
            <w:vAlign w:val="center"/>
          </w:tcPr>
          <w:p w14:paraId="7F4BB0D2">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w:t>
            </w:r>
          </w:p>
        </w:tc>
        <w:tc>
          <w:tcPr>
            <w:tcW w:w="1311" w:type="pct"/>
            <w:vAlign w:val="center"/>
          </w:tcPr>
          <w:p w14:paraId="49F88D71">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优级精酿啤酒</w:t>
            </w:r>
          </w:p>
        </w:tc>
        <w:tc>
          <w:tcPr>
            <w:tcW w:w="972" w:type="pct"/>
            <w:vAlign w:val="center"/>
          </w:tcPr>
          <w:p w14:paraId="46BE615D">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7500</w:t>
            </w:r>
          </w:p>
        </w:tc>
        <w:tc>
          <w:tcPr>
            <w:tcW w:w="2354" w:type="pct"/>
            <w:vAlign w:val="center"/>
          </w:tcPr>
          <w:p w14:paraId="63673A04">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w:t>
            </w:r>
            <w:r>
              <w:rPr>
                <w:snapToGrid w:val="0"/>
                <w:color w:val="000000" w:themeColor="text1"/>
                <w:kern w:val="0"/>
                <w:lang w:val="en-US" w:eastAsia="zh-CN"/>
                <w14:textFill>
                  <w14:solidFill>
                    <w14:schemeClr w14:val="tx1"/>
                  </w14:solidFill>
                </w14:textFill>
              </w:rPr>
              <w:t>30</w:t>
            </w:r>
          </w:p>
        </w:tc>
      </w:tr>
      <w:tr w14:paraId="46A8F7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61" w:type="pct"/>
            <w:vAlign w:val="center"/>
          </w:tcPr>
          <w:p w14:paraId="7767A92C">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w:t>
            </w:r>
          </w:p>
        </w:tc>
        <w:tc>
          <w:tcPr>
            <w:tcW w:w="1311" w:type="pct"/>
            <w:vAlign w:val="center"/>
          </w:tcPr>
          <w:p w14:paraId="244C7A81">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优级精酿啤酒</w:t>
            </w:r>
          </w:p>
        </w:tc>
        <w:tc>
          <w:tcPr>
            <w:tcW w:w="972" w:type="pct"/>
            <w:vAlign w:val="center"/>
          </w:tcPr>
          <w:p w14:paraId="4F77450A">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10500</w:t>
            </w:r>
          </w:p>
        </w:tc>
        <w:tc>
          <w:tcPr>
            <w:tcW w:w="2354" w:type="pct"/>
            <w:vAlign w:val="center"/>
          </w:tcPr>
          <w:p w14:paraId="08C841AB">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w:t>
            </w:r>
            <w:r>
              <w:rPr>
                <w:snapToGrid w:val="0"/>
                <w:color w:val="000000" w:themeColor="text1"/>
                <w:kern w:val="0"/>
                <w:lang w:val="en-US" w:eastAsia="zh-CN"/>
                <w14:textFill>
                  <w14:solidFill>
                    <w14:schemeClr w14:val="tx1"/>
                  </w14:solidFill>
                </w14:textFill>
              </w:rPr>
              <w:t>00</w:t>
            </w:r>
          </w:p>
        </w:tc>
      </w:tr>
      <w:tr w14:paraId="1668D0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61" w:type="pct"/>
            <w:vAlign w:val="center"/>
          </w:tcPr>
          <w:p w14:paraId="544542FC">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w:t>
            </w:r>
          </w:p>
        </w:tc>
        <w:tc>
          <w:tcPr>
            <w:tcW w:w="1311" w:type="pct"/>
            <w:vAlign w:val="center"/>
          </w:tcPr>
          <w:p w14:paraId="4F7EDADE">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优级精酿啤酒</w:t>
            </w:r>
          </w:p>
        </w:tc>
        <w:tc>
          <w:tcPr>
            <w:tcW w:w="972" w:type="pct"/>
            <w:vAlign w:val="center"/>
          </w:tcPr>
          <w:p w14:paraId="4022DF74">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4500</w:t>
            </w:r>
          </w:p>
        </w:tc>
        <w:tc>
          <w:tcPr>
            <w:tcW w:w="2354" w:type="pct"/>
            <w:vAlign w:val="center"/>
          </w:tcPr>
          <w:p w14:paraId="08327D95">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7</w:t>
            </w:r>
            <w:r>
              <w:rPr>
                <w:snapToGrid w:val="0"/>
                <w:color w:val="000000" w:themeColor="text1"/>
                <w:kern w:val="0"/>
                <w:lang w:val="en-US" w:eastAsia="zh-CN"/>
                <w14:textFill>
                  <w14:solidFill>
                    <w14:schemeClr w14:val="tx1"/>
                  </w14:solidFill>
                </w14:textFill>
              </w:rPr>
              <w:t>00</w:t>
            </w:r>
          </w:p>
        </w:tc>
      </w:tr>
      <w:tr w14:paraId="19659C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61" w:type="pct"/>
            <w:vAlign w:val="center"/>
          </w:tcPr>
          <w:p w14:paraId="4B48303A">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w:t>
            </w:r>
          </w:p>
        </w:tc>
        <w:tc>
          <w:tcPr>
            <w:tcW w:w="1311" w:type="pct"/>
            <w:vAlign w:val="center"/>
          </w:tcPr>
          <w:p w14:paraId="6A42CD8A">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优级精酿啤酒</w:t>
            </w:r>
          </w:p>
        </w:tc>
        <w:tc>
          <w:tcPr>
            <w:tcW w:w="972" w:type="pct"/>
            <w:vAlign w:val="center"/>
          </w:tcPr>
          <w:p w14:paraId="2675FE5D">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3000</w:t>
            </w:r>
          </w:p>
        </w:tc>
        <w:tc>
          <w:tcPr>
            <w:tcW w:w="2354" w:type="pct"/>
            <w:vAlign w:val="center"/>
          </w:tcPr>
          <w:p w14:paraId="02E31B72">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7</w:t>
            </w:r>
            <w:r>
              <w:rPr>
                <w:snapToGrid w:val="0"/>
                <w:color w:val="000000" w:themeColor="text1"/>
                <w:kern w:val="0"/>
                <w:lang w:val="en-US" w:eastAsia="zh-CN"/>
                <w14:textFill>
                  <w14:solidFill>
                    <w14:schemeClr w14:val="tx1"/>
                  </w14:solidFill>
                </w14:textFill>
              </w:rPr>
              <w:t>50</w:t>
            </w:r>
          </w:p>
        </w:tc>
      </w:tr>
      <w:tr w14:paraId="08FAF3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61" w:type="pct"/>
            <w:vAlign w:val="center"/>
          </w:tcPr>
          <w:p w14:paraId="6FAE25E4">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w:t>
            </w:r>
          </w:p>
        </w:tc>
        <w:tc>
          <w:tcPr>
            <w:tcW w:w="1311" w:type="pct"/>
            <w:vAlign w:val="center"/>
          </w:tcPr>
          <w:p w14:paraId="625FB2AE">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生啤</w:t>
            </w:r>
          </w:p>
        </w:tc>
        <w:tc>
          <w:tcPr>
            <w:tcW w:w="972" w:type="pct"/>
            <w:vAlign w:val="center"/>
          </w:tcPr>
          <w:p w14:paraId="3D91D23D">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4500</w:t>
            </w:r>
          </w:p>
        </w:tc>
        <w:tc>
          <w:tcPr>
            <w:tcW w:w="2354" w:type="pct"/>
            <w:vAlign w:val="center"/>
          </w:tcPr>
          <w:p w14:paraId="0D6AAA84">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w:t>
            </w:r>
            <w:r>
              <w:rPr>
                <w:snapToGrid w:val="0"/>
                <w:color w:val="000000" w:themeColor="text1"/>
                <w:kern w:val="0"/>
                <w:lang w:val="en-US" w:eastAsia="zh-CN"/>
                <w14:textFill>
                  <w14:solidFill>
                    <w14:schemeClr w14:val="tx1"/>
                  </w14:solidFill>
                </w14:textFill>
              </w:rPr>
              <w:t>500</w:t>
            </w:r>
          </w:p>
        </w:tc>
      </w:tr>
      <w:tr w14:paraId="78C98E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72" w:type="pct"/>
            <w:gridSpan w:val="2"/>
            <w:vAlign w:val="center"/>
          </w:tcPr>
          <w:p w14:paraId="4C8B0A8B">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产品执行标准</w:t>
            </w:r>
          </w:p>
        </w:tc>
        <w:tc>
          <w:tcPr>
            <w:tcW w:w="3327" w:type="pct"/>
            <w:gridSpan w:val="2"/>
            <w:vAlign w:val="center"/>
          </w:tcPr>
          <w:p w14:paraId="30403575">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执行《啤酒》（G</w:t>
            </w:r>
            <w:r>
              <w:rPr>
                <w:snapToGrid w:val="0"/>
                <w:color w:val="000000" w:themeColor="text1"/>
                <w:kern w:val="0"/>
                <w:lang w:val="en-US" w:eastAsia="zh-CN"/>
                <w14:textFill>
                  <w14:solidFill>
                    <w14:schemeClr w14:val="tx1"/>
                  </w14:solidFill>
                </w14:textFill>
              </w:rPr>
              <w:t>B/T 4927-2008</w:t>
            </w:r>
            <w:r>
              <w:rPr>
                <w:rFonts w:hint="eastAsia"/>
                <w:snapToGrid w:val="0"/>
                <w:color w:val="000000" w:themeColor="text1"/>
                <w:kern w:val="0"/>
                <w:lang w:val="en-US" w:eastAsia="zh-CN"/>
                <w14:textFill>
                  <w14:solidFill>
                    <w14:schemeClr w14:val="tx1"/>
                  </w14:solidFill>
                </w14:textFill>
              </w:rPr>
              <w:t>）要求</w:t>
            </w:r>
          </w:p>
        </w:tc>
      </w:tr>
    </w:tbl>
    <w:p w14:paraId="01ED7FFE">
      <w:pPr>
        <w:pStyle w:val="85"/>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1、天然气使用量</w:t>
      </w:r>
    </w:p>
    <w:p w14:paraId="5CCE98AD">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本次环评按照</w:t>
      </w:r>
      <w:r>
        <w:rPr>
          <w:color w:val="000000" w:themeColor="text1"/>
          <w14:textFill>
            <w14:solidFill>
              <w14:schemeClr w14:val="tx1"/>
            </w14:solidFill>
          </w14:textFill>
        </w:rPr>
        <w:t>3台</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t/h</w:t>
      </w:r>
      <w:r>
        <w:rPr>
          <w:rFonts w:hint="eastAsia"/>
          <w:color w:val="000000" w:themeColor="text1"/>
          <w:lang w:val="en-US" w:eastAsia="zh-CN"/>
          <w14:textFill>
            <w14:solidFill>
              <w14:schemeClr w14:val="tx1"/>
            </w14:solidFill>
          </w14:textFill>
        </w:rPr>
        <w:t>的蒸汽锅炉最大热负荷计算燃料量及污染物排放量。</w:t>
      </w:r>
      <w:r>
        <w:rPr>
          <w:color w:val="000000" w:themeColor="text1"/>
          <w14:textFill>
            <w14:solidFill>
              <w14:schemeClr w14:val="tx1"/>
            </w14:solidFill>
          </w14:textFill>
        </w:rPr>
        <w:t>3台</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t/h</w:t>
      </w:r>
      <w:r>
        <w:rPr>
          <w:rFonts w:hint="eastAsia"/>
          <w:color w:val="000000" w:themeColor="text1"/>
          <w:lang w:eastAsia="zh-CN"/>
          <w14:textFill>
            <w14:solidFill>
              <w14:schemeClr w14:val="tx1"/>
            </w14:solidFill>
          </w14:textFill>
        </w:rPr>
        <w:t>燃气</w:t>
      </w:r>
      <w:r>
        <w:rPr>
          <w:color w:val="000000" w:themeColor="text1"/>
          <w14:textFill>
            <w14:solidFill>
              <w14:schemeClr w14:val="tx1"/>
            </w14:solidFill>
          </w14:textFill>
        </w:rPr>
        <w:t>锅炉</w:t>
      </w:r>
      <w:r>
        <w:rPr>
          <w:rFonts w:hint="eastAsia"/>
          <w:color w:val="000000" w:themeColor="text1"/>
          <w14:textFill>
            <w14:solidFill>
              <w14:schemeClr w14:val="tx1"/>
            </w14:solidFill>
          </w14:textFill>
        </w:rPr>
        <w:t>发热量为</w:t>
      </w:r>
      <w:r>
        <w:rPr>
          <w:rFonts w:hint="eastAsia"/>
          <w:color w:val="000000" w:themeColor="text1"/>
          <w:lang w:val="en-US" w:eastAsia="zh-CN"/>
          <w14:textFill>
            <w14:solidFill>
              <w14:schemeClr w14:val="tx1"/>
            </w14:solidFill>
          </w14:textFill>
        </w:rPr>
        <w:t>720</w:t>
      </w:r>
      <w:r>
        <w:rPr>
          <w:rFonts w:hint="eastAsia"/>
          <w:color w:val="000000" w:themeColor="text1"/>
          <w14:textFill>
            <w14:solidFill>
              <w14:schemeClr w14:val="tx1"/>
            </w14:solidFill>
          </w14:textFill>
        </w:rPr>
        <w:t>万kcal/h，本项目锅炉年运行</w:t>
      </w:r>
      <w:r>
        <w:rPr>
          <w:rFonts w:hint="eastAsia"/>
          <w:color w:val="000000" w:themeColor="text1"/>
          <w:lang w:val="en-US" w:eastAsia="zh-CN"/>
          <w14:textFill>
            <w14:solidFill>
              <w14:schemeClr w14:val="tx1"/>
            </w14:solidFill>
          </w14:textFill>
        </w:rPr>
        <w:t>7200</w:t>
      </w:r>
      <w:r>
        <w:rPr>
          <w:rFonts w:hint="eastAsia"/>
          <w:color w:val="000000" w:themeColor="text1"/>
          <w14:textFill>
            <w14:solidFill>
              <w14:schemeClr w14:val="tx1"/>
            </w14:solidFill>
          </w14:textFill>
        </w:rPr>
        <w:t>h</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年运行300天，每天24h）</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因此最大可提供</w:t>
      </w:r>
      <w:bookmarkStart w:id="96" w:name="OLE_LINK21"/>
      <w:r>
        <w:rPr>
          <w:rFonts w:hint="eastAsia"/>
          <w:color w:val="000000" w:themeColor="text1"/>
          <w:lang w:val="en-US" w:eastAsia="zh-CN"/>
          <w14:textFill>
            <w14:solidFill>
              <w14:schemeClr w14:val="tx1"/>
            </w14:solidFill>
          </w14:textFill>
        </w:rPr>
        <w:t>5.184</w:t>
      </w:r>
      <w:r>
        <w:rPr>
          <w:rFonts w:hint="eastAsia"/>
          <w:color w:val="000000" w:themeColor="text1"/>
          <w14:textFill>
            <w14:solidFill>
              <w14:schemeClr w14:val="tx1"/>
            </w14:solidFill>
          </w14:textFill>
        </w:rPr>
        <w:t>×10</w:t>
      </w:r>
      <w:bookmarkEnd w:id="96"/>
      <w:r>
        <w:rPr>
          <w:rFonts w:hint="eastAsia"/>
          <w:color w:val="000000" w:themeColor="text1"/>
          <w:vertAlign w:val="superscript"/>
          <w:lang w:val="en-US" w:eastAsia="zh-CN"/>
          <w14:textFill>
            <w14:solidFill>
              <w14:schemeClr w14:val="tx1"/>
            </w14:solidFill>
          </w14:textFill>
        </w:rPr>
        <w:t>10</w:t>
      </w:r>
      <w:r>
        <w:rPr>
          <w:rFonts w:hint="eastAsia"/>
          <w:color w:val="000000" w:themeColor="text1"/>
          <w14:textFill>
            <w14:solidFill>
              <w14:schemeClr w14:val="tx1"/>
            </w14:solidFill>
          </w14:textFill>
        </w:rPr>
        <w:t>kcal/a</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根据企业提供锅炉热效率为8</w:t>
      </w: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%计，</w:t>
      </w:r>
      <w:r>
        <w:rPr>
          <w:rFonts w:hint="eastAsia"/>
          <w:color w:val="000000" w:themeColor="text1"/>
          <w:lang w:val="en-US" w:eastAsia="zh-CN"/>
          <w14:textFill>
            <w14:solidFill>
              <w14:schemeClr w14:val="tx1"/>
            </w14:solidFill>
          </w14:textFill>
        </w:rPr>
        <w:t>天然气燃料</w:t>
      </w:r>
      <w:r>
        <w:rPr>
          <w:rFonts w:hint="eastAsia"/>
          <w:color w:val="000000" w:themeColor="text1"/>
          <w14:textFill>
            <w14:solidFill>
              <w14:schemeClr w14:val="tx1"/>
            </w14:solidFill>
          </w14:textFill>
        </w:rPr>
        <w:t>收到基低位热值为</w:t>
      </w:r>
      <w:r>
        <w:rPr>
          <w:rFonts w:hint="eastAsia"/>
          <w:color w:val="000000" w:themeColor="text1"/>
          <w:lang w:val="en-US" w:eastAsia="zh-CN"/>
          <w14:textFill>
            <w14:solidFill>
              <w14:schemeClr w14:val="tx1"/>
            </w14:solidFill>
          </w14:textFill>
        </w:rPr>
        <w:t>33.10</w:t>
      </w:r>
      <w:r>
        <w:rPr>
          <w:rFonts w:hint="eastAsia"/>
          <w:color w:val="000000" w:themeColor="text1"/>
          <w14:textFill>
            <w14:solidFill>
              <w14:schemeClr w14:val="tx1"/>
            </w14:solidFill>
          </w14:textFill>
        </w:rPr>
        <w:t>MJ/m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，通过热值平衡折算，</w:t>
      </w:r>
      <w:r>
        <w:rPr>
          <w:rFonts w:hint="eastAsia"/>
          <w:color w:val="000000" w:themeColor="text1"/>
          <w:lang w:val="en-US" w:eastAsia="zh-CN"/>
          <w14:textFill>
            <w14:solidFill>
              <w14:schemeClr w14:val="tx1"/>
            </w14:solidFill>
          </w14:textFill>
        </w:rPr>
        <w:t>天然气</w:t>
      </w:r>
      <w:r>
        <w:rPr>
          <w:rFonts w:hint="eastAsia"/>
          <w:color w:val="000000" w:themeColor="text1"/>
          <w14:textFill>
            <w14:solidFill>
              <w14:schemeClr w14:val="tx1"/>
            </w14:solidFill>
          </w14:textFill>
        </w:rPr>
        <w:t>使用量为</w:t>
      </w:r>
      <w:r>
        <w:rPr>
          <w:rFonts w:hint="eastAsia"/>
          <w:color w:val="000000" w:themeColor="text1"/>
          <w:lang w:val="en-US" w:eastAsia="zh-CN"/>
          <w14:textFill>
            <w14:solidFill>
              <w14:schemeClr w14:val="tx1"/>
            </w14:solidFill>
          </w14:textFill>
        </w:rPr>
        <w:t>771.43万m</w:t>
      </w:r>
      <w:r>
        <w:rPr>
          <w:rFonts w:hint="eastAsia"/>
          <w:color w:val="000000" w:themeColor="text1"/>
          <w:vertAlign w:val="superscript"/>
          <w:lang w:val="en-US" w:eastAsia="zh-CN"/>
          <w14:textFill>
            <w14:solidFill>
              <w14:schemeClr w14:val="tx1"/>
            </w14:solidFill>
          </w14:textFill>
        </w:rPr>
        <w:t>3</w:t>
      </w:r>
      <w:r>
        <w:rPr>
          <w:rFonts w:hint="eastAsia"/>
          <w:color w:val="000000" w:themeColor="text1"/>
          <w14:textFill>
            <w14:solidFill>
              <w14:schemeClr w14:val="tx1"/>
            </w14:solidFill>
          </w14:textFill>
        </w:rPr>
        <w:t>/a。</w:t>
      </w:r>
    </w:p>
    <w:p w14:paraId="65B49C93">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本项目涉及的危险化学品</w:t>
      </w:r>
    </w:p>
    <w:p w14:paraId="529CECB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NaOH：白色不透明固体，易潮解；熔点为318.1℃；沸点为1390℃；易溶于水、乙醇、甘油；不溶于丙酮；相对密度为2.12；饱和蒸汽压（KPa）为0.13（739℃），与酸发生中和反应并放热。遇潮时对铝、锌和锡有腐蚀性，并放出易燃易爆的氢气。本品不会燃烧，遇水和水蒸气大量放热，形成腐蚀性溶液。具有强腐蚀性。</w:t>
      </w:r>
    </w:p>
    <w:p w14:paraId="6932DBC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硝酸（浓度小于30%）：常温下纯硝酸无色透明、具有强氧化性、腐蚀性；易溶于水；熔点（℃）-42；沸点（℃）120.5；相对密度（水=1）1.41；强氧化剂。能与多种物质如金属粉末、电石、硫化氢、松节油等猛烈反应，甚至发生爆炸。与还原剂、可燃物如糖、纤维素、木屑、棉花、稻草或废纱头等接触，引起燃烧并散发出剧毒的棕色烟雾。具有强腐蚀性。</w:t>
      </w:r>
    </w:p>
    <w:p w14:paraId="3AB4EE9A">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过氧乙酸：易燃，加热至100℃时猛烈分解，遇火或受热、受震都可起爆。还原剂、促进剂、有机物、可燃物等接触剧烈反应，有燃烧爆炸危险。强腐蚀性。</w:t>
      </w:r>
    </w:p>
    <w:p w14:paraId="1C746363">
      <w:pPr>
        <w:pStyle w:val="6"/>
        <w:rPr>
          <w:snapToGrid w:val="0"/>
          <w:color w:val="000000" w:themeColor="text1"/>
          <w14:textFill>
            <w14:solidFill>
              <w14:schemeClr w14:val="tx1"/>
            </w14:solidFill>
          </w14:textFill>
        </w:rPr>
      </w:pPr>
      <w:bookmarkStart w:id="97" w:name="_Toc13996"/>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5</w:t>
      </w:r>
      <w:r>
        <w:rPr>
          <w:rFonts w:hint="eastAsia"/>
          <w:snapToGrid w:val="0"/>
          <w:color w:val="000000" w:themeColor="text1"/>
          <w14:textFill>
            <w14:solidFill>
              <w14:schemeClr w14:val="tx1"/>
            </w14:solidFill>
          </w14:textFill>
        </w:rPr>
        <w:t>本项目总平面</w:t>
      </w:r>
      <w:r>
        <w:rPr>
          <w:snapToGrid w:val="0"/>
          <w:color w:val="000000" w:themeColor="text1"/>
          <w14:textFill>
            <w14:solidFill>
              <w14:schemeClr w14:val="tx1"/>
            </w14:solidFill>
          </w14:textFill>
        </w:rPr>
        <w:t>布置合理性</w:t>
      </w:r>
      <w:r>
        <w:rPr>
          <w:rFonts w:hint="eastAsia"/>
          <w:snapToGrid w:val="0"/>
          <w:color w:val="000000" w:themeColor="text1"/>
          <w14:textFill>
            <w14:solidFill>
              <w14:schemeClr w14:val="tx1"/>
            </w14:solidFill>
          </w14:textFill>
        </w:rPr>
        <w:t>分析</w:t>
      </w:r>
      <w:bookmarkEnd w:id="97"/>
    </w:p>
    <w:p w14:paraId="23DD56B2">
      <w:pPr>
        <w:spacing w:line="48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总平面布置将全厂按功能分为以下区域：</w:t>
      </w:r>
    </w:p>
    <w:p w14:paraId="1CDF845F">
      <w:pPr>
        <w:numPr>
          <w:ilvl w:val="0"/>
          <w:numId w:val="7"/>
        </w:numPr>
        <w:spacing w:line="480" w:lineRule="exact"/>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酿造车间：功能包括</w:t>
      </w:r>
      <w:r>
        <w:rPr>
          <w:rFonts w:hint="eastAsia"/>
          <w:snapToGrid w:val="0"/>
          <w:color w:val="000000" w:themeColor="text1"/>
          <w:kern w:val="0"/>
          <w:szCs w:val="21"/>
          <w:lang w:val="en-US" w:eastAsia="zh-CN"/>
          <w14:textFill>
            <w14:solidFill>
              <w14:schemeClr w14:val="tx1"/>
            </w14:solidFill>
          </w14:textFill>
        </w:rPr>
        <w:t>原料处理间、糖化间、酒花库、啤酒处理车间、发酵罐区、控制室、化验及办公室、变配电、柴油发电机房、冷冻站、空压站、消防泵房、二氧化碳回收、锅炉房等</w:t>
      </w:r>
      <w:r>
        <w:rPr>
          <w:rFonts w:hint="eastAsia"/>
          <w:color w:val="000000" w:themeColor="text1"/>
          <w:lang w:val="en-US" w:eastAsia="zh-CN"/>
          <w14:textFill>
            <w14:solidFill>
              <w14:schemeClr w14:val="tx1"/>
            </w14:solidFill>
          </w14:textFill>
        </w:rPr>
        <w:t>。</w:t>
      </w:r>
    </w:p>
    <w:p w14:paraId="4FE32B8F">
      <w:pPr>
        <w:numPr>
          <w:ilvl w:val="0"/>
          <w:numId w:val="7"/>
        </w:numPr>
        <w:spacing w:line="480" w:lineRule="exact"/>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包装车间：</w:t>
      </w:r>
      <w:r>
        <w:rPr>
          <w:rFonts w:hint="eastAsia"/>
          <w:snapToGrid w:val="0"/>
          <w:color w:val="000000" w:themeColor="text1"/>
          <w:kern w:val="0"/>
          <w:szCs w:val="21"/>
          <w:lang w:val="en-US" w:eastAsia="zh-CN"/>
          <w14:textFill>
            <w14:solidFill>
              <w14:schemeClr w14:val="tx1"/>
            </w14:solidFill>
          </w14:textFill>
        </w:rPr>
        <w:t>空瓶空罐库、包装车间、成品中转库、高温冷藏库（5℃）。</w:t>
      </w:r>
    </w:p>
    <w:p w14:paraId="592DD05B">
      <w:pPr>
        <w:spacing w:line="480" w:lineRule="exact"/>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（3）生产辅助工程：污水处理站。</w:t>
      </w:r>
    </w:p>
    <w:p w14:paraId="6A6932DF">
      <w:pPr>
        <w:spacing w:line="480" w:lineRule="exact"/>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（3）生活辅助工程：倒班楼、办公楼。</w:t>
      </w:r>
    </w:p>
    <w:p w14:paraId="26129E83">
      <w:pPr>
        <w:spacing w:line="480" w:lineRule="exact"/>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（4）配套工程：配套门卫、绿化、围墙、厂区管网系统和厂区道路，参观走廊和室外管线等</w:t>
      </w:r>
    </w:p>
    <w:p w14:paraId="36EA75D3">
      <w:pPr>
        <w:spacing w:line="480" w:lineRule="exact"/>
        <w:rPr>
          <w:color w:val="000000" w:themeColor="text1"/>
          <w14:textFill>
            <w14:solidFill>
              <w14:schemeClr w14:val="tx1"/>
            </w14:solidFill>
          </w14:textFill>
        </w:rPr>
      </w:pPr>
      <w:r>
        <w:rPr>
          <w:color w:val="000000" w:themeColor="text1"/>
          <w14:textFill>
            <w14:solidFill>
              <w14:schemeClr w14:val="tx1"/>
            </w14:solidFill>
          </w14:textFill>
        </w:rPr>
        <w:t>综上所述，本项目场内</w:t>
      </w:r>
      <w:r>
        <w:rPr>
          <w:rFonts w:hint="eastAsia"/>
          <w:color w:val="000000" w:themeColor="text1"/>
          <w14:textFill>
            <w14:solidFill>
              <w14:schemeClr w14:val="tx1"/>
            </w14:solidFill>
          </w14:textFill>
        </w:rPr>
        <w:t>平面</w:t>
      </w:r>
      <w:r>
        <w:rPr>
          <w:color w:val="000000" w:themeColor="text1"/>
          <w14:textFill>
            <w14:solidFill>
              <w14:schemeClr w14:val="tx1"/>
            </w14:solidFill>
          </w14:textFill>
        </w:rPr>
        <w:t>布设合理，本项目总平面布置合理可行。</w:t>
      </w:r>
    </w:p>
    <w:p w14:paraId="568AA64D">
      <w:pPr>
        <w:pStyle w:val="6"/>
        <w:rPr>
          <w:snapToGrid w:val="0"/>
          <w:color w:val="000000" w:themeColor="text1"/>
          <w14:textFill>
            <w14:solidFill>
              <w14:schemeClr w14:val="tx1"/>
            </w14:solidFill>
          </w14:textFill>
        </w:rPr>
      </w:pPr>
      <w:bookmarkStart w:id="98" w:name="_Toc27002"/>
      <w:r>
        <w:rPr>
          <w:snapToGrid w:val="0"/>
          <w:color w:val="000000" w:themeColor="text1"/>
          <w14:textFill>
            <w14:solidFill>
              <w14:schemeClr w14:val="tx1"/>
            </w14:solidFill>
          </w14:textFill>
        </w:rPr>
        <w:t>3.2.6</w:t>
      </w:r>
      <w:r>
        <w:rPr>
          <w:rFonts w:hint="eastAsia"/>
          <w:snapToGrid w:val="0"/>
          <w:color w:val="000000" w:themeColor="text1"/>
          <w14:textFill>
            <w14:solidFill>
              <w14:schemeClr w14:val="tx1"/>
            </w14:solidFill>
          </w14:textFill>
        </w:rPr>
        <w:t>生产班制</w:t>
      </w:r>
      <w:r>
        <w:rPr>
          <w:snapToGrid w:val="0"/>
          <w:color w:val="000000" w:themeColor="text1"/>
          <w14:textFill>
            <w14:solidFill>
              <w14:schemeClr w14:val="tx1"/>
            </w14:solidFill>
          </w14:textFill>
        </w:rPr>
        <w:t>及</w:t>
      </w:r>
      <w:r>
        <w:rPr>
          <w:rFonts w:hint="eastAsia"/>
          <w:snapToGrid w:val="0"/>
          <w:color w:val="000000" w:themeColor="text1"/>
          <w14:textFill>
            <w14:solidFill>
              <w14:schemeClr w14:val="tx1"/>
            </w14:solidFill>
          </w14:textFill>
        </w:rPr>
        <w:t>劳动定员</w:t>
      </w:r>
      <w:bookmarkEnd w:id="98"/>
    </w:p>
    <w:p w14:paraId="439A4469">
      <w:pPr>
        <w:pStyle w:val="85"/>
        <w:rPr>
          <w:snapToGrid w:val="0"/>
          <w:color w:val="000000" w:themeColor="text1"/>
          <w14:textFill>
            <w14:solidFill>
              <w14:schemeClr w14:val="tx1"/>
            </w14:solidFill>
          </w14:textFill>
        </w:rPr>
      </w:pPr>
      <w:r>
        <w:rPr>
          <w:rFonts w:hint="eastAsia"/>
          <w:snapToGrid w:val="0"/>
          <w:color w:val="auto"/>
          <w:kern w:val="0"/>
        </w:rPr>
        <w:t>本项目劳动定员</w:t>
      </w:r>
      <w:r>
        <w:rPr>
          <w:rFonts w:hint="eastAsia"/>
          <w:snapToGrid w:val="0"/>
          <w:color w:val="auto"/>
          <w:kern w:val="0"/>
          <w:lang w:val="en-US" w:eastAsia="zh-CN"/>
        </w:rPr>
        <w:t>110人</w:t>
      </w:r>
      <w:r>
        <w:rPr>
          <w:rFonts w:hint="eastAsia"/>
          <w:snapToGrid w:val="0"/>
          <w:color w:val="auto"/>
          <w:kern w:val="0"/>
        </w:rPr>
        <w:t>。</w:t>
      </w:r>
      <w:r>
        <w:rPr>
          <w:rFonts w:hint="eastAsia"/>
          <w:snapToGrid w:val="0"/>
          <w:color w:val="000000" w:themeColor="text1"/>
          <w14:textFill>
            <w14:solidFill>
              <w14:schemeClr w14:val="tx1"/>
            </w14:solidFill>
          </w14:textFill>
        </w:rPr>
        <w:t>全年工作天数为300天，实行</w:t>
      </w:r>
      <w:r>
        <w:rPr>
          <w:rFonts w:hint="eastAsia"/>
          <w:snapToGrid w:val="0"/>
          <w:color w:val="000000" w:themeColor="text1"/>
          <w:lang w:val="en-US" w:eastAsia="zh-CN"/>
          <w14:textFill>
            <w14:solidFill>
              <w14:schemeClr w14:val="tx1"/>
            </w14:solidFill>
          </w14:textFill>
        </w:rPr>
        <w:t>三</w:t>
      </w:r>
      <w:r>
        <w:rPr>
          <w:rFonts w:hint="eastAsia"/>
          <w:snapToGrid w:val="0"/>
          <w:color w:val="000000" w:themeColor="text1"/>
          <w14:textFill>
            <w14:solidFill>
              <w14:schemeClr w14:val="tx1"/>
            </w14:solidFill>
          </w14:textFill>
        </w:rPr>
        <w:t>班制，每班8小时。</w:t>
      </w:r>
    </w:p>
    <w:p w14:paraId="3C9E9ADB">
      <w:pPr>
        <w:pStyle w:val="6"/>
        <w:rPr>
          <w:snapToGrid w:val="0"/>
          <w:color w:val="000000" w:themeColor="text1"/>
          <w14:textFill>
            <w14:solidFill>
              <w14:schemeClr w14:val="tx1"/>
            </w14:solidFill>
          </w14:textFill>
        </w:rPr>
      </w:pPr>
      <w:bookmarkStart w:id="99" w:name="_Toc18079"/>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7</w:t>
      </w:r>
      <w:r>
        <w:rPr>
          <w:rFonts w:hint="eastAsia"/>
          <w:snapToGrid w:val="0"/>
          <w:color w:val="000000" w:themeColor="text1"/>
          <w14:textFill>
            <w14:solidFill>
              <w14:schemeClr w14:val="tx1"/>
            </w14:solidFill>
          </w14:textFill>
        </w:rPr>
        <w:t>项目实施进度</w:t>
      </w:r>
      <w:bookmarkEnd w:id="99"/>
    </w:p>
    <w:p w14:paraId="2BA79455">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本项目建设进度应本着缩短建设周期，早投产，见效快的原则，本项目工程建设期约</w:t>
      </w:r>
      <w:r>
        <w:rPr>
          <w:rFonts w:hint="eastAsia"/>
          <w:snapToGrid w:val="0"/>
          <w:color w:val="000000" w:themeColor="text1"/>
          <w:kern w:val="0"/>
          <w:lang w:val="en-US" w:eastAsia="zh-CN"/>
          <w14:textFill>
            <w14:solidFill>
              <w14:schemeClr w14:val="tx1"/>
            </w14:solidFill>
          </w14:textFill>
        </w:rPr>
        <w:t>8</w:t>
      </w:r>
      <w:r>
        <w:rPr>
          <w:rFonts w:hint="eastAsia"/>
          <w:snapToGrid w:val="0"/>
          <w:color w:val="000000" w:themeColor="text1"/>
          <w:kern w:val="0"/>
          <w14:textFill>
            <w14:solidFill>
              <w14:schemeClr w14:val="tx1"/>
            </w14:solidFill>
          </w14:textFill>
        </w:rPr>
        <w:t>个月，为202</w:t>
      </w:r>
      <w:r>
        <w:rPr>
          <w:rFonts w:hint="eastAsia"/>
          <w:snapToGrid w:val="0"/>
          <w:color w:val="000000" w:themeColor="text1"/>
          <w:kern w:val="0"/>
          <w:lang w:val="en-US" w:eastAsia="zh-CN"/>
          <w14:textFill>
            <w14:solidFill>
              <w14:schemeClr w14:val="tx1"/>
            </w14:solidFill>
          </w14:textFill>
        </w:rPr>
        <w:t>6</w:t>
      </w:r>
      <w:r>
        <w:rPr>
          <w:rFonts w:hint="eastAsia"/>
          <w:snapToGrid w:val="0"/>
          <w:color w:val="000000" w:themeColor="text1"/>
          <w:kern w:val="0"/>
          <w14:textFill>
            <w14:solidFill>
              <w14:schemeClr w14:val="tx1"/>
            </w14:solidFill>
          </w14:textFill>
        </w:rPr>
        <w:t>年</w:t>
      </w:r>
      <w:r>
        <w:rPr>
          <w:rFonts w:hint="eastAsia"/>
          <w:snapToGrid w:val="0"/>
          <w:color w:val="000000" w:themeColor="text1"/>
          <w:kern w:val="0"/>
          <w:lang w:val="en-US" w:eastAsia="zh-CN"/>
          <w14:textFill>
            <w14:solidFill>
              <w14:schemeClr w14:val="tx1"/>
            </w14:solidFill>
          </w14:textFill>
        </w:rPr>
        <w:t>8</w:t>
      </w:r>
      <w:r>
        <w:rPr>
          <w:rFonts w:hint="eastAsia"/>
          <w:snapToGrid w:val="0"/>
          <w:color w:val="000000" w:themeColor="text1"/>
          <w:kern w:val="0"/>
          <w14:textFill>
            <w14:solidFill>
              <w14:schemeClr w14:val="tx1"/>
            </w14:solidFill>
          </w14:textFill>
        </w:rPr>
        <w:t>月-202</w:t>
      </w:r>
      <w:r>
        <w:rPr>
          <w:rFonts w:hint="eastAsia"/>
          <w:snapToGrid w:val="0"/>
          <w:color w:val="000000" w:themeColor="text1"/>
          <w:kern w:val="0"/>
          <w:lang w:val="en-US" w:eastAsia="zh-CN"/>
          <w14:textFill>
            <w14:solidFill>
              <w14:schemeClr w14:val="tx1"/>
            </w14:solidFill>
          </w14:textFill>
        </w:rPr>
        <w:t>7</w:t>
      </w:r>
      <w:r>
        <w:rPr>
          <w:rFonts w:hint="eastAsia"/>
          <w:snapToGrid w:val="0"/>
          <w:color w:val="000000" w:themeColor="text1"/>
          <w:kern w:val="0"/>
          <w14:textFill>
            <w14:solidFill>
              <w14:schemeClr w14:val="tx1"/>
            </w14:solidFill>
          </w14:textFill>
        </w:rPr>
        <w:t>年</w:t>
      </w:r>
      <w:r>
        <w:rPr>
          <w:rFonts w:hint="eastAsia"/>
          <w:snapToGrid w:val="0"/>
          <w:color w:val="000000" w:themeColor="text1"/>
          <w:kern w:val="0"/>
          <w:lang w:val="en-US" w:eastAsia="zh-CN"/>
          <w14:textFill>
            <w14:solidFill>
              <w14:schemeClr w14:val="tx1"/>
            </w14:solidFill>
          </w14:textFill>
        </w:rPr>
        <w:t>3</w:t>
      </w:r>
      <w:r>
        <w:rPr>
          <w:rFonts w:hint="eastAsia"/>
          <w:snapToGrid w:val="0"/>
          <w:color w:val="000000" w:themeColor="text1"/>
          <w:kern w:val="0"/>
          <w14:textFill>
            <w14:solidFill>
              <w14:schemeClr w14:val="tx1"/>
            </w14:solidFill>
          </w14:textFill>
        </w:rPr>
        <w:t>月，本项目计划于2027年</w:t>
      </w:r>
      <w:r>
        <w:rPr>
          <w:rFonts w:hint="eastAsia"/>
          <w:snapToGrid w:val="0"/>
          <w:color w:val="000000" w:themeColor="text1"/>
          <w:kern w:val="0"/>
          <w:lang w:val="en-US" w:eastAsia="zh-CN"/>
          <w14:textFill>
            <w14:solidFill>
              <w14:schemeClr w14:val="tx1"/>
            </w14:solidFill>
          </w14:textFill>
        </w:rPr>
        <w:t>4</w:t>
      </w:r>
      <w:r>
        <w:rPr>
          <w:rFonts w:hint="eastAsia"/>
          <w:snapToGrid w:val="0"/>
          <w:color w:val="000000" w:themeColor="text1"/>
          <w:kern w:val="0"/>
          <w14:textFill>
            <w14:solidFill>
              <w14:schemeClr w14:val="tx1"/>
            </w14:solidFill>
          </w14:textFill>
        </w:rPr>
        <w:t>月投产。</w:t>
      </w:r>
    </w:p>
    <w:p w14:paraId="56F25360">
      <w:pPr>
        <w:pStyle w:val="5"/>
        <w:rPr>
          <w:rFonts w:hint="eastAsia" w:eastAsia="黑体"/>
          <w:snapToGrid w:val="0"/>
          <w:color w:val="auto"/>
          <w:highlight w:val="none"/>
          <w:lang w:val="en-US" w:eastAsia="zh-CN"/>
        </w:rPr>
      </w:pPr>
      <w:bookmarkStart w:id="100" w:name="_Toc1713"/>
      <w:r>
        <w:rPr>
          <w:snapToGrid w:val="0"/>
          <w:color w:val="auto"/>
          <w:highlight w:val="none"/>
        </w:rPr>
        <w:t>3</w:t>
      </w:r>
      <w:r>
        <w:rPr>
          <w:rFonts w:hint="eastAsia"/>
          <w:snapToGrid w:val="0"/>
          <w:color w:val="auto"/>
          <w:highlight w:val="none"/>
        </w:rPr>
        <w:t>.</w:t>
      </w:r>
      <w:r>
        <w:rPr>
          <w:snapToGrid w:val="0"/>
          <w:color w:val="auto"/>
          <w:highlight w:val="none"/>
        </w:rPr>
        <w:t>3</w:t>
      </w:r>
      <w:r>
        <w:rPr>
          <w:rFonts w:hint="eastAsia"/>
          <w:snapToGrid w:val="0"/>
          <w:color w:val="auto"/>
          <w:highlight w:val="none"/>
        </w:rPr>
        <w:t>公用及辅助工程</w:t>
      </w:r>
      <w:bookmarkEnd w:id="100"/>
      <w:r>
        <w:rPr>
          <w:rFonts w:hint="eastAsia"/>
          <w:snapToGrid w:val="0"/>
          <w:color w:val="auto"/>
          <w:highlight w:val="none"/>
          <w:lang w:val="en-US" w:eastAsia="zh-CN"/>
        </w:rPr>
        <w:tab/>
      </w:r>
    </w:p>
    <w:p w14:paraId="29756331">
      <w:pPr>
        <w:pStyle w:val="6"/>
        <w:rPr>
          <w:snapToGrid w:val="0"/>
          <w:color w:val="000000" w:themeColor="text1"/>
          <w14:textFill>
            <w14:solidFill>
              <w14:schemeClr w14:val="tx1"/>
            </w14:solidFill>
          </w14:textFill>
        </w:rPr>
      </w:pPr>
      <w:bookmarkStart w:id="101" w:name="_Toc22381"/>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.1给水工程</w:t>
      </w:r>
      <w:bookmarkEnd w:id="101"/>
    </w:p>
    <w:p w14:paraId="176B160F">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1、水源</w:t>
      </w:r>
    </w:p>
    <w:p w14:paraId="41FA75F2">
      <w:pPr>
        <w:pStyle w:val="85"/>
        <w:rPr>
          <w:rFonts w:hint="eastAsia" w:eastAsia="宋体"/>
          <w:snapToGrid w:val="0"/>
          <w:color w:val="000000" w:themeColor="text1"/>
          <w:lang w:val="en-US" w:eastAsia="zh-CN"/>
          <w14:textFill>
            <w14:solidFill>
              <w14:schemeClr w14:val="tx1"/>
            </w14:solidFill>
          </w14:textFill>
        </w:rPr>
      </w:pPr>
      <w:bookmarkStart w:id="102" w:name="_Hlk523067855"/>
      <w:r>
        <w:rPr>
          <w:rFonts w:hint="eastAsia"/>
          <w:snapToGrid w:val="0"/>
          <w:color w:val="000000" w:themeColor="text1"/>
          <w14:textFill>
            <w14:solidFill>
              <w14:schemeClr w14:val="tx1"/>
            </w14:solidFill>
          </w14:textFill>
        </w:rPr>
        <w:t>本项目用水依托园区市政管网。本项目用水主要为</w:t>
      </w:r>
      <w:r>
        <w:rPr>
          <w:rFonts w:hint="eastAsia"/>
          <w:snapToGrid w:val="0"/>
          <w:color w:val="000000" w:themeColor="text1"/>
          <w:lang w:val="en-US" w:eastAsia="zh-CN"/>
          <w14:textFill>
            <w14:solidFill>
              <w14:schemeClr w14:val="tx1"/>
            </w14:solidFill>
          </w14:textFill>
        </w:rPr>
        <w:t>生活用水以及</w:t>
      </w:r>
      <w:r>
        <w:rPr>
          <w:rFonts w:hint="eastAsia"/>
          <w:snapToGrid w:val="0"/>
          <w:color w:val="000000" w:themeColor="text1"/>
          <w14:textFill>
            <w14:solidFill>
              <w14:schemeClr w14:val="tx1"/>
            </w14:solidFill>
          </w14:textFill>
        </w:rPr>
        <w:t>生产相关用水。</w:t>
      </w:r>
    </w:p>
    <w:p w14:paraId="4D54D2A0">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w:t>
      </w:r>
      <w:r>
        <w:rPr>
          <w:snapToGrid w:val="0"/>
          <w:color w:val="000000" w:themeColor="text1"/>
          <w14:textFill>
            <w14:solidFill>
              <w14:schemeClr w14:val="tx1"/>
            </w14:solidFill>
          </w14:textFill>
        </w:rPr>
        <w:t>生产相关用水</w:t>
      </w:r>
      <w:r>
        <w:rPr>
          <w:rFonts w:hint="eastAsia"/>
          <w:snapToGrid w:val="0"/>
          <w:color w:val="000000" w:themeColor="text1"/>
          <w14:textFill>
            <w14:solidFill>
              <w14:schemeClr w14:val="tx1"/>
            </w14:solidFill>
          </w14:textFill>
        </w:rPr>
        <w:t>主要为车间地面冲洗用水、CO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回收系统洗气用水、啤酒生产工艺用水、CIP清洗用水、玻璃瓶清洗用水、化验室用水、锅炉用水等，由市政管网提供。本项目采取自行制备纯水和软水方式。</w:t>
      </w:r>
    </w:p>
    <w:bookmarkEnd w:id="102"/>
    <w:p w14:paraId="081DF4C2">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2、生产相关用水量</w:t>
      </w:r>
    </w:p>
    <w:p w14:paraId="38DBD8CC">
      <w:pPr>
        <w:pStyle w:val="85"/>
        <w:ind w:firstLine="482"/>
        <w:rPr>
          <w:b/>
          <w:bCs/>
          <w:snapToGrid w:val="0"/>
          <w:color w:val="000000" w:themeColor="text1"/>
          <w14:textFill>
            <w14:solidFill>
              <w14:schemeClr w14:val="tx1"/>
            </w14:solidFill>
          </w14:textFill>
        </w:rPr>
      </w:pPr>
      <w:r>
        <w:rPr>
          <w:rFonts w:hint="eastAsia" w:ascii="宋体" w:hAnsi="宋体" w:cs="宋体"/>
          <w:b/>
          <w:bCs/>
          <w:snapToGrid w:val="0"/>
          <w:color w:val="000000" w:themeColor="text1"/>
          <w:lang w:eastAsia="zh-CN"/>
          <w14:textFill>
            <w14:solidFill>
              <w14:schemeClr w14:val="tx1"/>
            </w14:solidFill>
          </w14:textFill>
        </w:rPr>
        <w:t>（</w:t>
      </w:r>
      <w:r>
        <w:rPr>
          <w:rFonts w:hint="eastAsia" w:ascii="宋体" w:hAnsi="宋体" w:cs="宋体"/>
          <w:b/>
          <w:bCs/>
          <w:snapToGrid w:val="0"/>
          <w:color w:val="000000" w:themeColor="text1"/>
          <w:lang w:val="en-US" w:eastAsia="zh-CN"/>
          <w14:textFill>
            <w14:solidFill>
              <w14:schemeClr w14:val="tx1"/>
            </w14:solidFill>
          </w14:textFill>
        </w:rPr>
        <w:t>1</w:t>
      </w:r>
      <w:r>
        <w:rPr>
          <w:rFonts w:hint="eastAsia" w:ascii="宋体" w:hAnsi="宋体" w:cs="宋体"/>
          <w:b/>
          <w:bCs/>
          <w:snapToGrid w:val="0"/>
          <w:color w:val="000000" w:themeColor="text1"/>
          <w:lang w:eastAsia="zh-CN"/>
          <w14:textFill>
            <w14:solidFill>
              <w14:schemeClr w14:val="tx1"/>
            </w14:solidFill>
          </w14:textFill>
        </w:rPr>
        <w:t>）</w:t>
      </w:r>
      <w:r>
        <w:rPr>
          <w:b/>
          <w:bCs/>
          <w:snapToGrid w:val="0"/>
          <w:color w:val="000000" w:themeColor="text1"/>
          <w14:textFill>
            <w14:solidFill>
              <w14:schemeClr w14:val="tx1"/>
            </w14:solidFill>
          </w14:textFill>
        </w:rPr>
        <w:t>车间地面冲洗用水</w:t>
      </w:r>
    </w:p>
    <w:p w14:paraId="6518DCAE">
      <w:pPr>
        <w:pStyle w:val="85"/>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根据</w:t>
      </w:r>
      <w:r>
        <w:rPr>
          <w:snapToGrid w:val="0"/>
          <w:color w:val="000000" w:themeColor="text1"/>
          <w14:textFill>
            <w14:solidFill>
              <w14:schemeClr w14:val="tx1"/>
            </w14:solidFill>
          </w14:textFill>
        </w:rPr>
        <w:t>建设单位提供资料，车间地面平均约每1天冲洗1次，每次冲洗用水量按</w:t>
      </w:r>
      <w:r>
        <w:rPr>
          <w:rFonts w:hint="eastAsia"/>
          <w:color w:val="000000"/>
          <w:sz w:val="24"/>
          <w:lang w:val="en-US" w:eastAsia="zh-CN"/>
        </w:rPr>
        <w:t>3</w:t>
      </w:r>
      <w:r>
        <w:rPr>
          <w:color w:val="000000"/>
          <w:sz w:val="24"/>
        </w:rPr>
        <w:t>L/m</w:t>
      </w:r>
      <w:r>
        <w:rPr>
          <w:color w:val="000000"/>
          <w:sz w:val="24"/>
          <w:vertAlign w:val="superscript"/>
        </w:rPr>
        <w:t>2</w:t>
      </w:r>
      <w:r>
        <w:rPr>
          <w:color w:val="000000"/>
          <w:sz w:val="24"/>
        </w:rPr>
        <w:t>·次</w:t>
      </w:r>
      <w:r>
        <w:rPr>
          <w:snapToGrid w:val="0"/>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酿造车间</w:t>
      </w:r>
      <w:r>
        <w:rPr>
          <w:color w:val="000000"/>
          <w:sz w:val="24"/>
        </w:rPr>
        <w:t>面积为</w:t>
      </w:r>
      <w:r>
        <w:rPr>
          <w:rFonts w:hint="eastAsia"/>
          <w:color w:val="000000"/>
          <w:sz w:val="24"/>
          <w:lang w:val="en-US" w:eastAsia="zh-CN"/>
        </w:rPr>
        <w:t>6884.34</w:t>
      </w:r>
      <w:r>
        <w:rPr>
          <w:color w:val="000000"/>
          <w:sz w:val="24"/>
        </w:rPr>
        <w:t>m</w:t>
      </w:r>
      <w:r>
        <w:rPr>
          <w:color w:val="000000"/>
          <w:sz w:val="24"/>
          <w:vertAlign w:val="superscript"/>
        </w:rPr>
        <w:t>2</w:t>
      </w:r>
      <w:r>
        <w:rPr>
          <w:color w:val="000000"/>
          <w:sz w:val="24"/>
        </w:rPr>
        <w:t>，</w:t>
      </w:r>
      <w:r>
        <w:rPr>
          <w:snapToGrid w:val="0"/>
          <w:color w:val="000000" w:themeColor="text1"/>
          <w14:textFill>
            <w14:solidFill>
              <w14:schemeClr w14:val="tx1"/>
            </w14:solidFill>
          </w14:textFill>
        </w:rPr>
        <w:t>则车间地面冲洗用水量约为</w:t>
      </w:r>
      <w:r>
        <w:rPr>
          <w:rFonts w:hint="eastAsia"/>
          <w:snapToGrid w:val="0"/>
          <w:color w:val="000000" w:themeColor="text1"/>
          <w:lang w:val="en-US" w:eastAsia="zh-CN"/>
          <w14:textFill>
            <w14:solidFill>
              <w14:schemeClr w14:val="tx1"/>
            </w14:solidFill>
          </w14:textFill>
        </w:rPr>
        <w:t>20.65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次</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6195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a</w:t>
      </w:r>
      <w:r>
        <w:rPr>
          <w:rFonts w:hint="eastAsia"/>
          <w:snapToGrid w:val="0"/>
          <w:color w:val="000000" w:themeColor="text1"/>
          <w:lang w:eastAsia="zh-CN"/>
          <w14:textFill>
            <w14:solidFill>
              <w14:schemeClr w14:val="tx1"/>
            </w14:solidFill>
          </w14:textFill>
        </w:rPr>
        <w:t>，</w:t>
      </w:r>
      <w:r>
        <w:rPr>
          <w:snapToGrid w:val="0"/>
          <w:color w:val="000000" w:themeColor="text1"/>
          <w14:textFill>
            <w14:solidFill>
              <w14:schemeClr w14:val="tx1"/>
            </w14:solidFill>
          </w14:textFill>
        </w:rPr>
        <w:t>车间地面冲洗用水为新鲜水。</w:t>
      </w:r>
    </w:p>
    <w:p w14:paraId="05D6DF7F">
      <w:pPr>
        <w:pStyle w:val="85"/>
        <w:ind w:firstLine="482"/>
        <w:rPr>
          <w:b/>
          <w:bCs/>
          <w:snapToGrid w:val="0"/>
          <w:color w:val="000000" w:themeColor="text1"/>
          <w14:textFill>
            <w14:solidFill>
              <w14:schemeClr w14:val="tx1"/>
            </w14:solidFill>
          </w14:textFill>
        </w:rPr>
      </w:pPr>
      <w:bookmarkStart w:id="103" w:name="_Toc7089"/>
      <w:bookmarkStart w:id="104" w:name="_Toc32069"/>
      <w:r>
        <w:rPr>
          <w:rFonts w:hint="eastAsia" w:ascii="宋体" w:hAnsi="宋体" w:cs="宋体"/>
          <w:b/>
          <w:bCs/>
          <w:snapToGrid w:val="0"/>
          <w:color w:val="000000" w:themeColor="text1"/>
          <w:lang w:eastAsia="zh-CN"/>
          <w14:textFill>
            <w14:solidFill>
              <w14:schemeClr w14:val="tx1"/>
            </w14:solidFill>
          </w14:textFill>
        </w:rPr>
        <w:t>（</w:t>
      </w:r>
      <w:r>
        <w:rPr>
          <w:rFonts w:hint="eastAsia" w:ascii="宋体" w:hAnsi="宋体" w:cs="宋体"/>
          <w:b/>
          <w:bCs/>
          <w:snapToGrid w:val="0"/>
          <w:color w:val="000000" w:themeColor="text1"/>
          <w:lang w:val="en-US" w:eastAsia="zh-CN"/>
          <w14:textFill>
            <w14:solidFill>
              <w14:schemeClr w14:val="tx1"/>
            </w14:solidFill>
          </w14:textFill>
        </w:rPr>
        <w:t>2</w:t>
      </w:r>
      <w:r>
        <w:rPr>
          <w:rFonts w:hint="eastAsia" w:ascii="宋体" w:hAnsi="宋体" w:cs="宋体"/>
          <w:b/>
          <w:bCs/>
          <w:snapToGrid w:val="0"/>
          <w:color w:val="000000" w:themeColor="text1"/>
          <w:lang w:eastAsia="zh-CN"/>
          <w14:textFill>
            <w14:solidFill>
              <w14:schemeClr w14:val="tx1"/>
            </w14:solidFill>
          </w14:textFill>
        </w:rPr>
        <w:t>）</w:t>
      </w:r>
      <w:r>
        <w:rPr>
          <w:b/>
          <w:bCs/>
          <w:snapToGrid w:val="0"/>
          <w:color w:val="000000" w:themeColor="text1"/>
          <w14:textFill>
            <w14:solidFill>
              <w14:schemeClr w14:val="tx1"/>
            </w14:solidFill>
          </w14:textFill>
        </w:rPr>
        <w:t>CO</w:t>
      </w:r>
      <w:r>
        <w:rPr>
          <w:b/>
          <w:bCs/>
          <w:snapToGrid w:val="0"/>
          <w:color w:val="000000" w:themeColor="text1"/>
          <w:vertAlign w:val="subscript"/>
          <w14:textFill>
            <w14:solidFill>
              <w14:schemeClr w14:val="tx1"/>
            </w14:solidFill>
          </w14:textFill>
        </w:rPr>
        <w:t>2</w:t>
      </w:r>
      <w:r>
        <w:rPr>
          <w:b/>
          <w:bCs/>
          <w:snapToGrid w:val="0"/>
          <w:color w:val="000000" w:themeColor="text1"/>
          <w14:textFill>
            <w14:solidFill>
              <w14:schemeClr w14:val="tx1"/>
            </w14:solidFill>
          </w14:textFill>
        </w:rPr>
        <w:t>回收系统</w:t>
      </w:r>
      <w:r>
        <w:rPr>
          <w:rFonts w:hint="eastAsia"/>
          <w:b/>
          <w:bCs/>
          <w:snapToGrid w:val="0"/>
          <w:color w:val="000000" w:themeColor="text1"/>
          <w:lang w:val="en-US" w:eastAsia="zh-CN"/>
          <w14:textFill>
            <w14:solidFill>
              <w14:schemeClr w14:val="tx1"/>
            </w14:solidFill>
          </w14:textFill>
        </w:rPr>
        <w:t>洗涤塔新鲜水补充</w:t>
      </w:r>
      <w:r>
        <w:rPr>
          <w:b/>
          <w:bCs/>
          <w:snapToGrid w:val="0"/>
          <w:color w:val="000000" w:themeColor="text1"/>
          <w14:textFill>
            <w14:solidFill>
              <w14:schemeClr w14:val="tx1"/>
            </w14:solidFill>
          </w14:textFill>
        </w:rPr>
        <w:t>水</w:t>
      </w:r>
    </w:p>
    <w:p w14:paraId="1F48CE46">
      <w:pPr>
        <w:pStyle w:val="85"/>
        <w:rPr>
          <w:rFonts w:hint="default"/>
          <w:snapToGrid w:val="0"/>
          <w:color w:val="000000" w:themeColor="text1"/>
          <w:lang w:val="en-US"/>
          <w14:textFill>
            <w14:solidFill>
              <w14:schemeClr w14:val="tx1"/>
            </w14:solidFill>
          </w14:textFill>
        </w:rPr>
      </w:pPr>
      <w:r>
        <w:rPr>
          <w:snapToGrid w:val="0"/>
          <w:color w:val="000000" w:themeColor="text1"/>
          <w14:textFill>
            <w14:solidFill>
              <w14:schemeClr w14:val="tx1"/>
            </w14:solidFill>
          </w14:textFill>
        </w:rPr>
        <w:t>发酵过程中产生的发酵废气先经除沫器除掉泡沫，再进入洗涤器内进行洗涤。</w:t>
      </w:r>
      <w:r>
        <w:rPr>
          <w:rFonts w:hint="eastAsia"/>
          <w:snapToGrid w:val="0"/>
          <w:color w:val="000000" w:themeColor="text1"/>
          <w:lang w:val="en-US" w:eastAsia="zh-CN"/>
          <w14:textFill>
            <w14:solidFill>
              <w14:schemeClr w14:val="tx1"/>
            </w14:solidFill>
          </w14:textFill>
        </w:rPr>
        <w:t>洗涤塔需定期补水，根据</w:t>
      </w:r>
      <w:r>
        <w:rPr>
          <w:snapToGrid w:val="0"/>
          <w:color w:val="000000" w:themeColor="text1"/>
          <w14:textFill>
            <w14:solidFill>
              <w14:schemeClr w14:val="tx1"/>
            </w14:solidFill>
          </w14:textFill>
        </w:rPr>
        <w:t>建设单位提供</w:t>
      </w:r>
      <w:r>
        <w:rPr>
          <w:rFonts w:hint="eastAsia" w:ascii="Times New Roman" w:hAnsi="Times New Roman"/>
          <w:snapToGrid w:val="0"/>
          <w:color w:val="000000" w:themeColor="text1"/>
          <w:lang w:val="en-US" w:eastAsia="zh-CN"/>
          <w14:textFill>
            <w14:solidFill>
              <w14:schemeClr w14:val="tx1"/>
            </w14:solidFill>
          </w14:textFill>
        </w:rPr>
        <w:t>行业经验值</w:t>
      </w:r>
      <w:r>
        <w:rPr>
          <w:snapToGrid w:val="0"/>
          <w:color w:val="000000" w:themeColor="text1"/>
          <w14:textFill>
            <w14:solidFill>
              <w14:schemeClr w14:val="tx1"/>
            </w14:solidFill>
          </w14:textFill>
        </w:rPr>
        <w:t>，CO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回收系统洗涤过程</w:t>
      </w:r>
      <w:r>
        <w:rPr>
          <w:rFonts w:hint="eastAsia"/>
          <w:snapToGrid w:val="0"/>
          <w:color w:val="000000" w:themeColor="text1"/>
          <w:lang w:val="en-US" w:eastAsia="zh-CN"/>
          <w14:textFill>
            <w14:solidFill>
              <w14:schemeClr w14:val="tx1"/>
            </w14:solidFill>
          </w14:textFill>
        </w:rPr>
        <w:t>补充</w:t>
      </w:r>
      <w:r>
        <w:rPr>
          <w:snapToGrid w:val="0"/>
          <w:color w:val="000000" w:themeColor="text1"/>
          <w14:textFill>
            <w14:solidFill>
              <w14:schemeClr w14:val="tx1"/>
            </w14:solidFill>
          </w14:textFill>
        </w:rPr>
        <w:t>水量约为0.0</w:t>
      </w:r>
      <w:r>
        <w:rPr>
          <w:rFonts w:hint="eastAsia"/>
          <w:snapToGrid w:val="0"/>
          <w:color w:val="000000" w:themeColor="text1"/>
          <w:lang w:val="en-US" w:eastAsia="zh-CN"/>
          <w14:textFill>
            <w14:solidFill>
              <w14:schemeClr w14:val="tx1"/>
            </w14:solidFill>
          </w14:textFill>
        </w:rPr>
        <w:t>5</w:t>
      </w:r>
      <w:r>
        <w:rPr>
          <w:rFonts w:hint="eastAsia"/>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/kL啤酒，</w:t>
      </w:r>
      <w:r>
        <w:rPr>
          <w:rFonts w:hint="eastAsia"/>
          <w:snapToGrid w:val="0"/>
          <w:color w:val="000000" w:themeColor="text1"/>
          <w14:textFill>
            <w14:solidFill>
              <w14:schemeClr w14:val="tx1"/>
            </w14:solidFill>
          </w14:textFill>
        </w:rPr>
        <w:t>本</w:t>
      </w:r>
      <w:r>
        <w:rPr>
          <w:snapToGrid w:val="0"/>
          <w:color w:val="000000" w:themeColor="text1"/>
          <w14:textFill>
            <w14:solidFill>
              <w14:schemeClr w14:val="tx1"/>
            </w14:solidFill>
          </w14:textFill>
        </w:rPr>
        <w:t>项目</w:t>
      </w:r>
      <w:r>
        <w:rPr>
          <w:rFonts w:hint="eastAsia"/>
          <w:snapToGrid w:val="0"/>
          <w:color w:val="000000" w:themeColor="text1"/>
          <w14:textFill>
            <w14:solidFill>
              <w14:schemeClr w14:val="tx1"/>
            </w14:solidFill>
          </w14:textFill>
        </w:rPr>
        <w:t>年</w:t>
      </w:r>
      <w:r>
        <w:rPr>
          <w:snapToGrid w:val="0"/>
          <w:color w:val="000000" w:themeColor="text1"/>
          <w14:textFill>
            <w14:solidFill>
              <w14:schemeClr w14:val="tx1"/>
            </w14:solidFill>
          </w14:textFill>
        </w:rPr>
        <w:t>产啤酒3</w:t>
      </w:r>
      <w:r>
        <w:rPr>
          <w:rFonts w:hint="eastAsia"/>
          <w:snapToGrid w:val="0"/>
          <w:color w:val="000000" w:themeColor="text1"/>
          <w:lang w:val="en-US" w:eastAsia="zh-CN"/>
          <w14:textFill>
            <w14:solidFill>
              <w14:schemeClr w14:val="tx1"/>
            </w14:solidFill>
          </w14:textFill>
        </w:rPr>
        <w:t>0</w:t>
      </w:r>
      <w:r>
        <w:rPr>
          <w:snapToGrid w:val="0"/>
          <w:color w:val="000000" w:themeColor="text1"/>
          <w14:textFill>
            <w14:solidFill>
              <w14:schemeClr w14:val="tx1"/>
            </w14:solidFill>
          </w14:textFill>
        </w:rPr>
        <w:t>000kL</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则项目洗气用水</w:t>
      </w:r>
      <w:r>
        <w:rPr>
          <w:rFonts w:hint="eastAsia"/>
          <w:snapToGrid w:val="0"/>
          <w:color w:val="000000" w:themeColor="text1"/>
          <w:lang w:val="en-US" w:eastAsia="zh-CN"/>
          <w14:textFill>
            <w14:solidFill>
              <w14:schemeClr w14:val="tx1"/>
            </w14:solidFill>
          </w14:textFill>
        </w:rPr>
        <w:t>补水</w:t>
      </w:r>
      <w:r>
        <w:rPr>
          <w:snapToGrid w:val="0"/>
          <w:color w:val="000000" w:themeColor="text1"/>
          <w14:textFill>
            <w14:solidFill>
              <w14:schemeClr w14:val="tx1"/>
            </w14:solidFill>
          </w14:textFill>
        </w:rPr>
        <w:t>量为</w:t>
      </w:r>
      <w:r>
        <w:rPr>
          <w:rFonts w:hint="eastAsia"/>
          <w:snapToGrid w:val="0"/>
          <w:color w:val="000000" w:themeColor="text1"/>
          <w:lang w:val="en-US" w:eastAsia="zh-CN"/>
          <w14:textFill>
            <w14:solidFill>
              <w14:schemeClr w14:val="tx1"/>
            </w14:solidFill>
          </w14:textFill>
        </w:rPr>
        <w:t>15</w:t>
      </w:r>
      <w:r>
        <w:rPr>
          <w:snapToGrid w:val="0"/>
          <w:color w:val="000000" w:themeColor="text1"/>
          <w14:textFill>
            <w14:solidFill>
              <w14:schemeClr w14:val="tx1"/>
            </w14:solidFill>
          </w14:textFill>
        </w:rPr>
        <w:t>00m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/a。洗气用水</w:t>
      </w:r>
      <w:r>
        <w:rPr>
          <w:rFonts w:hint="eastAsia"/>
          <w:snapToGrid w:val="0"/>
          <w:color w:val="000000" w:themeColor="text1"/>
          <w:lang w:val="en-US" w:eastAsia="zh-CN"/>
          <w14:textFill>
            <w14:solidFill>
              <w14:schemeClr w14:val="tx1"/>
            </w14:solidFill>
          </w14:textFill>
        </w:rPr>
        <w:t>补水采用纯水，本项目纯水</w:t>
      </w:r>
      <w:r>
        <w:rPr>
          <w:rFonts w:hint="eastAsia"/>
          <w:snapToGrid w:val="0"/>
          <w:color w:val="000000" w:themeColor="text1"/>
          <w14:textFill>
            <w14:solidFill>
              <w14:schemeClr w14:val="tx1"/>
            </w14:solidFill>
          </w14:textFill>
        </w:rPr>
        <w:t>制备效率为8</w:t>
      </w:r>
      <w:r>
        <w:rPr>
          <w:snapToGrid w:val="0"/>
          <w:color w:val="000000" w:themeColor="text1"/>
          <w14:textFill>
            <w14:solidFill>
              <w14:schemeClr w14:val="tx1"/>
            </w14:solidFill>
          </w14:textFill>
        </w:rPr>
        <w:t>0%</w:t>
      </w:r>
      <w:r>
        <w:rPr>
          <w:rFonts w:hint="eastAsia"/>
          <w:snapToGrid w:val="0"/>
          <w:color w:val="000000" w:themeColor="text1"/>
          <w14:textFill>
            <w14:solidFill>
              <w14:schemeClr w14:val="tx1"/>
            </w14:solidFill>
          </w14:textFill>
        </w:rPr>
        <w:t>，则制备纯水新鲜水用量为</w:t>
      </w:r>
      <w:r>
        <w:rPr>
          <w:rFonts w:hint="eastAsia"/>
          <w:snapToGrid w:val="0"/>
          <w:color w:val="000000" w:themeColor="text1"/>
          <w:lang w:val="en-US" w:eastAsia="zh-CN"/>
          <w14:textFill>
            <w14:solidFill>
              <w14:schemeClr w14:val="tx1"/>
            </w14:solidFill>
          </w14:textFill>
        </w:rPr>
        <w:t>1875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w:t>
      </w:r>
    </w:p>
    <w:bookmarkEnd w:id="103"/>
    <w:bookmarkEnd w:id="104"/>
    <w:p w14:paraId="6AC7CDAF">
      <w:pPr>
        <w:pStyle w:val="85"/>
        <w:ind w:firstLine="482"/>
        <w:rPr>
          <w:b/>
          <w:bCs/>
          <w:snapToGrid w:val="0"/>
          <w:color w:val="000000" w:themeColor="text1"/>
          <w14:textFill>
            <w14:solidFill>
              <w14:schemeClr w14:val="tx1"/>
            </w14:solidFill>
          </w14:textFill>
        </w:rPr>
      </w:pPr>
      <w:bookmarkStart w:id="105" w:name="_Toc5771"/>
      <w:bookmarkStart w:id="106" w:name="_Toc18933"/>
      <w:r>
        <w:rPr>
          <w:rFonts w:hint="eastAsia" w:ascii="宋体" w:hAnsi="宋体" w:cs="宋体"/>
          <w:b/>
          <w:bCs/>
          <w:snapToGrid w:val="0"/>
          <w:color w:val="000000" w:themeColor="text1"/>
          <w:lang w:eastAsia="zh-CN"/>
          <w14:textFill>
            <w14:solidFill>
              <w14:schemeClr w14:val="tx1"/>
            </w14:solidFill>
          </w14:textFill>
        </w:rPr>
        <w:t>（</w:t>
      </w:r>
      <w:r>
        <w:rPr>
          <w:rFonts w:hint="eastAsia" w:ascii="宋体" w:hAnsi="宋体" w:cs="宋体"/>
          <w:b/>
          <w:bCs/>
          <w:snapToGrid w:val="0"/>
          <w:color w:val="000000" w:themeColor="text1"/>
          <w:lang w:val="en-US" w:eastAsia="zh-CN"/>
          <w14:textFill>
            <w14:solidFill>
              <w14:schemeClr w14:val="tx1"/>
            </w14:solidFill>
          </w14:textFill>
        </w:rPr>
        <w:t>3</w:t>
      </w:r>
      <w:r>
        <w:rPr>
          <w:rFonts w:hint="eastAsia" w:ascii="宋体" w:hAnsi="宋体" w:cs="宋体"/>
          <w:b/>
          <w:bCs/>
          <w:snapToGrid w:val="0"/>
          <w:color w:val="000000" w:themeColor="text1"/>
          <w:lang w:eastAsia="zh-CN"/>
          <w14:textFill>
            <w14:solidFill>
              <w14:schemeClr w14:val="tx1"/>
            </w14:solidFill>
          </w14:textFill>
        </w:rPr>
        <w:t>）</w:t>
      </w:r>
      <w:r>
        <w:rPr>
          <w:b/>
          <w:bCs/>
          <w:snapToGrid w:val="0"/>
          <w:color w:val="000000" w:themeColor="text1"/>
          <w14:textFill>
            <w14:solidFill>
              <w14:schemeClr w14:val="tx1"/>
            </w14:solidFill>
          </w14:textFill>
        </w:rPr>
        <w:t>啤酒生产工艺用水</w:t>
      </w:r>
    </w:p>
    <w:p w14:paraId="596B4FB6">
      <w:pPr>
        <w:pStyle w:val="85"/>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snapToGrid w:val="0"/>
          <w:color w:val="000000" w:themeColor="text1"/>
          <w:lang w:val="en-US" w:eastAsia="zh-CN"/>
          <w14:textFill>
            <w14:solidFill>
              <w14:schemeClr w14:val="tx1"/>
            </w14:solidFill>
          </w14:textFill>
        </w:rPr>
        <w:t>项目工艺用水主要用于原料粉碎、糖化工序以及糊化工序，根据建设单位提供行业经验值，项目啤酒生产工艺用水量为0.8m</w:t>
      </w:r>
      <w:r>
        <w:rPr>
          <w:rFonts w:hint="eastAsia" w:ascii="Times New Roman" w:hAnsi="Times New Roman"/>
          <w:snapToGrid w:val="0"/>
          <w:color w:val="000000" w:themeColor="text1"/>
          <w:vertAlign w:val="superscript"/>
          <w:lang w:val="en-US" w:eastAsia="zh-CN"/>
          <w14:textFill>
            <w14:solidFill>
              <w14:schemeClr w14:val="tx1"/>
            </w14:solidFill>
          </w14:textFill>
        </w:rPr>
        <w:t>3</w:t>
      </w:r>
      <w:r>
        <w:rPr>
          <w:rFonts w:hint="eastAsia" w:ascii="Times New Roman" w:hAnsi="Times New Roman"/>
          <w:snapToGrid w:val="0"/>
          <w:color w:val="000000" w:themeColor="text1"/>
          <w:lang w:val="en-US" w:eastAsia="zh-CN"/>
          <w14:textFill>
            <w14:solidFill>
              <w14:schemeClr w14:val="tx1"/>
            </w14:solidFill>
          </w14:textFill>
        </w:rPr>
        <w:t>/kL啤酒，本项目年产啤酒30000kL，则啤酒生产工艺纯水用水量约为24000m</w:t>
      </w:r>
      <w:r>
        <w:rPr>
          <w:rFonts w:hint="eastAsia" w:ascii="Times New Roman" w:hAnsi="Times New Roman"/>
          <w:snapToGrid w:val="0"/>
          <w:color w:val="000000" w:themeColor="text1"/>
          <w:vertAlign w:val="superscript"/>
          <w:lang w:val="en-US" w:eastAsia="zh-CN"/>
          <w14:textFill>
            <w14:solidFill>
              <w14:schemeClr w14:val="tx1"/>
            </w14:solidFill>
          </w14:textFill>
        </w:rPr>
        <w:t>3</w:t>
      </w:r>
      <w:r>
        <w:rPr>
          <w:rFonts w:hint="eastAsia" w:ascii="Times New Roman" w:hAnsi="Times New Roman"/>
          <w:snapToGrid w:val="0"/>
          <w:color w:val="000000" w:themeColor="text1"/>
          <w:lang w:val="en-US" w:eastAsia="zh-CN"/>
          <w14:textFill>
            <w14:solidFill>
              <w14:schemeClr w14:val="tx1"/>
            </w14:solidFill>
          </w14:textFill>
        </w:rPr>
        <w:t>/a。</w:t>
      </w:r>
      <w:r>
        <w:rPr>
          <w:rFonts w:hint="eastAsia"/>
          <w:snapToGrid w:val="0"/>
          <w:color w:val="000000" w:themeColor="text1"/>
          <w14:textFill>
            <w14:solidFill>
              <w14:schemeClr w14:val="tx1"/>
            </w14:solidFill>
          </w14:textFill>
        </w:rPr>
        <w:t>本项目纯水制备效率为8</w:t>
      </w:r>
      <w:r>
        <w:rPr>
          <w:snapToGrid w:val="0"/>
          <w:color w:val="000000" w:themeColor="text1"/>
          <w14:textFill>
            <w14:solidFill>
              <w14:schemeClr w14:val="tx1"/>
            </w14:solidFill>
          </w14:textFill>
        </w:rPr>
        <w:t>0%</w:t>
      </w:r>
      <w:r>
        <w:rPr>
          <w:rFonts w:hint="eastAsia"/>
          <w:snapToGrid w:val="0"/>
          <w:color w:val="000000" w:themeColor="text1"/>
          <w14:textFill>
            <w14:solidFill>
              <w14:schemeClr w14:val="tx1"/>
            </w14:solidFill>
          </w14:textFill>
        </w:rPr>
        <w:t>，则制备纯水新鲜水用量为</w:t>
      </w:r>
      <w:r>
        <w:rPr>
          <w:rFonts w:hint="eastAsia"/>
          <w:snapToGrid w:val="0"/>
          <w:color w:val="000000" w:themeColor="text1"/>
          <w:lang w:val="en-US" w:eastAsia="zh-CN"/>
          <w14:textFill>
            <w14:solidFill>
              <w14:schemeClr w14:val="tx1"/>
            </w14:solidFill>
          </w14:textFill>
        </w:rPr>
        <w:t>30000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w:t>
      </w:r>
    </w:p>
    <w:p w14:paraId="514E0610">
      <w:pPr>
        <w:pStyle w:val="85"/>
        <w:ind w:firstLine="482"/>
        <w:rPr>
          <w:b/>
          <w:bCs/>
          <w:snapToGrid w:val="0"/>
          <w:color w:val="000000" w:themeColor="text1"/>
          <w14:textFill>
            <w14:solidFill>
              <w14:schemeClr w14:val="tx1"/>
            </w14:solidFill>
          </w14:textFill>
        </w:rPr>
      </w:pPr>
      <w:r>
        <w:rPr>
          <w:rFonts w:hint="eastAsia" w:ascii="宋体" w:hAnsi="宋体" w:cs="宋体"/>
          <w:b/>
          <w:bCs/>
          <w:snapToGrid w:val="0"/>
          <w:color w:val="000000" w:themeColor="text1"/>
          <w:lang w:eastAsia="zh-CN"/>
          <w14:textFill>
            <w14:solidFill>
              <w14:schemeClr w14:val="tx1"/>
            </w14:solidFill>
          </w14:textFill>
        </w:rPr>
        <w:t>（</w:t>
      </w:r>
      <w:r>
        <w:rPr>
          <w:rFonts w:hint="eastAsia" w:ascii="宋体" w:hAnsi="宋体" w:cs="宋体"/>
          <w:b/>
          <w:bCs/>
          <w:snapToGrid w:val="0"/>
          <w:color w:val="000000" w:themeColor="text1"/>
          <w:lang w:val="en-US" w:eastAsia="zh-CN"/>
          <w14:textFill>
            <w14:solidFill>
              <w14:schemeClr w14:val="tx1"/>
            </w14:solidFill>
          </w14:textFill>
        </w:rPr>
        <w:t>4</w:t>
      </w:r>
      <w:r>
        <w:rPr>
          <w:rFonts w:hint="eastAsia" w:ascii="宋体" w:hAnsi="宋体" w:cs="宋体"/>
          <w:b/>
          <w:bCs/>
          <w:snapToGrid w:val="0"/>
          <w:color w:val="000000" w:themeColor="text1"/>
          <w:lang w:eastAsia="zh-CN"/>
          <w14:textFill>
            <w14:solidFill>
              <w14:schemeClr w14:val="tx1"/>
            </w14:solidFill>
          </w14:textFill>
        </w:rPr>
        <w:t>）</w:t>
      </w:r>
      <w:r>
        <w:rPr>
          <w:b/>
          <w:bCs/>
          <w:snapToGrid w:val="0"/>
          <w:color w:val="000000" w:themeColor="text1"/>
          <w14:textFill>
            <w14:solidFill>
              <w14:schemeClr w14:val="tx1"/>
            </w14:solidFill>
          </w14:textFill>
        </w:rPr>
        <w:t>CIP清洗用水</w:t>
      </w:r>
    </w:p>
    <w:p w14:paraId="69DA55E6">
      <w:pPr>
        <w:pStyle w:val="85"/>
        <w:rPr>
          <w:rFonts w:hint="eastAsia" w:eastAsia="宋体"/>
          <w:snapToGrid w:val="0"/>
          <w:color w:val="000000" w:themeColor="text1"/>
          <w:lang w:val="en-US" w:eastAsia="zh-CN"/>
          <w14:textFill>
            <w14:solidFill>
              <w14:schemeClr w14:val="tx1"/>
            </w14:solidFill>
          </w14:textFill>
        </w:rPr>
      </w:pPr>
      <w:r>
        <w:rPr>
          <w:snapToGrid w:val="0"/>
          <w:color w:val="000000" w:themeColor="text1"/>
          <w14:textFill>
            <w14:solidFill>
              <w14:schemeClr w14:val="tx1"/>
            </w14:solidFill>
          </w14:textFill>
        </w:rPr>
        <w:t>项目糖化锅、</w:t>
      </w:r>
      <w:r>
        <w:rPr>
          <w:rFonts w:hint="eastAsia"/>
          <w:snapToGrid w:val="0"/>
          <w:color w:val="000000" w:themeColor="text1"/>
          <w:lang w:val="en-US" w:eastAsia="zh-CN"/>
          <w14:textFill>
            <w14:solidFill>
              <w14:schemeClr w14:val="tx1"/>
            </w14:solidFill>
          </w14:textFill>
        </w:rPr>
        <w:t>糊化锅、</w:t>
      </w:r>
      <w:r>
        <w:rPr>
          <w:snapToGrid w:val="0"/>
          <w:color w:val="000000" w:themeColor="text1"/>
          <w14:textFill>
            <w14:solidFill>
              <w14:schemeClr w14:val="tx1"/>
            </w14:solidFill>
          </w14:textFill>
        </w:rPr>
        <w:t>过滤槽、煮沸锅、旋沉槽、发酵罐、灌装机等生产设备及管道</w:t>
      </w:r>
      <w:r>
        <w:rPr>
          <w:rFonts w:hint="eastAsia"/>
          <w:snapToGrid w:val="0"/>
          <w:color w:val="000000" w:themeColor="text1"/>
          <w14:textFill>
            <w14:solidFill>
              <w14:schemeClr w14:val="tx1"/>
            </w14:solidFill>
          </w14:textFill>
        </w:rPr>
        <w:t>清</w:t>
      </w:r>
      <w:r>
        <w:rPr>
          <w:snapToGrid w:val="0"/>
          <w:color w:val="000000" w:themeColor="text1"/>
          <w14:textFill>
            <w14:solidFill>
              <w14:schemeClr w14:val="tx1"/>
            </w14:solidFill>
          </w14:textFill>
        </w:rPr>
        <w:t>洗采用CIP系统，清洗过程为预清洗→1.0%~2.0%N</w:t>
      </w:r>
      <w:r>
        <w:rPr>
          <w:rFonts w:hint="eastAsia"/>
          <w:snapToGrid w:val="0"/>
          <w:color w:val="000000" w:themeColor="text1"/>
          <w14:textFill>
            <w14:solidFill>
              <w14:schemeClr w14:val="tx1"/>
            </w14:solidFill>
          </w14:textFill>
        </w:rPr>
        <w:t>a</w:t>
      </w:r>
      <w:r>
        <w:rPr>
          <w:snapToGrid w:val="0"/>
          <w:color w:val="000000" w:themeColor="text1"/>
          <w14:textFill>
            <w14:solidFill>
              <w14:schemeClr w14:val="tx1"/>
            </w14:solidFill>
          </w14:textFill>
        </w:rPr>
        <w:t>OH溶液清洗→一次热水冲洗→</w:t>
      </w:r>
      <w:r>
        <w:rPr>
          <w:rFonts w:hint="eastAsia"/>
          <w:snapToGrid w:val="0"/>
          <w:color w:val="000000" w:themeColor="text1"/>
          <w:lang w:val="zh-CN"/>
          <w14:textFill>
            <w14:solidFill>
              <w14:schemeClr w14:val="tx1"/>
            </w14:solidFill>
          </w14:textFill>
        </w:rPr>
        <w:t>1.0%~</w:t>
      </w:r>
      <w:r>
        <w:rPr>
          <w:rFonts w:hint="eastAsia"/>
          <w:snapToGrid w:val="0"/>
          <w:color w:val="000000" w:themeColor="text1"/>
          <w:lang w:val="en-US" w:eastAsia="zh-CN"/>
          <w14:textFill>
            <w14:solidFill>
              <w14:schemeClr w14:val="tx1"/>
            </w14:solidFill>
          </w14:textFill>
        </w:rPr>
        <w:t>1.5</w:t>
      </w:r>
      <w:r>
        <w:rPr>
          <w:rFonts w:hint="eastAsia"/>
          <w:snapToGrid w:val="0"/>
          <w:color w:val="000000" w:themeColor="text1"/>
          <w:lang w:val="zh-CN"/>
          <w14:textFill>
            <w14:solidFill>
              <w14:schemeClr w14:val="tx1"/>
            </w14:solidFill>
          </w14:textFill>
        </w:rPr>
        <w:t>%的</w:t>
      </w:r>
      <w:r>
        <w:rPr>
          <w:rFonts w:hint="eastAsia"/>
          <w:snapToGrid w:val="0"/>
          <w:color w:val="000000" w:themeColor="text1"/>
          <w:lang w:val="en-US" w:eastAsia="zh-CN"/>
          <w14:textFill>
            <w14:solidFill>
              <w14:schemeClr w14:val="tx1"/>
            </w14:solidFill>
          </w14:textFill>
        </w:rPr>
        <w:t>HNO</w:t>
      </w:r>
      <w:r>
        <w:rPr>
          <w:rFonts w:hint="eastAsia"/>
          <w:snapToGrid w:val="0"/>
          <w:color w:val="000000" w:themeColor="text1"/>
          <w:vertAlign w:val="subscript"/>
          <w:lang w:val="en-US" w:eastAsia="zh-CN"/>
          <w14:textFill>
            <w14:solidFill>
              <w14:schemeClr w14:val="tx1"/>
            </w14:solidFill>
          </w14:textFill>
        </w:rPr>
        <w:t>3</w:t>
      </w:r>
      <w:r>
        <w:rPr>
          <w:rFonts w:hint="eastAsia"/>
          <w:snapToGrid w:val="0"/>
          <w:color w:val="000000" w:themeColor="text1"/>
          <w:lang w:val="zh-CN"/>
          <w14:textFill>
            <w14:solidFill>
              <w14:schemeClr w14:val="tx1"/>
            </w14:solidFill>
          </w14:textFill>
        </w:rPr>
        <w:t>溶液</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二</w:t>
      </w:r>
      <w:r>
        <w:rPr>
          <w:snapToGrid w:val="0"/>
          <w:color w:val="000000" w:themeColor="text1"/>
          <w14:textFill>
            <w14:solidFill>
              <w14:schemeClr w14:val="tx1"/>
            </w14:solidFill>
          </w14:textFill>
        </w:rPr>
        <w:t>次热水冲洗→</w:t>
      </w:r>
      <w:r>
        <w:rPr>
          <w:rFonts w:hint="eastAsia"/>
          <w:snapToGrid w:val="0"/>
          <w:color w:val="000000" w:themeColor="text1"/>
          <w:lang w:val="zh-CN"/>
          <w14:textFill>
            <w14:solidFill>
              <w14:schemeClr w14:val="tx1"/>
            </w14:solidFill>
          </w14:textFill>
        </w:rPr>
        <w:t>0.</w:t>
      </w:r>
      <w:r>
        <w:rPr>
          <w:rFonts w:hint="eastAsia"/>
          <w:snapToGrid w:val="0"/>
          <w:color w:val="000000" w:themeColor="text1"/>
          <w:lang w:val="en-US" w:eastAsia="zh-CN"/>
          <w14:textFill>
            <w14:solidFill>
              <w14:schemeClr w14:val="tx1"/>
            </w14:solidFill>
          </w14:textFill>
        </w:rPr>
        <w:t>1</w:t>
      </w:r>
      <w:r>
        <w:rPr>
          <w:rFonts w:hint="eastAsia"/>
          <w:snapToGrid w:val="0"/>
          <w:color w:val="000000" w:themeColor="text1"/>
          <w:lang w:val="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~0.3%</w:t>
      </w:r>
      <w:r>
        <w:rPr>
          <w:rFonts w:hint="eastAsia"/>
          <w:snapToGrid w:val="0"/>
          <w:color w:val="000000" w:themeColor="text1"/>
          <w:lang w:val="zh-CN"/>
          <w14:textFill>
            <w14:solidFill>
              <w14:schemeClr w14:val="tx1"/>
            </w14:solidFill>
          </w14:textFill>
        </w:rPr>
        <w:t>的过氧</w:t>
      </w:r>
      <w:r>
        <w:rPr>
          <w:rFonts w:hint="eastAsia"/>
          <w:snapToGrid w:val="0"/>
          <w:color w:val="000000" w:themeColor="text1"/>
          <w:lang w:val="en-US" w:eastAsia="zh-CN"/>
          <w14:textFill>
            <w14:solidFill>
              <w14:schemeClr w14:val="tx1"/>
            </w14:solidFill>
          </w14:textFill>
        </w:rPr>
        <w:t>乙酸</w:t>
      </w:r>
      <w:r>
        <w:rPr>
          <w:rFonts w:hint="eastAsia"/>
          <w:snapToGrid w:val="0"/>
          <w:color w:val="000000" w:themeColor="text1"/>
          <w:lang w:val="zh-CN"/>
          <w14:textFill>
            <w14:solidFill>
              <w14:schemeClr w14:val="tx1"/>
            </w14:solidFill>
          </w14:textFill>
        </w:rPr>
        <w:t>溶液</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最终</w:t>
      </w:r>
      <w:r>
        <w:rPr>
          <w:snapToGrid w:val="0"/>
          <w:color w:val="000000" w:themeColor="text1"/>
          <w14:textFill>
            <w14:solidFill>
              <w14:schemeClr w14:val="tx1"/>
            </w14:solidFill>
          </w14:textFill>
        </w:rPr>
        <w:t>热水冲洗。</w:t>
      </w:r>
      <w:r>
        <w:rPr>
          <w:rFonts w:hint="eastAsia"/>
          <w:snapToGrid w:val="0"/>
          <w:color w:val="000000" w:themeColor="text1"/>
          <w:lang w:val="en-US" w:eastAsia="zh-CN"/>
          <w14:textFill>
            <w14:solidFill>
              <w14:schemeClr w14:val="tx1"/>
            </w14:solidFill>
          </w14:textFill>
        </w:rPr>
        <w:t>根据项目设计提供资料，项目年用3吨15%的过氧乙酸、12吨50%~60%的硝酸、50吨96%的NaOH。则</w:t>
      </w:r>
      <w:r>
        <w:rPr>
          <w:snapToGrid w:val="0"/>
          <w:color w:val="000000" w:themeColor="text1"/>
          <w:lang w:val="zh-CN"/>
          <w14:textFill>
            <w14:solidFill>
              <w14:schemeClr w14:val="tx1"/>
            </w14:solidFill>
          </w14:textFill>
        </w:rPr>
        <w:t>N</w:t>
      </w:r>
      <w:r>
        <w:rPr>
          <w:rFonts w:hint="eastAsia"/>
          <w:snapToGrid w:val="0"/>
          <w:color w:val="000000" w:themeColor="text1"/>
          <w:lang w:val="zh-CN"/>
          <w14:textFill>
            <w14:solidFill>
              <w14:schemeClr w14:val="tx1"/>
            </w14:solidFill>
          </w14:textFill>
        </w:rPr>
        <w:t>aOH溶液</w:t>
      </w:r>
      <w:r>
        <w:rPr>
          <w:rFonts w:hint="eastAsia"/>
          <w:snapToGrid w:val="0"/>
          <w:color w:val="000000" w:themeColor="text1"/>
          <w:lang w:val="en-US" w:eastAsia="zh-CN"/>
          <w14:textFill>
            <w14:solidFill>
              <w14:schemeClr w14:val="tx1"/>
            </w14:solidFill>
          </w14:textFill>
        </w:rPr>
        <w:t>配液加补水量为2350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a</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HNO</w:t>
      </w:r>
      <w:r>
        <w:rPr>
          <w:rFonts w:hint="eastAsia"/>
          <w:snapToGrid w:val="0"/>
          <w:color w:val="000000" w:themeColor="text1"/>
          <w:vertAlign w:val="subscript"/>
          <w:lang w:val="en-US" w:eastAsia="zh-CN"/>
          <w14:textFill>
            <w14:solidFill>
              <w14:schemeClr w14:val="tx1"/>
            </w14:solidFill>
          </w14:textFill>
        </w:rPr>
        <w:t>3</w:t>
      </w:r>
      <w:r>
        <w:rPr>
          <w:rFonts w:hint="eastAsia"/>
          <w:snapToGrid w:val="0"/>
          <w:color w:val="000000" w:themeColor="text1"/>
          <w:lang w:val="zh-CN"/>
          <w14:textFill>
            <w14:solidFill>
              <w14:schemeClr w14:val="tx1"/>
            </w14:solidFill>
          </w14:textFill>
        </w:rPr>
        <w:t>溶液</w:t>
      </w:r>
      <w:r>
        <w:rPr>
          <w:rFonts w:hint="eastAsia"/>
          <w:snapToGrid w:val="0"/>
          <w:color w:val="000000" w:themeColor="text1"/>
          <w:lang w:val="en-US" w:eastAsia="zh-CN"/>
          <w14:textFill>
            <w14:solidFill>
              <w14:schemeClr w14:val="tx1"/>
            </w14:solidFill>
          </w14:textFill>
        </w:rPr>
        <w:t>配液加补水量为388</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a</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zh-CN"/>
          <w14:textFill>
            <w14:solidFill>
              <w14:schemeClr w14:val="tx1"/>
            </w14:solidFill>
          </w14:textFill>
        </w:rPr>
        <w:t>过氧</w:t>
      </w:r>
      <w:r>
        <w:rPr>
          <w:rFonts w:hint="eastAsia"/>
          <w:snapToGrid w:val="0"/>
          <w:color w:val="000000" w:themeColor="text1"/>
          <w:lang w:val="en-US" w:eastAsia="zh-CN"/>
          <w14:textFill>
            <w14:solidFill>
              <w14:schemeClr w14:val="tx1"/>
            </w14:solidFill>
          </w14:textFill>
        </w:rPr>
        <w:t>乙酸</w:t>
      </w:r>
      <w:r>
        <w:rPr>
          <w:rFonts w:hint="eastAsia"/>
          <w:snapToGrid w:val="0"/>
          <w:color w:val="000000" w:themeColor="text1"/>
          <w:lang w:val="zh-CN"/>
          <w14:textFill>
            <w14:solidFill>
              <w14:schemeClr w14:val="tx1"/>
            </w14:solidFill>
          </w14:textFill>
        </w:rPr>
        <w:t>溶液</w:t>
      </w:r>
      <w:r>
        <w:rPr>
          <w:rFonts w:hint="eastAsia"/>
          <w:snapToGrid w:val="0"/>
          <w:color w:val="000000" w:themeColor="text1"/>
          <w:lang w:val="en-US" w:eastAsia="zh-CN"/>
          <w14:textFill>
            <w14:solidFill>
              <w14:schemeClr w14:val="tx1"/>
            </w14:solidFill>
          </w14:textFill>
        </w:rPr>
        <w:t>配液加补水量为147</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a</w:t>
      </w:r>
      <w:r>
        <w:rPr>
          <w:rFonts w:hint="eastAsia"/>
          <w:snapToGrid w:val="0"/>
          <w:color w:val="000000" w:themeColor="text1"/>
          <w:lang w:eastAsia="zh-CN"/>
          <w14:textFill>
            <w14:solidFill>
              <w14:schemeClr w14:val="tx1"/>
            </w14:solidFill>
          </w14:textFill>
        </w:rPr>
        <w:t>。</w:t>
      </w:r>
    </w:p>
    <w:p w14:paraId="11107AB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w:t>
      </w:r>
      <w:r>
        <w:rPr>
          <w:snapToGrid w:val="0"/>
          <w:color w:val="000000" w:themeColor="text1"/>
          <w14:textFill>
            <w14:solidFill>
              <w14:schemeClr w14:val="tx1"/>
            </w14:solidFill>
          </w14:textFill>
        </w:rPr>
        <w:t>项目糖化锅、</w:t>
      </w:r>
      <w:r>
        <w:rPr>
          <w:rFonts w:hint="eastAsia"/>
          <w:snapToGrid w:val="0"/>
          <w:color w:val="000000" w:themeColor="text1"/>
          <w:lang w:val="en-US" w:eastAsia="zh-CN"/>
          <w14:textFill>
            <w14:solidFill>
              <w14:schemeClr w14:val="tx1"/>
            </w14:solidFill>
          </w14:textFill>
        </w:rPr>
        <w:t>糊化锅、</w:t>
      </w:r>
      <w:r>
        <w:rPr>
          <w:snapToGrid w:val="0"/>
          <w:color w:val="000000" w:themeColor="text1"/>
          <w14:textFill>
            <w14:solidFill>
              <w14:schemeClr w14:val="tx1"/>
            </w14:solidFill>
          </w14:textFill>
        </w:rPr>
        <w:t>过滤槽、煮沸锅、旋沉槽</w:t>
      </w:r>
      <w:r>
        <w:rPr>
          <w:rFonts w:hint="eastAsia"/>
          <w:snapToGrid w:val="0"/>
          <w:color w:val="000000" w:themeColor="text1"/>
          <w:lang w:val="en-US" w:eastAsia="zh-CN"/>
          <w14:textFill>
            <w14:solidFill>
              <w14:schemeClr w14:val="tx1"/>
            </w14:solidFill>
          </w14:textFill>
        </w:rPr>
        <w:t>及管道</w:t>
      </w:r>
      <w:r>
        <w:rPr>
          <w:snapToGrid w:val="0"/>
          <w:color w:val="000000" w:themeColor="text1"/>
          <w14:textFill>
            <w14:solidFill>
              <w14:schemeClr w14:val="tx1"/>
            </w14:solidFill>
          </w14:textFill>
        </w:rPr>
        <w:t>每批次结束后清洗一次，每批次产生20kL啤酒</w:t>
      </w:r>
      <w:r>
        <w:rPr>
          <w:rFonts w:hint="eastAsia"/>
          <w:snapToGrid w:val="0"/>
          <w:color w:val="000000" w:themeColor="text1"/>
          <w14:textFill>
            <w14:solidFill>
              <w14:schemeClr w14:val="tx1"/>
            </w14:solidFill>
          </w14:textFill>
        </w:rPr>
        <w:t>，每天可投料</w:t>
      </w:r>
      <w:r>
        <w:rPr>
          <w:rFonts w:hint="eastAsia"/>
          <w:snapToGrid w:val="0"/>
          <w:color w:val="000000" w:themeColor="text1"/>
          <w:lang w:val="en-US" w:eastAsia="zh-CN"/>
          <w14:textFill>
            <w14:solidFill>
              <w14:schemeClr w14:val="tx1"/>
            </w14:solidFill>
          </w14:textFill>
        </w:rPr>
        <w:t>5</w:t>
      </w:r>
      <w:r>
        <w:rPr>
          <w:rFonts w:hint="eastAsia"/>
          <w:snapToGrid w:val="0"/>
          <w:color w:val="000000" w:themeColor="text1"/>
          <w14:textFill>
            <w14:solidFill>
              <w14:schemeClr w14:val="tx1"/>
            </w14:solidFill>
          </w14:textFill>
        </w:rPr>
        <w:t>批次</w:t>
      </w:r>
      <w:r>
        <w:rPr>
          <w:snapToGrid w:val="0"/>
          <w:color w:val="000000" w:themeColor="text1"/>
          <w14:textFill>
            <w14:solidFill>
              <w14:schemeClr w14:val="tx1"/>
            </w14:solidFill>
          </w14:textFill>
        </w:rPr>
        <w:t>，发酵车间发酵罐一个发酵周期（21天）清洗一次，灌装系统每天清洗1次。其中清洗后</w:t>
      </w:r>
      <w:r>
        <w:rPr>
          <w:rFonts w:hint="eastAsia"/>
          <w:snapToGrid w:val="0"/>
          <w:color w:val="000000" w:themeColor="text1"/>
          <w:lang w:val="en-US" w:eastAsia="zh-CN"/>
          <w14:textFill>
            <w14:solidFill>
              <w14:schemeClr w14:val="tx1"/>
            </w14:solidFill>
          </w14:textFill>
        </w:rPr>
        <w:t>酸</w:t>
      </w:r>
      <w:r>
        <w:rPr>
          <w:snapToGrid w:val="0"/>
          <w:color w:val="000000" w:themeColor="text1"/>
          <w14:textFill>
            <w14:solidFill>
              <w14:schemeClr w14:val="tx1"/>
            </w14:solidFill>
          </w14:textFill>
        </w:rPr>
        <w:t>碱液收集于</w:t>
      </w:r>
      <w:r>
        <w:rPr>
          <w:rFonts w:hint="eastAsia"/>
          <w:snapToGrid w:val="0"/>
          <w:color w:val="000000" w:themeColor="text1"/>
          <w:lang w:val="en-US" w:eastAsia="zh-CN"/>
          <w14:textFill>
            <w14:solidFill>
              <w14:schemeClr w14:val="tx1"/>
            </w14:solidFill>
          </w14:textFill>
        </w:rPr>
        <w:t>酸</w:t>
      </w:r>
      <w:r>
        <w:rPr>
          <w:snapToGrid w:val="0"/>
          <w:color w:val="000000" w:themeColor="text1"/>
          <w14:textFill>
            <w14:solidFill>
              <w14:schemeClr w14:val="tx1"/>
            </w14:solidFill>
          </w14:textFill>
        </w:rPr>
        <w:t>碱液罐中，循环使用，定期部分排放更新；</w:t>
      </w:r>
      <w:r>
        <w:rPr>
          <w:rFonts w:hint="eastAsia"/>
          <w:snapToGrid w:val="0"/>
          <w:color w:val="000000" w:themeColor="text1"/>
          <w:lang w:val="zh-CN"/>
          <w14:textFill>
            <w14:solidFill>
              <w14:schemeClr w14:val="tx1"/>
            </w14:solidFill>
          </w14:textFill>
        </w:rPr>
        <w:t>过氧</w:t>
      </w:r>
      <w:r>
        <w:rPr>
          <w:rFonts w:hint="eastAsia"/>
          <w:snapToGrid w:val="0"/>
          <w:color w:val="000000" w:themeColor="text1"/>
          <w:lang w:val="en-US" w:eastAsia="zh-CN"/>
          <w14:textFill>
            <w14:solidFill>
              <w14:schemeClr w14:val="tx1"/>
            </w14:solidFill>
          </w14:textFill>
        </w:rPr>
        <w:t>乙酸</w:t>
      </w:r>
      <w:r>
        <w:rPr>
          <w:snapToGrid w:val="0"/>
          <w:color w:val="000000" w:themeColor="text1"/>
          <w14:textFill>
            <w14:solidFill>
              <w14:schemeClr w14:val="tx1"/>
            </w14:solidFill>
          </w14:textFill>
        </w:rPr>
        <w:t>暂存于</w:t>
      </w:r>
      <w:r>
        <w:rPr>
          <w:rFonts w:hint="eastAsia"/>
          <w:snapToGrid w:val="0"/>
          <w:color w:val="000000" w:themeColor="text1"/>
          <w:lang w:val="zh-CN"/>
          <w14:textFill>
            <w14:solidFill>
              <w14:schemeClr w14:val="tx1"/>
            </w14:solidFill>
          </w14:textFill>
        </w:rPr>
        <w:t>过氧</w:t>
      </w:r>
      <w:r>
        <w:rPr>
          <w:rFonts w:hint="eastAsia"/>
          <w:snapToGrid w:val="0"/>
          <w:color w:val="000000" w:themeColor="text1"/>
          <w:lang w:val="en-US" w:eastAsia="zh-CN"/>
          <w14:textFill>
            <w14:solidFill>
              <w14:schemeClr w14:val="tx1"/>
            </w14:solidFill>
          </w14:textFill>
        </w:rPr>
        <w:t>乙酸</w:t>
      </w:r>
      <w:r>
        <w:rPr>
          <w:snapToGrid w:val="0"/>
          <w:color w:val="000000" w:themeColor="text1"/>
          <w14:textFill>
            <w14:solidFill>
              <w14:schemeClr w14:val="tx1"/>
            </w14:solidFill>
          </w14:textFill>
        </w:rPr>
        <w:t>罐中，循环使用，定期部分排放更新；热水冲洗后作为污水进入厂区污水处理站处理。</w:t>
      </w:r>
    </w:p>
    <w:p w14:paraId="3148CFDB">
      <w:pPr>
        <w:pStyle w:val="85"/>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根据</w:t>
      </w:r>
      <w:r>
        <w:rPr>
          <w:snapToGrid w:val="0"/>
          <w:color w:val="000000" w:themeColor="text1"/>
          <w14:textFill>
            <w14:solidFill>
              <w14:schemeClr w14:val="tx1"/>
            </w14:solidFill>
          </w14:textFill>
        </w:rPr>
        <w:t>建设单位提供资料，CIP系统</w:t>
      </w:r>
      <w:r>
        <w:rPr>
          <w:rFonts w:hint="eastAsia"/>
          <w:snapToGrid w:val="0"/>
          <w:color w:val="000000" w:themeColor="text1"/>
          <w:lang w:val="en-US" w:eastAsia="zh-CN"/>
          <w14:textFill>
            <w14:solidFill>
              <w14:schemeClr w14:val="tx1"/>
            </w14:solidFill>
          </w14:textFill>
        </w:rPr>
        <w:t>日常</w:t>
      </w:r>
      <w:r>
        <w:rPr>
          <w:snapToGrid w:val="0"/>
          <w:color w:val="000000" w:themeColor="text1"/>
          <w14:textFill>
            <w14:solidFill>
              <w14:schemeClr w14:val="tx1"/>
            </w14:solidFill>
          </w14:textFill>
        </w:rPr>
        <w:t>预清洗用水量为</w:t>
      </w:r>
      <w:r>
        <w:rPr>
          <w:rFonts w:hint="eastAsia"/>
          <w:snapToGrid w:val="0"/>
          <w:color w:val="000000" w:themeColor="text1"/>
          <w:lang w:val="en-US" w:eastAsia="zh-CN"/>
          <w14:textFill>
            <w14:solidFill>
              <w14:schemeClr w14:val="tx1"/>
            </w14:solidFill>
          </w14:textFill>
        </w:rPr>
        <w:t>0.25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热水/kL啤酒，</w:t>
      </w:r>
      <w:r>
        <w:rPr>
          <w:rFonts w:hint="eastAsia"/>
          <w:snapToGrid w:val="0"/>
          <w:color w:val="000000" w:themeColor="text1"/>
          <w:lang w:val="en-US" w:eastAsia="zh-CN"/>
          <w14:textFill>
            <w14:solidFill>
              <w14:schemeClr w14:val="tx1"/>
            </w14:solidFill>
          </w14:textFill>
        </w:rPr>
        <w:t>一</w:t>
      </w:r>
      <w:r>
        <w:rPr>
          <w:rFonts w:hint="eastAsia"/>
          <w:snapToGrid w:val="0"/>
          <w:color w:val="000000" w:themeColor="text1"/>
          <w14:textFill>
            <w14:solidFill>
              <w14:schemeClr w14:val="tx1"/>
            </w14:solidFill>
          </w14:textFill>
        </w:rPr>
        <w:t>次</w:t>
      </w:r>
      <w:r>
        <w:rPr>
          <w:snapToGrid w:val="0"/>
          <w:color w:val="000000" w:themeColor="text1"/>
          <w14:textFill>
            <w14:solidFill>
              <w14:schemeClr w14:val="tx1"/>
            </w14:solidFill>
          </w14:textFill>
        </w:rPr>
        <w:t>热水冲洗用水量为</w:t>
      </w:r>
      <w:r>
        <w:rPr>
          <w:rFonts w:hint="eastAsia"/>
          <w:snapToGrid w:val="0"/>
          <w:color w:val="000000" w:themeColor="text1"/>
          <w:lang w:val="en-US" w:eastAsia="zh-CN"/>
          <w14:textFill>
            <w14:solidFill>
              <w14:schemeClr w14:val="tx1"/>
            </w14:solidFill>
          </w14:textFill>
        </w:rPr>
        <w:t>0.30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热水/kL啤酒</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二次</w:t>
      </w:r>
      <w:r>
        <w:rPr>
          <w:snapToGrid w:val="0"/>
          <w:color w:val="000000" w:themeColor="text1"/>
          <w14:textFill>
            <w14:solidFill>
              <w14:schemeClr w14:val="tx1"/>
            </w14:solidFill>
          </w14:textFill>
        </w:rPr>
        <w:t>热水冲洗用水量为0.</w:t>
      </w:r>
      <w:r>
        <w:rPr>
          <w:rFonts w:hint="eastAsia"/>
          <w:snapToGrid w:val="0"/>
          <w:color w:val="000000" w:themeColor="text1"/>
          <w:lang w:val="en-US" w:eastAsia="zh-CN"/>
          <w14:textFill>
            <w14:solidFill>
              <w14:schemeClr w14:val="tx1"/>
            </w14:solidFill>
          </w14:textFill>
        </w:rPr>
        <w:t>20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热水/kL啤酒</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最终清洗</w:t>
      </w:r>
      <w:r>
        <w:rPr>
          <w:snapToGrid w:val="0"/>
          <w:color w:val="000000" w:themeColor="text1"/>
          <w14:textFill>
            <w14:solidFill>
              <w14:schemeClr w14:val="tx1"/>
            </w14:solidFill>
          </w14:textFill>
        </w:rPr>
        <w:t>热水冲洗用水量为</w:t>
      </w:r>
      <w:r>
        <w:rPr>
          <w:rFonts w:hint="eastAsia"/>
          <w:snapToGrid w:val="0"/>
          <w:color w:val="000000" w:themeColor="text1"/>
          <w:lang w:val="en-US" w:eastAsia="zh-CN"/>
          <w14:textFill>
            <w14:solidFill>
              <w14:schemeClr w14:val="tx1"/>
            </w14:solidFill>
          </w14:textFill>
        </w:rPr>
        <w:t>0.12</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热水/kL啤酒。</w:t>
      </w:r>
    </w:p>
    <w:p w14:paraId="77B73564">
      <w:pPr>
        <w:pStyle w:val="85"/>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项目</w:t>
      </w:r>
      <w:r>
        <w:rPr>
          <w:snapToGrid w:val="0"/>
          <w:color w:val="000000" w:themeColor="text1"/>
          <w14:textFill>
            <w14:solidFill>
              <w14:schemeClr w14:val="tx1"/>
            </w14:solidFill>
          </w14:textFill>
        </w:rPr>
        <w:t>每批次产生20kL啤酒</w:t>
      </w:r>
      <w:r>
        <w:rPr>
          <w:rFonts w:hint="eastAsia"/>
          <w:snapToGrid w:val="0"/>
          <w:color w:val="000000" w:themeColor="text1"/>
          <w14:textFill>
            <w14:solidFill>
              <w14:schemeClr w14:val="tx1"/>
            </w14:solidFill>
          </w14:textFill>
        </w:rPr>
        <w:t>，每天可投料</w:t>
      </w:r>
      <w:r>
        <w:rPr>
          <w:rFonts w:hint="eastAsia"/>
          <w:snapToGrid w:val="0"/>
          <w:color w:val="000000" w:themeColor="text1"/>
          <w:lang w:val="en-US" w:eastAsia="zh-CN"/>
          <w14:textFill>
            <w14:solidFill>
              <w14:schemeClr w14:val="tx1"/>
            </w14:solidFill>
          </w14:textFill>
        </w:rPr>
        <w:t>5</w:t>
      </w:r>
      <w:r>
        <w:rPr>
          <w:rFonts w:hint="eastAsia"/>
          <w:snapToGrid w:val="0"/>
          <w:color w:val="000000" w:themeColor="text1"/>
          <w14:textFill>
            <w14:solidFill>
              <w14:schemeClr w14:val="tx1"/>
            </w14:solidFill>
          </w14:textFill>
        </w:rPr>
        <w:t>批次</w:t>
      </w:r>
      <w:r>
        <w:rPr>
          <w:snapToGrid w:val="0"/>
          <w:color w:val="000000" w:themeColor="text1"/>
          <w14:textFill>
            <w14:solidFill>
              <w14:schemeClr w14:val="tx1"/>
            </w14:solidFill>
          </w14:textFill>
        </w:rPr>
        <w:t>，糖化锅、</w:t>
      </w:r>
      <w:r>
        <w:rPr>
          <w:rFonts w:hint="eastAsia"/>
          <w:snapToGrid w:val="0"/>
          <w:color w:val="000000" w:themeColor="text1"/>
          <w:lang w:val="en-US" w:eastAsia="zh-CN"/>
          <w14:textFill>
            <w14:solidFill>
              <w14:schemeClr w14:val="tx1"/>
            </w14:solidFill>
          </w14:textFill>
        </w:rPr>
        <w:t>糊化锅、</w:t>
      </w:r>
      <w:r>
        <w:rPr>
          <w:snapToGrid w:val="0"/>
          <w:color w:val="000000" w:themeColor="text1"/>
          <w14:textFill>
            <w14:solidFill>
              <w14:schemeClr w14:val="tx1"/>
            </w14:solidFill>
          </w14:textFill>
        </w:rPr>
        <w:t>过滤槽、煮沸锅、旋沉槽、灌装机等生产设备及管道</w:t>
      </w:r>
      <w:r>
        <w:rPr>
          <w:rFonts w:hint="eastAsia"/>
          <w:snapToGrid w:val="0"/>
          <w:color w:val="000000" w:themeColor="text1"/>
          <w14:textFill>
            <w14:solidFill>
              <w14:schemeClr w14:val="tx1"/>
            </w14:solidFill>
          </w14:textFill>
        </w:rPr>
        <w:t>清</w:t>
      </w:r>
      <w:r>
        <w:rPr>
          <w:snapToGrid w:val="0"/>
          <w:color w:val="000000" w:themeColor="text1"/>
          <w14:textFill>
            <w14:solidFill>
              <w14:schemeClr w14:val="tx1"/>
            </w14:solidFill>
          </w14:textFill>
        </w:rPr>
        <w:t>洗采用CIP系统</w:t>
      </w:r>
      <w:r>
        <w:rPr>
          <w:rFonts w:hint="eastAsia"/>
          <w:snapToGrid w:val="0"/>
          <w:color w:val="000000" w:themeColor="text1"/>
          <w:lang w:val="en-US" w:eastAsia="zh-CN"/>
          <w14:textFill>
            <w14:solidFill>
              <w14:schemeClr w14:val="tx1"/>
            </w14:solidFill>
          </w14:textFill>
        </w:rPr>
        <w:t>每日清洗</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则日常</w:t>
      </w:r>
      <w:r>
        <w:rPr>
          <w:snapToGrid w:val="0"/>
          <w:color w:val="000000" w:themeColor="text1"/>
          <w14:textFill>
            <w14:solidFill>
              <w14:schemeClr w14:val="tx1"/>
            </w14:solidFill>
          </w14:textFill>
        </w:rPr>
        <w:t>预清洗</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一</w:t>
      </w:r>
      <w:r>
        <w:rPr>
          <w:rFonts w:hint="eastAsia"/>
          <w:snapToGrid w:val="0"/>
          <w:color w:val="000000" w:themeColor="text1"/>
          <w14:textFill>
            <w14:solidFill>
              <w14:schemeClr w14:val="tx1"/>
            </w14:solidFill>
          </w14:textFill>
        </w:rPr>
        <w:t>次</w:t>
      </w:r>
      <w:r>
        <w:rPr>
          <w:snapToGrid w:val="0"/>
          <w:color w:val="000000" w:themeColor="text1"/>
          <w14:textFill>
            <w14:solidFill>
              <w14:schemeClr w14:val="tx1"/>
            </w14:solidFill>
          </w14:textFill>
        </w:rPr>
        <w:t>热水冲洗</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二次</w:t>
      </w:r>
      <w:r>
        <w:rPr>
          <w:snapToGrid w:val="0"/>
          <w:color w:val="000000" w:themeColor="text1"/>
          <w14:textFill>
            <w14:solidFill>
              <w14:schemeClr w14:val="tx1"/>
            </w14:solidFill>
          </w14:textFill>
        </w:rPr>
        <w:t>热水冲洗</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最终清洗</w:t>
      </w:r>
      <w:r>
        <w:rPr>
          <w:snapToGrid w:val="0"/>
          <w:color w:val="000000" w:themeColor="text1"/>
          <w14:textFill>
            <w14:solidFill>
              <w14:schemeClr w14:val="tx1"/>
            </w14:solidFill>
          </w14:textFill>
        </w:rPr>
        <w:t>热水冲洗用水</w:t>
      </w:r>
      <w:r>
        <w:rPr>
          <w:rFonts w:hint="eastAsia"/>
          <w:snapToGrid w:val="0"/>
          <w:color w:val="000000" w:themeColor="text1"/>
          <w:lang w:val="en-US" w:eastAsia="zh-CN"/>
          <w14:textFill>
            <w14:solidFill>
              <w14:schemeClr w14:val="tx1"/>
            </w14:solidFill>
          </w14:textFill>
        </w:rPr>
        <w:t>量为87</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d。每天</w:t>
      </w:r>
      <w:r>
        <w:rPr>
          <w:snapToGrid w:val="0"/>
          <w:color w:val="000000" w:themeColor="text1"/>
          <w:lang w:val="zh-CN"/>
          <w14:textFill>
            <w14:solidFill>
              <w14:schemeClr w14:val="tx1"/>
            </w14:solidFill>
          </w14:textFill>
        </w:rPr>
        <w:t>N</w:t>
      </w:r>
      <w:r>
        <w:rPr>
          <w:rFonts w:hint="eastAsia"/>
          <w:snapToGrid w:val="0"/>
          <w:color w:val="000000" w:themeColor="text1"/>
          <w:lang w:val="zh-CN"/>
          <w14:textFill>
            <w14:solidFill>
              <w14:schemeClr w14:val="tx1"/>
            </w14:solidFill>
          </w14:textFill>
        </w:rPr>
        <w:t>aOH溶液</w:t>
      </w:r>
      <w:r>
        <w:rPr>
          <w:rFonts w:hint="eastAsia"/>
          <w:snapToGrid w:val="0"/>
          <w:color w:val="000000" w:themeColor="text1"/>
          <w:lang w:val="en-US" w:eastAsia="zh-CN"/>
          <w14:textFill>
            <w14:solidFill>
              <w14:schemeClr w14:val="tx1"/>
            </w14:solidFill>
          </w14:textFill>
        </w:rPr>
        <w:t>、HNO</w:t>
      </w:r>
      <w:r>
        <w:rPr>
          <w:rFonts w:hint="eastAsia"/>
          <w:snapToGrid w:val="0"/>
          <w:color w:val="000000" w:themeColor="text1"/>
          <w:vertAlign w:val="subscript"/>
          <w:lang w:val="en-US" w:eastAsia="zh-CN"/>
          <w14:textFill>
            <w14:solidFill>
              <w14:schemeClr w14:val="tx1"/>
            </w14:solidFill>
          </w14:textFill>
        </w:rPr>
        <w:t>3</w:t>
      </w:r>
      <w:r>
        <w:rPr>
          <w:rFonts w:hint="eastAsia"/>
          <w:snapToGrid w:val="0"/>
          <w:color w:val="000000" w:themeColor="text1"/>
          <w:lang w:val="zh-CN"/>
          <w14:textFill>
            <w14:solidFill>
              <w14:schemeClr w14:val="tx1"/>
            </w14:solidFill>
          </w14:textFill>
        </w:rPr>
        <w:t>溶液</w:t>
      </w:r>
      <w:r>
        <w:rPr>
          <w:rFonts w:hint="eastAsia"/>
          <w:snapToGrid w:val="0"/>
          <w:color w:val="000000" w:themeColor="text1"/>
          <w:lang w:val="en-US" w:eastAsia="zh-CN"/>
          <w14:textFill>
            <w14:solidFill>
              <w14:schemeClr w14:val="tx1"/>
            </w14:solidFill>
          </w14:textFill>
        </w:rPr>
        <w:t>、</w:t>
      </w:r>
      <w:r>
        <w:rPr>
          <w:rFonts w:hint="eastAsia"/>
          <w:snapToGrid w:val="0"/>
          <w:color w:val="000000" w:themeColor="text1"/>
          <w:lang w:val="zh-CN"/>
          <w14:textFill>
            <w14:solidFill>
              <w14:schemeClr w14:val="tx1"/>
            </w14:solidFill>
          </w14:textFill>
        </w:rPr>
        <w:t>过氧</w:t>
      </w:r>
      <w:r>
        <w:rPr>
          <w:rFonts w:hint="eastAsia"/>
          <w:snapToGrid w:val="0"/>
          <w:color w:val="000000" w:themeColor="text1"/>
          <w:lang w:val="en-US" w:eastAsia="zh-CN"/>
          <w14:textFill>
            <w14:solidFill>
              <w14:schemeClr w14:val="tx1"/>
            </w14:solidFill>
          </w14:textFill>
        </w:rPr>
        <w:t>乙酸</w:t>
      </w:r>
      <w:r>
        <w:rPr>
          <w:rFonts w:hint="eastAsia"/>
          <w:snapToGrid w:val="0"/>
          <w:color w:val="000000" w:themeColor="text1"/>
          <w:lang w:val="zh-CN"/>
          <w14:textFill>
            <w14:solidFill>
              <w14:schemeClr w14:val="tx1"/>
            </w14:solidFill>
          </w14:textFill>
        </w:rPr>
        <w:t>溶液</w:t>
      </w:r>
      <w:r>
        <w:rPr>
          <w:rFonts w:hint="eastAsia"/>
          <w:snapToGrid w:val="0"/>
          <w:color w:val="000000" w:themeColor="text1"/>
          <w:lang w:val="en-US" w:eastAsia="zh-CN"/>
          <w14:textFill>
            <w14:solidFill>
              <w14:schemeClr w14:val="tx1"/>
            </w14:solidFill>
          </w14:textFill>
        </w:rPr>
        <w:t>配液加补水量为9.62</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w:t>
      </w:r>
      <w:r>
        <w:rPr>
          <w:rFonts w:hint="eastAsia"/>
          <w:snapToGrid w:val="0"/>
          <w:color w:val="000000" w:themeColor="text1"/>
          <w:lang w:eastAsia="zh-CN"/>
          <w14:textFill>
            <w14:solidFill>
              <w14:schemeClr w14:val="tx1"/>
            </w14:solidFill>
          </w14:textFill>
        </w:rPr>
        <w:t>。</w:t>
      </w:r>
    </w:p>
    <w:p w14:paraId="634CBB9B">
      <w:pPr>
        <w:pStyle w:val="85"/>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因此，</w:t>
      </w:r>
      <w:r>
        <w:rPr>
          <w:snapToGrid w:val="0"/>
          <w:color w:val="000000" w:themeColor="text1"/>
          <w14:textFill>
            <w14:solidFill>
              <w14:schemeClr w14:val="tx1"/>
            </w14:solidFill>
          </w14:textFill>
        </w:rPr>
        <w:t>根据</w:t>
      </w:r>
      <w:r>
        <w:rPr>
          <w:rFonts w:hint="eastAsia"/>
          <w:snapToGrid w:val="0"/>
          <w:color w:val="000000" w:themeColor="text1"/>
          <w14:textFill>
            <w14:solidFill>
              <w14:schemeClr w14:val="tx1"/>
            </w14:solidFill>
          </w14:textFill>
        </w:rPr>
        <w:t>上述</w:t>
      </w:r>
      <w:r>
        <w:rPr>
          <w:snapToGrid w:val="0"/>
          <w:color w:val="000000" w:themeColor="text1"/>
          <w14:textFill>
            <w14:solidFill>
              <w14:schemeClr w14:val="tx1"/>
            </w14:solidFill>
          </w14:textFill>
        </w:rPr>
        <w:t>核算，CIP系统</w:t>
      </w:r>
      <w:r>
        <w:rPr>
          <w:rFonts w:hint="eastAsia"/>
          <w:snapToGrid w:val="0"/>
          <w:color w:val="000000" w:themeColor="text1"/>
          <w:lang w:val="en-US" w:eastAsia="zh-CN"/>
          <w14:textFill>
            <w14:solidFill>
              <w14:schemeClr w14:val="tx1"/>
            </w14:solidFill>
          </w14:textFill>
        </w:rPr>
        <w:t>日常</w:t>
      </w:r>
      <w:r>
        <w:rPr>
          <w:snapToGrid w:val="0"/>
          <w:color w:val="000000" w:themeColor="text1"/>
          <w14:textFill>
            <w14:solidFill>
              <w14:schemeClr w14:val="tx1"/>
            </w14:solidFill>
          </w14:textFill>
        </w:rPr>
        <w:t>清洗用水</w:t>
      </w:r>
      <w:r>
        <w:rPr>
          <w:rFonts w:hint="eastAsia"/>
          <w:snapToGrid w:val="0"/>
          <w:color w:val="000000" w:themeColor="text1"/>
          <w:lang w:val="en-US" w:eastAsia="zh-CN"/>
          <w14:textFill>
            <w14:solidFill>
              <w14:schemeClr w14:val="tx1"/>
            </w14:solidFill>
          </w14:textFill>
        </w:rPr>
        <w:t>量为96.62</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w:t>
      </w:r>
      <w:r>
        <w:rPr>
          <w:rFonts w:hint="eastAsia"/>
          <w:snapToGrid w:val="0"/>
          <w:color w:val="000000" w:themeColor="text1"/>
          <w:highlight w:val="none"/>
          <w14:textFill>
            <w14:solidFill>
              <w14:schemeClr w14:val="tx1"/>
            </w14:solidFill>
          </w14:textFill>
        </w:rPr>
        <w:t>纯水制备效率为8</w:t>
      </w:r>
      <w:r>
        <w:rPr>
          <w:snapToGrid w:val="0"/>
          <w:color w:val="000000" w:themeColor="text1"/>
          <w:highlight w:val="none"/>
          <w14:textFill>
            <w14:solidFill>
              <w14:schemeClr w14:val="tx1"/>
            </w14:solidFill>
          </w14:textFill>
        </w:rPr>
        <w:t>0%</w:t>
      </w:r>
      <w:r>
        <w:rPr>
          <w:rFonts w:hint="eastAsia"/>
          <w:snapToGrid w:val="0"/>
          <w:color w:val="000000" w:themeColor="text1"/>
          <w:highlight w:val="none"/>
          <w14:textFill>
            <w14:solidFill>
              <w14:schemeClr w14:val="tx1"/>
            </w14:solidFill>
          </w14:textFill>
        </w:rPr>
        <w:t>，</w:t>
      </w:r>
      <w:r>
        <w:rPr>
          <w:snapToGrid w:val="0"/>
          <w:color w:val="000000" w:themeColor="text1"/>
          <w:highlight w:val="none"/>
          <w14:textFill>
            <w14:solidFill>
              <w14:schemeClr w14:val="tx1"/>
            </w14:solidFill>
          </w14:textFill>
        </w:rPr>
        <w:t>CIP系统</w:t>
      </w:r>
      <w:r>
        <w:rPr>
          <w:rFonts w:hint="eastAsia"/>
          <w:snapToGrid w:val="0"/>
          <w:color w:val="000000" w:themeColor="text1"/>
          <w:highlight w:val="none"/>
          <w:lang w:val="en-US" w:eastAsia="zh-CN"/>
          <w14:textFill>
            <w14:solidFill>
              <w14:schemeClr w14:val="tx1"/>
            </w14:solidFill>
          </w14:textFill>
        </w:rPr>
        <w:t>日常</w:t>
      </w:r>
      <w:r>
        <w:rPr>
          <w:snapToGrid w:val="0"/>
          <w:color w:val="000000" w:themeColor="text1"/>
          <w:highlight w:val="none"/>
          <w14:textFill>
            <w14:solidFill>
              <w14:schemeClr w14:val="tx1"/>
            </w14:solidFill>
          </w14:textFill>
        </w:rPr>
        <w:t>清洗用</w:t>
      </w:r>
      <w:r>
        <w:rPr>
          <w:rFonts w:hint="eastAsia"/>
          <w:snapToGrid w:val="0"/>
          <w:color w:val="000000" w:themeColor="text1"/>
          <w:highlight w:val="none"/>
          <w:lang w:val="en-US" w:eastAsia="zh-CN"/>
          <w14:textFill>
            <w14:solidFill>
              <w14:schemeClr w14:val="tx1"/>
            </w14:solidFill>
          </w14:textFill>
        </w:rPr>
        <w:t>新鲜水量为120.78</w:t>
      </w:r>
      <w:r>
        <w:rPr>
          <w:snapToGrid w:val="0"/>
          <w:color w:val="000000" w:themeColor="text1"/>
          <w:highlight w:val="none"/>
          <w14:textFill>
            <w14:solidFill>
              <w14:schemeClr w14:val="tx1"/>
            </w14:solidFill>
          </w14:textFill>
        </w:rPr>
        <w:t>m</w:t>
      </w:r>
      <w:r>
        <w:rPr>
          <w:snapToGrid w:val="0"/>
          <w:color w:val="000000" w:themeColor="text1"/>
          <w:highlight w:val="none"/>
          <w:vertAlign w:val="superscript"/>
          <w14:textFill>
            <w14:solidFill>
              <w14:schemeClr w14:val="tx1"/>
            </w14:solidFill>
          </w14:textFill>
        </w:rPr>
        <w:t>3</w:t>
      </w:r>
      <w:r>
        <w:rPr>
          <w:snapToGrid w:val="0"/>
          <w:color w:val="000000" w:themeColor="text1"/>
          <w:highlight w:val="none"/>
          <w14:textFill>
            <w14:solidFill>
              <w14:schemeClr w14:val="tx1"/>
            </w14:solidFill>
          </w14:textFill>
        </w:rPr>
        <w:t>/</w:t>
      </w:r>
      <w:r>
        <w:rPr>
          <w:rFonts w:hint="eastAsia"/>
          <w:snapToGrid w:val="0"/>
          <w:color w:val="000000" w:themeColor="text1"/>
          <w:highlight w:val="none"/>
          <w:lang w:val="en-US" w:eastAsia="zh-CN"/>
          <w14:textFill>
            <w14:solidFill>
              <w14:schemeClr w14:val="tx1"/>
            </w14:solidFill>
          </w14:textFill>
        </w:rPr>
        <w:t>d。</w:t>
      </w:r>
    </w:p>
    <w:p w14:paraId="3D4E4DDA">
      <w:pPr>
        <w:pStyle w:val="85"/>
        <w:rPr>
          <w:rFonts w:hint="default" w:ascii="宋体" w:hAnsi="宋体" w:eastAsia="宋体" w:cs="宋体"/>
          <w:snapToGrid w:val="0"/>
          <w:color w:val="000000" w:themeColor="text1"/>
          <w:lang w:val="en-US" w:eastAsia="zh-CN"/>
          <w14:textFill>
            <w14:solidFill>
              <w14:schemeClr w14:val="tx1"/>
            </w14:solidFill>
          </w14:textFill>
        </w:rPr>
      </w:pPr>
      <w:r>
        <w:rPr>
          <w:rFonts w:ascii="宋体" w:hAnsi="宋体" w:eastAsia="宋体" w:cs="宋体"/>
          <w:b w:val="0"/>
          <w:bCs w:val="0"/>
          <w:sz w:val="24"/>
          <w:szCs w:val="24"/>
        </w:rPr>
        <w:t>啤酒厂发酵罐是</w:t>
      </w:r>
      <w:r>
        <w:rPr>
          <w:rStyle w:val="52"/>
          <w:rFonts w:ascii="宋体" w:hAnsi="宋体" w:eastAsia="宋体" w:cs="宋体"/>
          <w:b w:val="0"/>
          <w:bCs w:val="0"/>
          <w:color w:val="000000"/>
          <w:sz w:val="24"/>
          <w:szCs w:val="24"/>
        </w:rPr>
        <w:t>连续生产、轮流清洗</w:t>
      </w:r>
      <w:r>
        <w:rPr>
          <w:rFonts w:ascii="宋体" w:hAnsi="宋体" w:eastAsia="宋体" w:cs="宋体"/>
          <w:b w:val="0"/>
          <w:bCs w:val="0"/>
          <w:sz w:val="24"/>
          <w:szCs w:val="24"/>
        </w:rPr>
        <w:t>的，不</w:t>
      </w:r>
      <w:r>
        <w:rPr>
          <w:rFonts w:ascii="宋体" w:hAnsi="宋体" w:eastAsia="宋体" w:cs="宋体"/>
          <w:sz w:val="24"/>
          <w:szCs w:val="24"/>
        </w:rPr>
        <w:t>会出现所有罐同一天清洗的情况（否则生产停滞）</w:t>
      </w:r>
      <w:r>
        <w:rPr>
          <w:rFonts w:hint="eastAsia" w:ascii="宋体" w:hAnsi="宋体" w:eastAsia="宋体" w:cs="宋体"/>
          <w:sz w:val="24"/>
          <w:szCs w:val="24"/>
          <w:lang w:eastAsia="zh-CN"/>
        </w:rPr>
        <w:t>，</w:t>
      </w:r>
      <w:r>
        <w:rPr>
          <w:rFonts w:hint="eastAsia"/>
          <w:snapToGrid w:val="0"/>
          <w:color w:val="000000" w:themeColor="text1"/>
          <w:lang w:val="en-US" w:eastAsia="zh-CN"/>
          <w14:textFill>
            <w14:solidFill>
              <w14:schemeClr w14:val="tx1"/>
            </w14:solidFill>
          </w14:textFill>
        </w:rPr>
        <w:t>本项目设置20个30kL发酵罐、24个90kL发酵罐，</w:t>
      </w:r>
      <w:r>
        <w:rPr>
          <w:snapToGrid w:val="0"/>
          <w:color w:val="000000" w:themeColor="text1"/>
          <w14:textFill>
            <w14:solidFill>
              <w14:schemeClr w14:val="tx1"/>
            </w14:solidFill>
          </w14:textFill>
        </w:rPr>
        <w:t>发酵罐一个发酵周期（21天）清洗一次，其中清洗后</w:t>
      </w:r>
      <w:r>
        <w:rPr>
          <w:rFonts w:hint="eastAsia"/>
          <w:snapToGrid w:val="0"/>
          <w:color w:val="000000" w:themeColor="text1"/>
          <w:lang w:val="en-US" w:eastAsia="zh-CN"/>
          <w14:textFill>
            <w14:solidFill>
              <w14:schemeClr w14:val="tx1"/>
            </w14:solidFill>
          </w14:textFill>
        </w:rPr>
        <w:t>酸</w:t>
      </w:r>
      <w:r>
        <w:rPr>
          <w:snapToGrid w:val="0"/>
          <w:color w:val="000000" w:themeColor="text1"/>
          <w14:textFill>
            <w14:solidFill>
              <w14:schemeClr w14:val="tx1"/>
            </w14:solidFill>
          </w14:textFill>
        </w:rPr>
        <w:t>碱液收集于</w:t>
      </w:r>
      <w:r>
        <w:rPr>
          <w:rFonts w:hint="eastAsia"/>
          <w:snapToGrid w:val="0"/>
          <w:color w:val="000000" w:themeColor="text1"/>
          <w:lang w:val="en-US" w:eastAsia="zh-CN"/>
          <w14:textFill>
            <w14:solidFill>
              <w14:schemeClr w14:val="tx1"/>
            </w14:solidFill>
          </w14:textFill>
        </w:rPr>
        <w:t>酸</w:t>
      </w:r>
      <w:r>
        <w:rPr>
          <w:snapToGrid w:val="0"/>
          <w:color w:val="000000" w:themeColor="text1"/>
          <w14:textFill>
            <w14:solidFill>
              <w14:schemeClr w14:val="tx1"/>
            </w14:solidFill>
          </w14:textFill>
        </w:rPr>
        <w:t>碱液罐中，循环使用，定期部分排放更新；</w:t>
      </w:r>
      <w:r>
        <w:rPr>
          <w:rFonts w:hint="eastAsia"/>
          <w:snapToGrid w:val="0"/>
          <w:color w:val="000000" w:themeColor="text1"/>
          <w:lang w:val="zh-CN"/>
          <w14:textFill>
            <w14:solidFill>
              <w14:schemeClr w14:val="tx1"/>
            </w14:solidFill>
          </w14:textFill>
        </w:rPr>
        <w:t>过氧</w:t>
      </w:r>
      <w:r>
        <w:rPr>
          <w:rFonts w:hint="eastAsia"/>
          <w:snapToGrid w:val="0"/>
          <w:color w:val="000000" w:themeColor="text1"/>
          <w:lang w:val="en-US" w:eastAsia="zh-CN"/>
          <w14:textFill>
            <w14:solidFill>
              <w14:schemeClr w14:val="tx1"/>
            </w14:solidFill>
          </w14:textFill>
        </w:rPr>
        <w:t>乙酸</w:t>
      </w:r>
      <w:r>
        <w:rPr>
          <w:snapToGrid w:val="0"/>
          <w:color w:val="000000" w:themeColor="text1"/>
          <w14:textFill>
            <w14:solidFill>
              <w14:schemeClr w14:val="tx1"/>
            </w14:solidFill>
          </w14:textFill>
        </w:rPr>
        <w:t>暂存于</w:t>
      </w:r>
      <w:r>
        <w:rPr>
          <w:rFonts w:hint="eastAsia"/>
          <w:snapToGrid w:val="0"/>
          <w:color w:val="000000" w:themeColor="text1"/>
          <w:lang w:val="zh-CN"/>
          <w14:textFill>
            <w14:solidFill>
              <w14:schemeClr w14:val="tx1"/>
            </w14:solidFill>
          </w14:textFill>
        </w:rPr>
        <w:t>过氧</w:t>
      </w:r>
      <w:r>
        <w:rPr>
          <w:rFonts w:hint="eastAsia"/>
          <w:snapToGrid w:val="0"/>
          <w:color w:val="000000" w:themeColor="text1"/>
          <w:lang w:val="en-US" w:eastAsia="zh-CN"/>
          <w14:textFill>
            <w14:solidFill>
              <w14:schemeClr w14:val="tx1"/>
            </w14:solidFill>
          </w14:textFill>
        </w:rPr>
        <w:t>乙酸</w:t>
      </w:r>
      <w:r>
        <w:rPr>
          <w:snapToGrid w:val="0"/>
          <w:color w:val="000000" w:themeColor="text1"/>
          <w14:textFill>
            <w14:solidFill>
              <w14:schemeClr w14:val="tx1"/>
            </w14:solidFill>
          </w14:textFill>
        </w:rPr>
        <w:t>罐中，循环使用，定期部分排放更新</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根据</w:t>
      </w:r>
      <w:r>
        <w:rPr>
          <w:snapToGrid w:val="0"/>
          <w:color w:val="000000" w:themeColor="text1"/>
          <w14:textFill>
            <w14:solidFill>
              <w14:schemeClr w14:val="tx1"/>
            </w14:solidFill>
          </w14:textFill>
        </w:rPr>
        <w:t>建设单位提供资料</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30kL</w:t>
      </w:r>
      <w:r>
        <w:rPr>
          <w:snapToGrid w:val="0"/>
          <w:color w:val="000000" w:themeColor="text1"/>
          <w14:textFill>
            <w14:solidFill>
              <w14:schemeClr w14:val="tx1"/>
            </w14:solidFill>
          </w14:textFill>
        </w:rPr>
        <w:t>发酵罐</w:t>
      </w:r>
      <w:r>
        <w:rPr>
          <w:rFonts w:hint="eastAsia"/>
          <w:snapToGrid w:val="0"/>
          <w:color w:val="000000" w:themeColor="text1"/>
          <w:lang w:val="en-US" w:eastAsia="zh-CN"/>
          <w14:textFill>
            <w14:solidFill>
              <w14:schemeClr w14:val="tx1"/>
            </w14:solidFill>
          </w14:textFill>
        </w:rPr>
        <w:t>清洗CIP补充水量为2.5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罐·次，90kL发酵罐CIP补充水量为7.0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罐·次。经计算，日平均补充水量约为10.38</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w:t>
      </w:r>
      <w:r>
        <w:rPr>
          <w:rFonts w:hint="eastAsia"/>
          <w:snapToGrid w:val="0"/>
          <w:color w:val="000000" w:themeColor="text1"/>
          <w:highlight w:val="none"/>
          <w14:textFill>
            <w14:solidFill>
              <w14:schemeClr w14:val="tx1"/>
            </w14:solidFill>
          </w14:textFill>
        </w:rPr>
        <w:t>纯水制备效率为8</w:t>
      </w:r>
      <w:r>
        <w:rPr>
          <w:snapToGrid w:val="0"/>
          <w:color w:val="000000" w:themeColor="text1"/>
          <w:highlight w:val="none"/>
          <w14:textFill>
            <w14:solidFill>
              <w14:schemeClr w14:val="tx1"/>
            </w14:solidFill>
          </w14:textFill>
        </w:rPr>
        <w:t>0%</w:t>
      </w:r>
      <w:r>
        <w:rPr>
          <w:rFonts w:hint="eastAsia"/>
          <w:snapToGrid w:val="0"/>
          <w:color w:val="000000" w:themeColor="text1"/>
          <w:highlight w:val="none"/>
          <w14:textFill>
            <w14:solidFill>
              <w14:schemeClr w14:val="tx1"/>
            </w14:solidFill>
          </w14:textFill>
        </w:rPr>
        <w:t>，</w:t>
      </w:r>
      <w:r>
        <w:rPr>
          <w:rFonts w:hint="eastAsia"/>
          <w:snapToGrid w:val="0"/>
          <w:color w:val="000000" w:themeColor="text1"/>
          <w:highlight w:val="none"/>
          <w:lang w:val="en-US" w:eastAsia="zh-CN"/>
          <w14:textFill>
            <w14:solidFill>
              <w14:schemeClr w14:val="tx1"/>
            </w14:solidFill>
          </w14:textFill>
        </w:rPr>
        <w:t>发酵罐日平均补充新鲜水量</w:t>
      </w:r>
      <w:r>
        <w:rPr>
          <w:rFonts w:hint="eastAsia"/>
          <w:snapToGrid w:val="0"/>
          <w:color w:val="000000" w:themeColor="text1"/>
          <w:lang w:val="en-US" w:eastAsia="zh-CN"/>
          <w14:textFill>
            <w14:solidFill>
              <w14:schemeClr w14:val="tx1"/>
            </w14:solidFill>
          </w14:textFill>
        </w:rPr>
        <w:t>为12.98</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w:t>
      </w:r>
    </w:p>
    <w:p w14:paraId="5CD2B149">
      <w:pPr>
        <w:pStyle w:val="85"/>
        <w:rPr>
          <w:rFonts w:hint="default" w:eastAsia="宋体"/>
          <w:snapToGrid w:val="0"/>
          <w:color w:val="000000" w:themeColor="text1"/>
          <w:lang w:val="en-US" w:eastAsia="zh-CN"/>
          <w14:textFill>
            <w14:solidFill>
              <w14:schemeClr w14:val="tx1"/>
            </w14:solidFill>
          </w14:textFill>
        </w:rPr>
      </w:pPr>
      <w:r>
        <w:rPr>
          <w:snapToGrid w:val="0"/>
          <w:color w:val="000000" w:themeColor="text1"/>
          <w14:textFill>
            <w14:solidFill>
              <w14:schemeClr w14:val="tx1"/>
            </w14:solidFill>
          </w14:textFill>
        </w:rPr>
        <w:t>因此，根据</w:t>
      </w:r>
      <w:r>
        <w:rPr>
          <w:rFonts w:hint="eastAsia"/>
          <w:snapToGrid w:val="0"/>
          <w:color w:val="000000" w:themeColor="text1"/>
          <w14:textFill>
            <w14:solidFill>
              <w14:schemeClr w14:val="tx1"/>
            </w14:solidFill>
          </w14:textFill>
        </w:rPr>
        <w:t>上述</w:t>
      </w:r>
      <w:r>
        <w:rPr>
          <w:snapToGrid w:val="0"/>
          <w:color w:val="000000" w:themeColor="text1"/>
          <w14:textFill>
            <w14:solidFill>
              <w14:schemeClr w14:val="tx1"/>
            </w14:solidFill>
          </w14:textFill>
        </w:rPr>
        <w:t>核算，</w:t>
      </w:r>
      <w:r>
        <w:rPr>
          <w:snapToGrid w:val="0"/>
          <w:color w:val="000000" w:themeColor="text1"/>
          <w:highlight w:val="none"/>
          <w14:textFill>
            <w14:solidFill>
              <w14:schemeClr w14:val="tx1"/>
            </w14:solidFill>
          </w14:textFill>
        </w:rPr>
        <w:t>CIP系统</w:t>
      </w:r>
      <w:r>
        <w:rPr>
          <w:rFonts w:hint="eastAsia"/>
          <w:snapToGrid w:val="0"/>
          <w:color w:val="000000" w:themeColor="text1"/>
          <w:highlight w:val="none"/>
          <w:lang w:val="en-US" w:eastAsia="zh-CN"/>
          <w14:textFill>
            <w14:solidFill>
              <w14:schemeClr w14:val="tx1"/>
            </w14:solidFill>
          </w14:textFill>
        </w:rPr>
        <w:t>日用纯水量为107</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w:t>
      </w:r>
      <w:r>
        <w:rPr>
          <w:rFonts w:hint="eastAsia"/>
          <w:snapToGrid w:val="0"/>
          <w:color w:val="000000" w:themeColor="text1"/>
          <w:highlight w:val="none"/>
          <w:lang w:val="en-US" w:eastAsia="zh-CN"/>
          <w14:textFill>
            <w14:solidFill>
              <w14:schemeClr w14:val="tx1"/>
            </w14:solidFill>
          </w14:textFill>
        </w:rPr>
        <w:t>，年用纯水量为32100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a</w:t>
      </w:r>
      <w:r>
        <w:rPr>
          <w:rFonts w:hint="eastAsia" w:ascii="Times New Roman" w:hAnsi="Times New Roman" w:eastAsia="宋体"/>
          <w:snapToGrid w:val="0"/>
          <w:color w:val="000000" w:themeColor="text1"/>
          <w:lang w:val="en-US" w:eastAsia="zh-CN"/>
          <w14:textFill>
            <w14:solidFill>
              <w14:schemeClr w14:val="tx1"/>
            </w14:solidFill>
          </w14:textFill>
        </w:rPr>
        <w:t>。</w:t>
      </w:r>
      <w:r>
        <w:rPr>
          <w:snapToGrid w:val="0"/>
          <w:color w:val="000000" w:themeColor="text1"/>
          <w:highlight w:val="none"/>
          <w14:textFill>
            <w14:solidFill>
              <w14:schemeClr w14:val="tx1"/>
            </w14:solidFill>
          </w14:textFill>
        </w:rPr>
        <w:t>CIP系统</w:t>
      </w:r>
      <w:r>
        <w:rPr>
          <w:rFonts w:hint="eastAsia"/>
          <w:snapToGrid w:val="0"/>
          <w:color w:val="000000" w:themeColor="text1"/>
          <w:highlight w:val="none"/>
          <w:lang w:val="en-US" w:eastAsia="zh-CN"/>
          <w14:textFill>
            <w14:solidFill>
              <w14:schemeClr w14:val="tx1"/>
            </w14:solidFill>
          </w14:textFill>
        </w:rPr>
        <w:t>日用新鲜水量为133.76</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w:t>
      </w:r>
      <w:r>
        <w:rPr>
          <w:rFonts w:hint="eastAsia"/>
          <w:snapToGrid w:val="0"/>
          <w:color w:val="000000" w:themeColor="text1"/>
          <w:highlight w:val="none"/>
          <w:lang w:val="en-US" w:eastAsia="zh-CN"/>
          <w14:textFill>
            <w14:solidFill>
              <w14:schemeClr w14:val="tx1"/>
            </w14:solidFill>
          </w14:textFill>
        </w:rPr>
        <w:t>，年用水量为40128</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a</w:t>
      </w:r>
      <w:r>
        <w:rPr>
          <w:rFonts w:hint="eastAsia" w:ascii="Times New Roman" w:hAnsi="Times New Roman" w:eastAsia="宋体"/>
          <w:snapToGrid w:val="0"/>
          <w:color w:val="000000" w:themeColor="text1"/>
          <w:lang w:val="en-US" w:eastAsia="zh-CN"/>
          <w14:textFill>
            <w14:solidFill>
              <w14:schemeClr w14:val="tx1"/>
            </w14:solidFill>
          </w14:textFill>
        </w:rPr>
        <w:t>。</w:t>
      </w:r>
    </w:p>
    <w:p w14:paraId="4699FE8C">
      <w:pPr>
        <w:pStyle w:val="85"/>
        <w:ind w:firstLine="482"/>
        <w:rPr>
          <w:b/>
          <w:bCs/>
          <w:snapToGrid w:val="0"/>
          <w:color w:val="000000" w:themeColor="text1"/>
          <w14:textFill>
            <w14:solidFill>
              <w14:schemeClr w14:val="tx1"/>
            </w14:solidFill>
          </w14:textFill>
        </w:rPr>
      </w:pPr>
      <w:r>
        <w:rPr>
          <w:rFonts w:hint="eastAsia" w:ascii="宋体" w:hAnsi="宋体" w:cs="宋体"/>
          <w:b/>
          <w:bCs/>
          <w:snapToGrid w:val="0"/>
          <w:color w:val="000000" w:themeColor="text1"/>
          <w:lang w:eastAsia="zh-CN"/>
          <w14:textFill>
            <w14:solidFill>
              <w14:schemeClr w14:val="tx1"/>
            </w14:solidFill>
          </w14:textFill>
        </w:rPr>
        <w:t>（</w:t>
      </w:r>
      <w:r>
        <w:rPr>
          <w:rFonts w:hint="eastAsia" w:ascii="宋体" w:hAnsi="宋体" w:cs="宋体"/>
          <w:b/>
          <w:bCs/>
          <w:snapToGrid w:val="0"/>
          <w:color w:val="000000" w:themeColor="text1"/>
          <w:lang w:val="en-US" w:eastAsia="zh-CN"/>
          <w14:textFill>
            <w14:solidFill>
              <w14:schemeClr w14:val="tx1"/>
            </w14:solidFill>
          </w14:textFill>
        </w:rPr>
        <w:t>5</w:t>
      </w:r>
      <w:r>
        <w:rPr>
          <w:rFonts w:hint="eastAsia" w:ascii="宋体" w:hAnsi="宋体" w:cs="宋体"/>
          <w:b/>
          <w:bCs/>
          <w:snapToGrid w:val="0"/>
          <w:color w:val="000000" w:themeColor="text1"/>
          <w:lang w:eastAsia="zh-CN"/>
          <w14:textFill>
            <w14:solidFill>
              <w14:schemeClr w14:val="tx1"/>
            </w14:solidFill>
          </w14:textFill>
        </w:rPr>
        <w:t>）</w:t>
      </w:r>
      <w:r>
        <w:rPr>
          <w:b/>
          <w:bCs/>
          <w:snapToGrid w:val="0"/>
          <w:color w:val="000000" w:themeColor="text1"/>
          <w14:textFill>
            <w14:solidFill>
              <w14:schemeClr w14:val="tx1"/>
            </w14:solidFill>
          </w14:textFill>
        </w:rPr>
        <w:t>玻璃瓶清洗用水</w:t>
      </w:r>
    </w:p>
    <w:p w14:paraId="328013FB">
      <w:pPr>
        <w:pStyle w:val="85"/>
        <w:rPr>
          <w:rFonts w:hint="eastAsia" w:eastAsia="宋体"/>
          <w:snapToGrid w:val="0"/>
          <w:color w:val="000000" w:themeColor="text1"/>
          <w:lang w:val="en-US" w:eastAsia="zh-CN"/>
          <w14:textFill>
            <w14:solidFill>
              <w14:schemeClr w14:val="tx1"/>
            </w14:solidFill>
          </w14:textFill>
        </w:rPr>
      </w:pPr>
      <w:r>
        <w:rPr>
          <w:snapToGrid w:val="0"/>
          <w:color w:val="000000" w:themeColor="text1"/>
          <w14:textFill>
            <w14:solidFill>
              <w14:schemeClr w14:val="tx1"/>
            </w14:solidFill>
          </w14:textFill>
        </w:rPr>
        <w:t>本项目玻璃瓶需要淸洗，根据</w:t>
      </w:r>
      <w:r>
        <w:rPr>
          <w:rFonts w:hint="eastAsia"/>
          <w:snapToGrid w:val="0"/>
          <w:color w:val="000000" w:themeColor="text1"/>
          <w:lang w:val="en-US" w:eastAsia="zh-CN"/>
          <w14:textFill>
            <w14:solidFill>
              <w14:schemeClr w14:val="tx1"/>
            </w14:solidFill>
          </w14:textFill>
        </w:rPr>
        <w:t>建设单位提供行业经验值</w:t>
      </w:r>
      <w:r>
        <w:rPr>
          <w:snapToGrid w:val="0"/>
          <w:color w:val="000000" w:themeColor="text1"/>
          <w14:textFill>
            <w14:solidFill>
              <w14:schemeClr w14:val="tx1"/>
            </w14:solidFill>
          </w14:textFill>
        </w:rPr>
        <w:t>，清洗过程为预清洗→1.0%~2.0%N</w:t>
      </w:r>
      <w:r>
        <w:rPr>
          <w:rFonts w:hint="eastAsia"/>
          <w:snapToGrid w:val="0"/>
          <w:color w:val="000000" w:themeColor="text1"/>
          <w14:textFill>
            <w14:solidFill>
              <w14:schemeClr w14:val="tx1"/>
            </w14:solidFill>
          </w14:textFill>
        </w:rPr>
        <w:t>a</w:t>
      </w:r>
      <w:r>
        <w:rPr>
          <w:snapToGrid w:val="0"/>
          <w:color w:val="000000" w:themeColor="text1"/>
          <w14:textFill>
            <w14:solidFill>
              <w14:schemeClr w14:val="tx1"/>
            </w14:solidFill>
          </w14:textFill>
        </w:rPr>
        <w:t>OH溶液浸泡→</w:t>
      </w:r>
      <w:r>
        <w:rPr>
          <w:rFonts w:hint="eastAsia"/>
          <w:snapToGrid w:val="0"/>
          <w:color w:val="000000" w:themeColor="text1"/>
          <w:lang w:val="en-US" w:eastAsia="zh-CN"/>
          <w14:textFill>
            <w14:solidFill>
              <w14:schemeClr w14:val="tx1"/>
            </w14:solidFill>
          </w14:textFill>
        </w:rPr>
        <w:t>0.1%低泡表面活性剂</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螯合剂（葡萄糖酸钠）</w:t>
      </w:r>
      <w:r>
        <w:rPr>
          <w:snapToGrid w:val="0"/>
          <w:color w:val="000000" w:themeColor="text1"/>
          <w14:textFill>
            <w14:solidFill>
              <w14:schemeClr w14:val="tx1"/>
            </w14:solidFill>
          </w14:textFill>
        </w:rPr>
        <w:t>→热水冲洗→</w:t>
      </w:r>
      <w:r>
        <w:rPr>
          <w:rFonts w:hint="eastAsia"/>
          <w:snapToGrid w:val="0"/>
          <w:color w:val="000000" w:themeColor="text1"/>
          <w:lang w:val="en-US" w:eastAsia="zh-CN"/>
          <w14:textFill>
            <w14:solidFill>
              <w14:schemeClr w14:val="tx1"/>
            </w14:solidFill>
          </w14:textFill>
        </w:rPr>
        <w:t>纯水漂洗</w:t>
      </w:r>
      <w:r>
        <w:rPr>
          <w:snapToGrid w:val="0"/>
          <w:color w:val="000000" w:themeColor="text1"/>
          <w14:textFill>
            <w14:solidFill>
              <w14:schemeClr w14:val="tx1"/>
            </w14:solidFill>
          </w14:textFill>
        </w:rPr>
        <w:t>。其中清洗后碱液收集于碱液罐，循环使用，定期更新；</w:t>
      </w:r>
      <w:r>
        <w:rPr>
          <w:rFonts w:hint="eastAsia"/>
          <w:snapToGrid w:val="0"/>
          <w:color w:val="000000" w:themeColor="text1"/>
          <w:lang w:val="en-US" w:eastAsia="zh-CN"/>
          <w14:textFill>
            <w14:solidFill>
              <w14:schemeClr w14:val="tx1"/>
            </w14:solidFill>
          </w14:textFill>
        </w:rPr>
        <w:t>其他含表面活性剂、螯合剂废水</w:t>
      </w:r>
      <w:r>
        <w:rPr>
          <w:snapToGrid w:val="0"/>
          <w:color w:val="000000" w:themeColor="text1"/>
          <w14:textFill>
            <w14:solidFill>
              <w14:schemeClr w14:val="tx1"/>
            </w14:solidFill>
          </w14:textFill>
        </w:rPr>
        <w:t>作为污水进入厂区污水处理站处理。根据</w:t>
      </w:r>
      <w:r>
        <w:rPr>
          <w:rFonts w:hint="eastAsia"/>
          <w:snapToGrid w:val="0"/>
          <w:color w:val="000000" w:themeColor="text1"/>
          <w:lang w:val="en-US" w:eastAsia="zh-CN"/>
          <w14:textFill>
            <w14:solidFill>
              <w14:schemeClr w14:val="tx1"/>
            </w14:solidFill>
          </w14:textFill>
        </w:rPr>
        <w:t>建设单位提供行业经验值</w:t>
      </w:r>
      <w:r>
        <w:rPr>
          <w:snapToGrid w:val="0"/>
          <w:color w:val="000000" w:themeColor="text1"/>
          <w14:textFill>
            <w14:solidFill>
              <w14:schemeClr w14:val="tx1"/>
            </w14:solidFill>
          </w14:textFill>
        </w:rPr>
        <w:t>，预清洗用水量为</w:t>
      </w:r>
      <w:r>
        <w:rPr>
          <w:rFonts w:hint="eastAsia"/>
          <w:snapToGrid w:val="0"/>
          <w:color w:val="000000" w:themeColor="text1"/>
          <w:lang w:val="en-US" w:eastAsia="zh-CN"/>
          <w14:textFill>
            <w14:solidFill>
              <w14:schemeClr w14:val="tx1"/>
            </w14:solidFill>
          </w14:textFill>
        </w:rPr>
        <w:t>0.08</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水/kL啤酒，</w:t>
      </w:r>
      <w:r>
        <w:rPr>
          <w:snapToGrid w:val="0"/>
          <w:color w:val="000000" w:themeColor="text1"/>
          <w:lang w:val="zh-CN"/>
          <w14:textFill>
            <w14:solidFill>
              <w14:schemeClr w14:val="tx1"/>
            </w14:solidFill>
          </w14:textFill>
        </w:rPr>
        <w:t>N</w:t>
      </w:r>
      <w:r>
        <w:rPr>
          <w:rFonts w:hint="eastAsia"/>
          <w:snapToGrid w:val="0"/>
          <w:color w:val="000000" w:themeColor="text1"/>
          <w:lang w:val="zh-CN"/>
          <w14:textFill>
            <w14:solidFill>
              <w14:schemeClr w14:val="tx1"/>
            </w14:solidFill>
          </w14:textFill>
        </w:rPr>
        <w:t>aOH溶液</w:t>
      </w:r>
      <w:r>
        <w:rPr>
          <w:rFonts w:hint="eastAsia"/>
          <w:snapToGrid w:val="0"/>
          <w:color w:val="000000" w:themeColor="text1"/>
          <w:lang w:val="en-US" w:eastAsia="zh-CN"/>
          <w14:textFill>
            <w14:solidFill>
              <w14:schemeClr w14:val="tx1"/>
            </w14:solidFill>
          </w14:textFill>
        </w:rPr>
        <w:t>配液加补水量为0.015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/kL啤酒</w:t>
      </w:r>
      <w:r>
        <w:rPr>
          <w:rFonts w:hint="eastAsia"/>
          <w:snapToGrid w:val="0"/>
          <w:color w:val="000000" w:themeColor="text1"/>
          <w:lang w:eastAsia="zh-CN"/>
          <w14:textFill>
            <w14:solidFill>
              <w14:schemeClr w14:val="tx1"/>
            </w14:solidFill>
          </w14:textFill>
        </w:rPr>
        <w:t>，</w:t>
      </w:r>
      <w:r>
        <w:rPr>
          <w:snapToGrid w:val="0"/>
          <w:color w:val="000000" w:themeColor="text1"/>
          <w14:textFill>
            <w14:solidFill>
              <w14:schemeClr w14:val="tx1"/>
            </w14:solidFill>
          </w14:textFill>
        </w:rPr>
        <w:t>热水冲洗用水量为</w:t>
      </w:r>
      <w:r>
        <w:rPr>
          <w:rFonts w:hint="eastAsia"/>
          <w:snapToGrid w:val="0"/>
          <w:color w:val="000000" w:themeColor="text1"/>
          <w:lang w:val="en-US" w:eastAsia="zh-CN"/>
          <w14:textFill>
            <w14:solidFill>
              <w14:schemeClr w14:val="tx1"/>
            </w14:solidFill>
          </w14:textFill>
        </w:rPr>
        <w:t>0.15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热水/kL啤酒</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最终漂洗用水量为0.12</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热水/kL啤酒</w:t>
      </w:r>
      <w:r>
        <w:rPr>
          <w:rFonts w:hint="eastAsia"/>
          <w:snapToGrid w:val="0"/>
          <w:color w:val="000000" w:themeColor="text1"/>
          <w:lang w:eastAsia="zh-CN"/>
          <w14:textFill>
            <w14:solidFill>
              <w14:schemeClr w14:val="tx1"/>
            </w14:solidFill>
          </w14:textFill>
        </w:rPr>
        <w:t>。</w:t>
      </w:r>
    </w:p>
    <w:p w14:paraId="750288D5">
      <w:pPr>
        <w:pStyle w:val="85"/>
        <w:rPr>
          <w:snapToGrid w:val="0"/>
          <w:color w:val="FF0000"/>
        </w:rPr>
      </w:pPr>
      <w:r>
        <w:rPr>
          <w:snapToGrid w:val="0"/>
          <w:color w:val="000000" w:themeColor="text1"/>
          <w14:textFill>
            <w14:solidFill>
              <w14:schemeClr w14:val="tx1"/>
            </w14:solidFill>
          </w14:textFill>
        </w:rPr>
        <w:t>则项目清洗过程预清洗用水量为</w:t>
      </w:r>
      <w:r>
        <w:rPr>
          <w:rFonts w:hint="eastAsia"/>
          <w:snapToGrid w:val="0"/>
          <w:color w:val="000000" w:themeColor="text1"/>
          <w:lang w:val="en-US" w:eastAsia="zh-CN"/>
          <w14:textFill>
            <w14:solidFill>
              <w14:schemeClr w14:val="tx1"/>
            </w14:solidFill>
          </w14:textFill>
        </w:rPr>
        <w:t>2400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/a，碱液</w:t>
      </w:r>
      <w:r>
        <w:rPr>
          <w:rFonts w:hint="eastAsia"/>
          <w:snapToGrid w:val="0"/>
          <w:color w:val="000000" w:themeColor="text1"/>
          <w:lang w:val="en-US" w:eastAsia="zh-CN"/>
          <w14:textFill>
            <w14:solidFill>
              <w14:schemeClr w14:val="tx1"/>
            </w14:solidFill>
          </w14:textFill>
        </w:rPr>
        <w:t>补充水</w:t>
      </w:r>
      <w:r>
        <w:rPr>
          <w:snapToGrid w:val="0"/>
          <w:color w:val="000000" w:themeColor="text1"/>
          <w14:textFill>
            <w14:solidFill>
              <w14:schemeClr w14:val="tx1"/>
            </w14:solidFill>
          </w14:textFill>
        </w:rPr>
        <w:t>用量为</w:t>
      </w:r>
      <w:r>
        <w:rPr>
          <w:rFonts w:hint="eastAsia"/>
          <w:snapToGrid w:val="0"/>
          <w:color w:val="000000" w:themeColor="text1"/>
          <w:lang w:val="en-US" w:eastAsia="zh-CN"/>
          <w14:textFill>
            <w14:solidFill>
              <w14:schemeClr w14:val="tx1"/>
            </w14:solidFill>
          </w14:textFill>
        </w:rPr>
        <w:t>450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/a，热水冲洗用水量</w:t>
      </w:r>
      <w:r>
        <w:rPr>
          <w:rFonts w:hint="eastAsia"/>
          <w:snapToGrid w:val="0"/>
          <w:color w:val="000000" w:themeColor="text1"/>
          <w:lang w:val="en-US" w:eastAsia="zh-CN"/>
          <w14:textFill>
            <w14:solidFill>
              <w14:schemeClr w14:val="tx1"/>
            </w14:solidFill>
          </w14:textFill>
        </w:rPr>
        <w:t>4500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纯水漂洗用水</w:t>
      </w:r>
      <w:r>
        <w:rPr>
          <w:snapToGrid w:val="0"/>
          <w:color w:val="000000" w:themeColor="text1"/>
          <w14:textFill>
            <w14:solidFill>
              <w14:schemeClr w14:val="tx1"/>
            </w14:solidFill>
          </w14:textFill>
        </w:rPr>
        <w:t>量为</w:t>
      </w:r>
      <w:r>
        <w:rPr>
          <w:rFonts w:hint="eastAsia"/>
          <w:snapToGrid w:val="0"/>
          <w:color w:val="000000" w:themeColor="text1"/>
          <w:lang w:val="en-US" w:eastAsia="zh-CN"/>
          <w14:textFill>
            <w14:solidFill>
              <w14:schemeClr w14:val="tx1"/>
            </w14:solidFill>
          </w14:textFill>
        </w:rPr>
        <w:t>3600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则本项目</w:t>
      </w:r>
      <w:r>
        <w:rPr>
          <w:snapToGrid w:val="0"/>
          <w:color w:val="000000" w:themeColor="text1"/>
          <w14:textFill>
            <w14:solidFill>
              <w14:schemeClr w14:val="tx1"/>
            </w14:solidFill>
          </w14:textFill>
        </w:rPr>
        <w:t>玻璃瓶清洗总用水量为</w:t>
      </w:r>
      <w:r>
        <w:rPr>
          <w:rFonts w:hint="eastAsia"/>
          <w:snapToGrid w:val="0"/>
          <w:color w:val="000000" w:themeColor="text1"/>
          <w:lang w:val="en-US" w:eastAsia="zh-CN"/>
          <w14:textFill>
            <w14:solidFill>
              <w14:schemeClr w14:val="tx1"/>
            </w14:solidFill>
          </w14:textFill>
        </w:rPr>
        <w:t>10950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lang w:val="en-US" w:eastAsia="zh-CN"/>
          <w14:textFill>
            <w14:solidFill>
              <w14:schemeClr w14:val="tx1"/>
            </w14:solidFill>
          </w14:textFill>
        </w:rPr>
        <w:t>纯水漂洗使用</w:t>
      </w:r>
      <w:r>
        <w:rPr>
          <w:rFonts w:hint="eastAsia"/>
          <w:snapToGrid w:val="0"/>
          <w:color w:val="000000" w:themeColor="text1"/>
          <w14:textFill>
            <w14:solidFill>
              <w14:schemeClr w14:val="tx1"/>
            </w14:solidFill>
          </w14:textFill>
        </w:rPr>
        <w:t>纯水</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制备效率为8</w:t>
      </w:r>
      <w:r>
        <w:rPr>
          <w:snapToGrid w:val="0"/>
          <w:color w:val="000000" w:themeColor="text1"/>
          <w14:textFill>
            <w14:solidFill>
              <w14:schemeClr w14:val="tx1"/>
            </w14:solidFill>
          </w14:textFill>
        </w:rPr>
        <w:t>0%</w:t>
      </w:r>
      <w:r>
        <w:rPr>
          <w:rFonts w:hint="eastAsia"/>
          <w:snapToGrid w:val="0"/>
          <w:color w:val="000000" w:themeColor="text1"/>
          <w14:textFill>
            <w14:solidFill>
              <w14:schemeClr w14:val="tx1"/>
            </w14:solidFill>
          </w14:textFill>
        </w:rPr>
        <w:t>，则</w:t>
      </w:r>
      <w:r>
        <w:rPr>
          <w:rFonts w:hint="eastAsia"/>
          <w:snapToGrid w:val="0"/>
          <w:color w:val="000000" w:themeColor="text1"/>
          <w:lang w:val="en-US" w:eastAsia="zh-CN"/>
          <w14:textFill>
            <w14:solidFill>
              <w14:schemeClr w14:val="tx1"/>
            </w14:solidFill>
          </w14:textFill>
        </w:rPr>
        <w:t>洗瓶</w:t>
      </w:r>
      <w:r>
        <w:rPr>
          <w:rFonts w:hint="eastAsia"/>
          <w:snapToGrid w:val="0"/>
          <w:color w:val="000000" w:themeColor="text1"/>
          <w14:textFill>
            <w14:solidFill>
              <w14:schemeClr w14:val="tx1"/>
            </w14:solidFill>
          </w14:textFill>
        </w:rPr>
        <w:t>新鲜水用量为</w:t>
      </w:r>
      <w:r>
        <w:rPr>
          <w:rFonts w:hint="eastAsia"/>
          <w:snapToGrid w:val="0"/>
          <w:color w:val="000000" w:themeColor="text1"/>
          <w:lang w:val="en-US" w:eastAsia="zh-CN"/>
          <w14:textFill>
            <w14:solidFill>
              <w14:schemeClr w14:val="tx1"/>
            </w14:solidFill>
          </w14:textFill>
        </w:rPr>
        <w:t>11850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w:t>
      </w:r>
    </w:p>
    <w:p w14:paraId="270BB8FC">
      <w:pPr>
        <w:pStyle w:val="85"/>
        <w:ind w:firstLine="482"/>
        <w:rPr>
          <w:b/>
          <w:bCs/>
          <w:snapToGrid w:val="0"/>
          <w:color w:val="000000" w:themeColor="text1"/>
          <w14:textFill>
            <w14:solidFill>
              <w14:schemeClr w14:val="tx1"/>
            </w14:solidFill>
          </w14:textFill>
        </w:rPr>
      </w:pPr>
      <w:r>
        <w:rPr>
          <w:rFonts w:hint="eastAsia" w:ascii="宋体" w:hAnsi="宋体" w:cs="宋体"/>
          <w:b/>
          <w:bCs/>
          <w:snapToGrid w:val="0"/>
          <w:color w:val="000000" w:themeColor="text1"/>
          <w:lang w:eastAsia="zh-CN"/>
          <w14:textFill>
            <w14:solidFill>
              <w14:schemeClr w14:val="tx1"/>
            </w14:solidFill>
          </w14:textFill>
        </w:rPr>
        <w:t>（</w:t>
      </w:r>
      <w:r>
        <w:rPr>
          <w:rFonts w:hint="eastAsia" w:ascii="宋体" w:hAnsi="宋体" w:cs="宋体"/>
          <w:b/>
          <w:bCs/>
          <w:snapToGrid w:val="0"/>
          <w:color w:val="000000" w:themeColor="text1"/>
          <w:lang w:val="en-US" w:eastAsia="zh-CN"/>
          <w14:textFill>
            <w14:solidFill>
              <w14:schemeClr w14:val="tx1"/>
            </w14:solidFill>
          </w14:textFill>
        </w:rPr>
        <w:t>6</w:t>
      </w:r>
      <w:r>
        <w:rPr>
          <w:rFonts w:hint="eastAsia" w:ascii="宋体" w:hAnsi="宋体" w:cs="宋体"/>
          <w:b/>
          <w:bCs/>
          <w:snapToGrid w:val="0"/>
          <w:color w:val="000000" w:themeColor="text1"/>
          <w:lang w:eastAsia="zh-CN"/>
          <w14:textFill>
            <w14:solidFill>
              <w14:schemeClr w14:val="tx1"/>
            </w14:solidFill>
          </w14:textFill>
        </w:rPr>
        <w:t>）</w:t>
      </w:r>
      <w:r>
        <w:rPr>
          <w:b/>
          <w:bCs/>
          <w:snapToGrid w:val="0"/>
          <w:color w:val="000000" w:themeColor="text1"/>
          <w14:textFill>
            <w14:solidFill>
              <w14:schemeClr w14:val="tx1"/>
            </w14:solidFill>
          </w14:textFill>
        </w:rPr>
        <w:t>化验室用水</w:t>
      </w:r>
    </w:p>
    <w:p w14:paraId="36509945">
      <w:pPr>
        <w:pStyle w:val="85"/>
        <w:rPr>
          <w:snapToGrid w:val="0"/>
          <w:color w:val="FF0000"/>
        </w:rPr>
      </w:pPr>
      <w:r>
        <w:rPr>
          <w:snapToGrid w:val="0"/>
          <w:color w:val="000000" w:themeColor="text1"/>
          <w14:textFill>
            <w14:solidFill>
              <w14:schemeClr w14:val="tx1"/>
            </w14:solidFill>
          </w14:textFill>
        </w:rPr>
        <w:t>本项目化验室主要检测成品啤酒质量及卫生指标，啤酒质量及卫生指标按生产批次进行检验，不涉及化学试剂使用，根据企业实际情况，化验室用水量</w:t>
      </w:r>
      <w:r>
        <w:rPr>
          <w:rFonts w:hint="eastAsia"/>
          <w:snapToGrid w:val="0"/>
          <w:color w:val="000000" w:themeColor="text1"/>
          <w:lang w:val="en-US" w:eastAsia="zh-CN"/>
          <w14:textFill>
            <w14:solidFill>
              <w14:schemeClr w14:val="tx1"/>
            </w14:solidFill>
          </w14:textFill>
        </w:rPr>
        <w:t>约</w:t>
      </w:r>
      <w:r>
        <w:rPr>
          <w:snapToGrid w:val="0"/>
          <w:color w:val="000000" w:themeColor="text1"/>
          <w14:textFill>
            <w14:solidFill>
              <w14:schemeClr w14:val="tx1"/>
            </w14:solidFill>
          </w14:textFill>
        </w:rPr>
        <w:t>为</w:t>
      </w:r>
      <w:r>
        <w:rPr>
          <w:rFonts w:hint="eastAsia"/>
          <w:snapToGrid w:val="0"/>
          <w:color w:val="000000" w:themeColor="text1"/>
          <w:lang w:val="en-US" w:eastAsia="zh-CN"/>
          <w14:textFill>
            <w14:solidFill>
              <w14:schemeClr w14:val="tx1"/>
            </w14:solidFill>
          </w14:textFill>
        </w:rPr>
        <w:t>1.0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/a，使用纯水。</w:t>
      </w:r>
      <w:r>
        <w:rPr>
          <w:rFonts w:hint="eastAsia"/>
          <w:snapToGrid w:val="0"/>
          <w:color w:val="000000" w:themeColor="text1"/>
          <w14:textFill>
            <w14:solidFill>
              <w14:schemeClr w14:val="tx1"/>
            </w14:solidFill>
          </w14:textFill>
        </w:rPr>
        <w:t>本项目纯水制备效率为8</w:t>
      </w:r>
      <w:r>
        <w:rPr>
          <w:snapToGrid w:val="0"/>
          <w:color w:val="000000" w:themeColor="text1"/>
          <w14:textFill>
            <w14:solidFill>
              <w14:schemeClr w14:val="tx1"/>
            </w14:solidFill>
          </w14:textFill>
        </w:rPr>
        <w:t>0%</w:t>
      </w:r>
      <w:r>
        <w:rPr>
          <w:rFonts w:hint="eastAsia"/>
          <w:snapToGrid w:val="0"/>
          <w:color w:val="000000" w:themeColor="text1"/>
          <w14:textFill>
            <w14:solidFill>
              <w14:schemeClr w14:val="tx1"/>
            </w14:solidFill>
          </w14:textFill>
        </w:rPr>
        <w:t>，则制备纯水新鲜水用量为</w:t>
      </w:r>
      <w:r>
        <w:rPr>
          <w:rFonts w:hint="eastAsia"/>
          <w:snapToGrid w:val="0"/>
          <w:color w:val="000000" w:themeColor="text1"/>
          <w:lang w:val="en-US" w:eastAsia="zh-CN"/>
          <w14:textFill>
            <w14:solidFill>
              <w14:schemeClr w14:val="tx1"/>
            </w14:solidFill>
          </w14:textFill>
        </w:rPr>
        <w:t>1.25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w:t>
      </w:r>
    </w:p>
    <w:p w14:paraId="15D29469">
      <w:pPr>
        <w:pStyle w:val="85"/>
        <w:ind w:firstLine="482"/>
        <w:rPr>
          <w:b/>
          <w:bCs/>
          <w:snapToGrid w:val="0"/>
          <w:color w:val="auto"/>
        </w:rPr>
      </w:pPr>
      <w:r>
        <w:rPr>
          <w:rFonts w:hint="eastAsia" w:ascii="宋体" w:hAnsi="宋体" w:cs="宋体"/>
          <w:b/>
          <w:bCs/>
          <w:snapToGrid w:val="0"/>
          <w:color w:val="auto"/>
          <w:lang w:eastAsia="zh-CN"/>
        </w:rPr>
        <w:t>（</w:t>
      </w:r>
      <w:r>
        <w:rPr>
          <w:rFonts w:hint="eastAsia" w:ascii="宋体" w:hAnsi="宋体" w:cs="宋体"/>
          <w:b/>
          <w:bCs/>
          <w:snapToGrid w:val="0"/>
          <w:color w:val="auto"/>
          <w:lang w:val="en-US" w:eastAsia="zh-CN"/>
        </w:rPr>
        <w:t>7</w:t>
      </w:r>
      <w:r>
        <w:rPr>
          <w:rFonts w:hint="eastAsia" w:ascii="宋体" w:hAnsi="宋体" w:cs="宋体"/>
          <w:b/>
          <w:bCs/>
          <w:snapToGrid w:val="0"/>
          <w:color w:val="auto"/>
          <w:lang w:eastAsia="zh-CN"/>
        </w:rPr>
        <w:t>）</w:t>
      </w:r>
      <w:r>
        <w:rPr>
          <w:b/>
          <w:bCs/>
          <w:snapToGrid w:val="0"/>
          <w:color w:val="auto"/>
        </w:rPr>
        <w:t>锅炉用水</w:t>
      </w:r>
    </w:p>
    <w:p w14:paraId="01F0C978">
      <w:pPr>
        <w:pStyle w:val="374"/>
        <w:rPr>
          <w:rFonts w:cs="Times New Roman"/>
          <w:color w:val="000000"/>
        </w:rPr>
      </w:pPr>
      <w:r>
        <w:rPr>
          <w:snapToGrid w:val="0"/>
          <w:color w:val="auto"/>
        </w:rPr>
        <w:t>本项目</w:t>
      </w:r>
      <w:r>
        <w:rPr>
          <w:rFonts w:hint="eastAsia"/>
          <w:snapToGrid w:val="0"/>
          <w:color w:val="auto"/>
        </w:rPr>
        <w:t>新建</w:t>
      </w:r>
      <w:r>
        <w:rPr>
          <w:snapToGrid w:val="0"/>
          <w:color w:val="auto"/>
        </w:rPr>
        <w:t>3台</w:t>
      </w:r>
      <w:r>
        <w:rPr>
          <w:rFonts w:hint="eastAsia"/>
          <w:snapToGrid w:val="0"/>
          <w:color w:val="auto"/>
          <w:lang w:val="en-US" w:eastAsia="zh-CN"/>
        </w:rPr>
        <w:t>4</w:t>
      </w:r>
      <w:r>
        <w:rPr>
          <w:snapToGrid w:val="0"/>
          <w:color w:val="auto"/>
        </w:rPr>
        <w:t>t/h</w:t>
      </w:r>
      <w:r>
        <w:rPr>
          <w:rFonts w:hint="eastAsia"/>
          <w:snapToGrid w:val="0"/>
          <w:color w:val="auto"/>
          <w:lang w:eastAsia="zh-CN"/>
        </w:rPr>
        <w:t>燃气</w:t>
      </w:r>
      <w:r>
        <w:rPr>
          <w:snapToGrid w:val="0"/>
          <w:color w:val="auto"/>
        </w:rPr>
        <w:t>锅炉为</w:t>
      </w:r>
      <w:r>
        <w:rPr>
          <w:rFonts w:hint="eastAsia"/>
          <w:snapToGrid w:val="0"/>
          <w:color w:val="auto"/>
          <w:lang w:val="en-US" w:eastAsia="zh-CN"/>
        </w:rPr>
        <w:t>生产线</w:t>
      </w:r>
      <w:r>
        <w:rPr>
          <w:snapToGrid w:val="0"/>
          <w:color w:val="auto"/>
        </w:rPr>
        <w:t>间接加热提供蒸汽，</w:t>
      </w:r>
      <w:r>
        <w:rPr>
          <w:color w:val="000000"/>
        </w:rPr>
        <w:t>项目加热工序均通过蒸汽换热，不直接使用锅炉蒸汽</w:t>
      </w:r>
      <w:r>
        <w:rPr>
          <w:rFonts w:hint="eastAsia"/>
          <w:color w:val="000000"/>
        </w:rPr>
        <w:t>。本项目锅炉蒸汽冷凝水闭式回收，常规汽水损耗按5%取值（换热+管网+排污综合损耗</w:t>
      </w:r>
      <w:r>
        <w:rPr>
          <w:rFonts w:hint="eastAsia"/>
          <w:color w:val="000000"/>
          <w:lang w:eastAsia="zh-CN"/>
        </w:rPr>
        <w:t>）</w:t>
      </w:r>
      <w:r>
        <w:rPr>
          <w:rFonts w:hint="eastAsia" w:cs="Times New Roman"/>
          <w:color w:val="000000"/>
        </w:rPr>
        <w:t>，锅炉蒸汽损耗水量为</w:t>
      </w:r>
      <w:r>
        <w:rPr>
          <w:rFonts w:hint="eastAsia" w:cs="Times New Roman"/>
          <w:color w:val="000000"/>
          <w:lang w:val="en-US" w:eastAsia="zh-CN"/>
        </w:rPr>
        <w:t>4320</w:t>
      </w:r>
      <w:r>
        <w:rPr>
          <w:rFonts w:hint="eastAsia" w:cs="Times New Roman"/>
          <w:color w:val="000000"/>
        </w:rPr>
        <w:t>t/a（</w:t>
      </w:r>
      <w:r>
        <w:rPr>
          <w:rFonts w:hint="eastAsia" w:cs="Times New Roman"/>
          <w:color w:val="000000"/>
          <w:lang w:val="en-US" w:eastAsia="zh-CN"/>
        </w:rPr>
        <w:t>14.4</w:t>
      </w:r>
      <w:r>
        <w:rPr>
          <w:rFonts w:hint="eastAsia" w:cs="Times New Roman"/>
          <w:color w:val="000000"/>
        </w:rPr>
        <w:t>/d）</w:t>
      </w:r>
      <w:r>
        <w:rPr>
          <w:rFonts w:cs="Times New Roman"/>
          <w:color w:val="000000"/>
        </w:rPr>
        <w:t>。</w:t>
      </w:r>
    </w:p>
    <w:p w14:paraId="31315C15">
      <w:pPr>
        <w:pStyle w:val="85"/>
        <w:rPr>
          <w:snapToGrid w:val="0"/>
          <w:color w:val="000000" w:themeColor="text1"/>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项目</w:t>
      </w:r>
      <w:r>
        <w:rPr>
          <w:rFonts w:hint="default" w:ascii="Times New Roman" w:hAnsi="Times New Roman" w:eastAsia="宋体" w:cs="Times New Roman"/>
          <w:color w:val="000000" w:themeColor="text1"/>
          <w:highlight w:val="none"/>
          <w:lang w:val="en-US" w:eastAsia="zh-CN"/>
          <w14:textFill>
            <w14:solidFill>
              <w14:schemeClr w14:val="tx1"/>
            </w14:solidFill>
          </w14:textFill>
        </w:rPr>
        <w:t>锅炉排污水及软化处理废水产生量为</w:t>
      </w:r>
      <w:r>
        <w:rPr>
          <w:rFonts w:hint="eastAsia" w:cs="Times New Roman"/>
          <w:color w:val="000000" w:themeColor="text1"/>
          <w:highlight w:val="none"/>
          <w:lang w:val="en-US" w:eastAsia="zh-CN"/>
          <w14:textFill>
            <w14:solidFill>
              <w14:schemeClr w14:val="tx1"/>
            </w14:solidFill>
          </w14:textFill>
        </w:rPr>
        <w:t>34.87</w:t>
      </w:r>
      <w:r>
        <w:rPr>
          <w:rFonts w:hint="default" w:ascii="Times New Roman" w:hAnsi="Times New Roman" w:eastAsia="宋体" w:cs="Times New Roman"/>
          <w:color w:val="000000" w:themeColor="text1"/>
          <w:highlight w:val="none"/>
          <w:lang w:val="en-US" w:eastAsia="zh-CN"/>
          <w14:textFill>
            <w14:solidFill>
              <w14:schemeClr w14:val="tx1"/>
            </w14:solidFill>
          </w14:textFill>
        </w:rPr>
        <w:t>t/d</w:t>
      </w:r>
      <w:r>
        <w:rPr>
          <w:rFonts w:hint="eastAsia" w:ascii="Times New Roman" w:hAnsi="Times New Roman" w:eastAsia="宋体" w:cs="Times New Roman"/>
          <w:color w:val="000000" w:themeColor="text1"/>
          <w:highlight w:val="none"/>
          <w:lang w:val="en-US"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10460.59</w:t>
      </w:r>
      <w:r>
        <w:rPr>
          <w:rFonts w:hint="default" w:ascii="Times New Roman" w:hAnsi="Times New Roman" w:eastAsia="宋体" w:cs="Times New Roman"/>
          <w:color w:val="000000" w:themeColor="text1"/>
          <w:highlight w:val="none"/>
          <w:lang w:val="en-US" w:eastAsia="zh-CN"/>
          <w14:textFill>
            <w14:solidFill>
              <w14:schemeClr w14:val="tx1"/>
            </w14:solidFill>
          </w14:textFill>
        </w:rPr>
        <w:t>t/a</w:t>
      </w:r>
      <w:r>
        <w:rPr>
          <w:rFonts w:hint="eastAsia" w:cs="Times New Roman"/>
          <w:color w:val="000000" w:themeColor="text1"/>
          <w:highlight w:val="none"/>
          <w:lang w:val="en-US" w:eastAsia="zh-CN"/>
          <w14:textFill>
            <w14:solidFill>
              <w14:schemeClr w14:val="tx1"/>
            </w14:solidFill>
          </w14:textFill>
        </w:rPr>
        <w:t>，</w:t>
      </w:r>
      <w:r>
        <w:rPr>
          <w:snapToGrid w:val="0"/>
          <w:color w:val="000000" w:themeColor="text1"/>
          <w14:textFill>
            <w14:solidFill>
              <w14:schemeClr w14:val="tx1"/>
            </w14:solidFill>
          </w14:textFill>
        </w:rPr>
        <w:t>软水净化装置采用离子交换工艺，制水效率按</w:t>
      </w:r>
      <w:r>
        <w:rPr>
          <w:rFonts w:hint="eastAsia"/>
          <w:snapToGrid w:val="0"/>
          <w:color w:val="000000" w:themeColor="text1"/>
          <w:lang w:val="en-US" w:eastAsia="zh-CN"/>
          <w14:textFill>
            <w14:solidFill>
              <w14:schemeClr w14:val="tx1"/>
            </w14:solidFill>
          </w14:textFill>
        </w:rPr>
        <w:t>80</w:t>
      </w:r>
      <w:r>
        <w:rPr>
          <w:snapToGrid w:val="0"/>
          <w:color w:val="000000" w:themeColor="text1"/>
          <w14:textFill>
            <w14:solidFill>
              <w14:schemeClr w14:val="tx1"/>
            </w14:solidFill>
          </w14:textFill>
        </w:rPr>
        <w:t>%计算，</w:t>
      </w:r>
      <w:r>
        <w:rPr>
          <w:rFonts w:hint="eastAsia" w:cs="Times New Roman"/>
          <w:color w:val="000000" w:themeColor="text1"/>
          <w:highlight w:val="none"/>
          <w:lang w:val="en-US" w:eastAsia="zh-CN"/>
          <w14:textFill>
            <w14:solidFill>
              <w14:schemeClr w14:val="tx1"/>
            </w14:solidFill>
          </w14:textFill>
        </w:rPr>
        <w:t>经计算，</w:t>
      </w:r>
      <w:r>
        <w:rPr>
          <w:snapToGrid w:val="0"/>
          <w:color w:val="000000" w:themeColor="text1"/>
          <w14:textFill>
            <w14:solidFill>
              <w14:schemeClr w14:val="tx1"/>
            </w14:solidFill>
          </w14:textFill>
        </w:rPr>
        <w:t>软水制备设备所需</w:t>
      </w:r>
      <w:r>
        <w:rPr>
          <w:rFonts w:hint="eastAsia"/>
          <w:snapToGrid w:val="0"/>
          <w:color w:val="000000" w:themeColor="text1"/>
          <w:lang w:val="en-US" w:eastAsia="zh-CN"/>
          <w14:textFill>
            <w14:solidFill>
              <w14:schemeClr w14:val="tx1"/>
            </w14:solidFill>
          </w14:textFill>
        </w:rPr>
        <w:t>新鲜水</w:t>
      </w:r>
      <w:r>
        <w:rPr>
          <w:snapToGrid w:val="0"/>
          <w:color w:val="000000" w:themeColor="text1"/>
          <w14:textFill>
            <w14:solidFill>
              <w14:schemeClr w14:val="tx1"/>
            </w14:solidFill>
          </w14:textFill>
        </w:rPr>
        <w:t>用量为</w:t>
      </w:r>
      <w:r>
        <w:rPr>
          <w:rFonts w:hint="eastAsia"/>
          <w:snapToGrid w:val="0"/>
          <w:color w:val="000000" w:themeColor="text1"/>
          <w:lang w:val="en-US" w:eastAsia="zh-CN"/>
          <w14:textFill>
            <w14:solidFill>
              <w14:schemeClr w14:val="tx1"/>
            </w14:solidFill>
          </w14:textFill>
        </w:rPr>
        <w:t>14780.59</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p>
    <w:bookmarkEnd w:id="105"/>
    <w:bookmarkEnd w:id="106"/>
    <w:p w14:paraId="1F8D1AB5">
      <w:pPr>
        <w:pStyle w:val="85"/>
        <w:rPr>
          <w:rFonts w:hint="eastAsia"/>
          <w:snapToGrid w:val="0"/>
          <w:color w:val="000000" w:themeColor="text1"/>
          <w14:textFill>
            <w14:solidFill>
              <w14:schemeClr w14:val="tx1"/>
            </w14:solidFill>
          </w14:textFill>
        </w:rPr>
      </w:pPr>
      <w:r>
        <w:rPr>
          <w:rFonts w:hint="eastAsia"/>
          <w:b/>
          <w:bCs/>
          <w:snapToGrid w:val="0"/>
          <w:color w:val="000000" w:themeColor="text1"/>
          <w14:textFill>
            <w14:solidFill>
              <w14:schemeClr w14:val="tx1"/>
            </w14:solidFill>
          </w14:textFill>
        </w:rPr>
        <w:t>综上所述，</w:t>
      </w:r>
      <w:r>
        <w:rPr>
          <w:snapToGrid w:val="0"/>
          <w:color w:val="000000" w:themeColor="text1"/>
          <w14:textFill>
            <w14:solidFill>
              <w14:schemeClr w14:val="tx1"/>
            </w14:solidFill>
          </w14:textFill>
        </w:rPr>
        <w:t>本项目</w:t>
      </w:r>
      <w:r>
        <w:rPr>
          <w:rFonts w:hint="eastAsia"/>
          <w:snapToGrid w:val="0"/>
          <w:color w:val="000000" w:themeColor="text1"/>
          <w14:textFill>
            <w14:solidFill>
              <w14:schemeClr w14:val="tx1"/>
            </w14:solidFill>
          </w14:textFill>
        </w:rPr>
        <w:t>新鲜水</w:t>
      </w:r>
      <w:r>
        <w:rPr>
          <w:snapToGrid w:val="0"/>
          <w:color w:val="000000" w:themeColor="text1"/>
          <w14:textFill>
            <w14:solidFill>
              <w14:schemeClr w14:val="tx1"/>
            </w14:solidFill>
          </w14:textFill>
        </w:rPr>
        <w:t>总用水量为</w:t>
      </w:r>
      <w:r>
        <w:rPr>
          <w:rFonts w:hint="eastAsia"/>
          <w:snapToGrid w:val="0"/>
          <w:color w:val="000000" w:themeColor="text1"/>
          <w:lang w:val="en-US" w:eastAsia="zh-CN"/>
          <w14:textFill>
            <w14:solidFill>
              <w14:schemeClr w14:val="tx1"/>
            </w14:solidFill>
          </w14:textFill>
        </w:rPr>
        <w:t>104829.84</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。经计算，折算产能单位啤酒水耗量为</w:t>
      </w:r>
      <w:r>
        <w:rPr>
          <w:rFonts w:hint="eastAsia"/>
          <w:snapToGrid w:val="0"/>
          <w:color w:val="000000" w:themeColor="text1"/>
          <w:lang w:val="en-US" w:eastAsia="zh-CN"/>
          <w14:textFill>
            <w14:solidFill>
              <w14:schemeClr w14:val="tx1"/>
            </w14:solidFill>
          </w14:textFill>
        </w:rPr>
        <w:t>3.49</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k</w:t>
      </w:r>
      <w:r>
        <w:rPr>
          <w:snapToGrid w:val="0"/>
          <w:color w:val="000000" w:themeColor="text1"/>
          <w14:textFill>
            <w14:solidFill>
              <w14:schemeClr w14:val="tx1"/>
            </w14:solidFill>
          </w14:textFill>
        </w:rPr>
        <w:t>L</w:t>
      </w:r>
      <w:r>
        <w:rPr>
          <w:rFonts w:hint="eastAsia"/>
          <w:snapToGrid w:val="0"/>
          <w:color w:val="000000" w:themeColor="text1"/>
          <w14:textFill>
            <w14:solidFill>
              <w14:schemeClr w14:val="tx1"/>
            </w14:solidFill>
          </w14:textFill>
        </w:rPr>
        <w:t>啤酒，生产相关用水满足</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黑龙江省地方标准</w:t>
      </w:r>
      <w:r>
        <w:rPr>
          <w:rFonts w:hint="eastAsia"/>
          <w:snapToGrid w:val="0"/>
          <w:color w:val="000000" w:themeColor="text1"/>
          <w:lang w:val="en-US" w:eastAsia="zh-CN"/>
          <w14:textFill>
            <w14:solidFill>
              <w14:schemeClr w14:val="tx1"/>
            </w14:solidFill>
          </w14:textFill>
        </w:rPr>
        <w:t xml:space="preserve"> </w:t>
      </w:r>
      <w:r>
        <w:rPr>
          <w:rFonts w:hint="eastAsia"/>
          <w:snapToGrid w:val="0"/>
          <w:color w:val="000000" w:themeColor="text1"/>
          <w14:textFill>
            <w14:solidFill>
              <w14:schemeClr w14:val="tx1"/>
            </w14:solidFill>
          </w14:textFill>
        </w:rPr>
        <w:t>用水定额</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DB23/T 727-2025</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（啤酒制造先进值</w:t>
      </w:r>
      <w:r>
        <w:rPr>
          <w:rFonts w:hint="eastAsia"/>
          <w:snapToGrid w:val="0"/>
          <w:color w:val="000000" w:themeColor="text1"/>
          <w:lang w:val="en-US" w:eastAsia="zh-CN"/>
          <w14:textFill>
            <w14:solidFill>
              <w14:schemeClr w14:val="tx1"/>
            </w14:solidFill>
          </w14:textFill>
        </w:rPr>
        <w:t>3.5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/kL</w:t>
      </w:r>
      <w:r>
        <w:rPr>
          <w:rFonts w:hint="eastAsia"/>
          <w:snapToGrid w:val="0"/>
          <w:color w:val="000000" w:themeColor="text1"/>
          <w14:textFill>
            <w14:solidFill>
              <w14:schemeClr w14:val="tx1"/>
            </w14:solidFill>
          </w14:textFill>
        </w:rPr>
        <w:t>）。</w:t>
      </w:r>
    </w:p>
    <w:p w14:paraId="23B5EF2F">
      <w:pPr>
        <w:pStyle w:val="85"/>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3</w:t>
      </w:r>
      <w:r>
        <w:rPr>
          <w:rFonts w:hint="eastAsia"/>
          <w:snapToGrid w:val="0"/>
          <w:color w:val="000000" w:themeColor="text1"/>
          <w14:textFill>
            <w14:solidFill>
              <w14:schemeClr w14:val="tx1"/>
            </w14:solidFill>
          </w14:textFill>
        </w:rPr>
        <w:t>、生</w:t>
      </w:r>
      <w:r>
        <w:rPr>
          <w:rFonts w:hint="eastAsia"/>
          <w:snapToGrid w:val="0"/>
          <w:color w:val="000000" w:themeColor="text1"/>
          <w:lang w:val="en-US" w:eastAsia="zh-CN"/>
          <w14:textFill>
            <w14:solidFill>
              <w14:schemeClr w14:val="tx1"/>
            </w14:solidFill>
          </w14:textFill>
        </w:rPr>
        <w:t>活</w:t>
      </w:r>
      <w:r>
        <w:rPr>
          <w:rFonts w:hint="eastAsia"/>
          <w:snapToGrid w:val="0"/>
          <w:color w:val="000000" w:themeColor="text1"/>
          <w14:textFill>
            <w14:solidFill>
              <w14:schemeClr w14:val="tx1"/>
            </w14:solidFill>
          </w14:textFill>
        </w:rPr>
        <w:t>用水</w:t>
      </w:r>
      <w:r>
        <w:rPr>
          <w:rFonts w:hint="eastAsia"/>
          <w:snapToGrid w:val="0"/>
          <w:color w:val="000000" w:themeColor="text1"/>
          <w:lang w:val="en-US" w:eastAsia="zh-CN"/>
          <w14:textFill>
            <w14:solidFill>
              <w14:schemeClr w14:val="tx1"/>
            </w14:solidFill>
          </w14:textFill>
        </w:rPr>
        <w:t>及食堂用水</w:t>
      </w:r>
      <w:r>
        <w:rPr>
          <w:rFonts w:hint="eastAsia"/>
          <w:snapToGrid w:val="0"/>
          <w:color w:val="000000" w:themeColor="text1"/>
          <w14:textFill>
            <w14:solidFill>
              <w14:schemeClr w14:val="tx1"/>
            </w14:solidFill>
          </w14:textFill>
        </w:rPr>
        <w:t>量</w:t>
      </w:r>
    </w:p>
    <w:p w14:paraId="2EFFD807">
      <w:pPr>
        <w:pStyle w:val="85"/>
        <w:rPr>
          <w:rFonts w:hint="eastAsia"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14:textFill>
            <w14:solidFill>
              <w14:schemeClr w14:val="tx1"/>
            </w14:solidFill>
          </w14:textFill>
        </w:rPr>
        <w:t>本项目劳动定员</w:t>
      </w:r>
      <w:r>
        <w:rPr>
          <w:rFonts w:hint="eastAsia" w:ascii="Times New Roman" w:hAnsi="Times New Roman" w:eastAsia="宋体"/>
          <w:snapToGrid w:val="0"/>
          <w:color w:val="000000" w:themeColor="text1"/>
          <w:lang w:val="en-US" w:eastAsia="zh-CN"/>
          <w14:textFill>
            <w14:solidFill>
              <w14:schemeClr w14:val="tx1"/>
            </w14:solidFill>
          </w14:textFill>
        </w:rPr>
        <w:t>110</w:t>
      </w:r>
      <w:r>
        <w:rPr>
          <w:rFonts w:hint="eastAsia" w:ascii="Times New Roman" w:hAnsi="Times New Roman" w:eastAsia="宋体"/>
          <w:snapToGrid w:val="0"/>
          <w:color w:val="000000" w:themeColor="text1"/>
          <w14:textFill>
            <w14:solidFill>
              <w14:schemeClr w14:val="tx1"/>
            </w14:solidFill>
          </w14:textFill>
        </w:rPr>
        <w:t>人，参考黑龙江省地方标准《用水定额》（DB23/T727-2025），按80L/人</w:t>
      </w:r>
      <w:r>
        <w:rPr>
          <w:rFonts w:hint="eastAsia" w:ascii="Times New Roman" w:hAnsi="Times New Roman" w:eastAsia="宋体"/>
          <w:snapToGrid w:val="0"/>
          <w:color w:val="000000" w:themeColor="text1"/>
          <w:lang w:val="en-US" w:eastAsia="zh-CN"/>
          <w14:textFill>
            <w14:solidFill>
              <w14:schemeClr w14:val="tx1"/>
            </w14:solidFill>
          </w14:textFill>
        </w:rPr>
        <w:t>·</w:t>
      </w:r>
      <w:r>
        <w:rPr>
          <w:rFonts w:hint="eastAsia" w:ascii="Times New Roman" w:hAnsi="Times New Roman" w:eastAsia="宋体"/>
          <w:snapToGrid w:val="0"/>
          <w:color w:val="000000" w:themeColor="text1"/>
          <w14:textFill>
            <w14:solidFill>
              <w14:schemeClr w14:val="tx1"/>
            </w14:solidFill>
          </w14:textFill>
        </w:rPr>
        <w:t>d计，年工作时间</w:t>
      </w:r>
      <w:r>
        <w:rPr>
          <w:rFonts w:hint="eastAsia" w:ascii="Times New Roman" w:hAnsi="Times New Roman" w:eastAsia="宋体"/>
          <w:snapToGrid w:val="0"/>
          <w:color w:val="000000" w:themeColor="text1"/>
          <w:lang w:val="en-US" w:eastAsia="zh-CN"/>
          <w14:textFill>
            <w14:solidFill>
              <w14:schemeClr w14:val="tx1"/>
            </w14:solidFill>
          </w14:textFill>
        </w:rPr>
        <w:t>300</w:t>
      </w:r>
      <w:r>
        <w:rPr>
          <w:rFonts w:hint="eastAsia" w:ascii="Times New Roman" w:hAnsi="Times New Roman" w:eastAsia="宋体"/>
          <w:snapToGrid w:val="0"/>
          <w:color w:val="000000" w:themeColor="text1"/>
          <w14:textFill>
            <w14:solidFill>
              <w14:schemeClr w14:val="tx1"/>
            </w14:solidFill>
          </w14:textFill>
        </w:rPr>
        <w:t>d计，则生活用水量为</w:t>
      </w:r>
      <w:r>
        <w:rPr>
          <w:rFonts w:hint="eastAsia" w:ascii="Times New Roman" w:hAnsi="Times New Roman" w:eastAsia="宋体"/>
          <w:snapToGrid w:val="0"/>
          <w:color w:val="000000" w:themeColor="text1"/>
          <w:lang w:val="en-US" w:eastAsia="zh-CN"/>
          <w14:textFill>
            <w14:solidFill>
              <w14:schemeClr w14:val="tx1"/>
            </w14:solidFill>
          </w14:textFill>
        </w:rPr>
        <w:t>8.8</w:t>
      </w:r>
      <w:r>
        <w:rPr>
          <w:rFonts w:hint="eastAsia" w:ascii="Times New Roman" w:hAnsi="Times New Roman" w:eastAsia="宋体"/>
          <w:snapToGrid w:val="0"/>
          <w:color w:val="000000" w:themeColor="text1"/>
          <w14:textFill>
            <w14:solidFill>
              <w14:schemeClr w14:val="tx1"/>
            </w14:solidFill>
          </w14:textFill>
        </w:rPr>
        <w:t>m</w:t>
      </w:r>
      <w:r>
        <w:rPr>
          <w:rFonts w:hint="eastAsia" w:ascii="Times New Roman" w:hAnsi="Times New Roman" w:eastAsia="宋体"/>
          <w:snapToGrid w:val="0"/>
          <w:color w:val="000000" w:themeColor="text1"/>
          <w:vertAlign w:val="superscript"/>
          <w14:textFill>
            <w14:solidFill>
              <w14:schemeClr w14:val="tx1"/>
            </w14:solidFill>
          </w14:textFill>
        </w:rPr>
        <w:t>3</w:t>
      </w:r>
      <w:r>
        <w:rPr>
          <w:rFonts w:hint="eastAsia" w:ascii="Times New Roman" w:hAnsi="Times New Roman" w:eastAsia="宋体"/>
          <w:snapToGrid w:val="0"/>
          <w:color w:val="000000" w:themeColor="text1"/>
          <w14:textFill>
            <w14:solidFill>
              <w14:schemeClr w14:val="tx1"/>
            </w14:solidFill>
          </w14:textFill>
        </w:rPr>
        <w:t>/d、</w:t>
      </w:r>
      <w:r>
        <w:rPr>
          <w:rFonts w:hint="eastAsia" w:ascii="Times New Roman" w:hAnsi="Times New Roman" w:eastAsia="宋体"/>
          <w:snapToGrid w:val="0"/>
          <w:color w:val="000000" w:themeColor="text1"/>
          <w:lang w:val="en-US" w:eastAsia="zh-CN"/>
          <w14:textFill>
            <w14:solidFill>
              <w14:schemeClr w14:val="tx1"/>
            </w14:solidFill>
          </w14:textFill>
        </w:rPr>
        <w:t>2640</w:t>
      </w:r>
      <w:r>
        <w:rPr>
          <w:rFonts w:hint="eastAsia" w:ascii="Times New Roman" w:hAnsi="Times New Roman" w:eastAsia="宋体"/>
          <w:snapToGrid w:val="0"/>
          <w:color w:val="000000" w:themeColor="text1"/>
          <w14:textFill>
            <w14:solidFill>
              <w14:schemeClr w14:val="tx1"/>
            </w14:solidFill>
          </w14:textFill>
        </w:rPr>
        <w:t>m</w:t>
      </w:r>
      <w:r>
        <w:rPr>
          <w:rFonts w:hint="eastAsia" w:ascii="Times New Roman" w:hAnsi="Times New Roman" w:eastAsia="宋体"/>
          <w:snapToGrid w:val="0"/>
          <w:color w:val="000000" w:themeColor="text1"/>
          <w:vertAlign w:val="superscript"/>
          <w14:textFill>
            <w14:solidFill>
              <w14:schemeClr w14:val="tx1"/>
            </w14:solidFill>
          </w14:textFill>
        </w:rPr>
        <w:t>3</w:t>
      </w:r>
      <w:r>
        <w:rPr>
          <w:rFonts w:hint="eastAsia" w:ascii="Times New Roman" w:hAnsi="Times New Roman" w:eastAsia="宋体"/>
          <w:snapToGrid w:val="0"/>
          <w:color w:val="000000" w:themeColor="text1"/>
          <w14:textFill>
            <w14:solidFill>
              <w14:schemeClr w14:val="tx1"/>
            </w14:solidFill>
          </w14:textFill>
        </w:rPr>
        <w:t>/a。</w:t>
      </w:r>
    </w:p>
    <w:p w14:paraId="7B97D42B">
      <w:pPr>
        <w:pStyle w:val="85"/>
        <w:rPr>
          <w:rFonts w:hint="eastAsia" w:ascii="Times New Roman" w:hAnsi="Times New Roman" w:eastAsia="宋体"/>
          <w:snapToGrid w:val="0"/>
          <w:color w:val="000000" w:themeColor="text1"/>
          <w14:textFill>
            <w14:solidFill>
              <w14:schemeClr w14:val="tx1"/>
            </w14:solidFill>
          </w14:textFill>
        </w:rPr>
      </w:pPr>
      <w:r>
        <w:rPr>
          <w:rFonts w:hint="eastAsia"/>
          <w:color w:val="000000" w:themeColor="text1"/>
          <w:sz w:val="24"/>
          <w14:textFill>
            <w14:solidFill>
              <w14:schemeClr w14:val="tx1"/>
            </w14:solidFill>
          </w14:textFill>
        </w:rPr>
        <w:t>根据《黑龙江省地方标准  用水定额》（</w:t>
      </w:r>
      <w:r>
        <w:rPr>
          <w:rFonts w:hint="default" w:ascii="Times New Roman" w:hAnsi="Times New Roman" w:eastAsia="宋体"/>
          <w:color w:val="000000" w:themeColor="text1"/>
          <w14:textFill>
            <w14:solidFill>
              <w14:schemeClr w14:val="tx1"/>
            </w14:solidFill>
          </w14:textFill>
        </w:rPr>
        <w:t>DB</w:t>
      </w:r>
      <w:r>
        <w:rPr>
          <w:rFonts w:hint="eastAsia"/>
          <w:color w:val="000000" w:themeColor="text1"/>
          <w:lang w:val="en-US" w:eastAsia="zh-CN"/>
          <w14:textFill>
            <w14:solidFill>
              <w14:schemeClr w14:val="tx1"/>
            </w14:solidFill>
          </w14:textFill>
        </w:rPr>
        <w:t xml:space="preserve"> </w:t>
      </w:r>
      <w:r>
        <w:rPr>
          <w:rFonts w:hint="default" w:ascii="Times New Roman" w:hAnsi="Times New Roman" w:eastAsia="宋体"/>
          <w:color w:val="000000" w:themeColor="text1"/>
          <w14:textFill>
            <w14:solidFill>
              <w14:schemeClr w14:val="tx1"/>
            </w14:solidFill>
          </w14:textFill>
        </w:rPr>
        <w:t>23</w:t>
      </w:r>
      <w:r>
        <w:rPr>
          <w:rFonts w:hint="eastAsia"/>
          <w:color w:val="000000" w:themeColor="text1"/>
          <w:lang w:val="en-US" w:eastAsia="zh-CN"/>
          <w14:textFill>
            <w14:solidFill>
              <w14:schemeClr w14:val="tx1"/>
            </w14:solidFill>
          </w14:textFill>
        </w:rPr>
        <w:t>/</w:t>
      </w:r>
      <w:r>
        <w:rPr>
          <w:rFonts w:hint="default" w:ascii="Times New Roman" w:hAnsi="Times New Roman" w:eastAsia="宋体"/>
          <w:color w:val="000000" w:themeColor="text1"/>
          <w14:textFill>
            <w14:solidFill>
              <w14:schemeClr w14:val="tx1"/>
            </w14:solidFill>
          </w14:textFill>
        </w:rPr>
        <w:t>T</w:t>
      </w:r>
      <w:r>
        <w:rPr>
          <w:rFonts w:hint="eastAsia"/>
          <w:color w:val="000000" w:themeColor="text1"/>
          <w:lang w:val="en-US" w:eastAsia="zh-CN"/>
          <w14:textFill>
            <w14:solidFill>
              <w14:schemeClr w14:val="tx1"/>
            </w14:solidFill>
          </w14:textFill>
        </w:rPr>
        <w:t xml:space="preserve"> </w:t>
      </w:r>
      <w:r>
        <w:rPr>
          <w:rFonts w:hint="default" w:ascii="Times New Roman" w:hAnsi="Times New Roman" w:eastAsia="宋体"/>
          <w:color w:val="000000" w:themeColor="text1"/>
          <w14:textFill>
            <w14:solidFill>
              <w14:schemeClr w14:val="tx1"/>
            </w14:solidFill>
          </w14:textFill>
        </w:rPr>
        <w:t>727-202</w:t>
      </w:r>
      <w:r>
        <w:rPr>
          <w:rFonts w:hint="eastAsia"/>
          <w:color w:val="000000" w:themeColor="text1"/>
          <w:lang w:val="en-US" w:eastAsia="zh-CN"/>
          <w14:textFill>
            <w14:solidFill>
              <w14:schemeClr w14:val="tx1"/>
            </w14:solidFill>
          </w14:textFill>
        </w:rPr>
        <w:t>5</w:t>
      </w:r>
      <w:r>
        <w:rPr>
          <w:rFonts w:hint="eastAsia"/>
          <w:color w:val="000000" w:themeColor="text1"/>
          <w:sz w:val="24"/>
          <w14:textFill>
            <w14:solidFill>
              <w14:schemeClr w14:val="tx1"/>
            </w14:solidFill>
          </w14:textFill>
        </w:rPr>
        <w:t>）表</w:t>
      </w:r>
      <w:r>
        <w:rPr>
          <w:rFonts w:hint="eastAsia"/>
          <w:color w:val="000000" w:themeColor="text1"/>
          <w:sz w:val="24"/>
          <w:lang w:val="en-US" w:eastAsia="zh-CN"/>
          <w14:textFill>
            <w14:solidFill>
              <w14:schemeClr w14:val="tx1"/>
            </w14:solidFill>
          </w14:textFill>
        </w:rPr>
        <w:t>42</w:t>
      </w:r>
      <w:r>
        <w:rPr>
          <w:rFonts w:hint="eastAsia"/>
          <w:color w:val="000000" w:themeColor="text1"/>
          <w:sz w:val="24"/>
          <w14:textFill>
            <w14:solidFill>
              <w14:schemeClr w14:val="tx1"/>
            </w14:solidFill>
          </w14:textFill>
        </w:rPr>
        <w:t>住宿和餐饮业用水定额，本项目食堂参照快餐店取值，快餐店用水定额为</w:t>
      </w:r>
      <w:r>
        <w:rPr>
          <w:rFonts w:hint="eastAsia"/>
          <w:color w:val="000000" w:themeColor="text1"/>
          <w:sz w:val="24"/>
          <w:lang w:val="en-US" w:eastAsia="zh-CN"/>
          <w14:textFill>
            <w14:solidFill>
              <w14:schemeClr w14:val="tx1"/>
            </w14:solidFill>
          </w14:textFill>
        </w:rPr>
        <w:t>22.5</w:t>
      </w:r>
      <w:r>
        <w:rPr>
          <w:rFonts w:hint="eastAsia"/>
          <w:color w:val="000000" w:themeColor="text1"/>
          <w:sz w:val="24"/>
          <w14:textFill>
            <w14:solidFill>
              <w14:schemeClr w14:val="tx1"/>
            </w14:solidFill>
          </w14:textFill>
        </w:rPr>
        <w:t>L/（人</w:t>
      </w:r>
      <w:r>
        <w:rPr>
          <w:rFonts w:hint="eastAsia" w:cs="微软雅黑"/>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次），本项目用餐人数按</w:t>
      </w:r>
      <w:r>
        <w:rPr>
          <w:rFonts w:hint="eastAsia"/>
          <w:color w:val="000000" w:themeColor="text1"/>
          <w:sz w:val="24"/>
          <w:lang w:val="en-US" w:eastAsia="zh-CN"/>
          <w14:textFill>
            <w14:solidFill>
              <w14:schemeClr w14:val="tx1"/>
            </w14:solidFill>
          </w14:textFill>
        </w:rPr>
        <w:t>110</w:t>
      </w:r>
      <w:r>
        <w:rPr>
          <w:rFonts w:hint="eastAsia"/>
          <w:color w:val="000000" w:themeColor="text1"/>
          <w:sz w:val="24"/>
          <w14:textFill>
            <w14:solidFill>
              <w14:schemeClr w14:val="tx1"/>
            </w14:solidFill>
          </w14:textFill>
        </w:rPr>
        <w:t>人计，每日三次，则本项目食堂用水量为</w:t>
      </w:r>
      <w:r>
        <w:rPr>
          <w:rFonts w:hint="eastAsia"/>
          <w:color w:val="000000" w:themeColor="text1"/>
          <w:sz w:val="24"/>
          <w:lang w:val="en-US" w:eastAsia="zh-CN"/>
          <w14:textFill>
            <w14:solidFill>
              <w14:schemeClr w14:val="tx1"/>
            </w14:solidFill>
          </w14:textFill>
        </w:rPr>
        <w:t>7.425</w:t>
      </w:r>
      <w:r>
        <w:rPr>
          <w:rFonts w:hint="eastAsia"/>
          <w:color w:val="000000" w:themeColor="text1"/>
          <w:sz w:val="24"/>
          <w14:textFill>
            <w14:solidFill>
              <w14:schemeClr w14:val="tx1"/>
            </w14:solidFill>
          </w14:textFill>
        </w:rPr>
        <w:t>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w:t>
      </w:r>
      <w:r>
        <w:rPr>
          <w:rFonts w:hint="eastAsia"/>
          <w:color w:val="000000" w:themeColor="text1"/>
          <w:sz w:val="24"/>
          <w:lang w:val="en-US" w:eastAsia="zh-CN"/>
          <w14:textFill>
            <w14:solidFill>
              <w14:schemeClr w14:val="tx1"/>
            </w14:solidFill>
          </w14:textFill>
        </w:rPr>
        <w:t>2227.5</w:t>
      </w:r>
      <w:r>
        <w:rPr>
          <w:rFonts w:hint="eastAsia"/>
          <w:color w:val="000000" w:themeColor="text1"/>
          <w:sz w:val="24"/>
          <w14:textFill>
            <w14:solidFill>
              <w14:schemeClr w14:val="tx1"/>
            </w14:solidFill>
          </w14:textFill>
        </w:rPr>
        <w:t>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w:t>
      </w:r>
    </w:p>
    <w:p w14:paraId="27C5510E">
      <w:pPr>
        <w:pStyle w:val="6"/>
        <w:rPr>
          <w:snapToGrid w:val="0"/>
          <w:color w:val="000000" w:themeColor="text1"/>
          <w14:textFill>
            <w14:solidFill>
              <w14:schemeClr w14:val="tx1"/>
            </w14:solidFill>
          </w14:textFill>
        </w:rPr>
      </w:pPr>
      <w:bookmarkStart w:id="107" w:name="_Toc11282"/>
      <w:r>
        <w:rPr>
          <w:snapToGrid w:val="0"/>
          <w:color w:val="000000" w:themeColor="text1"/>
          <w14:textFill>
            <w14:solidFill>
              <w14:schemeClr w14:val="tx1"/>
            </w14:solidFill>
          </w14:textFill>
        </w:rPr>
        <w:t>3.3.2</w:t>
      </w:r>
      <w:r>
        <w:rPr>
          <w:rFonts w:hint="eastAsia"/>
          <w:snapToGrid w:val="0"/>
          <w:color w:val="000000" w:themeColor="text1"/>
          <w14:textFill>
            <w14:solidFill>
              <w14:schemeClr w14:val="tx1"/>
            </w14:solidFill>
          </w14:textFill>
        </w:rPr>
        <w:t>排水工程</w:t>
      </w:r>
      <w:bookmarkEnd w:id="107"/>
    </w:p>
    <w:p w14:paraId="7CEE1B35">
      <w:pPr>
        <w:pStyle w:val="85"/>
        <w:numPr>
          <w:ilvl w:val="0"/>
          <w:numId w:val="8"/>
        </w:numPr>
        <w:rPr>
          <w:rFonts w:hint="eastAsia"/>
          <w:snapToGrid w:val="0"/>
          <w:color w:val="000000" w:themeColor="text1"/>
          <w:lang w:val="en-US" w:eastAsia="zh-CN"/>
          <w14:textFill>
            <w14:solidFill>
              <w14:schemeClr w14:val="tx1"/>
            </w14:solidFill>
          </w14:textFill>
        </w:rPr>
      </w:pPr>
      <w:bookmarkStart w:id="108" w:name="_Hlk480325836"/>
      <w:r>
        <w:rPr>
          <w:rFonts w:hint="eastAsia"/>
          <w:snapToGrid w:val="0"/>
          <w:color w:val="000000" w:themeColor="text1"/>
          <w:lang w:val="en-US" w:eastAsia="zh-CN"/>
          <w14:textFill>
            <w14:solidFill>
              <w14:schemeClr w14:val="tx1"/>
            </w14:solidFill>
          </w14:textFill>
        </w:rPr>
        <w:t>生活污水及食堂废水</w:t>
      </w:r>
    </w:p>
    <w:p w14:paraId="1C5B280A">
      <w:pPr>
        <w:pStyle w:val="85"/>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snapToGrid w:val="0"/>
          <w:color w:val="auto"/>
          <w:sz w:val="24"/>
          <w:szCs w:val="24"/>
          <w:highlight w:val="none"/>
          <w:lang w:val="en-US" w:eastAsia="zh-CN"/>
        </w:rPr>
        <w:t>本项目</w:t>
      </w:r>
      <w:r>
        <w:rPr>
          <w:rFonts w:hint="default"/>
          <w:snapToGrid w:val="0"/>
          <w:color w:val="auto"/>
          <w:sz w:val="24"/>
          <w:szCs w:val="24"/>
          <w:highlight w:val="none"/>
        </w:rPr>
        <w:t>生活污水排水量按照用水量的</w:t>
      </w:r>
      <w:r>
        <w:rPr>
          <w:rFonts w:hint="default"/>
          <w:color w:val="auto"/>
          <w:sz w:val="24"/>
          <w:szCs w:val="24"/>
          <w:highlight w:val="none"/>
        </w:rPr>
        <w:t>80%计算，则生活</w:t>
      </w:r>
      <w:r>
        <w:rPr>
          <w:rFonts w:hint="eastAsia"/>
          <w:color w:val="auto"/>
          <w:sz w:val="24"/>
          <w:szCs w:val="24"/>
          <w:highlight w:val="none"/>
          <w:lang w:val="en-US" w:eastAsia="zh-CN"/>
        </w:rPr>
        <w:t>污水产生</w:t>
      </w:r>
      <w:r>
        <w:rPr>
          <w:rFonts w:hint="default"/>
          <w:color w:val="auto"/>
          <w:sz w:val="24"/>
          <w:szCs w:val="24"/>
          <w:highlight w:val="none"/>
        </w:rPr>
        <w:t>量为</w:t>
      </w:r>
      <w:r>
        <w:rPr>
          <w:rFonts w:hint="eastAsia"/>
          <w:color w:val="auto"/>
          <w:sz w:val="24"/>
          <w:szCs w:val="24"/>
          <w:highlight w:val="none"/>
          <w:lang w:val="en-US" w:eastAsia="zh-CN"/>
        </w:rPr>
        <w:t>7.04</w:t>
      </w:r>
      <w:r>
        <w:rPr>
          <w:rFonts w:hint="default"/>
          <w:color w:val="auto"/>
          <w:sz w:val="24"/>
          <w:szCs w:val="24"/>
          <w:highlight w:val="none"/>
        </w:rPr>
        <w:t>m</w:t>
      </w:r>
      <w:r>
        <w:rPr>
          <w:rFonts w:hint="default"/>
          <w:color w:val="auto"/>
          <w:sz w:val="24"/>
          <w:szCs w:val="24"/>
          <w:highlight w:val="none"/>
          <w:vertAlign w:val="superscript"/>
        </w:rPr>
        <w:t>3</w:t>
      </w:r>
      <w:r>
        <w:rPr>
          <w:rFonts w:hint="default"/>
          <w:color w:val="auto"/>
          <w:sz w:val="24"/>
          <w:szCs w:val="24"/>
          <w:highlight w:val="none"/>
        </w:rPr>
        <w:t>/d，</w:t>
      </w:r>
      <w:r>
        <w:rPr>
          <w:rFonts w:hint="eastAsia"/>
          <w:color w:val="auto"/>
          <w:sz w:val="24"/>
          <w:szCs w:val="24"/>
          <w:highlight w:val="none"/>
          <w:lang w:val="en-US" w:eastAsia="zh-CN"/>
        </w:rPr>
        <w:t>2112</w:t>
      </w:r>
      <w:r>
        <w:rPr>
          <w:rFonts w:hint="default"/>
          <w:color w:val="auto"/>
          <w:sz w:val="24"/>
          <w:szCs w:val="24"/>
          <w:highlight w:val="none"/>
        </w:rPr>
        <w:t>m</w:t>
      </w:r>
      <w:r>
        <w:rPr>
          <w:rFonts w:hint="default"/>
          <w:color w:val="auto"/>
          <w:sz w:val="24"/>
          <w:szCs w:val="24"/>
          <w:highlight w:val="none"/>
          <w:vertAlign w:val="superscript"/>
        </w:rPr>
        <w:t>3</w:t>
      </w:r>
      <w:r>
        <w:rPr>
          <w:rFonts w:hint="default"/>
          <w:color w:val="auto"/>
          <w:sz w:val="24"/>
          <w:szCs w:val="24"/>
          <w:highlight w:val="none"/>
        </w:rPr>
        <w:t>/a。</w:t>
      </w:r>
      <w:r>
        <w:rPr>
          <w:rFonts w:hint="eastAsia"/>
          <w:color w:val="000000" w:themeColor="text1"/>
          <w:sz w:val="24"/>
          <w:lang w:val="en-US" w:eastAsia="zh-CN"/>
          <w14:textFill>
            <w14:solidFill>
              <w14:schemeClr w14:val="tx1"/>
            </w14:solidFill>
          </w14:textFill>
        </w:rPr>
        <w:t>食堂</w:t>
      </w:r>
      <w:r>
        <w:rPr>
          <w:rFonts w:hint="eastAsia"/>
          <w:color w:val="000000" w:themeColor="text1"/>
          <w:sz w:val="24"/>
          <w14:textFill>
            <w14:solidFill>
              <w14:schemeClr w14:val="tx1"/>
            </w14:solidFill>
          </w14:textFill>
        </w:rPr>
        <w:t>废水产生量按用水量的80%计，则餐饮废水</w:t>
      </w:r>
      <w:r>
        <w:rPr>
          <w:rFonts w:hint="eastAsia"/>
          <w:color w:val="auto"/>
          <w:sz w:val="24"/>
          <w:szCs w:val="24"/>
          <w:highlight w:val="none"/>
          <w:lang w:val="en-US" w:eastAsia="zh-CN"/>
        </w:rPr>
        <w:t>产生</w:t>
      </w:r>
      <w:r>
        <w:rPr>
          <w:rFonts w:hint="default"/>
          <w:color w:val="auto"/>
          <w:sz w:val="24"/>
          <w:szCs w:val="24"/>
          <w:highlight w:val="none"/>
        </w:rPr>
        <w:t>量</w:t>
      </w:r>
      <w:r>
        <w:rPr>
          <w:rFonts w:hint="eastAsia"/>
          <w:color w:val="000000" w:themeColor="text1"/>
          <w:sz w:val="24"/>
          <w14:textFill>
            <w14:solidFill>
              <w14:schemeClr w14:val="tx1"/>
            </w14:solidFill>
          </w14:textFill>
        </w:rPr>
        <w:t>为</w:t>
      </w:r>
      <w:r>
        <w:rPr>
          <w:rFonts w:hint="eastAsia"/>
          <w:color w:val="000000" w:themeColor="text1"/>
          <w:sz w:val="24"/>
          <w:lang w:val="en-US" w:eastAsia="zh-CN"/>
          <w14:textFill>
            <w14:solidFill>
              <w14:schemeClr w14:val="tx1"/>
            </w14:solidFill>
          </w14:textFill>
        </w:rPr>
        <w:t>5.94</w:t>
      </w:r>
      <w:r>
        <w:rPr>
          <w:rFonts w:hint="eastAsia"/>
          <w:color w:val="000000" w:themeColor="text1"/>
          <w:sz w:val="24"/>
          <w14:textFill>
            <w14:solidFill>
              <w14:schemeClr w14:val="tx1"/>
            </w14:solidFill>
          </w14:textFill>
        </w:rPr>
        <w:t>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/d</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1782</w:t>
      </w:r>
      <w:r>
        <w:rPr>
          <w:rFonts w:hint="eastAsia"/>
          <w:color w:val="000000" w:themeColor="text1"/>
          <w:sz w:val="24"/>
          <w14:textFill>
            <w14:solidFill>
              <w14:schemeClr w14:val="tx1"/>
            </w14:solidFill>
          </w14:textFill>
        </w:rPr>
        <w:t>m</w:t>
      </w:r>
      <w:r>
        <w:rPr>
          <w:rFonts w:hint="eastAsia"/>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/a</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食堂废水经隔油池处理后与生活废水一同排入厂区污水处理站，处理后经园区管网排入</w:t>
      </w:r>
      <w:r>
        <w:rPr>
          <w:rFonts w:hint="default" w:eastAsia="宋体"/>
          <w:lang w:val="en-US" w:eastAsia="zh-CN"/>
        </w:rPr>
        <w:t>桦南县城镇污水处理厂</w:t>
      </w:r>
      <w:r>
        <w:rPr>
          <w:rFonts w:hint="eastAsia" w:eastAsia="宋体"/>
          <w:lang w:val="en-US" w:eastAsia="zh-CN"/>
        </w:rPr>
        <w:t>，</w:t>
      </w:r>
      <w:r>
        <w:rPr>
          <w:rFonts w:hint="default" w:eastAsia="宋体"/>
          <w:lang w:val="en-US" w:eastAsia="zh-CN"/>
        </w:rPr>
        <w:t>出水水质满足《城镇污水处理厂污染物排放标准》（GB18918-2002）表 1 一级 A 标准要求排入八虎力河，最终汇入倭肯河</w:t>
      </w:r>
      <w:r>
        <w:rPr>
          <w:rFonts w:hint="eastAsia"/>
          <w:lang w:val="en-US" w:eastAsia="zh-CN"/>
        </w:rPr>
        <w:t>。</w:t>
      </w:r>
    </w:p>
    <w:p w14:paraId="39EDC391">
      <w:pPr>
        <w:pStyle w:val="85"/>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2、生产废水</w:t>
      </w:r>
    </w:p>
    <w:p w14:paraId="17681F0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本项目运营期废水主要为车间地面冲洗废水、CO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回收系统洗气废水、啤酒生产工艺废水、CIP清洗废水、玻璃瓶清洗废水、化验室废水、锅炉废水及软水制备废水、纯水制备废水。</w:t>
      </w:r>
    </w:p>
    <w:p w14:paraId="7937BB6F">
      <w:pPr>
        <w:pStyle w:val="85"/>
        <w:ind w:firstLine="482"/>
        <w:rPr>
          <w:b/>
          <w:bCs/>
          <w:snapToGrid w:val="0"/>
          <w:color w:val="000000" w:themeColor="text1"/>
          <w14:textFill>
            <w14:solidFill>
              <w14:schemeClr w14:val="tx1"/>
            </w14:solidFill>
          </w14:textFill>
        </w:rPr>
      </w:pPr>
      <w:bookmarkStart w:id="109" w:name="_Toc6248"/>
      <w:bookmarkStart w:id="110" w:name="_Toc30967"/>
      <w:r>
        <w:rPr>
          <w:rFonts w:hint="eastAsia" w:ascii="宋体" w:hAnsi="宋体" w:cs="宋体"/>
          <w:b/>
          <w:bCs/>
          <w:snapToGrid w:val="0"/>
          <w:color w:val="000000" w:themeColor="text1"/>
          <w14:textFill>
            <w14:solidFill>
              <w14:schemeClr w14:val="tx1"/>
            </w14:solidFill>
          </w14:textFill>
        </w:rPr>
        <w:t>①</w:t>
      </w:r>
      <w:r>
        <w:rPr>
          <w:b/>
          <w:bCs/>
          <w:snapToGrid w:val="0"/>
          <w:color w:val="000000" w:themeColor="text1"/>
          <w14:textFill>
            <w14:solidFill>
              <w14:schemeClr w14:val="tx1"/>
            </w14:solidFill>
          </w14:textFill>
        </w:rPr>
        <w:t>车间地面冲洗废水</w:t>
      </w:r>
    </w:p>
    <w:p w14:paraId="6A1E870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车间地面冲洗废水排放量按用水量的</w:t>
      </w:r>
      <w:r>
        <w:rPr>
          <w:rFonts w:hint="eastAsia"/>
          <w:snapToGrid w:val="0"/>
          <w:color w:val="000000" w:themeColor="text1"/>
          <w:lang w:val="en-US" w:eastAsia="zh-CN"/>
          <w14:textFill>
            <w14:solidFill>
              <w14:schemeClr w14:val="tx1"/>
            </w14:solidFill>
          </w14:textFill>
        </w:rPr>
        <w:t>90</w:t>
      </w:r>
      <w:r>
        <w:rPr>
          <w:snapToGrid w:val="0"/>
          <w:color w:val="000000" w:themeColor="text1"/>
          <w14:textFill>
            <w14:solidFill>
              <w14:schemeClr w14:val="tx1"/>
            </w14:solidFill>
          </w14:textFill>
        </w:rPr>
        <w:t>%计，则车间地面冲洗废水排放量为</w:t>
      </w:r>
      <w:r>
        <w:rPr>
          <w:rFonts w:hint="eastAsia"/>
          <w:snapToGrid w:val="0"/>
          <w:color w:val="000000" w:themeColor="text1"/>
          <w:lang w:val="en-US" w:eastAsia="zh-CN"/>
          <w14:textFill>
            <w14:solidFill>
              <w14:schemeClr w14:val="tx1"/>
            </w14:solidFill>
          </w14:textFill>
        </w:rPr>
        <w:t>18.585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d</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5575.5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ascii="Times New Roman" w:hAnsi="Times New Roman" w:eastAsia="宋体" w:cstheme="minorBidi"/>
          <w:snapToGrid w:val="0"/>
          <w:color w:val="000000" w:themeColor="text1"/>
          <w:kern w:val="2"/>
          <w:sz w:val="24"/>
          <w:szCs w:val="22"/>
          <w:lang w:val="en-US" w:eastAsia="zh-CN" w:bidi="ar-SA"/>
          <w14:textFill>
            <w14:solidFill>
              <w14:schemeClr w14:val="tx1"/>
            </w14:solidFill>
          </w14:textFill>
        </w:rPr>
        <w:t>该部分废水进入厂区污水处理站。</w:t>
      </w:r>
    </w:p>
    <w:p w14:paraId="302F4BE6">
      <w:pPr>
        <w:pStyle w:val="85"/>
        <w:ind w:firstLine="482"/>
        <w:rPr>
          <w:b/>
          <w:bCs/>
          <w:snapToGrid w:val="0"/>
          <w:color w:val="000000" w:themeColor="text1"/>
          <w14:textFill>
            <w14:solidFill>
              <w14:schemeClr w14:val="tx1"/>
            </w14:solidFill>
          </w14:textFill>
        </w:rPr>
      </w:pPr>
      <w:r>
        <w:rPr>
          <w:rFonts w:hint="eastAsia" w:ascii="宋体" w:hAnsi="宋体" w:cs="宋体"/>
          <w:b/>
          <w:bCs/>
          <w:snapToGrid w:val="0"/>
          <w:color w:val="000000" w:themeColor="text1"/>
          <w14:textFill>
            <w14:solidFill>
              <w14:schemeClr w14:val="tx1"/>
            </w14:solidFill>
          </w14:textFill>
        </w:rPr>
        <w:t>②</w:t>
      </w:r>
      <w:r>
        <w:rPr>
          <w:b/>
          <w:bCs/>
          <w:snapToGrid w:val="0"/>
          <w:color w:val="000000" w:themeColor="text1"/>
          <w14:textFill>
            <w14:solidFill>
              <w14:schemeClr w14:val="tx1"/>
            </w14:solidFill>
          </w14:textFill>
        </w:rPr>
        <w:t>CO</w:t>
      </w:r>
      <w:r>
        <w:rPr>
          <w:b/>
          <w:bCs/>
          <w:snapToGrid w:val="0"/>
          <w:color w:val="000000" w:themeColor="text1"/>
          <w:vertAlign w:val="subscript"/>
          <w14:textFill>
            <w14:solidFill>
              <w14:schemeClr w14:val="tx1"/>
            </w14:solidFill>
          </w14:textFill>
        </w:rPr>
        <w:t>2</w:t>
      </w:r>
      <w:r>
        <w:rPr>
          <w:b/>
          <w:bCs/>
          <w:snapToGrid w:val="0"/>
          <w:color w:val="000000" w:themeColor="text1"/>
          <w14:textFill>
            <w14:solidFill>
              <w14:schemeClr w14:val="tx1"/>
            </w14:solidFill>
          </w14:textFill>
        </w:rPr>
        <w:t>回收系统洗气废水</w:t>
      </w:r>
    </w:p>
    <w:p w14:paraId="217F720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CO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回收系统洗气废水排放量按用水量的</w:t>
      </w:r>
      <w:r>
        <w:rPr>
          <w:rFonts w:hint="eastAsia"/>
          <w:snapToGrid w:val="0"/>
          <w:color w:val="000000" w:themeColor="text1"/>
          <w:lang w:val="en-US" w:eastAsia="zh-CN"/>
          <w14:textFill>
            <w14:solidFill>
              <w14:schemeClr w14:val="tx1"/>
            </w14:solidFill>
          </w14:textFill>
        </w:rPr>
        <w:t>90</w:t>
      </w:r>
      <w:r>
        <w:rPr>
          <w:snapToGrid w:val="0"/>
          <w:color w:val="000000" w:themeColor="text1"/>
          <w14:textFill>
            <w14:solidFill>
              <w14:schemeClr w14:val="tx1"/>
            </w14:solidFill>
          </w14:textFill>
        </w:rPr>
        <w:t>%计，则CO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回收系统洗气废水排放量为</w:t>
      </w:r>
      <w:r>
        <w:rPr>
          <w:rFonts w:hint="eastAsia"/>
          <w:snapToGrid w:val="0"/>
          <w:color w:val="000000" w:themeColor="text1"/>
          <w:lang w:val="en-US" w:eastAsia="zh-CN"/>
          <w14:textFill>
            <w14:solidFill>
              <w14:schemeClr w14:val="tx1"/>
            </w14:solidFill>
          </w14:textFill>
        </w:rPr>
        <w:t>1350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，该部分废水进入厂区污水处理站。</w:t>
      </w:r>
    </w:p>
    <w:p w14:paraId="314718BE">
      <w:pPr>
        <w:pStyle w:val="85"/>
        <w:ind w:firstLine="482"/>
        <w:rPr>
          <w:b/>
          <w:bCs/>
          <w:snapToGrid w:val="0"/>
          <w:color w:val="000000" w:themeColor="text1"/>
          <w14:textFill>
            <w14:solidFill>
              <w14:schemeClr w14:val="tx1"/>
            </w14:solidFill>
          </w14:textFill>
        </w:rPr>
      </w:pPr>
      <w:r>
        <w:rPr>
          <w:rFonts w:ascii="宋体" w:hAnsi="宋体" w:cs="宋体"/>
          <w:b/>
          <w:bCs/>
          <w:snapToGrid w:val="0"/>
          <w:color w:val="000000" w:themeColor="text1"/>
          <w14:textFill>
            <w14:solidFill>
              <w14:schemeClr w14:val="tx1"/>
            </w14:solidFill>
          </w14:textFill>
        </w:rPr>
        <w:t>③</w:t>
      </w:r>
      <w:r>
        <w:rPr>
          <w:b/>
          <w:bCs/>
          <w:snapToGrid w:val="0"/>
          <w:color w:val="000000" w:themeColor="text1"/>
          <w14:textFill>
            <w14:solidFill>
              <w14:schemeClr w14:val="tx1"/>
            </w14:solidFill>
          </w14:textFill>
        </w:rPr>
        <w:t>啤酒生产工艺废水</w:t>
      </w:r>
    </w:p>
    <w:p w14:paraId="0F8CF77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啤酒生产工艺用水进入产品不外排。</w:t>
      </w:r>
    </w:p>
    <w:p w14:paraId="2DFE1374">
      <w:pPr>
        <w:pStyle w:val="85"/>
        <w:ind w:firstLine="482"/>
        <w:rPr>
          <w:b/>
          <w:bCs/>
          <w:snapToGrid w:val="0"/>
          <w:color w:val="000000" w:themeColor="text1"/>
          <w14:textFill>
            <w14:solidFill>
              <w14:schemeClr w14:val="tx1"/>
            </w14:solidFill>
          </w14:textFill>
        </w:rPr>
      </w:pPr>
      <w:r>
        <w:rPr>
          <w:rFonts w:ascii="宋体" w:hAnsi="宋体" w:cs="宋体"/>
          <w:b/>
          <w:bCs/>
          <w:snapToGrid w:val="0"/>
          <w:color w:val="000000" w:themeColor="text1"/>
          <w14:textFill>
            <w14:solidFill>
              <w14:schemeClr w14:val="tx1"/>
            </w14:solidFill>
          </w14:textFill>
        </w:rPr>
        <w:t>④</w:t>
      </w:r>
      <w:r>
        <w:rPr>
          <w:b/>
          <w:bCs/>
          <w:snapToGrid w:val="0"/>
          <w:color w:val="000000" w:themeColor="text1"/>
          <w14:textFill>
            <w14:solidFill>
              <w14:schemeClr w14:val="tx1"/>
            </w14:solidFill>
          </w14:textFill>
        </w:rPr>
        <w:t>CIP清洗废水</w:t>
      </w:r>
    </w:p>
    <w:p w14:paraId="073D1BB7">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CIP清洗废水排放量按用水量的</w:t>
      </w:r>
      <w:r>
        <w:rPr>
          <w:rFonts w:hint="eastAsia"/>
          <w:snapToGrid w:val="0"/>
          <w:color w:val="000000" w:themeColor="text1"/>
          <w:lang w:val="en-US" w:eastAsia="zh-CN"/>
          <w14:textFill>
            <w14:solidFill>
              <w14:schemeClr w14:val="tx1"/>
            </w14:solidFill>
          </w14:textFill>
        </w:rPr>
        <w:t>90</w:t>
      </w:r>
      <w:r>
        <w:rPr>
          <w:snapToGrid w:val="0"/>
          <w:color w:val="000000" w:themeColor="text1"/>
          <w14:textFill>
            <w14:solidFill>
              <w14:schemeClr w14:val="tx1"/>
            </w14:solidFill>
          </w14:textFill>
        </w:rPr>
        <w:t>%计，则CIP清洗废水排放量为</w:t>
      </w:r>
      <w:r>
        <w:rPr>
          <w:rFonts w:hint="eastAsia"/>
          <w:snapToGrid w:val="0"/>
          <w:color w:val="000000" w:themeColor="text1"/>
          <w:lang w:val="en-US" w:eastAsia="zh-CN"/>
          <w14:textFill>
            <w14:solidFill>
              <w14:schemeClr w14:val="tx1"/>
            </w14:solidFill>
          </w14:textFill>
        </w:rPr>
        <w:t>28890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该部分废水</w:t>
      </w:r>
      <w:r>
        <w:rPr>
          <w:snapToGrid w:val="0"/>
          <w:color w:val="000000" w:themeColor="text1"/>
          <w14:textFill>
            <w14:solidFill>
              <w14:schemeClr w14:val="tx1"/>
            </w14:solidFill>
          </w14:textFill>
        </w:rPr>
        <w:t>进入厂区污水处理站</w:t>
      </w:r>
      <w:r>
        <w:rPr>
          <w:rFonts w:hint="eastAsia"/>
          <w:snapToGrid w:val="0"/>
          <w:color w:val="000000" w:themeColor="text1"/>
          <w14:textFill>
            <w14:solidFill>
              <w14:schemeClr w14:val="tx1"/>
            </w14:solidFill>
          </w14:textFill>
        </w:rPr>
        <w:t>。</w:t>
      </w:r>
    </w:p>
    <w:p w14:paraId="4E5CF566">
      <w:pPr>
        <w:pStyle w:val="85"/>
        <w:ind w:firstLine="482"/>
        <w:rPr>
          <w:b/>
          <w:bCs/>
          <w:snapToGrid w:val="0"/>
          <w:color w:val="000000" w:themeColor="text1"/>
          <w14:textFill>
            <w14:solidFill>
              <w14:schemeClr w14:val="tx1"/>
            </w14:solidFill>
          </w14:textFill>
        </w:rPr>
      </w:pPr>
      <w:r>
        <w:rPr>
          <w:rFonts w:ascii="宋体" w:hAnsi="宋体" w:cs="宋体"/>
          <w:b/>
          <w:bCs/>
          <w:snapToGrid w:val="0"/>
          <w:color w:val="000000" w:themeColor="text1"/>
          <w14:textFill>
            <w14:solidFill>
              <w14:schemeClr w14:val="tx1"/>
            </w14:solidFill>
          </w14:textFill>
        </w:rPr>
        <w:t>⑤</w:t>
      </w:r>
      <w:r>
        <w:rPr>
          <w:b/>
          <w:bCs/>
          <w:snapToGrid w:val="0"/>
          <w:color w:val="000000" w:themeColor="text1"/>
          <w14:textFill>
            <w14:solidFill>
              <w14:schemeClr w14:val="tx1"/>
            </w14:solidFill>
          </w14:textFill>
        </w:rPr>
        <w:t>玻璃瓶清洗废水</w:t>
      </w:r>
    </w:p>
    <w:p w14:paraId="5F3F338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玻璃瓶清洗废水排放量按用水量的</w:t>
      </w:r>
      <w:r>
        <w:rPr>
          <w:rFonts w:hint="eastAsia"/>
          <w:snapToGrid w:val="0"/>
          <w:color w:val="000000" w:themeColor="text1"/>
          <w:lang w:val="en-US" w:eastAsia="zh-CN"/>
          <w14:textFill>
            <w14:solidFill>
              <w14:schemeClr w14:val="tx1"/>
            </w14:solidFill>
          </w14:textFill>
        </w:rPr>
        <w:t>90</w:t>
      </w:r>
      <w:r>
        <w:rPr>
          <w:snapToGrid w:val="0"/>
          <w:color w:val="000000" w:themeColor="text1"/>
          <w14:textFill>
            <w14:solidFill>
              <w14:schemeClr w14:val="tx1"/>
            </w14:solidFill>
          </w14:textFill>
        </w:rPr>
        <w:t>%计，则玻璃瓶清洗废水排放量为</w:t>
      </w:r>
      <w:r>
        <w:rPr>
          <w:rFonts w:hint="eastAsia"/>
          <w:snapToGrid w:val="0"/>
          <w:color w:val="000000" w:themeColor="text1"/>
          <w:lang w:val="en-US" w:eastAsia="zh-CN"/>
          <w14:textFill>
            <w14:solidFill>
              <w14:schemeClr w14:val="tx1"/>
            </w14:solidFill>
          </w14:textFill>
        </w:rPr>
        <w:t>9855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该部分废水</w:t>
      </w:r>
      <w:r>
        <w:rPr>
          <w:snapToGrid w:val="0"/>
          <w:color w:val="000000" w:themeColor="text1"/>
          <w14:textFill>
            <w14:solidFill>
              <w14:schemeClr w14:val="tx1"/>
            </w14:solidFill>
          </w14:textFill>
        </w:rPr>
        <w:t>进入厂区污水处理站</w:t>
      </w:r>
      <w:r>
        <w:rPr>
          <w:rFonts w:hint="eastAsia"/>
          <w:snapToGrid w:val="0"/>
          <w:color w:val="000000" w:themeColor="text1"/>
          <w14:textFill>
            <w14:solidFill>
              <w14:schemeClr w14:val="tx1"/>
            </w14:solidFill>
          </w14:textFill>
        </w:rPr>
        <w:t>。</w:t>
      </w:r>
    </w:p>
    <w:p w14:paraId="16A99ED6">
      <w:pPr>
        <w:pStyle w:val="85"/>
        <w:ind w:firstLine="482"/>
        <w:rPr>
          <w:b/>
          <w:bCs/>
          <w:snapToGrid w:val="0"/>
          <w:color w:val="000000" w:themeColor="text1"/>
          <w14:textFill>
            <w14:solidFill>
              <w14:schemeClr w14:val="tx1"/>
            </w14:solidFill>
          </w14:textFill>
        </w:rPr>
      </w:pPr>
      <w:r>
        <w:rPr>
          <w:rFonts w:ascii="宋体" w:hAnsi="宋体" w:cs="宋体"/>
          <w:b/>
          <w:bCs/>
          <w:snapToGrid w:val="0"/>
          <w:color w:val="000000" w:themeColor="text1"/>
          <w14:textFill>
            <w14:solidFill>
              <w14:schemeClr w14:val="tx1"/>
            </w14:solidFill>
          </w14:textFill>
        </w:rPr>
        <w:t>⑥</w:t>
      </w:r>
      <w:r>
        <w:rPr>
          <w:b/>
          <w:bCs/>
          <w:snapToGrid w:val="0"/>
          <w:color w:val="000000" w:themeColor="text1"/>
          <w14:textFill>
            <w14:solidFill>
              <w14:schemeClr w14:val="tx1"/>
            </w14:solidFill>
          </w14:textFill>
        </w:rPr>
        <w:t>化验室废水</w:t>
      </w:r>
    </w:p>
    <w:p w14:paraId="043F3FD4">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本项目化验室主要检测成品啤酒质量及卫生指标，啤酒质量及卫生指标按生产批次进行检验，不涉及化学试剂使用，化验室废水做危废处理。</w:t>
      </w:r>
    </w:p>
    <w:p w14:paraId="09805174">
      <w:pPr>
        <w:pStyle w:val="85"/>
        <w:ind w:firstLine="482"/>
        <w:rPr>
          <w:b/>
          <w:bCs/>
          <w:snapToGrid w:val="0"/>
          <w:color w:val="000000" w:themeColor="text1"/>
          <w14:textFill>
            <w14:solidFill>
              <w14:schemeClr w14:val="tx1"/>
            </w14:solidFill>
          </w14:textFill>
        </w:rPr>
      </w:pPr>
      <w:r>
        <w:rPr>
          <w:rFonts w:ascii="宋体" w:hAnsi="宋体" w:cs="宋体"/>
          <w:b/>
          <w:bCs/>
          <w:snapToGrid w:val="0"/>
          <w:color w:val="000000" w:themeColor="text1"/>
          <w14:textFill>
            <w14:solidFill>
              <w14:schemeClr w14:val="tx1"/>
            </w14:solidFill>
          </w14:textFill>
        </w:rPr>
        <w:t>⑦</w:t>
      </w:r>
      <w:r>
        <w:rPr>
          <w:b/>
          <w:bCs/>
          <w:snapToGrid w:val="0"/>
          <w:color w:val="000000" w:themeColor="text1"/>
          <w14:textFill>
            <w14:solidFill>
              <w14:schemeClr w14:val="tx1"/>
            </w14:solidFill>
          </w14:textFill>
        </w:rPr>
        <w:t>锅炉</w:t>
      </w:r>
      <w:r>
        <w:rPr>
          <w:rFonts w:hint="eastAsia"/>
          <w:b/>
          <w:bCs/>
          <w:snapToGrid w:val="0"/>
          <w:color w:val="000000" w:themeColor="text1"/>
          <w14:textFill>
            <w14:solidFill>
              <w14:schemeClr w14:val="tx1"/>
            </w14:solidFill>
          </w14:textFill>
        </w:rPr>
        <w:t>废水及</w:t>
      </w:r>
      <w:r>
        <w:rPr>
          <w:b/>
          <w:bCs/>
          <w:snapToGrid w:val="0"/>
          <w:color w:val="000000" w:themeColor="text1"/>
          <w14:textFill>
            <w14:solidFill>
              <w14:schemeClr w14:val="tx1"/>
            </w14:solidFill>
          </w14:textFill>
        </w:rPr>
        <w:t>软水制备废水</w:t>
      </w:r>
    </w:p>
    <w:p w14:paraId="76768F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
          <w:color w:val="000000" w:themeColor="text1"/>
          <w:szCs w:val="21"/>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锅炉</w:t>
      </w:r>
      <w:r>
        <w:rPr>
          <w:rFonts w:hint="eastAsia" w:ascii="Times New Roman" w:hAnsi="Times New Roman" w:cs="Times New Roman"/>
          <w:color w:val="000000" w:themeColor="text1"/>
          <w:sz w:val="24"/>
          <w:lang w:val="en-US" w:eastAsia="zh-CN"/>
          <w14:textFill>
            <w14:solidFill>
              <w14:schemeClr w14:val="tx1"/>
            </w14:solidFill>
          </w14:textFill>
        </w:rPr>
        <w:t>排污水</w:t>
      </w:r>
      <w:r>
        <w:rPr>
          <w:rFonts w:hint="default" w:ascii="Times New Roman" w:hAnsi="Times New Roman" w:cs="Times New Roman"/>
          <w:color w:val="000000" w:themeColor="text1"/>
          <w:sz w:val="24"/>
          <w14:textFill>
            <w14:solidFill>
              <w14:schemeClr w14:val="tx1"/>
            </w14:solidFill>
          </w14:textFill>
        </w:rPr>
        <w:t>参考《</w:t>
      </w:r>
      <w:r>
        <w:rPr>
          <w:rFonts w:hint="default" w:ascii="Times New Roman" w:hAnsi="Times New Roman" w:cs="Times New Roman"/>
          <w:color w:val="000000" w:themeColor="text1"/>
          <w:sz w:val="24"/>
          <w:lang w:val="en-US" w:eastAsia="zh-CN"/>
          <w14:textFill>
            <w14:solidFill>
              <w14:schemeClr w14:val="tx1"/>
            </w14:solidFill>
          </w14:textFill>
        </w:rPr>
        <w:t>排放源统计调查产排污核算方法和系数手册</w:t>
      </w:r>
      <w:r>
        <w:rPr>
          <w:rFonts w:hint="default" w:ascii="Times New Roman" w:hAnsi="Times New Roman" w:cs="Times New Roman"/>
          <w:color w:val="000000" w:themeColor="text1"/>
          <w:sz w:val="24"/>
          <w14:textFill>
            <w14:solidFill>
              <w14:schemeClr w14:val="tx1"/>
            </w14:solidFill>
          </w14:textFill>
        </w:rPr>
        <w:t>》</w:t>
      </w:r>
      <w:r>
        <w:rPr>
          <w:rFonts w:hint="default" w:ascii="Times New Roman" w:hAnsi="Times New Roman" w:cs="Times New Roman"/>
          <w:color w:val="000000" w:themeColor="text1"/>
          <w:sz w:val="24"/>
          <w:lang w:eastAsia="zh-CN"/>
          <w14:textFill>
            <w14:solidFill>
              <w14:schemeClr w14:val="tx1"/>
            </w14:solidFill>
          </w14:textFill>
        </w:rPr>
        <w:t>（</w:t>
      </w:r>
      <w:r>
        <w:rPr>
          <w:rFonts w:hint="default" w:ascii="Times New Roman" w:hAnsi="Times New Roman" w:cs="Times New Roman"/>
          <w:color w:val="000000" w:themeColor="text1"/>
          <w:sz w:val="24"/>
          <w:lang w:val="en-US" w:eastAsia="zh-CN"/>
          <w14:textFill>
            <w14:solidFill>
              <w14:schemeClr w14:val="tx1"/>
            </w14:solidFill>
          </w14:textFill>
        </w:rPr>
        <w:t>生态环境部公告2021年第24号</w:t>
      </w:r>
      <w:r>
        <w:rPr>
          <w:rFonts w:hint="default" w:ascii="Times New Roman" w:hAnsi="Times New Roman" w:cs="Times New Roman"/>
          <w:color w:val="000000" w:themeColor="text1"/>
          <w:sz w:val="24"/>
          <w:lang w:eastAsia="zh-CN"/>
          <w14:textFill>
            <w14:solidFill>
              <w14:schemeClr w14:val="tx1"/>
            </w14:solidFill>
          </w14:textFill>
        </w:rPr>
        <w:t>）</w:t>
      </w:r>
      <w:r>
        <w:rPr>
          <w:rFonts w:hint="default" w:ascii="Times New Roman" w:hAnsi="Times New Roman" w:cs="Times New Roman"/>
          <w:color w:val="000000" w:themeColor="text1"/>
          <w:sz w:val="24"/>
          <w14:textFill>
            <w14:solidFill>
              <w14:schemeClr w14:val="tx1"/>
            </w14:solidFill>
          </w14:textFill>
        </w:rPr>
        <w:t>4430工业锅炉（热力生产和供应行业）产排污系数表-工业废水量，如下表所示。</w:t>
      </w:r>
    </w:p>
    <w:p w14:paraId="12BB6D61">
      <w:pPr>
        <w:keepNext w:val="0"/>
        <w:keepLines w:val="0"/>
        <w:pageBreakBefore w:val="0"/>
        <w:widowControl w:val="0"/>
        <w:kinsoku/>
        <w:wordWrap/>
        <w:overflowPunct/>
        <w:topLinePunct w:val="0"/>
        <w:autoSpaceDE/>
        <w:autoSpaceDN/>
        <w:bidi w:val="0"/>
        <w:adjustRightInd/>
        <w:snapToGrid/>
        <w:spacing w:line="360" w:lineRule="auto"/>
        <w:jc w:val="center"/>
        <w:textAlignment w:val="center"/>
        <w:rPr>
          <w:rFonts w:hint="default" w:ascii="Times New Roman" w:hAnsi="Times New Roman" w:eastAsia="黑体" w:cstheme="minorBidi"/>
          <w:color w:val="000000" w:themeColor="text1"/>
          <w:kern w:val="2"/>
          <w:sz w:val="24"/>
          <w:szCs w:val="22"/>
          <w:highlight w:val="none"/>
          <w:lang w:val="zh-CN" w:eastAsia="zh-CN" w:bidi="ar-SA"/>
          <w14:textFill>
            <w14:solidFill>
              <w14:schemeClr w14:val="tx1"/>
            </w14:solidFill>
          </w14:textFill>
        </w:rPr>
      </w:pPr>
      <w:bookmarkStart w:id="111" w:name="OLE_LINK34"/>
      <w:r>
        <w:rPr>
          <w:rFonts w:hint="default" w:ascii="Times New Roman" w:hAnsi="Times New Roman" w:eastAsia="黑体" w:cstheme="minorBidi"/>
          <w:color w:val="000000" w:themeColor="text1"/>
          <w:kern w:val="2"/>
          <w:sz w:val="24"/>
          <w:szCs w:val="22"/>
          <w:highlight w:val="none"/>
          <w:lang w:val="zh-CN" w:eastAsia="zh-CN" w:bidi="ar-SA"/>
          <w14:textFill>
            <w14:solidFill>
              <w14:schemeClr w14:val="tx1"/>
            </w14:solidFill>
          </w14:textFill>
        </w:rPr>
        <w:t>表</w:t>
      </w:r>
      <w:r>
        <w:rPr>
          <w:rFonts w:hint="eastAsia" w:ascii="Times New Roman" w:hAnsi="Times New Roman" w:eastAsia="黑体" w:cstheme="minorBidi"/>
          <w:color w:val="000000" w:themeColor="text1"/>
          <w:kern w:val="2"/>
          <w:sz w:val="24"/>
          <w:szCs w:val="22"/>
          <w:highlight w:val="none"/>
          <w:lang w:val="en-US" w:eastAsia="zh-CN" w:bidi="ar-SA"/>
          <w14:textFill>
            <w14:solidFill>
              <w14:schemeClr w14:val="tx1"/>
            </w14:solidFill>
          </w14:textFill>
        </w:rPr>
        <w:t xml:space="preserve">3-3-1 </w:t>
      </w:r>
      <w:r>
        <w:rPr>
          <w:rFonts w:hint="default" w:ascii="Times New Roman" w:hAnsi="Times New Roman" w:eastAsia="黑体" w:cstheme="minorBidi"/>
          <w:color w:val="000000" w:themeColor="text1"/>
          <w:kern w:val="2"/>
          <w:sz w:val="24"/>
          <w:szCs w:val="22"/>
          <w:highlight w:val="none"/>
          <w:lang w:val="zh-CN" w:eastAsia="zh-CN" w:bidi="ar-SA"/>
          <w14:textFill>
            <w14:solidFill>
              <w14:schemeClr w14:val="tx1"/>
            </w14:solidFill>
          </w14:textFill>
        </w:rPr>
        <w:t xml:space="preserve"> 4430工业锅炉（热力生产和供应行业）产污系数表</w:t>
      </w:r>
    </w:p>
    <w:bookmarkEnd w:id="111"/>
    <w:tbl>
      <w:tblPr>
        <w:tblStyle w:val="49"/>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7"/>
        <w:gridCol w:w="1853"/>
        <w:gridCol w:w="1479"/>
        <w:gridCol w:w="670"/>
        <w:gridCol w:w="788"/>
        <w:gridCol w:w="1064"/>
        <w:gridCol w:w="1590"/>
      </w:tblGrid>
      <w:tr w14:paraId="1EEF28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516" w:type="pct"/>
            <w:vAlign w:val="center"/>
          </w:tcPr>
          <w:p w14:paraId="7E4619E8">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产品名称</w:t>
            </w:r>
          </w:p>
        </w:tc>
        <w:tc>
          <w:tcPr>
            <w:tcW w:w="1115" w:type="pct"/>
            <w:vAlign w:val="center"/>
          </w:tcPr>
          <w:p w14:paraId="1A0859CB">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原料名称</w:t>
            </w:r>
          </w:p>
        </w:tc>
        <w:tc>
          <w:tcPr>
            <w:tcW w:w="890" w:type="pct"/>
            <w:vAlign w:val="center"/>
          </w:tcPr>
          <w:p w14:paraId="76CBB95E">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工艺名称</w:t>
            </w:r>
          </w:p>
        </w:tc>
        <w:tc>
          <w:tcPr>
            <w:tcW w:w="403" w:type="pct"/>
            <w:vAlign w:val="center"/>
          </w:tcPr>
          <w:p w14:paraId="7FC95F28">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规模等级</w:t>
            </w:r>
          </w:p>
        </w:tc>
        <w:tc>
          <w:tcPr>
            <w:tcW w:w="474" w:type="pct"/>
            <w:vAlign w:val="center"/>
          </w:tcPr>
          <w:p w14:paraId="212EED1E">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污染物指标</w:t>
            </w:r>
          </w:p>
        </w:tc>
        <w:tc>
          <w:tcPr>
            <w:tcW w:w="640" w:type="pct"/>
            <w:vAlign w:val="center"/>
          </w:tcPr>
          <w:p w14:paraId="6A0F9CB7">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单位</w:t>
            </w:r>
          </w:p>
        </w:tc>
        <w:tc>
          <w:tcPr>
            <w:tcW w:w="957" w:type="pct"/>
            <w:vAlign w:val="center"/>
          </w:tcPr>
          <w:p w14:paraId="195DA537">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产污系数</w:t>
            </w:r>
          </w:p>
        </w:tc>
      </w:tr>
      <w:tr w14:paraId="342E65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516" w:type="pct"/>
            <w:vAlign w:val="center"/>
          </w:tcPr>
          <w:p w14:paraId="4C5D75E7">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蒸汽/热水/其它</w:t>
            </w:r>
          </w:p>
        </w:tc>
        <w:tc>
          <w:tcPr>
            <w:tcW w:w="1115" w:type="pct"/>
            <w:vAlign w:val="center"/>
          </w:tcPr>
          <w:p w14:paraId="4C696E8E">
            <w:pPr>
              <w:pStyle w:val="143"/>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天然气/高炉煤气/转炉煤气/焦炉煤气/炼厂干气</w:t>
            </w:r>
          </w:p>
        </w:tc>
        <w:tc>
          <w:tcPr>
            <w:tcW w:w="890" w:type="pct"/>
            <w:vAlign w:val="center"/>
          </w:tcPr>
          <w:p w14:paraId="52382438">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全部类型锅炉（锅外水处理）</w:t>
            </w:r>
          </w:p>
        </w:tc>
        <w:tc>
          <w:tcPr>
            <w:tcW w:w="403" w:type="pct"/>
            <w:vAlign w:val="center"/>
          </w:tcPr>
          <w:p w14:paraId="487E7DC0">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所有规模</w:t>
            </w:r>
          </w:p>
        </w:tc>
        <w:tc>
          <w:tcPr>
            <w:tcW w:w="474" w:type="pct"/>
            <w:vAlign w:val="center"/>
          </w:tcPr>
          <w:p w14:paraId="1BB1F805">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工业废水量</w:t>
            </w:r>
          </w:p>
        </w:tc>
        <w:tc>
          <w:tcPr>
            <w:tcW w:w="640" w:type="pct"/>
            <w:vAlign w:val="center"/>
          </w:tcPr>
          <w:p w14:paraId="3690DCF8">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吨/</w:t>
            </w:r>
            <w:r>
              <w:rPr>
                <w:rFonts w:hint="eastAsia" w:cs="Times New Roman"/>
                <w:color w:val="000000" w:themeColor="text1"/>
                <w:sz w:val="21"/>
                <w:szCs w:val="21"/>
                <w:lang w:val="en-US" w:eastAsia="zh-CN"/>
                <w14:textFill>
                  <w14:solidFill>
                    <w14:schemeClr w14:val="tx1"/>
                  </w14:solidFill>
                </w14:textFill>
              </w:rPr>
              <w:t>万立方米</w:t>
            </w:r>
            <w:r>
              <w:rPr>
                <w:rFonts w:hint="default" w:ascii="Times New Roman" w:hAnsi="Times New Roman" w:cs="Times New Roman"/>
                <w:color w:val="000000" w:themeColor="text1"/>
                <w:sz w:val="21"/>
                <w:szCs w:val="21"/>
                <w14:textFill>
                  <w14:solidFill>
                    <w14:schemeClr w14:val="tx1"/>
                  </w14:solidFill>
                </w14:textFill>
              </w:rPr>
              <w:t>－原料</w:t>
            </w:r>
          </w:p>
        </w:tc>
        <w:tc>
          <w:tcPr>
            <w:tcW w:w="957" w:type="pct"/>
            <w:vAlign w:val="center"/>
          </w:tcPr>
          <w:p w14:paraId="5ECB97E5">
            <w:pPr>
              <w:pStyle w:val="143"/>
              <w:rPr>
                <w:rFonts w:hint="eastAsia"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13.56</w:t>
            </w:r>
          </w:p>
          <w:p w14:paraId="065D4718">
            <w:pPr>
              <w:pStyle w:val="143"/>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（锅炉排污水＋软化处理废水）</w:t>
            </w:r>
          </w:p>
        </w:tc>
      </w:tr>
    </w:tbl>
    <w:p w14:paraId="27A577F4">
      <w:pPr>
        <w:pStyle w:val="289"/>
        <w:ind w:firstLine="480"/>
        <w:rPr>
          <w:rFonts w:hint="default" w:eastAsia="宋体"/>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本项目年</w:t>
      </w:r>
      <w:r>
        <w:rPr>
          <w:rFonts w:hint="default" w:ascii="Times New Roman" w:hAnsi="Times New Roman" w:eastAsia="宋体" w:cs="Times New Roman"/>
          <w:color w:val="000000" w:themeColor="text1"/>
          <w:highlight w:val="none"/>
          <w:lang w:val="en-US" w:eastAsia="zh-CN"/>
          <w14:textFill>
            <w14:solidFill>
              <w14:schemeClr w14:val="tx1"/>
            </w14:solidFill>
          </w14:textFill>
        </w:rPr>
        <w:t>天然气使用量为771.43万m</w:t>
      </w:r>
      <w:r>
        <w:rPr>
          <w:rFonts w:hint="default" w:ascii="Times New Roman" w:hAnsi="Times New Roman" w:eastAsia="宋体" w:cs="Times New Roman"/>
          <w:color w:val="000000" w:themeColor="text1"/>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highlight w:val="none"/>
          <w14:textFill>
            <w14:solidFill>
              <w14:schemeClr w14:val="tx1"/>
            </w14:solidFill>
          </w14:textFill>
        </w:rPr>
        <w:t>/a，</w:t>
      </w:r>
      <w:r>
        <w:rPr>
          <w:rFonts w:hint="eastAsia" w:cs="Times New Roman"/>
          <w:color w:val="000000" w:themeColor="text1"/>
          <w:highlight w:val="none"/>
          <w:lang w:val="en-US" w:eastAsia="zh-CN"/>
          <w14:textFill>
            <w14:solidFill>
              <w14:schemeClr w14:val="tx1"/>
            </w14:solidFill>
          </w14:textFill>
        </w:rPr>
        <w:t>则</w:t>
      </w:r>
      <w:r>
        <w:rPr>
          <w:rFonts w:hint="default" w:ascii="Times New Roman" w:hAnsi="Times New Roman" w:eastAsia="宋体" w:cs="Times New Roman"/>
          <w:color w:val="000000" w:themeColor="text1"/>
          <w:highlight w:val="none"/>
          <w:lang w:val="en-US" w:eastAsia="zh-CN"/>
          <w14:textFill>
            <w14:solidFill>
              <w14:schemeClr w14:val="tx1"/>
            </w14:solidFill>
          </w14:textFill>
        </w:rPr>
        <w:t>锅炉排污水及软化处理废水产生量为</w:t>
      </w:r>
      <w:r>
        <w:rPr>
          <w:rFonts w:hint="eastAsia" w:cs="Times New Roman"/>
          <w:color w:val="000000" w:themeColor="text1"/>
          <w:highlight w:val="none"/>
          <w:lang w:val="en-US" w:eastAsia="zh-CN"/>
          <w14:textFill>
            <w14:solidFill>
              <w14:schemeClr w14:val="tx1"/>
            </w14:solidFill>
          </w14:textFill>
        </w:rPr>
        <w:t>34.87</w:t>
      </w:r>
      <w:r>
        <w:rPr>
          <w:rFonts w:hint="default" w:ascii="Times New Roman" w:hAnsi="Times New Roman" w:eastAsia="宋体" w:cs="Times New Roman"/>
          <w:color w:val="000000" w:themeColor="text1"/>
          <w:highlight w:val="none"/>
          <w:lang w:val="en-US" w:eastAsia="zh-CN"/>
          <w14:textFill>
            <w14:solidFill>
              <w14:schemeClr w14:val="tx1"/>
            </w14:solidFill>
          </w14:textFill>
        </w:rPr>
        <w:t>t/d</w:t>
      </w:r>
      <w:r>
        <w:rPr>
          <w:rFonts w:hint="eastAsia" w:ascii="Times New Roman" w:hAnsi="Times New Roman" w:eastAsia="宋体" w:cs="Times New Roman"/>
          <w:color w:val="000000" w:themeColor="text1"/>
          <w:highlight w:val="none"/>
          <w:lang w:val="en-US"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10460.59</w:t>
      </w:r>
      <w:r>
        <w:rPr>
          <w:rFonts w:hint="default" w:ascii="Times New Roman" w:hAnsi="Times New Roman" w:eastAsia="宋体" w:cs="Times New Roman"/>
          <w:color w:val="000000" w:themeColor="text1"/>
          <w:highlight w:val="none"/>
          <w:lang w:val="en-US" w:eastAsia="zh-CN"/>
          <w14:textFill>
            <w14:solidFill>
              <w14:schemeClr w14:val="tx1"/>
            </w14:solidFill>
          </w14:textFill>
        </w:rPr>
        <w:t>t/a</w:t>
      </w:r>
      <w:r>
        <w:rPr>
          <w:rFonts w:hint="eastAsia" w:cs="Times New Roman"/>
          <w:color w:val="000000" w:themeColor="text1"/>
          <w:highlight w:val="none"/>
          <w:lang w:val="en-US" w:eastAsia="zh-CN"/>
          <w14:textFill>
            <w14:solidFill>
              <w14:schemeClr w14:val="tx1"/>
            </w14:solidFill>
          </w14:textFill>
        </w:rPr>
        <w:t>。</w:t>
      </w:r>
    </w:p>
    <w:p w14:paraId="641179E3">
      <w:pPr>
        <w:pStyle w:val="85"/>
        <w:ind w:firstLine="482"/>
        <w:rPr>
          <w:b/>
          <w:bCs/>
          <w:snapToGrid w:val="0"/>
          <w:color w:val="000000" w:themeColor="text1"/>
          <w14:textFill>
            <w14:solidFill>
              <w14:schemeClr w14:val="tx1"/>
            </w14:solidFill>
          </w14:textFill>
        </w:rPr>
      </w:pPr>
      <w:r>
        <w:rPr>
          <w:rFonts w:ascii="宋体" w:hAnsi="宋体" w:cs="宋体"/>
          <w:b/>
          <w:bCs/>
          <w:snapToGrid w:val="0"/>
          <w:color w:val="000000" w:themeColor="text1"/>
          <w14:textFill>
            <w14:solidFill>
              <w14:schemeClr w14:val="tx1"/>
            </w14:solidFill>
          </w14:textFill>
        </w:rPr>
        <w:t>⑧</w:t>
      </w:r>
      <w:r>
        <w:rPr>
          <w:b/>
          <w:bCs/>
          <w:snapToGrid w:val="0"/>
          <w:color w:val="000000" w:themeColor="text1"/>
          <w14:textFill>
            <w14:solidFill>
              <w14:schemeClr w14:val="tx1"/>
            </w14:solidFill>
          </w14:textFill>
        </w:rPr>
        <w:t>纯水制备废水</w:t>
      </w:r>
    </w:p>
    <w:p w14:paraId="0D7DF71F">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w:t>
      </w:r>
      <w:r>
        <w:rPr>
          <w:snapToGrid w:val="0"/>
          <w:color w:val="000000" w:themeColor="text1"/>
          <w14:textFill>
            <w14:solidFill>
              <w14:schemeClr w14:val="tx1"/>
            </w14:solidFill>
          </w14:textFill>
        </w:rPr>
        <w:t>纯水制备</w:t>
      </w:r>
      <w:r>
        <w:rPr>
          <w:rFonts w:hint="eastAsia"/>
          <w:snapToGrid w:val="0"/>
          <w:color w:val="000000" w:themeColor="text1"/>
          <w14:textFill>
            <w14:solidFill>
              <w14:schemeClr w14:val="tx1"/>
            </w14:solidFill>
          </w14:textFill>
        </w:rPr>
        <w:t>效率为8</w:t>
      </w:r>
      <w:r>
        <w:rPr>
          <w:snapToGrid w:val="0"/>
          <w:color w:val="000000" w:themeColor="text1"/>
          <w14:textFill>
            <w14:solidFill>
              <w14:schemeClr w14:val="tx1"/>
            </w14:solidFill>
          </w14:textFill>
        </w:rPr>
        <w:t>0%</w:t>
      </w:r>
      <w:r>
        <w:rPr>
          <w:rFonts w:hint="eastAsia"/>
          <w:snapToGrid w:val="0"/>
          <w:color w:val="000000" w:themeColor="text1"/>
          <w14:textFill>
            <w14:solidFill>
              <w14:schemeClr w14:val="tx1"/>
            </w14:solidFill>
          </w14:textFill>
        </w:rPr>
        <w:t>，则</w:t>
      </w:r>
      <w:r>
        <w:rPr>
          <w:snapToGrid w:val="0"/>
          <w:color w:val="000000" w:themeColor="text1"/>
          <w14:textFill>
            <w14:solidFill>
              <w14:schemeClr w14:val="tx1"/>
            </w14:solidFill>
          </w14:textFill>
        </w:rPr>
        <w:t>纯水制备废水按</w:t>
      </w:r>
      <w:r>
        <w:rPr>
          <w:rFonts w:hint="eastAsia"/>
          <w:snapToGrid w:val="0"/>
          <w:color w:val="000000" w:themeColor="text1"/>
          <w14:textFill>
            <w14:solidFill>
              <w14:schemeClr w14:val="tx1"/>
            </w14:solidFill>
          </w14:textFill>
        </w:rPr>
        <w:t>纯水</w:t>
      </w:r>
      <w:r>
        <w:rPr>
          <w:snapToGrid w:val="0"/>
          <w:color w:val="000000" w:themeColor="text1"/>
          <w14:textFill>
            <w14:solidFill>
              <w14:schemeClr w14:val="tx1"/>
            </w14:solidFill>
          </w14:textFill>
        </w:rPr>
        <w:t>用水量</w:t>
      </w:r>
      <w:r>
        <w:rPr>
          <w:rFonts w:hint="eastAsia"/>
          <w:snapToGrid w:val="0"/>
          <w:color w:val="000000" w:themeColor="text1"/>
          <w14:textFill>
            <w14:solidFill>
              <w14:schemeClr w14:val="tx1"/>
            </w14:solidFill>
          </w14:textFill>
        </w:rPr>
        <w:t>的2</w:t>
      </w:r>
      <w:r>
        <w:rPr>
          <w:snapToGrid w:val="0"/>
          <w:color w:val="000000" w:themeColor="text1"/>
          <w14:textFill>
            <w14:solidFill>
              <w14:schemeClr w14:val="tx1"/>
            </w14:solidFill>
          </w14:textFill>
        </w:rPr>
        <w:t>0%</w:t>
      </w:r>
      <w:r>
        <w:rPr>
          <w:rFonts w:hint="eastAsia"/>
          <w:snapToGrid w:val="0"/>
          <w:color w:val="000000" w:themeColor="text1"/>
          <w14:textFill>
            <w14:solidFill>
              <w14:schemeClr w14:val="tx1"/>
            </w14:solidFill>
          </w14:textFill>
        </w:rPr>
        <w:t>计，</w:t>
      </w:r>
      <w:r>
        <w:rPr>
          <w:snapToGrid w:val="0"/>
          <w:color w:val="000000" w:themeColor="text1"/>
          <w14:textFill>
            <w14:solidFill>
              <w14:schemeClr w14:val="tx1"/>
            </w14:solidFill>
          </w14:textFill>
        </w:rPr>
        <w:t>排放量</w:t>
      </w:r>
      <w:r>
        <w:rPr>
          <w:rFonts w:hint="eastAsia"/>
          <w:snapToGrid w:val="0"/>
          <w:color w:val="000000" w:themeColor="text1"/>
          <w:lang w:val="en-US" w:eastAsia="zh-CN"/>
          <w14:textFill>
            <w14:solidFill>
              <w14:schemeClr w14:val="tx1"/>
            </w14:solidFill>
          </w14:textFill>
        </w:rPr>
        <w:t>17137.75</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14:textFill>
            <w14:solidFill>
              <w14:schemeClr w14:val="tx1"/>
            </w14:solidFill>
          </w14:textFill>
        </w:rPr>
        <w:t>该部分废水</w:t>
      </w:r>
      <w:r>
        <w:rPr>
          <w:snapToGrid w:val="0"/>
          <w:color w:val="000000" w:themeColor="text1"/>
          <w14:textFill>
            <w14:solidFill>
              <w14:schemeClr w14:val="tx1"/>
            </w14:solidFill>
          </w14:textFill>
        </w:rPr>
        <w:t>进入厂区污水处理站</w:t>
      </w:r>
      <w:r>
        <w:rPr>
          <w:rFonts w:hint="eastAsia"/>
          <w:snapToGrid w:val="0"/>
          <w:color w:val="000000" w:themeColor="text1"/>
          <w14:textFill>
            <w14:solidFill>
              <w14:schemeClr w14:val="tx1"/>
            </w14:solidFill>
          </w14:textFill>
        </w:rPr>
        <w:t>。</w:t>
      </w:r>
    </w:p>
    <w:bookmarkEnd w:id="109"/>
    <w:bookmarkEnd w:id="110"/>
    <w:p w14:paraId="26299869">
      <w:pPr>
        <w:pStyle w:val="85"/>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14:textFill>
            <w14:solidFill>
              <w14:schemeClr w14:val="tx1"/>
            </w14:solidFill>
          </w14:textFill>
        </w:rPr>
        <w:t>综上所述，</w:t>
      </w:r>
      <w:r>
        <w:rPr>
          <w:snapToGrid w:val="0"/>
          <w:color w:val="000000" w:themeColor="text1"/>
          <w14:textFill>
            <w14:solidFill>
              <w14:schemeClr w14:val="tx1"/>
            </w14:solidFill>
          </w14:textFill>
        </w:rPr>
        <w:t>本项目废水排放总量为</w:t>
      </w:r>
      <w:r>
        <w:rPr>
          <w:rFonts w:hint="eastAsia"/>
          <w:snapToGrid w:val="0"/>
          <w:color w:val="000000" w:themeColor="text1"/>
          <w:lang w:val="en-US" w:eastAsia="zh-CN"/>
          <w14:textFill>
            <w14:solidFill>
              <w14:schemeClr w14:val="tx1"/>
            </w14:solidFill>
          </w14:textFill>
        </w:rPr>
        <w:t>123.56</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d、</w:t>
      </w:r>
      <w:r>
        <w:rPr>
          <w:rFonts w:hint="eastAsia"/>
          <w:snapToGrid w:val="0"/>
          <w:color w:val="000000" w:themeColor="text1"/>
          <w:lang w:val="en-US" w:eastAsia="zh-CN"/>
          <w14:textFill>
            <w14:solidFill>
              <w14:schemeClr w14:val="tx1"/>
            </w14:solidFill>
          </w14:textFill>
        </w:rPr>
        <w:t>37067.84</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项目排水量为1.24</w:t>
      </w:r>
      <w:r>
        <w:rPr>
          <w:rFonts w:hint="eastAsia"/>
          <w:snapToGrid w:val="0"/>
          <w:color w:val="000000" w:themeColor="text1"/>
          <w:kern w:val="0"/>
          <w:lang w:val="en-US" w:eastAsia="zh-CN"/>
          <w14:textFill>
            <w14:solidFill>
              <w14:schemeClr w14:val="tx1"/>
            </w14:solidFill>
          </w14:textFill>
        </w:rPr>
        <w:t>m</w:t>
      </w:r>
      <w:r>
        <w:rPr>
          <w:rFonts w:hint="eastAsia"/>
          <w:snapToGrid w:val="0"/>
          <w:color w:val="000000" w:themeColor="text1"/>
          <w:kern w:val="0"/>
          <w:vertAlign w:val="superscript"/>
          <w:lang w:val="en-US" w:eastAsia="zh-CN"/>
          <w14:textFill>
            <w14:solidFill>
              <w14:schemeClr w14:val="tx1"/>
            </w14:solidFill>
          </w14:textFill>
        </w:rPr>
        <w:t>3</w:t>
      </w:r>
      <w:r>
        <w:rPr>
          <w:rFonts w:hint="eastAsia"/>
          <w:snapToGrid w:val="0"/>
          <w:color w:val="000000" w:themeColor="text1"/>
          <w:kern w:val="0"/>
          <w:lang w:val="en-US" w:eastAsia="zh-CN"/>
          <w14:textFill>
            <w14:solidFill>
              <w14:schemeClr w14:val="tx1"/>
            </w14:solidFill>
          </w14:textFill>
        </w:rPr>
        <w:t>/kL，小于</w:t>
      </w:r>
      <w:r>
        <w:rPr>
          <w:rFonts w:hint="eastAsia"/>
          <w:snapToGrid w:val="0"/>
          <w:color w:val="000000" w:themeColor="text1"/>
          <w:kern w:val="0"/>
          <w:lang w:eastAsia="zh-CN"/>
          <w14:textFill>
            <w14:solidFill>
              <w14:schemeClr w14:val="tx1"/>
            </w14:solidFill>
          </w14:textFill>
        </w:rPr>
        <w:t>《酒类制造业水污染物排放标准》（GB19821-2025）</w:t>
      </w:r>
      <w:r>
        <w:rPr>
          <w:rFonts w:hint="eastAsia"/>
          <w:snapToGrid w:val="0"/>
          <w:color w:val="000000" w:themeColor="text1"/>
          <w:kern w:val="0"/>
          <w:lang w:val="en-US" w:eastAsia="zh-CN"/>
          <w14:textFill>
            <w14:solidFill>
              <w14:schemeClr w14:val="tx1"/>
            </w14:solidFill>
          </w14:textFill>
        </w:rPr>
        <w:t>中单位产品基准排水量4.0m</w:t>
      </w:r>
      <w:r>
        <w:rPr>
          <w:rFonts w:hint="eastAsia"/>
          <w:snapToGrid w:val="0"/>
          <w:color w:val="000000" w:themeColor="text1"/>
          <w:kern w:val="0"/>
          <w:vertAlign w:val="superscript"/>
          <w:lang w:val="en-US" w:eastAsia="zh-CN"/>
          <w14:textFill>
            <w14:solidFill>
              <w14:schemeClr w14:val="tx1"/>
            </w14:solidFill>
          </w14:textFill>
        </w:rPr>
        <w:t>3</w:t>
      </w:r>
      <w:r>
        <w:rPr>
          <w:rFonts w:hint="eastAsia"/>
          <w:snapToGrid w:val="0"/>
          <w:color w:val="000000" w:themeColor="text1"/>
          <w:kern w:val="0"/>
          <w:lang w:val="en-US" w:eastAsia="zh-CN"/>
          <w14:textFill>
            <w14:solidFill>
              <w14:schemeClr w14:val="tx1"/>
            </w14:solidFill>
          </w14:textFill>
        </w:rPr>
        <w:t>/kL。</w:t>
      </w:r>
    </w:p>
    <w:p w14:paraId="1AC5A46E">
      <w:pPr>
        <w:pStyle w:val="85"/>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本项目废水由新建</w:t>
      </w:r>
      <w:r>
        <w:rPr>
          <w:rFonts w:hint="eastAsia"/>
          <w:snapToGrid w:val="0"/>
          <w:color w:val="000000" w:themeColor="text1"/>
          <w14:textFill>
            <w14:solidFill>
              <w14:schemeClr w14:val="tx1"/>
            </w14:solidFill>
          </w14:textFill>
        </w:rPr>
        <w:t>的处理能力为</w:t>
      </w:r>
      <w:r>
        <w:rPr>
          <w:rFonts w:hint="eastAsia"/>
          <w:snapToGrid w:val="0"/>
          <w:color w:val="000000" w:themeColor="text1"/>
          <w:lang w:val="en-US" w:eastAsia="zh-CN"/>
          <w14:textFill>
            <w14:solidFill>
              <w14:schemeClr w14:val="tx1"/>
            </w14:solidFill>
          </w14:textFill>
        </w:rPr>
        <w:t>2</w:t>
      </w:r>
      <w:r>
        <w:rPr>
          <w:snapToGrid w:val="0"/>
          <w:color w:val="000000" w:themeColor="text1"/>
          <w14:textFill>
            <w14:solidFill>
              <w14:schemeClr w14:val="tx1"/>
            </w14:solidFill>
          </w14:textFill>
        </w:rPr>
        <w:t>00m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/d</w:t>
      </w:r>
      <w:r>
        <w:rPr>
          <w:rFonts w:hint="eastAsia"/>
          <w:snapToGrid w:val="0"/>
          <w:color w:val="000000" w:themeColor="text1"/>
          <w14:textFill>
            <w14:solidFill>
              <w14:schemeClr w14:val="tx1"/>
            </w14:solidFill>
          </w14:textFill>
        </w:rPr>
        <w:t>的</w:t>
      </w:r>
      <w:r>
        <w:rPr>
          <w:snapToGrid w:val="0"/>
          <w:color w:val="000000" w:themeColor="text1"/>
          <w14:textFill>
            <w14:solidFill>
              <w14:schemeClr w14:val="tx1"/>
            </w14:solidFill>
          </w14:textFill>
        </w:rPr>
        <w:t>污水处理站处理满足《</w:t>
      </w:r>
      <w:r>
        <w:rPr>
          <w:rFonts w:hint="eastAsia"/>
          <w:snapToGrid w:val="0"/>
          <w:color w:val="000000" w:themeColor="text1"/>
          <w:lang w:eastAsia="zh-CN"/>
          <w14:textFill>
            <w14:solidFill>
              <w14:schemeClr w14:val="tx1"/>
            </w14:solidFill>
          </w14:textFill>
        </w:rPr>
        <w:t>酒类制造业水污染物排放标准</w:t>
      </w:r>
      <w:r>
        <w:rPr>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GB19821-2025</w:t>
      </w:r>
      <w:r>
        <w:rPr>
          <w:snapToGrid w:val="0"/>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snapToGrid w:val="0"/>
          <w:color w:val="000000" w:themeColor="text1"/>
          <w14:textFill>
            <w14:solidFill>
              <w14:schemeClr w14:val="tx1"/>
            </w14:solidFill>
          </w14:textFill>
        </w:rPr>
        <w:t>及</w:t>
      </w:r>
      <w:r>
        <w:rPr>
          <w:rFonts w:hint="eastAsia"/>
          <w:snapToGrid w:val="0"/>
          <w:color w:val="000000" w:themeColor="text1"/>
          <w:lang w:eastAsia="zh-CN"/>
          <w14:textFill>
            <w14:solidFill>
              <w14:schemeClr w14:val="tx1"/>
            </w14:solidFill>
          </w14:textFill>
        </w:rPr>
        <w:t>桦南县城镇污水处理厂</w:t>
      </w:r>
      <w:r>
        <w:rPr>
          <w:snapToGrid w:val="0"/>
          <w:color w:val="000000" w:themeColor="text1"/>
          <w14:textFill>
            <w14:solidFill>
              <w14:schemeClr w14:val="tx1"/>
            </w14:solidFill>
          </w14:textFill>
        </w:rPr>
        <w:t>进水指标后进入</w:t>
      </w:r>
      <w:r>
        <w:rPr>
          <w:rFonts w:hint="eastAsia"/>
          <w:snapToGrid w:val="0"/>
          <w:color w:val="000000" w:themeColor="text1"/>
          <w:lang w:val="en-US" w:eastAsia="zh-CN"/>
          <w14:textFill>
            <w14:solidFill>
              <w14:schemeClr w14:val="tx1"/>
            </w14:solidFill>
          </w14:textFill>
        </w:rPr>
        <w:t>园区</w:t>
      </w:r>
      <w:r>
        <w:rPr>
          <w:snapToGrid w:val="0"/>
          <w:color w:val="000000" w:themeColor="text1"/>
          <w14:textFill>
            <w14:solidFill>
              <w14:schemeClr w14:val="tx1"/>
            </w14:solidFill>
          </w14:textFill>
        </w:rPr>
        <w:t>污水管网，排入</w:t>
      </w:r>
      <w:r>
        <w:rPr>
          <w:rFonts w:hint="eastAsia"/>
          <w:snapToGrid w:val="0"/>
          <w:color w:val="000000" w:themeColor="text1"/>
          <w:lang w:eastAsia="zh-CN"/>
          <w14:textFill>
            <w14:solidFill>
              <w14:schemeClr w14:val="tx1"/>
            </w14:solidFill>
          </w14:textFill>
        </w:rPr>
        <w:t>桦南县城镇污水处理厂</w:t>
      </w:r>
      <w:r>
        <w:rPr>
          <w:snapToGrid w:val="0"/>
          <w:color w:val="000000" w:themeColor="text1"/>
          <w14:textFill>
            <w14:solidFill>
              <w14:schemeClr w14:val="tx1"/>
            </w14:solidFill>
          </w14:textFill>
        </w:rPr>
        <w:t>统一处理，</w:t>
      </w:r>
      <w:r>
        <w:rPr>
          <w:rFonts w:hint="default" w:eastAsia="宋体"/>
          <w:lang w:val="en-US" w:eastAsia="zh-CN"/>
        </w:rPr>
        <w:t>出水水质满足《城镇污水处理厂污染物排放标准》（GB18918-2002）表 1 一级 A 标准要求排入八虎力河，最终汇入倭肯河</w:t>
      </w:r>
      <w:r>
        <w:rPr>
          <w:rFonts w:hint="eastAsia"/>
          <w:lang w:val="en-US" w:eastAsia="zh-CN"/>
        </w:rPr>
        <w:t>。</w:t>
      </w:r>
    </w:p>
    <w:p w14:paraId="1E952225">
      <w:pPr>
        <w:pStyle w:val="85"/>
        <w:rPr>
          <w:rFonts w:hint="default" w:eastAsia="宋体"/>
          <w:snapToGrid w:val="0"/>
          <w:color w:val="000000" w:themeColor="text1"/>
          <w:highlight w:val="none"/>
          <w:lang w:val="en-US" w:eastAsia="zh-CN"/>
          <w14:textFill>
            <w14:solidFill>
              <w14:schemeClr w14:val="tx1"/>
            </w14:solidFill>
          </w14:textFill>
        </w:rPr>
      </w:pPr>
      <w:r>
        <w:rPr>
          <w:rFonts w:hint="eastAsia"/>
          <w:snapToGrid w:val="0"/>
          <w:color w:val="000000" w:themeColor="text1"/>
          <w:highlight w:val="none"/>
          <w14:textFill>
            <w14:solidFill>
              <w14:schemeClr w14:val="tx1"/>
            </w14:solidFill>
          </w14:textFill>
        </w:rPr>
        <w:t>3、</w:t>
      </w:r>
      <w:r>
        <w:rPr>
          <w:rFonts w:hint="eastAsia"/>
          <w:snapToGrid w:val="0"/>
          <w:color w:val="000000" w:themeColor="text1"/>
          <w:highlight w:val="none"/>
          <w:lang w:val="en-US" w:eastAsia="zh-CN"/>
          <w14:textFill>
            <w14:solidFill>
              <w14:schemeClr w14:val="tx1"/>
            </w14:solidFill>
          </w14:textFill>
        </w:rPr>
        <w:t>用排水情况汇总</w:t>
      </w:r>
    </w:p>
    <w:p w14:paraId="328A09A3">
      <w:pPr>
        <w:pStyle w:val="85"/>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本项目</w:t>
      </w:r>
      <w:r>
        <w:rPr>
          <w:rFonts w:hint="eastAsia"/>
          <w:color w:val="000000" w:themeColor="text1"/>
          <w:lang w:val="en-US" w:eastAsia="zh-CN"/>
          <w14:textFill>
            <w14:solidFill>
              <w14:schemeClr w14:val="tx1"/>
            </w14:solidFill>
          </w14:textFill>
        </w:rPr>
        <w:t>用排水情况</w:t>
      </w:r>
      <w:r>
        <w:rPr>
          <w:rFonts w:hint="eastAsia"/>
          <w:color w:val="000000" w:themeColor="text1"/>
          <w14:textFill>
            <w14:solidFill>
              <w14:schemeClr w14:val="tx1"/>
            </w14:solidFill>
          </w14:textFill>
        </w:rPr>
        <w:t>见下表3</w:t>
      </w:r>
      <w:r>
        <w:rPr>
          <w:color w:val="000000" w:themeColor="text1"/>
          <w14:textFill>
            <w14:solidFill>
              <w14:schemeClr w14:val="tx1"/>
            </w14:solidFill>
          </w14:textFill>
        </w:rPr>
        <w:t>-3-</w:t>
      </w:r>
      <w:r>
        <w:rPr>
          <w:rFonts w:hint="eastAsia"/>
          <w:color w:val="000000" w:themeColor="text1"/>
          <w:lang w:val="en-US" w:eastAsia="zh-CN"/>
          <w14:textFill>
            <w14:solidFill>
              <w14:schemeClr w14:val="tx1"/>
            </w14:solidFill>
          </w14:textFill>
        </w:rPr>
        <w:t>2</w:t>
      </w:r>
      <w:r>
        <w:rPr>
          <w:rFonts w:hint="eastAsia"/>
          <w:color w:val="000000" w:themeColor="text1"/>
          <w:lang w:eastAsia="zh-CN"/>
          <w14:textFill>
            <w14:solidFill>
              <w14:schemeClr w14:val="tx1"/>
            </w14:solidFill>
          </w14:textFill>
        </w:rPr>
        <w:t>。</w:t>
      </w:r>
    </w:p>
    <w:p w14:paraId="5CAB571E">
      <w:pPr>
        <w:pStyle w:val="206"/>
        <w:rPr>
          <w:rFonts w:hint="eastAsia"/>
          <w:color w:val="000000" w:themeColor="text1"/>
          <w:lang w:val="en-US" w:eastAsia="zh-CN"/>
          <w14:textFill>
            <w14:solidFill>
              <w14:schemeClr w14:val="tx1"/>
            </w14:solidFill>
          </w14:textFill>
        </w:rPr>
      </w:pPr>
      <w:r>
        <w:rPr>
          <w:color w:val="000000" w:themeColor="text1"/>
          <w:lang w:val="en-US"/>
          <w14:textFill>
            <w14:solidFill>
              <w14:schemeClr w14:val="tx1"/>
            </w14:solidFill>
          </w14:textFill>
        </w:rPr>
        <w:t>表</w:t>
      </w:r>
      <w:r>
        <w:rPr>
          <w:rFonts w:hint="eastAsia"/>
          <w:color w:val="000000" w:themeColor="text1"/>
          <w:lang w:val="en-US"/>
          <w14:textFill>
            <w14:solidFill>
              <w14:schemeClr w14:val="tx1"/>
            </w14:solidFill>
          </w14:textFill>
        </w:rPr>
        <w:t>3</w:t>
      </w:r>
      <w:r>
        <w:rPr>
          <w:color w:val="000000" w:themeColor="text1"/>
          <w:lang w:val="en-US"/>
          <w14:textFill>
            <w14:solidFill>
              <w14:schemeClr w14:val="tx1"/>
            </w14:solidFill>
          </w14:textFill>
        </w:rPr>
        <w:t>-3-</w:t>
      </w:r>
      <w:r>
        <w:rPr>
          <w:rFonts w:hint="eastAsia"/>
          <w:color w:val="000000" w:themeColor="text1"/>
          <w:lang w:val="en-US" w:eastAsia="zh-CN"/>
          <w14:textFill>
            <w14:solidFill>
              <w14:schemeClr w14:val="tx1"/>
            </w14:solidFill>
          </w14:textFill>
        </w:rPr>
        <w:t>2</w:t>
      </w:r>
      <w:r>
        <w:rPr>
          <w:color w:val="000000" w:themeColor="text1"/>
          <w:lang w:val="en-US"/>
          <w14:textFill>
            <w14:solidFill>
              <w14:schemeClr w14:val="tx1"/>
            </w14:solidFill>
          </w14:textFill>
        </w:rPr>
        <w:t xml:space="preserve"> 本项目</w:t>
      </w:r>
      <w:r>
        <w:rPr>
          <w:rFonts w:hint="eastAsia"/>
          <w:color w:val="000000" w:themeColor="text1"/>
          <w:lang w:val="en-US" w:eastAsia="zh-CN"/>
          <w14:textFill>
            <w14:solidFill>
              <w14:schemeClr w14:val="tx1"/>
            </w14:solidFill>
          </w14:textFill>
        </w:rPr>
        <w:t>用排水情况一览</w:t>
      </w:r>
      <w:r>
        <w:rPr>
          <w:color w:val="000000" w:themeColor="text1"/>
          <w:lang w:val="en-US"/>
          <w14:textFill>
            <w14:solidFill>
              <w14:schemeClr w14:val="tx1"/>
            </w14:solidFill>
          </w14:textFill>
        </w:rPr>
        <w:t>表</w:t>
      </w:r>
      <w:r>
        <w:rPr>
          <w:rFonts w:hint="eastAsia"/>
          <w:color w:val="000000" w:themeColor="text1"/>
          <w:lang w:val="en-US" w:eastAsia="zh-CN"/>
          <w14:textFill>
            <w14:solidFill>
              <w14:schemeClr w14:val="tx1"/>
            </w14:solidFill>
          </w14:textFill>
        </w:rPr>
        <w:t xml:space="preserve"> </w:t>
      </w:r>
      <w:r>
        <w:rPr>
          <w:color w:val="000000" w:themeColor="text1"/>
          <w:lang w:val="en-US"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单位m</w:t>
      </w:r>
      <w:r>
        <w:rPr>
          <w:color w:val="000000" w:themeColor="text1"/>
          <w:vertAlign w:val="super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/a</w:t>
      </w:r>
    </w:p>
    <w:tbl>
      <w:tblPr>
        <w:tblStyle w:val="418"/>
        <w:tblW w:w="474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38"/>
        <w:gridCol w:w="439"/>
        <w:gridCol w:w="3"/>
        <w:gridCol w:w="2584"/>
        <w:gridCol w:w="1287"/>
        <w:gridCol w:w="1237"/>
        <w:gridCol w:w="1498"/>
      </w:tblGrid>
      <w:tr w14:paraId="3A3B57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 w:hRule="atLeast"/>
        </w:trPr>
        <w:tc>
          <w:tcPr>
            <w:tcW w:w="531" w:type="pct"/>
            <w:vAlign w:val="center"/>
          </w:tcPr>
          <w:p w14:paraId="78752963">
            <w:pPr>
              <w:pStyle w:val="143"/>
              <w:rPr>
                <w:b/>
                <w:bCs/>
                <w:snapToGrid w:val="0"/>
                <w:color w:val="000000" w:themeColor="text1"/>
                <w:kern w:val="0"/>
                <w:sz w:val="21"/>
                <w:szCs w:val="21"/>
                <w:lang w:val="en-US"/>
                <w14:textFill>
                  <w14:solidFill>
                    <w14:schemeClr w14:val="tx1"/>
                  </w14:solidFill>
                </w14:textFill>
              </w:rPr>
            </w:pPr>
            <w:r>
              <w:rPr>
                <w:b/>
                <w:bCs/>
                <w:snapToGrid w:val="0"/>
                <w:color w:val="000000" w:themeColor="text1"/>
                <w:kern w:val="0"/>
                <w:sz w:val="21"/>
                <w:szCs w:val="21"/>
                <w:lang w:val="en-US"/>
                <w14:textFill>
                  <w14:solidFill>
                    <w14:schemeClr w14:val="tx1"/>
                  </w14:solidFill>
                </w14:textFill>
              </w:rPr>
              <w:t>用水类型</w:t>
            </w:r>
          </w:p>
        </w:tc>
        <w:tc>
          <w:tcPr>
            <w:tcW w:w="278" w:type="pct"/>
            <w:vAlign w:val="center"/>
          </w:tcPr>
          <w:p w14:paraId="65E3D0F2">
            <w:pPr>
              <w:pStyle w:val="143"/>
              <w:rPr>
                <w:b/>
                <w:bCs/>
                <w:snapToGrid w:val="0"/>
                <w:color w:val="000000" w:themeColor="text1"/>
                <w:kern w:val="0"/>
                <w:sz w:val="21"/>
                <w:szCs w:val="21"/>
                <w:lang w:val="en-US"/>
                <w14:textFill>
                  <w14:solidFill>
                    <w14:schemeClr w14:val="tx1"/>
                  </w14:solidFill>
                </w14:textFill>
              </w:rPr>
            </w:pPr>
            <w:r>
              <w:rPr>
                <w:b/>
                <w:bCs/>
                <w:snapToGrid w:val="0"/>
                <w:color w:val="000000" w:themeColor="text1"/>
                <w:kern w:val="0"/>
                <w:sz w:val="21"/>
                <w:szCs w:val="21"/>
                <w:lang w:val="en-US"/>
                <w14:textFill>
                  <w14:solidFill>
                    <w14:schemeClr w14:val="tx1"/>
                  </w14:solidFill>
                </w14:textFill>
              </w:rPr>
              <w:t>序号</w:t>
            </w:r>
          </w:p>
        </w:tc>
        <w:tc>
          <w:tcPr>
            <w:tcW w:w="1640" w:type="pct"/>
            <w:gridSpan w:val="2"/>
            <w:vAlign w:val="center"/>
          </w:tcPr>
          <w:p w14:paraId="540B2F7C">
            <w:pPr>
              <w:pStyle w:val="143"/>
              <w:rPr>
                <w:b/>
                <w:bCs/>
                <w:snapToGrid w:val="0"/>
                <w:color w:val="000000" w:themeColor="text1"/>
                <w:kern w:val="0"/>
                <w:sz w:val="21"/>
                <w:szCs w:val="21"/>
                <w:lang w:val="en-US"/>
                <w14:textFill>
                  <w14:solidFill>
                    <w14:schemeClr w14:val="tx1"/>
                  </w14:solidFill>
                </w14:textFill>
              </w:rPr>
            </w:pPr>
            <w:r>
              <w:rPr>
                <w:b/>
                <w:bCs/>
                <w:snapToGrid w:val="0"/>
                <w:color w:val="000000" w:themeColor="text1"/>
                <w:kern w:val="0"/>
                <w:sz w:val="21"/>
                <w:szCs w:val="21"/>
                <w:lang w:val="en-US"/>
                <w14:textFill>
                  <w14:solidFill>
                    <w14:schemeClr w14:val="tx1"/>
                  </w14:solidFill>
                </w14:textFill>
              </w:rPr>
              <w:t>用水工序</w:t>
            </w:r>
          </w:p>
        </w:tc>
        <w:tc>
          <w:tcPr>
            <w:tcW w:w="816" w:type="pct"/>
            <w:vAlign w:val="center"/>
          </w:tcPr>
          <w:p w14:paraId="31CC21B8">
            <w:pPr>
              <w:pStyle w:val="143"/>
              <w:rPr>
                <w:b/>
                <w:bCs/>
                <w:snapToGrid w:val="0"/>
                <w:color w:val="000000" w:themeColor="text1"/>
                <w:kern w:val="0"/>
                <w:sz w:val="21"/>
                <w:szCs w:val="21"/>
                <w:lang w:val="en-US"/>
                <w14:textFill>
                  <w14:solidFill>
                    <w14:schemeClr w14:val="tx1"/>
                  </w14:solidFill>
                </w14:textFill>
              </w:rPr>
            </w:pPr>
            <w:r>
              <w:rPr>
                <w:rFonts w:hint="eastAsia"/>
                <w:b/>
                <w:bCs/>
                <w:snapToGrid w:val="0"/>
                <w:color w:val="000000" w:themeColor="text1"/>
                <w:kern w:val="0"/>
                <w:sz w:val="21"/>
                <w:szCs w:val="21"/>
                <w:lang w:val="en-US" w:eastAsia="zh-CN"/>
                <w14:textFill>
                  <w14:solidFill>
                    <w14:schemeClr w14:val="tx1"/>
                  </w14:solidFill>
                </w14:textFill>
              </w:rPr>
              <w:t>年</w:t>
            </w:r>
            <w:r>
              <w:rPr>
                <w:b/>
                <w:bCs/>
                <w:snapToGrid w:val="0"/>
                <w:color w:val="000000" w:themeColor="text1"/>
                <w:kern w:val="0"/>
                <w:sz w:val="21"/>
                <w:szCs w:val="21"/>
                <w:lang w:val="en-US"/>
                <w14:textFill>
                  <w14:solidFill>
                    <w14:schemeClr w14:val="tx1"/>
                  </w14:solidFill>
                </w14:textFill>
              </w:rPr>
              <w:t>用水量</w:t>
            </w:r>
          </w:p>
        </w:tc>
        <w:tc>
          <w:tcPr>
            <w:tcW w:w="784" w:type="pct"/>
            <w:vAlign w:val="center"/>
          </w:tcPr>
          <w:p w14:paraId="6A9E0840">
            <w:pPr>
              <w:pStyle w:val="143"/>
              <w:rPr>
                <w:b/>
                <w:bCs/>
                <w:snapToGrid w:val="0"/>
                <w:color w:val="000000" w:themeColor="text1"/>
                <w:kern w:val="0"/>
                <w:sz w:val="21"/>
                <w:szCs w:val="21"/>
                <w:lang w:val="en-US"/>
                <w14:textFill>
                  <w14:solidFill>
                    <w14:schemeClr w14:val="tx1"/>
                  </w14:solidFill>
                </w14:textFill>
              </w:rPr>
            </w:pPr>
            <w:r>
              <w:rPr>
                <w:rFonts w:hint="eastAsia"/>
                <w:b/>
                <w:bCs/>
                <w:snapToGrid w:val="0"/>
                <w:color w:val="000000" w:themeColor="text1"/>
                <w:kern w:val="0"/>
                <w:sz w:val="21"/>
                <w:szCs w:val="21"/>
                <w:lang w:val="en-US" w:eastAsia="zh-CN"/>
                <w14:textFill>
                  <w14:solidFill>
                    <w14:schemeClr w14:val="tx1"/>
                  </w14:solidFill>
                </w14:textFill>
              </w:rPr>
              <w:t>年排</w:t>
            </w:r>
            <w:r>
              <w:rPr>
                <w:b/>
                <w:bCs/>
                <w:snapToGrid w:val="0"/>
                <w:color w:val="000000" w:themeColor="text1"/>
                <w:kern w:val="0"/>
                <w:sz w:val="21"/>
                <w:szCs w:val="21"/>
                <w:lang w:val="en-US"/>
                <w14:textFill>
                  <w14:solidFill>
                    <w14:schemeClr w14:val="tx1"/>
                  </w14:solidFill>
                </w14:textFill>
              </w:rPr>
              <w:t>水量</w:t>
            </w:r>
          </w:p>
        </w:tc>
        <w:tc>
          <w:tcPr>
            <w:tcW w:w="949" w:type="pct"/>
            <w:vAlign w:val="center"/>
          </w:tcPr>
          <w:p w14:paraId="055E38DA">
            <w:pPr>
              <w:pStyle w:val="143"/>
              <w:rPr>
                <w:b/>
                <w:bCs/>
                <w:snapToGrid w:val="0"/>
                <w:color w:val="000000" w:themeColor="text1"/>
                <w:kern w:val="0"/>
                <w:sz w:val="21"/>
                <w:szCs w:val="21"/>
                <w:lang w:val="en-US"/>
                <w14:textFill>
                  <w14:solidFill>
                    <w14:schemeClr w14:val="tx1"/>
                  </w14:solidFill>
                </w14:textFill>
              </w:rPr>
            </w:pPr>
            <w:r>
              <w:rPr>
                <w:b/>
                <w:bCs/>
                <w:snapToGrid w:val="0"/>
                <w:color w:val="000000" w:themeColor="text1"/>
                <w:kern w:val="0"/>
                <w:sz w:val="21"/>
                <w:szCs w:val="21"/>
                <w:lang w:val="en-US"/>
                <w14:textFill>
                  <w14:solidFill>
                    <w14:schemeClr w14:val="tx1"/>
                  </w14:solidFill>
                </w14:textFill>
              </w:rPr>
              <w:t>用水去向</w:t>
            </w:r>
          </w:p>
        </w:tc>
      </w:tr>
      <w:tr w14:paraId="20E111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1" w:type="pct"/>
            <w:vAlign w:val="center"/>
          </w:tcPr>
          <w:p w14:paraId="0F6D5881">
            <w:pPr>
              <w:pStyle w:val="143"/>
              <w:rPr>
                <w:rFonts w:hint="default" w:eastAsia="宋体"/>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新鲜水</w:t>
            </w:r>
          </w:p>
        </w:tc>
        <w:tc>
          <w:tcPr>
            <w:tcW w:w="278" w:type="pct"/>
            <w:vAlign w:val="center"/>
          </w:tcPr>
          <w:p w14:paraId="02C28C1D">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1</w:t>
            </w:r>
          </w:p>
        </w:tc>
        <w:tc>
          <w:tcPr>
            <w:tcW w:w="1640" w:type="pct"/>
            <w:gridSpan w:val="2"/>
            <w:vAlign w:val="center"/>
          </w:tcPr>
          <w:p w14:paraId="41B2C38A">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车间地面冲洗用水</w:t>
            </w:r>
          </w:p>
        </w:tc>
        <w:tc>
          <w:tcPr>
            <w:tcW w:w="816" w:type="pct"/>
            <w:vAlign w:val="center"/>
          </w:tcPr>
          <w:p w14:paraId="542C7D1D">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6195</w:t>
            </w:r>
          </w:p>
        </w:tc>
        <w:tc>
          <w:tcPr>
            <w:tcW w:w="784" w:type="pct"/>
            <w:vAlign w:val="center"/>
          </w:tcPr>
          <w:p w14:paraId="2332FD8F">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5575.5</w:t>
            </w:r>
          </w:p>
        </w:tc>
        <w:tc>
          <w:tcPr>
            <w:tcW w:w="949" w:type="pct"/>
            <w:vMerge w:val="restart"/>
            <w:vAlign w:val="center"/>
          </w:tcPr>
          <w:p w14:paraId="1347D725">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污水处理站</w:t>
            </w:r>
          </w:p>
        </w:tc>
      </w:tr>
      <w:tr w14:paraId="45B23F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1" w:type="pct"/>
            <w:vMerge w:val="restart"/>
            <w:vAlign w:val="center"/>
          </w:tcPr>
          <w:p w14:paraId="6D192069">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纯水</w:t>
            </w:r>
          </w:p>
        </w:tc>
        <w:tc>
          <w:tcPr>
            <w:tcW w:w="278" w:type="pct"/>
            <w:vAlign w:val="center"/>
          </w:tcPr>
          <w:p w14:paraId="217BD00A">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2</w:t>
            </w:r>
          </w:p>
        </w:tc>
        <w:tc>
          <w:tcPr>
            <w:tcW w:w="1640" w:type="pct"/>
            <w:gridSpan w:val="2"/>
            <w:vAlign w:val="center"/>
          </w:tcPr>
          <w:p w14:paraId="25E8CC07">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CO</w:t>
            </w:r>
            <w:r>
              <w:rPr>
                <w:snapToGrid w:val="0"/>
                <w:color w:val="000000" w:themeColor="text1"/>
                <w:kern w:val="0"/>
                <w:sz w:val="21"/>
                <w:szCs w:val="21"/>
                <w:vertAlign w:val="subscript"/>
                <w:lang w:val="en-US"/>
                <w14:textFill>
                  <w14:solidFill>
                    <w14:schemeClr w14:val="tx1"/>
                  </w14:solidFill>
                </w14:textFill>
              </w:rPr>
              <w:t>2</w:t>
            </w:r>
            <w:r>
              <w:rPr>
                <w:snapToGrid w:val="0"/>
                <w:color w:val="000000" w:themeColor="text1"/>
                <w:kern w:val="0"/>
                <w:sz w:val="21"/>
                <w:szCs w:val="21"/>
                <w:lang w:val="en-US"/>
                <w14:textFill>
                  <w14:solidFill>
                    <w14:schemeClr w14:val="tx1"/>
                  </w14:solidFill>
                </w14:textFill>
              </w:rPr>
              <w:t>回收系统洗气用水</w:t>
            </w:r>
          </w:p>
        </w:tc>
        <w:tc>
          <w:tcPr>
            <w:tcW w:w="816" w:type="pct"/>
            <w:vAlign w:val="center"/>
          </w:tcPr>
          <w:p w14:paraId="6EE7EB74">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1500</w:t>
            </w:r>
          </w:p>
        </w:tc>
        <w:tc>
          <w:tcPr>
            <w:tcW w:w="784" w:type="pct"/>
            <w:vAlign w:val="center"/>
          </w:tcPr>
          <w:p w14:paraId="14B43347">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1350</w:t>
            </w:r>
          </w:p>
        </w:tc>
        <w:tc>
          <w:tcPr>
            <w:tcW w:w="949" w:type="pct"/>
            <w:vMerge w:val="continue"/>
            <w:vAlign w:val="center"/>
          </w:tcPr>
          <w:p w14:paraId="601FF977">
            <w:pPr>
              <w:pStyle w:val="143"/>
              <w:rPr>
                <w:snapToGrid w:val="0"/>
                <w:color w:val="000000" w:themeColor="text1"/>
                <w:kern w:val="0"/>
                <w:sz w:val="21"/>
                <w:szCs w:val="21"/>
                <w:lang w:val="en-US"/>
                <w14:textFill>
                  <w14:solidFill>
                    <w14:schemeClr w14:val="tx1"/>
                  </w14:solidFill>
                </w14:textFill>
              </w:rPr>
            </w:pPr>
          </w:p>
        </w:tc>
      </w:tr>
      <w:tr w14:paraId="3246F8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531" w:type="pct"/>
            <w:vMerge w:val="continue"/>
            <w:vAlign w:val="center"/>
          </w:tcPr>
          <w:p w14:paraId="2BA1CB5C">
            <w:pPr>
              <w:pStyle w:val="143"/>
              <w:rPr>
                <w:snapToGrid w:val="0"/>
                <w:color w:val="000000" w:themeColor="text1"/>
                <w:kern w:val="0"/>
                <w:sz w:val="21"/>
                <w:szCs w:val="21"/>
                <w:lang w:val="en-US"/>
                <w14:textFill>
                  <w14:solidFill>
                    <w14:schemeClr w14:val="tx1"/>
                  </w14:solidFill>
                </w14:textFill>
              </w:rPr>
            </w:pPr>
          </w:p>
        </w:tc>
        <w:tc>
          <w:tcPr>
            <w:tcW w:w="278" w:type="pct"/>
            <w:vAlign w:val="center"/>
          </w:tcPr>
          <w:p w14:paraId="09BF8544">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3</w:t>
            </w:r>
          </w:p>
        </w:tc>
        <w:tc>
          <w:tcPr>
            <w:tcW w:w="1640" w:type="pct"/>
            <w:gridSpan w:val="2"/>
            <w:vAlign w:val="center"/>
          </w:tcPr>
          <w:p w14:paraId="21A9E2AE">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啤酒生产工艺用水</w:t>
            </w:r>
          </w:p>
        </w:tc>
        <w:tc>
          <w:tcPr>
            <w:tcW w:w="816" w:type="pct"/>
            <w:vAlign w:val="center"/>
          </w:tcPr>
          <w:p w14:paraId="74D4FBC3">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24000</w:t>
            </w:r>
          </w:p>
        </w:tc>
        <w:tc>
          <w:tcPr>
            <w:tcW w:w="784" w:type="pct"/>
            <w:vAlign w:val="center"/>
          </w:tcPr>
          <w:p w14:paraId="3A75347A">
            <w:pPr>
              <w:pStyle w:val="143"/>
              <w:ind w:firstLine="0" w:firstLineChars="0"/>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0</w:t>
            </w:r>
          </w:p>
        </w:tc>
        <w:tc>
          <w:tcPr>
            <w:tcW w:w="949" w:type="pct"/>
            <w:vAlign w:val="center"/>
          </w:tcPr>
          <w:p w14:paraId="38345ED3">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进入产品</w:t>
            </w:r>
          </w:p>
        </w:tc>
      </w:tr>
      <w:tr w14:paraId="4B6996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1" w:type="pct"/>
            <w:vMerge w:val="continue"/>
            <w:vAlign w:val="center"/>
          </w:tcPr>
          <w:p w14:paraId="35A0B78A">
            <w:pPr>
              <w:pStyle w:val="143"/>
              <w:rPr>
                <w:snapToGrid w:val="0"/>
                <w:color w:val="000000" w:themeColor="text1"/>
                <w:kern w:val="0"/>
                <w:sz w:val="21"/>
                <w:szCs w:val="21"/>
                <w:lang w:val="en-US"/>
                <w14:textFill>
                  <w14:solidFill>
                    <w14:schemeClr w14:val="tx1"/>
                  </w14:solidFill>
                </w14:textFill>
              </w:rPr>
            </w:pPr>
          </w:p>
        </w:tc>
        <w:tc>
          <w:tcPr>
            <w:tcW w:w="278" w:type="pct"/>
            <w:vAlign w:val="center"/>
          </w:tcPr>
          <w:p w14:paraId="233353F8">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4</w:t>
            </w:r>
          </w:p>
        </w:tc>
        <w:tc>
          <w:tcPr>
            <w:tcW w:w="1640" w:type="pct"/>
            <w:gridSpan w:val="2"/>
            <w:vAlign w:val="center"/>
          </w:tcPr>
          <w:p w14:paraId="5FBD04A7">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CIP清洗用水</w:t>
            </w:r>
          </w:p>
        </w:tc>
        <w:tc>
          <w:tcPr>
            <w:tcW w:w="816" w:type="pct"/>
            <w:vAlign w:val="center"/>
          </w:tcPr>
          <w:p w14:paraId="582DFEF4">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32100</w:t>
            </w:r>
          </w:p>
        </w:tc>
        <w:tc>
          <w:tcPr>
            <w:tcW w:w="784" w:type="pct"/>
            <w:vAlign w:val="center"/>
          </w:tcPr>
          <w:p w14:paraId="4BBB61FB">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28890</w:t>
            </w:r>
          </w:p>
        </w:tc>
        <w:tc>
          <w:tcPr>
            <w:tcW w:w="949" w:type="pct"/>
            <w:vMerge w:val="restart"/>
            <w:vAlign w:val="center"/>
          </w:tcPr>
          <w:p w14:paraId="16535655">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污水处理站</w:t>
            </w:r>
          </w:p>
        </w:tc>
      </w:tr>
      <w:tr w14:paraId="295273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531" w:type="pct"/>
            <w:vMerge w:val="continue"/>
            <w:vAlign w:val="center"/>
          </w:tcPr>
          <w:p w14:paraId="0A871BAF">
            <w:pPr>
              <w:pStyle w:val="143"/>
              <w:rPr>
                <w:snapToGrid w:val="0"/>
                <w:color w:val="000000" w:themeColor="text1"/>
                <w:kern w:val="0"/>
                <w:sz w:val="21"/>
                <w:szCs w:val="21"/>
                <w:lang w:val="en-US"/>
                <w14:textFill>
                  <w14:solidFill>
                    <w14:schemeClr w14:val="tx1"/>
                  </w14:solidFill>
                </w14:textFill>
              </w:rPr>
            </w:pPr>
          </w:p>
        </w:tc>
        <w:tc>
          <w:tcPr>
            <w:tcW w:w="278" w:type="pct"/>
            <w:vAlign w:val="center"/>
          </w:tcPr>
          <w:p w14:paraId="258F1FF8">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5</w:t>
            </w:r>
          </w:p>
        </w:tc>
        <w:tc>
          <w:tcPr>
            <w:tcW w:w="1640" w:type="pct"/>
            <w:gridSpan w:val="2"/>
            <w:vAlign w:val="center"/>
          </w:tcPr>
          <w:p w14:paraId="6E933AF6">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玻璃瓶清洗用水</w:t>
            </w:r>
          </w:p>
        </w:tc>
        <w:tc>
          <w:tcPr>
            <w:tcW w:w="816" w:type="pct"/>
            <w:vAlign w:val="center"/>
          </w:tcPr>
          <w:p w14:paraId="284490BB">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10950</w:t>
            </w:r>
          </w:p>
        </w:tc>
        <w:tc>
          <w:tcPr>
            <w:tcW w:w="784" w:type="pct"/>
            <w:vAlign w:val="center"/>
          </w:tcPr>
          <w:p w14:paraId="74A6DE60">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9855</w:t>
            </w:r>
          </w:p>
        </w:tc>
        <w:tc>
          <w:tcPr>
            <w:tcW w:w="949" w:type="pct"/>
            <w:vMerge w:val="continue"/>
            <w:vAlign w:val="center"/>
          </w:tcPr>
          <w:p w14:paraId="78E012F1">
            <w:pPr>
              <w:pStyle w:val="143"/>
              <w:rPr>
                <w:snapToGrid w:val="0"/>
                <w:color w:val="000000" w:themeColor="text1"/>
                <w:kern w:val="0"/>
                <w:sz w:val="21"/>
                <w:szCs w:val="21"/>
                <w:lang w:val="en-US"/>
                <w14:textFill>
                  <w14:solidFill>
                    <w14:schemeClr w14:val="tx1"/>
                  </w14:solidFill>
                </w14:textFill>
              </w:rPr>
            </w:pPr>
          </w:p>
        </w:tc>
      </w:tr>
      <w:tr w14:paraId="1CDC05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1" w:type="pct"/>
            <w:vMerge w:val="continue"/>
            <w:vAlign w:val="center"/>
          </w:tcPr>
          <w:p w14:paraId="4D25FBE2">
            <w:pPr>
              <w:pStyle w:val="143"/>
              <w:rPr>
                <w:snapToGrid w:val="0"/>
                <w:color w:val="000000" w:themeColor="text1"/>
                <w:kern w:val="0"/>
                <w:sz w:val="21"/>
                <w:szCs w:val="21"/>
                <w:lang w:val="en-US"/>
                <w14:textFill>
                  <w14:solidFill>
                    <w14:schemeClr w14:val="tx1"/>
                  </w14:solidFill>
                </w14:textFill>
              </w:rPr>
            </w:pPr>
          </w:p>
        </w:tc>
        <w:tc>
          <w:tcPr>
            <w:tcW w:w="278" w:type="pct"/>
            <w:vAlign w:val="center"/>
          </w:tcPr>
          <w:p w14:paraId="6A17540F">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6</w:t>
            </w:r>
          </w:p>
        </w:tc>
        <w:tc>
          <w:tcPr>
            <w:tcW w:w="1640" w:type="pct"/>
            <w:gridSpan w:val="2"/>
            <w:vAlign w:val="center"/>
          </w:tcPr>
          <w:p w14:paraId="21C9F503">
            <w:pPr>
              <w:pStyle w:val="143"/>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化验室</w:t>
            </w:r>
            <w:r>
              <w:rPr>
                <w:snapToGrid w:val="0"/>
                <w:color w:val="000000" w:themeColor="text1"/>
                <w:kern w:val="0"/>
                <w:sz w:val="21"/>
                <w:szCs w:val="21"/>
                <w:lang w:val="en-US"/>
                <w14:textFill>
                  <w14:solidFill>
                    <w14:schemeClr w14:val="tx1"/>
                  </w14:solidFill>
                </w14:textFill>
              </w:rPr>
              <w:t>用水</w:t>
            </w:r>
          </w:p>
        </w:tc>
        <w:tc>
          <w:tcPr>
            <w:tcW w:w="816" w:type="pct"/>
            <w:vAlign w:val="center"/>
          </w:tcPr>
          <w:p w14:paraId="75F85D5A">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1</w:t>
            </w:r>
          </w:p>
        </w:tc>
        <w:tc>
          <w:tcPr>
            <w:tcW w:w="784" w:type="pct"/>
            <w:vAlign w:val="center"/>
          </w:tcPr>
          <w:p w14:paraId="0D0CE4F7">
            <w:pPr>
              <w:pStyle w:val="143"/>
              <w:ind w:firstLine="0" w:firstLineChars="0"/>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w:t>
            </w:r>
          </w:p>
        </w:tc>
        <w:tc>
          <w:tcPr>
            <w:tcW w:w="949" w:type="pct"/>
            <w:vAlign w:val="center"/>
          </w:tcPr>
          <w:p w14:paraId="7CE9EDBF">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危险废物</w:t>
            </w:r>
          </w:p>
        </w:tc>
      </w:tr>
      <w:tr w14:paraId="67FFF9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449" w:type="pct"/>
            <w:gridSpan w:val="4"/>
            <w:vAlign w:val="center"/>
          </w:tcPr>
          <w:p w14:paraId="4675ECC5">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制取纯水用新鲜水</w:t>
            </w:r>
          </w:p>
        </w:tc>
        <w:tc>
          <w:tcPr>
            <w:tcW w:w="816" w:type="pct"/>
            <w:vAlign w:val="center"/>
          </w:tcPr>
          <w:p w14:paraId="2EFF4723">
            <w:pPr>
              <w:pStyle w:val="143"/>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85688.75</w:t>
            </w:r>
          </w:p>
        </w:tc>
        <w:tc>
          <w:tcPr>
            <w:tcW w:w="784" w:type="pct"/>
            <w:vAlign w:val="center"/>
          </w:tcPr>
          <w:p w14:paraId="7D703833">
            <w:pPr>
              <w:pStyle w:val="143"/>
              <w:rPr>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17137.75</w:t>
            </w:r>
          </w:p>
        </w:tc>
        <w:tc>
          <w:tcPr>
            <w:tcW w:w="949" w:type="pct"/>
            <w:vMerge w:val="restart"/>
            <w:vAlign w:val="center"/>
          </w:tcPr>
          <w:p w14:paraId="53478F54">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污水处理站</w:t>
            </w:r>
          </w:p>
        </w:tc>
      </w:tr>
      <w:tr w14:paraId="583738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1" w:type="pct"/>
            <w:vMerge w:val="restart"/>
            <w:vAlign w:val="center"/>
          </w:tcPr>
          <w:p w14:paraId="4B629BC8">
            <w:pPr>
              <w:pStyle w:val="143"/>
              <w:rPr>
                <w:snapToGrid w:val="0"/>
                <w:color w:val="000000" w:themeColor="text1"/>
                <w:kern w:val="0"/>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新鲜水</w:t>
            </w:r>
          </w:p>
        </w:tc>
        <w:tc>
          <w:tcPr>
            <w:tcW w:w="280" w:type="pct"/>
            <w:gridSpan w:val="2"/>
            <w:vAlign w:val="center"/>
          </w:tcPr>
          <w:p w14:paraId="4CDF4F7D">
            <w:pPr>
              <w:pStyle w:val="143"/>
              <w:rPr>
                <w:rFonts w:hint="eastAsia" w:eastAsia="宋体"/>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7</w:t>
            </w:r>
          </w:p>
        </w:tc>
        <w:tc>
          <w:tcPr>
            <w:tcW w:w="1638" w:type="pct"/>
            <w:vAlign w:val="center"/>
          </w:tcPr>
          <w:p w14:paraId="61ECE907">
            <w:pPr>
              <w:pStyle w:val="143"/>
              <w:rPr>
                <w:rFonts w:hint="default" w:eastAsia="宋体"/>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生活用水</w:t>
            </w:r>
          </w:p>
        </w:tc>
        <w:tc>
          <w:tcPr>
            <w:tcW w:w="816" w:type="pct"/>
            <w:vAlign w:val="center"/>
          </w:tcPr>
          <w:p w14:paraId="02C7E779">
            <w:pPr>
              <w:pStyle w:val="143"/>
              <w:rPr>
                <w:rFonts w:hint="default"/>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2640</w:t>
            </w:r>
          </w:p>
        </w:tc>
        <w:tc>
          <w:tcPr>
            <w:tcW w:w="784" w:type="pct"/>
            <w:vAlign w:val="center"/>
          </w:tcPr>
          <w:p w14:paraId="1A068DBE">
            <w:pPr>
              <w:pStyle w:val="143"/>
              <w:rPr>
                <w:rFonts w:hint="default"/>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2112</w:t>
            </w:r>
          </w:p>
        </w:tc>
        <w:tc>
          <w:tcPr>
            <w:tcW w:w="949" w:type="pct"/>
            <w:vMerge w:val="continue"/>
            <w:vAlign w:val="center"/>
          </w:tcPr>
          <w:p w14:paraId="0BBC9578">
            <w:pPr>
              <w:pStyle w:val="143"/>
              <w:rPr>
                <w:snapToGrid w:val="0"/>
                <w:color w:val="000000" w:themeColor="text1"/>
                <w:kern w:val="0"/>
                <w:sz w:val="21"/>
                <w:szCs w:val="21"/>
                <w:lang w:val="en-US"/>
                <w14:textFill>
                  <w14:solidFill>
                    <w14:schemeClr w14:val="tx1"/>
                  </w14:solidFill>
                </w14:textFill>
              </w:rPr>
            </w:pPr>
          </w:p>
        </w:tc>
      </w:tr>
      <w:tr w14:paraId="2921FF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1" w:type="pct"/>
            <w:vMerge w:val="continue"/>
            <w:vAlign w:val="center"/>
          </w:tcPr>
          <w:p w14:paraId="040283EE">
            <w:pPr>
              <w:pStyle w:val="143"/>
              <w:rPr>
                <w:rFonts w:hint="eastAsia"/>
                <w:snapToGrid w:val="0"/>
                <w:color w:val="000000" w:themeColor="text1"/>
                <w:kern w:val="0"/>
                <w:sz w:val="21"/>
                <w:szCs w:val="21"/>
                <w:lang w:val="en-US" w:eastAsia="zh-CN"/>
                <w14:textFill>
                  <w14:solidFill>
                    <w14:schemeClr w14:val="tx1"/>
                  </w14:solidFill>
                </w14:textFill>
              </w:rPr>
            </w:pPr>
          </w:p>
        </w:tc>
        <w:tc>
          <w:tcPr>
            <w:tcW w:w="280" w:type="pct"/>
            <w:gridSpan w:val="2"/>
            <w:vAlign w:val="center"/>
          </w:tcPr>
          <w:p w14:paraId="6981A39C">
            <w:pPr>
              <w:pStyle w:val="143"/>
              <w:rPr>
                <w:rFonts w:hint="default"/>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8</w:t>
            </w:r>
          </w:p>
        </w:tc>
        <w:tc>
          <w:tcPr>
            <w:tcW w:w="1638" w:type="pct"/>
            <w:vAlign w:val="center"/>
          </w:tcPr>
          <w:p w14:paraId="50DC0EDC">
            <w:pPr>
              <w:pStyle w:val="143"/>
              <w:rPr>
                <w:rFonts w:hint="default" w:eastAsia="宋体"/>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食堂用水</w:t>
            </w:r>
          </w:p>
        </w:tc>
        <w:tc>
          <w:tcPr>
            <w:tcW w:w="816" w:type="pct"/>
            <w:vAlign w:val="center"/>
          </w:tcPr>
          <w:p w14:paraId="20C6E4EF">
            <w:pPr>
              <w:pStyle w:val="143"/>
              <w:rPr>
                <w:rFonts w:hint="default"/>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2227.5</w:t>
            </w:r>
          </w:p>
        </w:tc>
        <w:tc>
          <w:tcPr>
            <w:tcW w:w="784" w:type="pct"/>
            <w:vAlign w:val="center"/>
          </w:tcPr>
          <w:p w14:paraId="21B076DF">
            <w:pPr>
              <w:pStyle w:val="143"/>
              <w:rPr>
                <w:rFonts w:hint="default"/>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1782</w:t>
            </w:r>
          </w:p>
        </w:tc>
        <w:tc>
          <w:tcPr>
            <w:tcW w:w="949" w:type="pct"/>
            <w:vMerge w:val="continue"/>
            <w:vAlign w:val="center"/>
          </w:tcPr>
          <w:p w14:paraId="4AFB587E">
            <w:pPr>
              <w:pStyle w:val="143"/>
              <w:rPr>
                <w:snapToGrid w:val="0"/>
                <w:color w:val="000000" w:themeColor="text1"/>
                <w:kern w:val="0"/>
                <w:sz w:val="21"/>
                <w:szCs w:val="21"/>
                <w:lang w:val="en-US"/>
                <w14:textFill>
                  <w14:solidFill>
                    <w14:schemeClr w14:val="tx1"/>
                  </w14:solidFill>
                </w14:textFill>
              </w:rPr>
            </w:pPr>
          </w:p>
        </w:tc>
      </w:tr>
      <w:tr w14:paraId="073994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31" w:type="pct"/>
            <w:vMerge w:val="continue"/>
            <w:vAlign w:val="center"/>
          </w:tcPr>
          <w:p w14:paraId="0ED869CF">
            <w:pPr>
              <w:pStyle w:val="143"/>
              <w:rPr>
                <w:snapToGrid w:val="0"/>
                <w:color w:val="000000" w:themeColor="text1"/>
                <w:kern w:val="0"/>
                <w:sz w:val="21"/>
                <w:szCs w:val="21"/>
                <w:lang w:val="en-US"/>
                <w14:textFill>
                  <w14:solidFill>
                    <w14:schemeClr w14:val="tx1"/>
                  </w14:solidFill>
                </w14:textFill>
              </w:rPr>
            </w:pPr>
          </w:p>
        </w:tc>
        <w:tc>
          <w:tcPr>
            <w:tcW w:w="278" w:type="pct"/>
            <w:vAlign w:val="center"/>
          </w:tcPr>
          <w:p w14:paraId="2E42A6DE">
            <w:pPr>
              <w:pStyle w:val="143"/>
              <w:rPr>
                <w:rFonts w:hint="eastAsia" w:eastAsia="宋体"/>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9</w:t>
            </w:r>
          </w:p>
        </w:tc>
        <w:tc>
          <w:tcPr>
            <w:tcW w:w="1640" w:type="pct"/>
            <w:gridSpan w:val="2"/>
            <w:vAlign w:val="center"/>
          </w:tcPr>
          <w:p w14:paraId="5AFADB47">
            <w:pPr>
              <w:pStyle w:val="143"/>
              <w:rPr>
                <w:rFonts w:hint="eastAsia" w:eastAsia="宋体"/>
                <w:snapToGrid w:val="0"/>
                <w:color w:val="000000" w:themeColor="text1"/>
                <w:kern w:val="0"/>
                <w:sz w:val="21"/>
                <w:szCs w:val="21"/>
                <w:lang w:val="en-US" w:eastAsia="zh-CN"/>
                <w14:textFill>
                  <w14:solidFill>
                    <w14:schemeClr w14:val="tx1"/>
                  </w14:solidFill>
                </w14:textFill>
              </w:rPr>
            </w:pPr>
            <w:r>
              <w:rPr>
                <w:snapToGrid w:val="0"/>
                <w:color w:val="000000" w:themeColor="text1"/>
                <w:kern w:val="0"/>
                <w:sz w:val="21"/>
                <w:szCs w:val="21"/>
                <w:lang w:val="en-US"/>
                <w14:textFill>
                  <w14:solidFill>
                    <w14:schemeClr w14:val="tx1"/>
                  </w14:solidFill>
                </w14:textFill>
              </w:rPr>
              <w:t>锅炉</w:t>
            </w:r>
            <w:r>
              <w:rPr>
                <w:rFonts w:hint="eastAsia"/>
                <w:snapToGrid w:val="0"/>
                <w:color w:val="000000" w:themeColor="text1"/>
                <w:kern w:val="0"/>
                <w:sz w:val="21"/>
                <w:szCs w:val="21"/>
                <w:lang w:val="en-US" w:eastAsia="zh-CN"/>
                <w14:textFill>
                  <w14:solidFill>
                    <w14:schemeClr w14:val="tx1"/>
                  </w14:solidFill>
                </w14:textFill>
              </w:rPr>
              <w:t>用水</w:t>
            </w:r>
          </w:p>
        </w:tc>
        <w:tc>
          <w:tcPr>
            <w:tcW w:w="816" w:type="pct"/>
            <w:vAlign w:val="center"/>
          </w:tcPr>
          <w:p w14:paraId="726AD7F7">
            <w:pPr>
              <w:pStyle w:val="143"/>
              <w:rPr>
                <w:snapToGrid w:val="0"/>
                <w:color w:val="000000" w:themeColor="text1"/>
                <w:kern w:val="0"/>
                <w:sz w:val="21"/>
                <w:szCs w:val="2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14780.59</w:t>
            </w:r>
          </w:p>
        </w:tc>
        <w:tc>
          <w:tcPr>
            <w:tcW w:w="784" w:type="pct"/>
            <w:vAlign w:val="center"/>
          </w:tcPr>
          <w:p w14:paraId="34EE9935">
            <w:pPr>
              <w:pStyle w:val="143"/>
              <w:rPr>
                <w:snapToGrid w:val="0"/>
                <w:color w:val="000000" w:themeColor="text1"/>
                <w:kern w:val="0"/>
                <w:sz w:val="21"/>
                <w:szCs w:val="21"/>
                <w:lang w:val="en-US" w:eastAsia="zh-CN"/>
                <w14:textFill>
                  <w14:solidFill>
                    <w14:schemeClr w14:val="tx1"/>
                  </w14:solidFill>
                </w14:textFill>
              </w:rPr>
            </w:pPr>
            <w:r>
              <w:rPr>
                <w:rFonts w:hint="eastAsia" w:cs="Times New Roman"/>
                <w:snapToGrid w:val="0"/>
                <w:color w:val="000000" w:themeColor="text1"/>
                <w:sz w:val="21"/>
                <w:szCs w:val="21"/>
                <w:highlight w:val="none"/>
                <w:lang w:val="en-US" w:eastAsia="zh-CN"/>
                <w14:textFill>
                  <w14:solidFill>
                    <w14:schemeClr w14:val="tx1"/>
                  </w14:solidFill>
                </w14:textFill>
              </w:rPr>
              <w:t>10460.59</w:t>
            </w:r>
          </w:p>
        </w:tc>
        <w:tc>
          <w:tcPr>
            <w:tcW w:w="949" w:type="pct"/>
            <w:vMerge w:val="continue"/>
            <w:vAlign w:val="center"/>
          </w:tcPr>
          <w:p w14:paraId="5DDD5030">
            <w:pPr>
              <w:pStyle w:val="143"/>
              <w:rPr>
                <w:snapToGrid w:val="0"/>
                <w:color w:val="000000" w:themeColor="text1"/>
                <w:kern w:val="0"/>
                <w:sz w:val="21"/>
                <w:szCs w:val="21"/>
                <w:lang w:val="en-US"/>
                <w14:textFill>
                  <w14:solidFill>
                    <w14:schemeClr w14:val="tx1"/>
                  </w14:solidFill>
                </w14:textFill>
              </w:rPr>
            </w:pPr>
          </w:p>
        </w:tc>
      </w:tr>
      <w:tr w14:paraId="625E6E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449" w:type="pct"/>
            <w:gridSpan w:val="4"/>
            <w:vAlign w:val="center"/>
          </w:tcPr>
          <w:p w14:paraId="2645D073">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合计</w:t>
            </w:r>
          </w:p>
        </w:tc>
        <w:tc>
          <w:tcPr>
            <w:tcW w:w="816" w:type="pct"/>
            <w:vAlign w:val="center"/>
          </w:tcPr>
          <w:p w14:paraId="06937DE9">
            <w:pPr>
              <w:pStyle w:val="143"/>
              <w:rPr>
                <w:rFonts w:hint="default"/>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108575.72</w:t>
            </w:r>
          </w:p>
        </w:tc>
        <w:tc>
          <w:tcPr>
            <w:tcW w:w="784" w:type="pct"/>
            <w:vAlign w:val="center"/>
          </w:tcPr>
          <w:p w14:paraId="6C70ACE2">
            <w:pPr>
              <w:pStyle w:val="143"/>
              <w:rPr>
                <w:rFonts w:hint="default"/>
                <w:snapToGrid w:val="0"/>
                <w:color w:val="000000" w:themeColor="text1"/>
                <w:kern w:val="0"/>
                <w:sz w:val="21"/>
                <w:szCs w:val="21"/>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37067.84</w:t>
            </w:r>
          </w:p>
        </w:tc>
        <w:tc>
          <w:tcPr>
            <w:tcW w:w="949" w:type="pct"/>
            <w:vAlign w:val="center"/>
          </w:tcPr>
          <w:p w14:paraId="4BB1FDB2">
            <w:pPr>
              <w:pStyle w:val="143"/>
              <w:rPr>
                <w:snapToGrid w:val="0"/>
                <w:color w:val="000000" w:themeColor="text1"/>
                <w:kern w:val="0"/>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w:t>
            </w:r>
          </w:p>
        </w:tc>
      </w:tr>
    </w:tbl>
    <w:p w14:paraId="105144EA">
      <w:pPr>
        <w:pStyle w:val="85"/>
        <w:rPr>
          <w:color w:val="000000" w:themeColor="text1"/>
          <w14:textFill>
            <w14:solidFill>
              <w14:schemeClr w14:val="tx1"/>
            </w14:solidFill>
          </w14:textFill>
        </w:rPr>
      </w:pPr>
      <w:r>
        <w:rPr>
          <w:color w:val="000000" w:themeColor="text1"/>
          <w14:textFill>
            <w14:solidFill>
              <w14:schemeClr w14:val="tx1"/>
            </w14:solidFill>
          </w14:textFill>
        </w:rPr>
        <w:t>本项目水平衡图</w:t>
      </w:r>
      <w:r>
        <w:rPr>
          <w:rFonts w:hint="eastAsia"/>
          <w:color w:val="000000" w:themeColor="text1"/>
          <w14:textFill>
            <w14:solidFill>
              <w14:schemeClr w14:val="tx1"/>
            </w14:solidFill>
          </w14:textFill>
        </w:rPr>
        <w:t>见</w:t>
      </w:r>
      <w:r>
        <w:rPr>
          <w:color w:val="000000" w:themeColor="text1"/>
          <w14:textFill>
            <w14:solidFill>
              <w14:schemeClr w14:val="tx1"/>
            </w14:solidFill>
          </w14:textFill>
        </w:rPr>
        <w:t>下图</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-3-1</w:t>
      </w:r>
      <w:r>
        <w:rPr>
          <w:rFonts w:hint="eastAsia"/>
          <w:color w:val="000000" w:themeColor="text1"/>
          <w14:textFill>
            <w14:solidFill>
              <w14:schemeClr w14:val="tx1"/>
            </w14:solidFill>
          </w14:textFill>
        </w:rPr>
        <w:t>。</w:t>
      </w:r>
    </w:p>
    <w:p w14:paraId="77C31353">
      <w:pPr>
        <w:pStyle w:val="143"/>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5247640" cy="5834380"/>
            <wp:effectExtent l="0" t="0" r="10160" b="13970"/>
            <wp:docPr id="8" name="图片 8" descr="水平衡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水平衡图"/>
                    <pic:cNvPicPr>
                      <a:picLocks noChangeAspect="1"/>
                    </pic:cNvPicPr>
                  </pic:nvPicPr>
                  <pic:blipFill>
                    <a:blip r:embed="rId35"/>
                    <a:stretch>
                      <a:fillRect/>
                    </a:stretch>
                  </pic:blipFill>
                  <pic:spPr>
                    <a:xfrm>
                      <a:off x="0" y="0"/>
                      <a:ext cx="5247640" cy="5834380"/>
                    </a:xfrm>
                    <a:prstGeom prst="rect">
                      <a:avLst/>
                    </a:prstGeom>
                  </pic:spPr>
                </pic:pic>
              </a:graphicData>
            </a:graphic>
          </wp:inline>
        </w:drawing>
      </w:r>
    </w:p>
    <w:p w14:paraId="0B07B988">
      <w:pPr>
        <w:pStyle w:val="206"/>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图3</w:t>
      </w:r>
      <w:r>
        <w:rPr>
          <w:color w:val="000000" w:themeColor="text1"/>
          <w:highlight w:val="none"/>
          <w14:textFill>
            <w14:solidFill>
              <w14:schemeClr w14:val="tx1"/>
            </w14:solidFill>
          </w14:textFill>
        </w:rPr>
        <w:t xml:space="preserve">-3-1 </w:t>
      </w:r>
      <w:r>
        <w:rPr>
          <w:rFonts w:hint="eastAsia"/>
          <w:color w:val="000000" w:themeColor="text1"/>
          <w:highlight w:val="none"/>
          <w14:textFill>
            <w14:solidFill>
              <w14:schemeClr w14:val="tx1"/>
            </w14:solidFill>
          </w14:textFill>
        </w:rPr>
        <w:t>本项目水平衡图 单位：</w:t>
      </w:r>
      <w:r>
        <w:rPr>
          <w:color w:val="000000" w:themeColor="text1"/>
          <w:highlight w:val="none"/>
          <w14:textFill>
            <w14:solidFill>
              <w14:schemeClr w14:val="tx1"/>
            </w14:solidFill>
          </w14:textFill>
        </w:rPr>
        <w:t>t/a</w:t>
      </w:r>
    </w:p>
    <w:bookmarkEnd w:id="108"/>
    <w:p w14:paraId="71538128">
      <w:pPr>
        <w:pStyle w:val="6"/>
        <w:rPr>
          <w:snapToGrid w:val="0"/>
          <w:color w:val="000000" w:themeColor="text1"/>
          <w14:textFill>
            <w14:solidFill>
              <w14:schemeClr w14:val="tx1"/>
            </w14:solidFill>
          </w14:textFill>
        </w:rPr>
      </w:pPr>
      <w:bookmarkStart w:id="112" w:name="_Toc112420358"/>
      <w:bookmarkStart w:id="113" w:name="_Toc182022288"/>
      <w:bookmarkStart w:id="114" w:name="_Toc118087007"/>
      <w:bookmarkStart w:id="115" w:name="_Toc113078929"/>
      <w:bookmarkStart w:id="116" w:name="_Toc11402"/>
      <w:r>
        <w:rPr>
          <w:snapToGrid w:val="0"/>
          <w:color w:val="000000" w:themeColor="text1"/>
          <w14:textFill>
            <w14:solidFill>
              <w14:schemeClr w14:val="tx1"/>
            </w14:solidFill>
          </w14:textFill>
        </w:rPr>
        <w:t>3.3.3</w:t>
      </w:r>
      <w:r>
        <w:rPr>
          <w:rFonts w:hint="eastAsia"/>
          <w:snapToGrid w:val="0"/>
          <w:color w:val="000000" w:themeColor="text1"/>
          <w14:textFill>
            <w14:solidFill>
              <w14:schemeClr w14:val="tx1"/>
            </w14:solidFill>
          </w14:textFill>
        </w:rPr>
        <w:t>供电工程</w:t>
      </w:r>
      <w:bookmarkEnd w:id="112"/>
      <w:bookmarkEnd w:id="113"/>
      <w:bookmarkEnd w:id="114"/>
      <w:bookmarkEnd w:id="115"/>
      <w:bookmarkEnd w:id="116"/>
    </w:p>
    <w:p w14:paraId="2B8EBF0A">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w:t>
      </w:r>
      <w:r>
        <w:rPr>
          <w:color w:val="000000" w:themeColor="text1"/>
          <w14:textFill>
            <w14:solidFill>
              <w14:schemeClr w14:val="tx1"/>
            </w14:solidFill>
          </w14:textFill>
        </w:rPr>
        <w:t>项目用电</w:t>
      </w:r>
      <w:r>
        <w:rPr>
          <w:rFonts w:hint="eastAsia"/>
          <w:color w:val="000000" w:themeColor="text1"/>
          <w14:textFill>
            <w14:solidFill>
              <w14:schemeClr w14:val="tx1"/>
            </w14:solidFill>
          </w14:textFill>
        </w:rPr>
        <w:t>依托</w:t>
      </w:r>
      <w:r>
        <w:rPr>
          <w:color w:val="000000" w:themeColor="text1"/>
          <w14:textFill>
            <w14:solidFill>
              <w14:schemeClr w14:val="tx1"/>
            </w14:solidFill>
          </w14:textFill>
        </w:rPr>
        <w:t>当地</w:t>
      </w:r>
      <w:r>
        <w:rPr>
          <w:rFonts w:hint="eastAsia"/>
          <w:color w:val="000000" w:themeColor="text1"/>
          <w14:textFill>
            <w14:solidFill>
              <w14:schemeClr w14:val="tx1"/>
            </w14:solidFill>
          </w14:textFill>
        </w:rPr>
        <w:t>市政供电</w:t>
      </w:r>
      <w:r>
        <w:rPr>
          <w:color w:val="000000" w:themeColor="text1"/>
          <w14:textFill>
            <w14:solidFill>
              <w14:schemeClr w14:val="tx1"/>
            </w14:solidFill>
          </w14:textFill>
        </w:rPr>
        <w:t>。</w:t>
      </w:r>
    </w:p>
    <w:p w14:paraId="1E439E81">
      <w:pPr>
        <w:pStyle w:val="6"/>
        <w:rPr>
          <w:snapToGrid w:val="0"/>
          <w:color w:val="000000" w:themeColor="text1"/>
          <w14:textFill>
            <w14:solidFill>
              <w14:schemeClr w14:val="tx1"/>
            </w14:solidFill>
          </w14:textFill>
        </w:rPr>
      </w:pPr>
      <w:bookmarkStart w:id="117" w:name="_Toc30491"/>
      <w:r>
        <w:rPr>
          <w:snapToGrid w:val="0"/>
          <w:color w:val="000000" w:themeColor="text1"/>
          <w14:textFill>
            <w14:solidFill>
              <w14:schemeClr w14:val="tx1"/>
            </w14:solidFill>
          </w14:textFill>
        </w:rPr>
        <w:t>3.3.4</w:t>
      </w:r>
      <w:r>
        <w:rPr>
          <w:rFonts w:hint="eastAsia"/>
          <w:snapToGrid w:val="0"/>
          <w:color w:val="000000" w:themeColor="text1"/>
          <w14:textFill>
            <w14:solidFill>
              <w14:schemeClr w14:val="tx1"/>
            </w14:solidFill>
          </w14:textFill>
        </w:rPr>
        <w:t>供热工程</w:t>
      </w:r>
      <w:bookmarkEnd w:id="117"/>
    </w:p>
    <w:p w14:paraId="2324735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根据园区规划环评，本项目生活取暖采取园区集中供热方式；</w:t>
      </w:r>
      <w:bookmarkStart w:id="118" w:name="_Hlk205216207"/>
      <w:r>
        <w:rPr>
          <w:rFonts w:hint="eastAsia"/>
          <w:color w:val="000000" w:themeColor="text1"/>
          <w14:textFill>
            <w14:solidFill>
              <w14:schemeClr w14:val="tx1"/>
            </w14:solidFill>
          </w14:textFill>
        </w:rPr>
        <w:t>生产用热由新建的3台</w:t>
      </w:r>
      <w:r>
        <w:rPr>
          <w:rFonts w:hint="eastAsia"/>
          <w:color w:val="000000" w:themeColor="text1"/>
          <w:lang w:val="en-US" w:eastAsia="zh-CN"/>
          <w14:textFill>
            <w14:solidFill>
              <w14:schemeClr w14:val="tx1"/>
            </w14:solidFill>
          </w14:textFill>
        </w:rPr>
        <w:t>4</w:t>
      </w:r>
      <w:r>
        <w:rPr>
          <w:rFonts w:hint="eastAsia"/>
          <w:color w:val="000000" w:themeColor="text1"/>
          <w14:textFill>
            <w14:solidFill>
              <w14:schemeClr w14:val="tx1"/>
            </w14:solidFill>
          </w14:textFill>
        </w:rPr>
        <w:t>t/h</w:t>
      </w:r>
      <w:r>
        <w:rPr>
          <w:rFonts w:hint="eastAsia"/>
          <w:color w:val="000000" w:themeColor="text1"/>
          <w:lang w:eastAsia="zh-CN"/>
          <w14:textFill>
            <w14:solidFill>
              <w14:schemeClr w14:val="tx1"/>
            </w14:solidFill>
          </w14:textFill>
        </w:rPr>
        <w:t>燃气</w:t>
      </w:r>
      <w:r>
        <w:rPr>
          <w:rFonts w:hint="eastAsia"/>
          <w:color w:val="000000" w:themeColor="text1"/>
          <w:lang w:val="en-US" w:eastAsia="zh-CN"/>
          <w14:textFill>
            <w14:solidFill>
              <w14:schemeClr w14:val="tx1"/>
            </w14:solidFill>
          </w14:textFill>
        </w:rPr>
        <w:t>蒸汽</w:t>
      </w:r>
      <w:r>
        <w:rPr>
          <w:rFonts w:hint="eastAsia"/>
          <w:color w:val="000000" w:themeColor="text1"/>
          <w14:textFill>
            <w14:solidFill>
              <w14:schemeClr w14:val="tx1"/>
            </w14:solidFill>
          </w14:textFill>
        </w:rPr>
        <w:t>锅炉提供</w:t>
      </w:r>
      <w:r>
        <w:rPr>
          <w:color w:val="000000" w:themeColor="text1"/>
          <w14:textFill>
            <w14:solidFill>
              <w14:schemeClr w14:val="tx1"/>
            </w14:solidFill>
          </w14:textFill>
        </w:rPr>
        <w:t>。</w:t>
      </w:r>
      <w:bookmarkEnd w:id="118"/>
    </w:p>
    <w:p w14:paraId="25195A8A">
      <w:pPr>
        <w:pStyle w:val="5"/>
        <w:rPr>
          <w:snapToGrid w:val="0"/>
          <w:color w:val="000000" w:themeColor="text1"/>
          <w14:textFill>
            <w14:solidFill>
              <w14:schemeClr w14:val="tx1"/>
            </w14:solidFill>
          </w14:textFill>
        </w:rPr>
      </w:pPr>
      <w:bookmarkStart w:id="119" w:name="_Toc7663"/>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.4</w:t>
      </w:r>
      <w:r>
        <w:rPr>
          <w:rFonts w:hint="eastAsia"/>
          <w:snapToGrid w:val="0"/>
          <w:color w:val="000000" w:themeColor="text1"/>
          <w14:textFill>
            <w14:solidFill>
              <w14:schemeClr w14:val="tx1"/>
            </w14:solidFill>
          </w14:textFill>
        </w:rPr>
        <w:t>生产工艺流程简介</w:t>
      </w:r>
      <w:bookmarkEnd w:id="119"/>
    </w:p>
    <w:p w14:paraId="04099CC8">
      <w:pPr>
        <w:pStyle w:val="6"/>
        <w:rPr>
          <w:color w:val="000000" w:themeColor="text1"/>
          <w14:textFill>
            <w14:solidFill>
              <w14:schemeClr w14:val="tx1"/>
            </w14:solidFill>
          </w14:textFill>
        </w:rPr>
      </w:pPr>
      <w:bookmarkStart w:id="120" w:name="_Toc5769"/>
      <w:r>
        <w:rPr>
          <w:rFonts w:hint="eastAsia"/>
          <w:color w:val="000000" w:themeColor="text1"/>
          <w14:textFill>
            <w14:solidFill>
              <w14:schemeClr w14:val="tx1"/>
            </w14:solidFill>
          </w14:textFill>
        </w:rPr>
        <w:t>3</w:t>
      </w:r>
      <w:r>
        <w:rPr>
          <w:color w:val="000000" w:themeColor="text1"/>
          <w14:textFill>
            <w14:solidFill>
              <w14:schemeClr w14:val="tx1"/>
            </w14:solidFill>
          </w14:textFill>
        </w:rPr>
        <w:t>.4.1</w:t>
      </w:r>
      <w:r>
        <w:rPr>
          <w:rFonts w:hint="eastAsia"/>
          <w:color w:val="000000" w:themeColor="text1"/>
          <w14:textFill>
            <w14:solidFill>
              <w14:schemeClr w14:val="tx1"/>
            </w14:solidFill>
          </w14:textFill>
        </w:rPr>
        <w:t>施工期生产工艺流程简介</w:t>
      </w:r>
      <w:bookmarkEnd w:id="120"/>
    </w:p>
    <w:p w14:paraId="791967C4">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项目施工期共分为四个阶段，分别为准备阶段、基础阶段、主体结构施工、建筑装修四个阶段。准备阶段主要对场地进行平整；地基基础主要为地基开挖和浇注；主体结构主要包括结构浇注、墙体砌筑、水、电、气管道等配套设施安装等；装修主要对办公及辅助用房室内外墙面处理和室内地表处理等。施工期污染源随着施工阶段的不同而略有差异，污染物的排放呈阶段排放特征，项目施工期工艺流程产污节点图见图3-</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-1。</w:t>
      </w:r>
    </w:p>
    <w:p w14:paraId="3F5B0901">
      <w:pPr>
        <w:pStyle w:val="206"/>
        <w:rPr>
          <w:color w:val="000000" w:themeColor="text1"/>
          <w14:textFill>
            <w14:solidFill>
              <w14:schemeClr w14:val="tx1"/>
            </w14:solidFill>
          </w14:textFill>
        </w:rPr>
      </w:pPr>
      <w:r>
        <w:rPr>
          <w:color w:val="000000" w:themeColor="text1"/>
          <w14:textFill>
            <w14:solidFill>
              <w14:schemeClr w14:val="tx1"/>
            </w14:solidFill>
          </w14:textFill>
        </w:rPr>
        <w:object>
          <v:shape id="_x0000_i1025" o:spt="75" type="#_x0000_t75" style="height:111.5pt;width:353.5pt;" o:ole="t" filled="f" o:preferrelative="t" stroked="f" coordsize="21600,21600">
            <v:path/>
            <v:fill on="f" focussize="0,0"/>
            <v:stroke on="f" joinstyle="miter"/>
            <v:imagedata r:id="rId37" o:title=""/>
            <o:lock v:ext="edit" aspectratio="f"/>
            <w10:wrap type="none"/>
            <w10:anchorlock/>
          </v:shape>
          <o:OLEObject Type="Embed" ProgID="Visio.Drawing.11" ShapeID="_x0000_i1025" DrawAspect="Content" ObjectID="_1468075725" r:id="rId36">
            <o:LockedField>false</o:LockedField>
          </o:OLEObject>
        </w:object>
      </w:r>
    </w:p>
    <w:p w14:paraId="2D18DFAE">
      <w:pPr>
        <w:pStyle w:val="206"/>
        <w:rPr>
          <w:color w:val="000000" w:themeColor="text1"/>
          <w14:textFill>
            <w14:solidFill>
              <w14:schemeClr w14:val="tx1"/>
            </w14:solidFill>
          </w14:textFill>
        </w:rPr>
      </w:pPr>
      <w:r>
        <w:rPr>
          <w:color w:val="000000" w:themeColor="text1"/>
          <w14:textFill>
            <w14:solidFill>
              <w14:schemeClr w14:val="tx1"/>
            </w14:solidFill>
          </w14:textFill>
        </w:rPr>
        <w:t>图3-4-1  施工期工艺流程及产污环节示意图</w:t>
      </w:r>
    </w:p>
    <w:p w14:paraId="6754452B">
      <w:pPr>
        <w:pStyle w:val="6"/>
        <w:rPr>
          <w:snapToGrid w:val="0"/>
          <w:color w:val="000000" w:themeColor="text1"/>
          <w:highlight w:val="none"/>
          <w14:textFill>
            <w14:solidFill>
              <w14:schemeClr w14:val="tx1"/>
            </w14:solidFill>
          </w14:textFill>
        </w:rPr>
      </w:pPr>
      <w:bookmarkStart w:id="121" w:name="_Toc9065"/>
      <w:r>
        <w:rPr>
          <w:rFonts w:hint="eastAsia"/>
          <w:snapToGrid w:val="0"/>
          <w:color w:val="000000" w:themeColor="text1"/>
          <w:highlight w:val="none"/>
          <w14:textFill>
            <w14:solidFill>
              <w14:schemeClr w14:val="tx1"/>
            </w14:solidFill>
          </w14:textFill>
        </w:rPr>
        <w:t>3</w:t>
      </w:r>
      <w:r>
        <w:rPr>
          <w:snapToGrid w:val="0"/>
          <w:color w:val="000000" w:themeColor="text1"/>
          <w:highlight w:val="none"/>
          <w14:textFill>
            <w14:solidFill>
              <w14:schemeClr w14:val="tx1"/>
            </w14:solidFill>
          </w14:textFill>
        </w:rPr>
        <w:t>.4.2</w:t>
      </w:r>
      <w:r>
        <w:rPr>
          <w:rFonts w:hint="eastAsia"/>
          <w:snapToGrid w:val="0"/>
          <w:color w:val="000000" w:themeColor="text1"/>
          <w:highlight w:val="none"/>
          <w14:textFill>
            <w14:solidFill>
              <w14:schemeClr w14:val="tx1"/>
            </w14:solidFill>
          </w14:textFill>
        </w:rPr>
        <w:t>运营期生产工艺流程简介</w:t>
      </w:r>
      <w:bookmarkEnd w:id="121"/>
    </w:p>
    <w:p w14:paraId="0BA1BCD8">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.4.2.1</w:t>
      </w:r>
      <w:r>
        <w:rPr>
          <w:rFonts w:hint="eastAsia"/>
          <w:snapToGrid w:val="0"/>
          <w:color w:val="000000" w:themeColor="text1"/>
          <w:lang w:eastAsia="zh-CN"/>
          <w14:textFill>
            <w14:solidFill>
              <w14:schemeClr w14:val="tx1"/>
            </w14:solidFill>
          </w14:textFill>
        </w:rPr>
        <w:t>运营期</w:t>
      </w:r>
      <w:r>
        <w:rPr>
          <w:rFonts w:hint="eastAsia"/>
          <w:snapToGrid w:val="0"/>
          <w:color w:val="000000" w:themeColor="text1"/>
          <w14:textFill>
            <w14:solidFill>
              <w14:schemeClr w14:val="tx1"/>
            </w14:solidFill>
          </w14:textFill>
        </w:rPr>
        <w:t>主要工艺流程</w:t>
      </w:r>
    </w:p>
    <w:p w14:paraId="226F0041">
      <w:pPr>
        <w:pStyle w:val="85"/>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14:textFill>
            <w14:solidFill>
              <w14:schemeClr w14:val="tx1"/>
            </w14:solidFill>
          </w14:textFill>
        </w:rPr>
        <w:t>根据《</w:t>
      </w:r>
      <w:r>
        <w:rPr>
          <w:rFonts w:hint="eastAsia"/>
          <w:snapToGrid w:val="0"/>
          <w:color w:val="000000" w:themeColor="text1"/>
          <w:lang w:eastAsia="zh-CN"/>
          <w14:textFill>
            <w14:solidFill>
              <w14:schemeClr w14:val="tx1"/>
            </w14:solidFill>
          </w14:textFill>
        </w:rPr>
        <w:t>年产30000吨紫苏精酿啤酒生产线建设项目</w:t>
      </w:r>
      <w:r>
        <w:rPr>
          <w:rFonts w:hint="eastAsia"/>
          <w:snapToGrid w:val="0"/>
          <w:color w:val="000000" w:themeColor="text1"/>
          <w14:textFill>
            <w14:solidFill>
              <w14:schemeClr w14:val="tx1"/>
            </w14:solidFill>
          </w14:textFill>
        </w:rPr>
        <w:t>可行性研究报告》，本项目啤酒生产的主要原料为麦芽、酒花、</w:t>
      </w:r>
      <w:r>
        <w:rPr>
          <w:rFonts w:hint="eastAsia"/>
          <w:snapToGrid w:val="0"/>
          <w:color w:val="000000" w:themeColor="text1"/>
          <w:lang w:val="en-US" w:eastAsia="zh-CN"/>
          <w14:textFill>
            <w14:solidFill>
              <w14:schemeClr w14:val="tx1"/>
            </w14:solidFill>
          </w14:textFill>
        </w:rPr>
        <w:t>大米、紫苏、</w:t>
      </w:r>
      <w:r>
        <w:rPr>
          <w:rFonts w:hint="eastAsia"/>
          <w:snapToGrid w:val="0"/>
          <w:color w:val="000000" w:themeColor="text1"/>
          <w14:textFill>
            <w14:solidFill>
              <w14:schemeClr w14:val="tx1"/>
            </w14:solidFill>
          </w14:textFill>
        </w:rPr>
        <w:t>水和C</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等，生产工艺主要涉及粉碎、糖化、发酵、灌装等工序，本项目各类麦芽原料均为外购，厂内不涉及浸麦、发芽、干燥、除根等麦芽生产工序</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麦芽外购品质高无需进行初清等工序。</w:t>
      </w:r>
    </w:p>
    <w:p w14:paraId="084F0C8C">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（1）原料粉碎工序</w:t>
      </w:r>
    </w:p>
    <w:p w14:paraId="55BB86B2">
      <w:pPr>
        <w:pStyle w:val="85"/>
        <w:rPr>
          <w:rFonts w:hint="eastAsia"/>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将各类麦芽过秤加水浸湿后经投料坑、封闭提升机进入粉碎机进行粉碎，粉碎要求麦瓤粉碎，保持麦皮完整。</w:t>
      </w:r>
    </w:p>
    <w:p w14:paraId="1FCF9798">
      <w:pPr>
        <w:pStyle w:val="85"/>
        <w:numPr>
          <w:ilvl w:val="0"/>
          <w:numId w:val="0"/>
        </w:numPr>
        <w:ind w:leftChars="20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（2）糊化工序</w:t>
      </w:r>
    </w:p>
    <w:p w14:paraId="26857908">
      <w:pPr>
        <w:pStyle w:val="85"/>
        <w:numPr>
          <w:ilvl w:val="0"/>
          <w:numId w:val="0"/>
        </w:numPr>
        <w:ind w:firstLine="480" w:firstLineChars="200"/>
        <w:rPr>
          <w:rFonts w:hint="eastAsia"/>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原料大米汽车运至厂内，经机械输送至原料筒仓储存。筒仓内大米机械输送经除铁、去石后送到计量仓，然后经湿粉碎机粉碎送到糊化锅。大米浆由湿粉碎机输送至糊化锅，温度控制在55℃，最后升温至100℃，送至糖化锅。</w:t>
      </w:r>
    </w:p>
    <w:p w14:paraId="4ADD0503">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3</w:t>
      </w:r>
      <w:r>
        <w:rPr>
          <w:rFonts w:hint="eastAsia"/>
          <w:snapToGrid w:val="0"/>
          <w:color w:val="000000" w:themeColor="text1"/>
          <w14:textFill>
            <w14:solidFill>
              <w14:schemeClr w14:val="tx1"/>
            </w14:solidFill>
          </w14:textFill>
        </w:rPr>
        <w:t>）糖化工序</w:t>
      </w:r>
    </w:p>
    <w:p w14:paraId="7F2B0D30">
      <w:pPr>
        <w:pStyle w:val="85"/>
        <w:rPr>
          <w:rFonts w:hint="eastAsia"/>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原料麦芽经汽车运至厂内，经机械输送至原料筒仓储存。筒仓内的麦芽机械输送经过除铁、清选后到计量仓，然后经湿式粉碎机粉碎后送到糖化锅。麦芽浆由湿粉碎机输送至糖化锅，温度控制在35℃，保温一定的时间，按糖化曲线分别升温至50℃、64℃、68℃、78℃。</w:t>
      </w:r>
    </w:p>
    <w:p w14:paraId="7DF331D1">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4</w:t>
      </w:r>
      <w:r>
        <w:rPr>
          <w:rFonts w:hint="eastAsia"/>
          <w:snapToGrid w:val="0"/>
          <w:color w:val="000000" w:themeColor="text1"/>
          <w14:textFill>
            <w14:solidFill>
              <w14:schemeClr w14:val="tx1"/>
            </w14:solidFill>
          </w14:textFill>
        </w:rPr>
        <w:t>）麦汁过滤</w:t>
      </w:r>
    </w:p>
    <w:p w14:paraId="75CB19E1">
      <w:pPr>
        <w:pStyle w:val="85"/>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糖化完成后，将糖化醪泵入过滤槽进行麦汁过滤，过滤开始时，麦汁由泵循环，直至清彻透明，然后泵入麦汁暂存罐。头号麦汁过滤完成后，进行喷淋洗糟，残糖水糖度控制在≤0.8°P~1.2°P，麦糟进入麦糟暂存仓后输送至室外麦糟罐贮存。</w:t>
      </w:r>
    </w:p>
    <w:p w14:paraId="0BACCFCB">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5</w:t>
      </w:r>
      <w:r>
        <w:rPr>
          <w:rFonts w:hint="eastAsia"/>
          <w:snapToGrid w:val="0"/>
          <w:color w:val="000000" w:themeColor="text1"/>
          <w14:textFill>
            <w14:solidFill>
              <w14:schemeClr w14:val="tx1"/>
            </w14:solidFill>
          </w14:textFill>
        </w:rPr>
        <w:t>）煮沸</w:t>
      </w:r>
    </w:p>
    <w:p w14:paraId="5F64997A">
      <w:pPr>
        <w:pStyle w:val="85"/>
        <w:rPr>
          <w:rFonts w:hint="eastAsia"/>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麦汁由麦汁暂存罐送入煮沸锅内进行煮沸，全程在密闭设备内完成，煮沸过程分2-3次添加酒花，煮沸强度控制在5%/h。煮沸结束后，将麦汁泵入旋涡沉淀槽进行热凝固物分离。</w:t>
      </w:r>
    </w:p>
    <w:p w14:paraId="4B1B6F5C">
      <w:pPr>
        <w:pStyle w:val="85"/>
        <w:numPr>
          <w:ilvl w:val="0"/>
          <w:numId w:val="9"/>
        </w:numPr>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热能回收</w:t>
      </w:r>
    </w:p>
    <w:p w14:paraId="6C81549D">
      <w:pPr>
        <w:pStyle w:val="85"/>
        <w:numPr>
          <w:ilvl w:val="0"/>
          <w:numId w:val="0"/>
        </w:numPr>
        <w:ind w:firstLine="480" w:firstLineChars="200"/>
        <w:rPr>
          <w:rFonts w:hint="eastAsia"/>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糖化工段设有热能回收装置，煮沸产生的二次蒸汽将78℃的水加热到96℃以上，贮存在热能回收罐中，热能回收的水用蒸汽加热到102℃，用于热煮沸前的麦汁，麦汁温度从72℃升至98℃进入煮沸锅，热能回收水从102℃降到78℃后回到热能贮罐。采用此法可减少麦汁升温加热时间，提高麦汁质量，同时节约能源，降低生产成本。</w:t>
      </w:r>
    </w:p>
    <w:p w14:paraId="494EB5BA">
      <w:pPr>
        <w:pStyle w:val="85"/>
        <w:numPr>
          <w:ilvl w:val="0"/>
          <w:numId w:val="9"/>
        </w:numPr>
        <w:ind w:left="0" w:leftChars="0" w:firstLine="480" w:firstLineChars="20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旋沉及麦汁冷却</w:t>
      </w:r>
    </w:p>
    <w:p w14:paraId="17F3CBED">
      <w:pPr>
        <w:pStyle w:val="85"/>
        <w:numPr>
          <w:ilvl w:val="0"/>
          <w:numId w:val="0"/>
        </w:numPr>
        <w:ind w:firstLine="480" w:firstLineChars="200"/>
        <w:rPr>
          <w:rFonts w:hint="eastAsia"/>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进入旋涡沉淀槽的热麦汁经过30分钟的沉淀后，送入板式冷却器进行冷却。热凝固物送入暂存罐中，待下批麦汁过滤时再将热凝固物泵入过滤槽中回收麦汁。</w:t>
      </w:r>
    </w:p>
    <w:p w14:paraId="03069847">
      <w:pPr>
        <w:pStyle w:val="85"/>
        <w:numPr>
          <w:ilvl w:val="0"/>
          <w:numId w:val="9"/>
        </w:numPr>
        <w:ind w:left="0" w:leftChars="0" w:firstLine="480" w:firstLineChars="200"/>
        <w:rPr>
          <w:rFonts w:hint="eastAsia" w:eastAsia="宋体"/>
          <w:snapToGrid w:val="0"/>
          <w:color w:val="000000" w:themeColor="text1"/>
          <w:lang w:val="en-US" w:eastAsia="zh-CN"/>
          <w14:textFill>
            <w14:solidFill>
              <w14:schemeClr w14:val="tx1"/>
            </w14:solidFill>
          </w14:textFill>
        </w:rPr>
      </w:pPr>
      <w:r>
        <w:rPr>
          <w:rFonts w:hint="eastAsia" w:eastAsia="宋体"/>
          <w:snapToGrid w:val="0"/>
          <w:color w:val="000000" w:themeColor="text1"/>
          <w:lang w:val="en-US" w:eastAsia="zh-CN"/>
          <w14:textFill>
            <w14:solidFill>
              <w14:schemeClr w14:val="tx1"/>
            </w14:solidFill>
          </w14:textFill>
        </w:rPr>
        <w:t>麦汁冷却</w:t>
      </w:r>
    </w:p>
    <w:p w14:paraId="7B374D59">
      <w:pPr>
        <w:pStyle w:val="85"/>
        <w:numPr>
          <w:ilvl w:val="0"/>
          <w:numId w:val="0"/>
        </w:numPr>
        <w:ind w:firstLine="480" w:firstLineChars="200"/>
        <w:rPr>
          <w:rFonts w:hint="eastAsia" w:eastAsia="宋体"/>
          <w:snapToGrid w:val="0"/>
          <w:color w:val="000000" w:themeColor="text1"/>
          <w:lang w:eastAsia="zh-CN"/>
          <w14:textFill>
            <w14:solidFill>
              <w14:schemeClr w14:val="tx1"/>
            </w14:solidFill>
          </w14:textFill>
        </w:rPr>
      </w:pPr>
      <w:r>
        <w:rPr>
          <w:rFonts w:hint="eastAsia" w:eastAsia="宋体"/>
          <w:snapToGrid w:val="0"/>
          <w:color w:val="000000" w:themeColor="text1"/>
          <w:lang w:val="en-US" w:eastAsia="zh-CN"/>
          <w14:textFill>
            <w14:solidFill>
              <w14:schemeClr w14:val="tx1"/>
            </w14:solidFill>
          </w14:textFill>
        </w:rPr>
        <w:t>用6℃的酿造水，经板式换热器将97℃左右的热麦汁冷却至10℃，由冷麦汁泵送至发酵工段，每批热麦汁冷却时间控制在1小时之内完成</w:t>
      </w:r>
      <w:r>
        <w:rPr>
          <w:rFonts w:hint="eastAsia"/>
          <w:snapToGrid w:val="0"/>
          <w:color w:val="000000" w:themeColor="text1"/>
          <w:lang w:val="en-US" w:eastAsia="zh-CN"/>
          <w14:textFill>
            <w14:solidFill>
              <w14:schemeClr w14:val="tx1"/>
            </w14:solidFill>
          </w14:textFill>
        </w:rPr>
        <w:t>，冷却过程入紫苏</w:t>
      </w:r>
      <w:r>
        <w:rPr>
          <w:rFonts w:hint="eastAsia" w:eastAsia="宋体"/>
          <w:snapToGrid w:val="0"/>
          <w:color w:val="000000" w:themeColor="text1"/>
          <w:lang w:val="en-US" w:eastAsia="zh-CN"/>
          <w14:textFill>
            <w14:solidFill>
              <w14:schemeClr w14:val="tx1"/>
            </w14:solidFill>
          </w14:textFill>
        </w:rPr>
        <w:t>。</w:t>
      </w:r>
    </w:p>
    <w:p w14:paraId="48E6A48E">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9</w:t>
      </w:r>
      <w:r>
        <w:rPr>
          <w:rFonts w:hint="eastAsia"/>
          <w:snapToGrid w:val="0"/>
          <w:color w:val="000000" w:themeColor="text1"/>
          <w14:textFill>
            <w14:solidFill>
              <w14:schemeClr w14:val="tx1"/>
            </w14:solidFill>
          </w14:textFill>
        </w:rPr>
        <w:t>）麦汁发酵</w:t>
      </w:r>
    </w:p>
    <w:p w14:paraId="1245BE38">
      <w:pPr>
        <w:pStyle w:val="85"/>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严格按发酵曲线进行温度控制，发酵过程分几次排出酵母。优质酵母送酵母贮存罐留作接种用，废酵母进贮罐后外售。前发酵结束后用板式冷却器将嫩啤酒降温到0℃后进罐后熟。后熟期完成后即可将啤酒送入啤酒处理系统，先经冷却、再经硅藻土过滤、稀释、精滤后送入清酒罐。</w:t>
      </w:r>
    </w:p>
    <w:p w14:paraId="189F1F65">
      <w:pPr>
        <w:pStyle w:val="85"/>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10</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包装</w:t>
      </w:r>
    </w:p>
    <w:p w14:paraId="2B84303F">
      <w:pPr>
        <w:pStyle w:val="85"/>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空瓶由堆场经输箱廊送至包装间，再经卸箱拆垛将瓶箱分离，经输瓶带至洗瓶机、灌装压盖、温瓶、贴标、装箱、等工序，最后运至仓库贮存。</w:t>
      </w:r>
    </w:p>
    <w:p w14:paraId="37D0824A">
      <w:pPr>
        <w:pStyle w:val="85"/>
        <w:numPr>
          <w:ilvl w:val="0"/>
          <w:numId w:val="10"/>
        </w:numPr>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清洗</w:t>
      </w:r>
    </w:p>
    <w:p w14:paraId="4A6554FF">
      <w:pPr>
        <w:pStyle w:val="85"/>
        <w:numPr>
          <w:ilvl w:val="0"/>
          <w:numId w:val="0"/>
        </w:numPr>
        <w:ind w:firstLine="480" w:firstLineChars="200"/>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各设备采用CIP系统进行清洗，通过CIP清洗管路与糖化锅、煮沸锅、生产设备相连，主要用于对糖化锅、煮沸锅、管道、泵等设备内表面进行清洗。</w:t>
      </w:r>
    </w:p>
    <w:p w14:paraId="15F7DFF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本项目生产工艺流程图如下：</w:t>
      </w:r>
    </w:p>
    <w:p w14:paraId="7A83275E">
      <w:pPr>
        <w:pStyle w:val="143"/>
        <w:rPr>
          <w:rFonts w:hint="eastAsia" w:eastAsia="宋体"/>
          <w:snapToGrid w:val="0"/>
          <w:color w:val="000000" w:themeColor="text1"/>
          <w:lang w:eastAsia="zh-CN"/>
          <w14:textFill>
            <w14:solidFill>
              <w14:schemeClr w14:val="tx1"/>
            </w14:solidFill>
          </w14:textFill>
        </w:rPr>
      </w:pPr>
      <w:r>
        <w:rPr>
          <w:rFonts w:hint="eastAsia" w:eastAsia="宋体"/>
          <w:snapToGrid w:val="0"/>
          <w:color w:val="000000" w:themeColor="text1"/>
          <w:lang w:eastAsia="zh-CN"/>
          <w14:textFill>
            <w14:solidFill>
              <w14:schemeClr w14:val="tx1"/>
            </w14:solidFill>
          </w14:textFill>
        </w:rPr>
        <w:drawing>
          <wp:inline distT="0" distB="0" distL="114300" distR="114300">
            <wp:extent cx="4048760" cy="7362190"/>
            <wp:effectExtent l="0" t="0" r="8890" b="10160"/>
            <wp:docPr id="6" name="图片 6" descr="紫苏啤酒工艺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紫苏啤酒工艺流程"/>
                    <pic:cNvPicPr>
                      <a:picLocks noChangeAspect="1"/>
                    </pic:cNvPicPr>
                  </pic:nvPicPr>
                  <pic:blipFill>
                    <a:blip r:embed="rId38"/>
                    <a:stretch>
                      <a:fillRect/>
                    </a:stretch>
                  </pic:blipFill>
                  <pic:spPr>
                    <a:xfrm>
                      <a:off x="0" y="0"/>
                      <a:ext cx="4048760" cy="7362190"/>
                    </a:xfrm>
                    <a:prstGeom prst="rect">
                      <a:avLst/>
                    </a:prstGeom>
                  </pic:spPr>
                </pic:pic>
              </a:graphicData>
            </a:graphic>
          </wp:inline>
        </w:drawing>
      </w:r>
    </w:p>
    <w:p w14:paraId="148467B1">
      <w:pPr>
        <w:pStyle w:val="206"/>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图3</w:t>
      </w:r>
      <w:r>
        <w:rPr>
          <w:snapToGrid w:val="0"/>
          <w:color w:val="000000" w:themeColor="text1"/>
          <w:lang w:eastAsia="zh-CN"/>
          <w14:textFill>
            <w14:solidFill>
              <w14:schemeClr w14:val="tx1"/>
            </w14:solidFill>
          </w14:textFill>
        </w:rPr>
        <w:t xml:space="preserve">-4-2 </w:t>
      </w:r>
      <w:r>
        <w:rPr>
          <w:rFonts w:hint="eastAsia"/>
          <w:snapToGrid w:val="0"/>
          <w:color w:val="000000" w:themeColor="text1"/>
          <w:lang w:eastAsia="zh-CN"/>
          <w14:textFill>
            <w14:solidFill>
              <w14:schemeClr w14:val="tx1"/>
            </w14:solidFill>
          </w14:textFill>
        </w:rPr>
        <w:t>运营期主要生产工艺流程</w:t>
      </w:r>
    </w:p>
    <w:p w14:paraId="3F0950D1">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.4.2.2</w:t>
      </w:r>
      <w:r>
        <w:rPr>
          <w:rFonts w:hint="eastAsia"/>
          <w:snapToGrid w:val="0"/>
          <w:color w:val="000000" w:themeColor="text1"/>
          <w14:textFill>
            <w14:solidFill>
              <w14:schemeClr w14:val="tx1"/>
            </w14:solidFill>
          </w14:textFill>
        </w:rPr>
        <w:t>运营期辅助工艺流程</w:t>
      </w:r>
    </w:p>
    <w:p w14:paraId="2549DFC5">
      <w:pPr>
        <w:pStyle w:val="85"/>
        <w:rPr>
          <w:snapToGrid w:val="0"/>
          <w:color w:val="000000" w:themeColor="text1"/>
          <w:lang w:val="zh-CN"/>
          <w14:textFill>
            <w14:solidFill>
              <w14:schemeClr w14:val="tx1"/>
            </w14:solidFill>
          </w14:textFill>
        </w:rPr>
      </w:pPr>
      <w:r>
        <w:rPr>
          <w:rFonts w:hint="eastAsia"/>
          <w:snapToGrid w:val="0"/>
          <w:color w:val="000000" w:themeColor="text1"/>
          <w:lang w:val="zh-CN"/>
          <w14:textFill>
            <w14:solidFill>
              <w14:schemeClr w14:val="tx1"/>
            </w14:solidFill>
          </w14:textFill>
        </w:rPr>
        <w:t>1、CIP清洗</w:t>
      </w:r>
    </w:p>
    <w:p w14:paraId="630F69CC">
      <w:pPr>
        <w:pStyle w:val="85"/>
        <w:rPr>
          <w:snapToGrid w:val="0"/>
          <w:color w:val="000000" w:themeColor="text1"/>
          <w:lang w:val="zh-CN"/>
          <w14:textFill>
            <w14:solidFill>
              <w14:schemeClr w14:val="tx1"/>
            </w14:solidFill>
          </w14:textFill>
        </w:rPr>
      </w:pPr>
      <w:r>
        <w:rPr>
          <w:rFonts w:hint="eastAsia"/>
          <w:snapToGrid w:val="0"/>
          <w:color w:val="000000" w:themeColor="text1"/>
          <w:lang w:val="zh-CN"/>
          <w14:textFill>
            <w14:solidFill>
              <w14:schemeClr w14:val="tx1"/>
            </w14:solidFill>
          </w14:textFill>
        </w:rPr>
        <w:t>（1）C</w:t>
      </w:r>
      <w:r>
        <w:rPr>
          <w:snapToGrid w:val="0"/>
          <w:color w:val="000000" w:themeColor="text1"/>
          <w:lang w:val="zh-CN"/>
          <w14:textFill>
            <w14:solidFill>
              <w14:schemeClr w14:val="tx1"/>
            </w14:solidFill>
          </w14:textFill>
        </w:rPr>
        <w:t>IP</w:t>
      </w:r>
      <w:r>
        <w:rPr>
          <w:rFonts w:hint="eastAsia"/>
          <w:snapToGrid w:val="0"/>
          <w:color w:val="000000" w:themeColor="text1"/>
          <w:lang w:val="zh-CN"/>
          <w14:textFill>
            <w14:solidFill>
              <w14:schemeClr w14:val="tx1"/>
            </w14:solidFill>
          </w14:textFill>
        </w:rPr>
        <w:t>清洗系统简介</w:t>
      </w:r>
    </w:p>
    <w:p w14:paraId="1E1A5D9D">
      <w:pPr>
        <w:pStyle w:val="85"/>
        <w:rPr>
          <w:snapToGrid w:val="0"/>
          <w:color w:val="000000" w:themeColor="text1"/>
          <w:lang w:val="zh-CN"/>
          <w14:textFill>
            <w14:solidFill>
              <w14:schemeClr w14:val="tx1"/>
            </w14:solidFill>
          </w14:textFill>
        </w:rPr>
      </w:pPr>
      <w:r>
        <w:rPr>
          <w:rFonts w:hint="eastAsia"/>
          <w:snapToGrid w:val="0"/>
          <w:color w:val="000000" w:themeColor="text1"/>
          <w:lang w:val="zh-CN"/>
          <w14:textFill>
            <w14:solidFill>
              <w14:schemeClr w14:val="tx1"/>
            </w14:solidFill>
          </w14:textFill>
        </w:rPr>
        <w:t>CIP清洗是原位清洗的简称，被广泛的用于啤酒、饮料、乳品、果汁、果酱、酒类等机械化程度较高的食品饮料生产企业中。CIP清洗时，设备（罐体、管道、泵等）及整个生产线在无需人工拆开或打开的前提下，在闭合的回路中进行清洗，而清洗过程是在增加了湍动性和流速的条件下，对设备的喷淋或在管路中的循环。</w:t>
      </w:r>
    </w:p>
    <w:p w14:paraId="7047EFC1">
      <w:pPr>
        <w:pStyle w:val="85"/>
        <w:rPr>
          <w:snapToGrid w:val="0"/>
          <w:color w:val="000000" w:themeColor="text1"/>
          <w:lang w:val="zh-CN"/>
          <w14:textFill>
            <w14:solidFill>
              <w14:schemeClr w14:val="tx1"/>
            </w14:solidFill>
          </w14:textFill>
        </w:rPr>
      </w:pPr>
      <w:r>
        <w:rPr>
          <w:rFonts w:hint="eastAsia"/>
          <w:snapToGrid w:val="0"/>
          <w:color w:val="000000" w:themeColor="text1"/>
          <w:lang w:val="zh-CN"/>
          <w14:textFill>
            <w14:solidFill>
              <w14:schemeClr w14:val="tx1"/>
            </w14:solidFill>
          </w14:textFill>
        </w:rPr>
        <w:t>本项目新建1套CIP系统，通过CIP清洗管路与糖化锅、</w:t>
      </w:r>
      <w:r>
        <w:rPr>
          <w:rFonts w:hint="eastAsia"/>
          <w:snapToGrid w:val="0"/>
          <w:color w:val="000000" w:themeColor="text1"/>
          <w:lang w:val="en-US" w:eastAsia="zh-CN"/>
          <w14:textFill>
            <w14:solidFill>
              <w14:schemeClr w14:val="tx1"/>
            </w14:solidFill>
          </w14:textFill>
        </w:rPr>
        <w:t>糊化锅、</w:t>
      </w:r>
      <w:r>
        <w:rPr>
          <w:rFonts w:hint="eastAsia"/>
          <w:snapToGrid w:val="0"/>
          <w:color w:val="000000" w:themeColor="text1"/>
          <w:lang w:val="zh-CN"/>
          <w14:textFill>
            <w14:solidFill>
              <w14:schemeClr w14:val="tx1"/>
            </w14:solidFill>
          </w14:textFill>
        </w:rPr>
        <w:t>煮沸锅、发酵罐等生产设备相连，主要用于对糖化锅、</w:t>
      </w:r>
      <w:r>
        <w:rPr>
          <w:rFonts w:hint="eastAsia"/>
          <w:snapToGrid w:val="0"/>
          <w:color w:val="000000" w:themeColor="text1"/>
          <w:lang w:val="en-US" w:eastAsia="zh-CN"/>
          <w14:textFill>
            <w14:solidFill>
              <w14:schemeClr w14:val="tx1"/>
            </w14:solidFill>
          </w14:textFill>
        </w:rPr>
        <w:t>糊化锅、</w:t>
      </w:r>
      <w:r>
        <w:rPr>
          <w:rFonts w:hint="eastAsia"/>
          <w:snapToGrid w:val="0"/>
          <w:color w:val="000000" w:themeColor="text1"/>
          <w:lang w:val="zh-CN"/>
          <w14:textFill>
            <w14:solidFill>
              <w14:schemeClr w14:val="tx1"/>
            </w14:solidFill>
          </w14:textFill>
        </w:rPr>
        <w:t>过滤槽、煮沸锅、旋沉槽、发酵罐、管道、泵等设备内表面进行清洗，该系统设置2个容量约</w:t>
      </w:r>
      <w:r>
        <w:rPr>
          <w:rFonts w:hint="eastAsia"/>
          <w:snapToGrid w:val="0"/>
          <w:color w:val="000000" w:themeColor="text1"/>
          <w:lang w:val="en-US" w:eastAsia="zh-CN"/>
          <w14:textFill>
            <w14:solidFill>
              <w14:schemeClr w14:val="tx1"/>
            </w14:solidFill>
          </w14:textFill>
        </w:rPr>
        <w:t>3</w:t>
      </w:r>
      <w:r>
        <w:rPr>
          <w:rFonts w:hint="eastAsia"/>
          <w:snapToGrid w:val="0"/>
          <w:color w:val="000000" w:themeColor="text1"/>
          <w:lang w:val="zh-CN"/>
          <w14:textFill>
            <w14:solidFill>
              <w14:schemeClr w14:val="tx1"/>
            </w14:solidFill>
          </w14:textFill>
        </w:rPr>
        <w:t>m³的储存罐，分别装有碱溶液（1.0%~2.0%的</w:t>
      </w:r>
      <w:r>
        <w:rPr>
          <w:snapToGrid w:val="0"/>
          <w:color w:val="000000" w:themeColor="text1"/>
          <w:lang w:val="zh-CN"/>
          <w14:textFill>
            <w14:solidFill>
              <w14:schemeClr w14:val="tx1"/>
            </w14:solidFill>
          </w14:textFill>
        </w:rPr>
        <w:t>N</w:t>
      </w:r>
      <w:r>
        <w:rPr>
          <w:rFonts w:hint="eastAsia"/>
          <w:snapToGrid w:val="0"/>
          <w:color w:val="000000" w:themeColor="text1"/>
          <w:lang w:val="zh-CN"/>
          <w14:textFill>
            <w14:solidFill>
              <w14:schemeClr w14:val="tx1"/>
            </w14:solidFill>
          </w14:textFill>
        </w:rPr>
        <w:t>aOH溶液）、</w:t>
      </w:r>
      <w:r>
        <w:rPr>
          <w:rFonts w:hint="eastAsia"/>
          <w:snapToGrid w:val="0"/>
          <w:color w:val="000000" w:themeColor="text1"/>
          <w:lang w:val="en-US" w:eastAsia="zh-CN"/>
          <w14:textFill>
            <w14:solidFill>
              <w14:schemeClr w14:val="tx1"/>
            </w14:solidFill>
          </w14:textFill>
        </w:rPr>
        <w:t>酸</w:t>
      </w:r>
      <w:r>
        <w:rPr>
          <w:rFonts w:hint="eastAsia"/>
          <w:snapToGrid w:val="0"/>
          <w:color w:val="000000" w:themeColor="text1"/>
          <w:lang w:val="zh-CN"/>
          <w14:textFill>
            <w14:solidFill>
              <w14:schemeClr w14:val="tx1"/>
            </w14:solidFill>
          </w14:textFill>
        </w:rPr>
        <w:t>溶液（1.0%~</w:t>
      </w:r>
      <w:r>
        <w:rPr>
          <w:rFonts w:hint="eastAsia"/>
          <w:snapToGrid w:val="0"/>
          <w:color w:val="000000" w:themeColor="text1"/>
          <w:lang w:val="en-US" w:eastAsia="zh-CN"/>
          <w14:textFill>
            <w14:solidFill>
              <w14:schemeClr w14:val="tx1"/>
            </w14:solidFill>
          </w14:textFill>
        </w:rPr>
        <w:t>1.5</w:t>
      </w:r>
      <w:r>
        <w:rPr>
          <w:rFonts w:hint="eastAsia"/>
          <w:snapToGrid w:val="0"/>
          <w:color w:val="000000" w:themeColor="text1"/>
          <w:lang w:val="zh-CN"/>
          <w14:textFill>
            <w14:solidFill>
              <w14:schemeClr w14:val="tx1"/>
            </w14:solidFill>
          </w14:textFill>
        </w:rPr>
        <w:t>%的</w:t>
      </w:r>
      <w:r>
        <w:rPr>
          <w:rFonts w:hint="eastAsia"/>
          <w:snapToGrid w:val="0"/>
          <w:color w:val="000000" w:themeColor="text1"/>
          <w:lang w:val="en-US" w:eastAsia="zh-CN"/>
          <w14:textFill>
            <w14:solidFill>
              <w14:schemeClr w14:val="tx1"/>
            </w14:solidFill>
          </w14:textFill>
        </w:rPr>
        <w:t>HNO</w:t>
      </w:r>
      <w:r>
        <w:rPr>
          <w:rFonts w:hint="eastAsia"/>
          <w:snapToGrid w:val="0"/>
          <w:color w:val="000000" w:themeColor="text1"/>
          <w:vertAlign w:val="subscript"/>
          <w:lang w:val="en-US" w:eastAsia="zh-CN"/>
          <w14:textFill>
            <w14:solidFill>
              <w14:schemeClr w14:val="tx1"/>
            </w14:solidFill>
          </w14:textFill>
        </w:rPr>
        <w:t>3</w:t>
      </w:r>
      <w:r>
        <w:rPr>
          <w:rFonts w:hint="eastAsia"/>
          <w:snapToGrid w:val="0"/>
          <w:color w:val="000000" w:themeColor="text1"/>
          <w:lang w:val="zh-CN"/>
          <w14:textFill>
            <w14:solidFill>
              <w14:schemeClr w14:val="tx1"/>
            </w14:solidFill>
          </w14:textFill>
        </w:rPr>
        <w:t>溶液）、消毒液（0.</w:t>
      </w:r>
      <w:r>
        <w:rPr>
          <w:rFonts w:hint="eastAsia"/>
          <w:snapToGrid w:val="0"/>
          <w:color w:val="000000" w:themeColor="text1"/>
          <w:lang w:val="en-US" w:eastAsia="zh-CN"/>
          <w14:textFill>
            <w14:solidFill>
              <w14:schemeClr w14:val="tx1"/>
            </w14:solidFill>
          </w14:textFill>
        </w:rPr>
        <w:t>1</w:t>
      </w:r>
      <w:r>
        <w:rPr>
          <w:rFonts w:hint="eastAsia"/>
          <w:snapToGrid w:val="0"/>
          <w:color w:val="000000" w:themeColor="text1"/>
          <w:lang w:val="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~0.3%</w:t>
      </w:r>
      <w:r>
        <w:rPr>
          <w:rFonts w:hint="eastAsia"/>
          <w:snapToGrid w:val="0"/>
          <w:color w:val="000000" w:themeColor="text1"/>
          <w:lang w:val="zh-CN"/>
          <w14:textFill>
            <w14:solidFill>
              <w14:schemeClr w14:val="tx1"/>
            </w14:solidFill>
          </w14:textFill>
        </w:rPr>
        <w:t>的过氧</w:t>
      </w:r>
      <w:r>
        <w:rPr>
          <w:rFonts w:hint="eastAsia"/>
          <w:snapToGrid w:val="0"/>
          <w:color w:val="000000" w:themeColor="text1"/>
          <w:lang w:val="en-US" w:eastAsia="zh-CN"/>
          <w14:textFill>
            <w14:solidFill>
              <w14:schemeClr w14:val="tx1"/>
            </w14:solidFill>
          </w14:textFill>
        </w:rPr>
        <w:t>乙酸</w:t>
      </w:r>
      <w:r>
        <w:rPr>
          <w:rFonts w:hint="eastAsia"/>
          <w:snapToGrid w:val="0"/>
          <w:color w:val="000000" w:themeColor="text1"/>
          <w:lang w:val="zh-CN"/>
          <w14:textFill>
            <w14:solidFill>
              <w14:schemeClr w14:val="tx1"/>
            </w14:solidFill>
          </w14:textFill>
        </w:rPr>
        <w:t>溶液），每个储罐均设有进、出口，清洗时除少量损耗外，基本上循环使用，不外排，浓度降低时补充溶剂即可。项目发酵设备（发酵罐）每个周期使用前清洗一次，糖化设备（糖化锅、</w:t>
      </w:r>
      <w:r>
        <w:rPr>
          <w:rFonts w:hint="eastAsia"/>
          <w:snapToGrid w:val="0"/>
          <w:color w:val="000000" w:themeColor="text1"/>
          <w:lang w:val="en-US" w:eastAsia="zh-CN"/>
          <w14:textFill>
            <w14:solidFill>
              <w14:schemeClr w14:val="tx1"/>
            </w14:solidFill>
          </w14:textFill>
        </w:rPr>
        <w:t>糊化锅、</w:t>
      </w:r>
      <w:r>
        <w:rPr>
          <w:rFonts w:hint="eastAsia"/>
          <w:snapToGrid w:val="0"/>
          <w:color w:val="000000" w:themeColor="text1"/>
          <w:lang w:val="zh-CN"/>
          <w14:textFill>
            <w14:solidFill>
              <w14:schemeClr w14:val="tx1"/>
            </w14:solidFill>
          </w14:textFill>
        </w:rPr>
        <w:t>过滤槽、煮沸锅、沉淀槽）及管路、泵每次使用前清洗一次。CIP系统具体清洗过程如下图所示：</w:t>
      </w:r>
    </w:p>
    <w:p w14:paraId="2F488B0C">
      <w:pPr>
        <w:pStyle w:val="206"/>
        <w:rPr>
          <w:snapToGrid w:val="0"/>
          <w:color w:val="000000" w:themeColor="text1"/>
          <w14:textFill>
            <w14:solidFill>
              <w14:schemeClr w14:val="tx1"/>
            </w14:solidFill>
          </w14:textFill>
        </w:rPr>
      </w:pPr>
      <w:r>
        <w:drawing>
          <wp:inline distT="0" distB="0" distL="114300" distR="114300">
            <wp:extent cx="5268595" cy="4384675"/>
            <wp:effectExtent l="0" t="0" r="8255" b="15875"/>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39"/>
                    <a:stretch>
                      <a:fillRect/>
                    </a:stretch>
                  </pic:blipFill>
                  <pic:spPr>
                    <a:xfrm>
                      <a:off x="0" y="0"/>
                      <a:ext cx="5268595" cy="4384675"/>
                    </a:xfrm>
                    <a:prstGeom prst="rect">
                      <a:avLst/>
                    </a:prstGeom>
                    <a:noFill/>
                    <a:ln>
                      <a:noFill/>
                    </a:ln>
                  </pic:spPr>
                </pic:pic>
              </a:graphicData>
            </a:graphic>
          </wp:inline>
        </w:drawing>
      </w:r>
    </w:p>
    <w:p w14:paraId="52BEFF52">
      <w:pPr>
        <w:pStyle w:val="206"/>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图3</w:t>
      </w:r>
      <w:r>
        <w:rPr>
          <w:snapToGrid w:val="0"/>
          <w:color w:val="000000" w:themeColor="text1"/>
          <w14:textFill>
            <w14:solidFill>
              <w14:schemeClr w14:val="tx1"/>
            </w14:solidFill>
          </w14:textFill>
        </w:rPr>
        <w:t>-4-3</w:t>
      </w:r>
      <w:r>
        <w:rPr>
          <w:rFonts w:hint="eastAsia"/>
          <w:snapToGrid w:val="0"/>
          <w:color w:val="000000" w:themeColor="text1"/>
          <w14:textFill>
            <w14:solidFill>
              <w14:schemeClr w14:val="tx1"/>
            </w14:solidFill>
          </w14:textFill>
        </w:rPr>
        <w:t xml:space="preserve">  CIP系统清洗流程</w:t>
      </w:r>
    </w:p>
    <w:p w14:paraId="3D30A09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（2）CIP系统清洗工艺流程说明：</w:t>
      </w:r>
    </w:p>
    <w:p w14:paraId="0D8DDD1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①预清洗：采用55~60℃纯水对各生产设备及管路等预冲洗15min，将罐底及管路残留杂质冲洗干净，设备每次运行前清洗一次，该过程产生高浓度清洗废水。</w:t>
      </w:r>
    </w:p>
    <w:p w14:paraId="16673DC2">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②弱碱洗：采用1.0%~2.0%热NaOH溶液（75~80℃）对生产设备及管路进行循环洗</w:t>
      </w:r>
      <w:r>
        <w:rPr>
          <w:rFonts w:hint="eastAsia"/>
          <w:snapToGrid w:val="0"/>
          <w:color w:val="000000" w:themeColor="text1"/>
          <w:lang w:val="en-US" w:eastAsia="zh-CN"/>
          <w14:textFill>
            <w14:solidFill>
              <w14:schemeClr w14:val="tx1"/>
            </w14:solidFill>
          </w14:textFill>
        </w:rPr>
        <w:t>30</w:t>
      </w:r>
      <w:r>
        <w:rPr>
          <w:rFonts w:hint="eastAsia"/>
          <w:snapToGrid w:val="0"/>
          <w:color w:val="000000" w:themeColor="text1"/>
          <w14:textFill>
            <w14:solidFill>
              <w14:schemeClr w14:val="tx1"/>
            </w14:solidFill>
          </w14:textFill>
        </w:rPr>
        <w:t>min，以去除设备内表面的蛋白质等残留物。</w:t>
      </w:r>
    </w:p>
    <w:p w14:paraId="11B8E7C3">
      <w:pPr>
        <w:pStyle w:val="85"/>
        <w:rPr>
          <w:rFonts w:hint="eastAsia"/>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③一次热水清洗：一次热水洗采用80℃的纯水，暂存于热水罐，冲洗15min左右，将残留于罐内及管线中的碱液冲洗干净，至pH为中性，设备每次运行前清洗一次，该过程产生中低浓度清洗废水。</w:t>
      </w:r>
    </w:p>
    <w:p w14:paraId="082B326E">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②弱</w:t>
      </w:r>
      <w:r>
        <w:rPr>
          <w:rFonts w:hint="eastAsia"/>
          <w:snapToGrid w:val="0"/>
          <w:color w:val="000000" w:themeColor="text1"/>
          <w:lang w:val="en-US" w:eastAsia="zh-CN"/>
          <w14:textFill>
            <w14:solidFill>
              <w14:schemeClr w14:val="tx1"/>
            </w14:solidFill>
          </w14:textFill>
        </w:rPr>
        <w:t>酸</w:t>
      </w:r>
      <w:r>
        <w:rPr>
          <w:rFonts w:hint="eastAsia"/>
          <w:snapToGrid w:val="0"/>
          <w:color w:val="000000" w:themeColor="text1"/>
          <w14:textFill>
            <w14:solidFill>
              <w14:schemeClr w14:val="tx1"/>
            </w14:solidFill>
          </w14:textFill>
        </w:rPr>
        <w:t>洗：采用</w:t>
      </w:r>
      <w:r>
        <w:rPr>
          <w:rFonts w:hint="eastAsia"/>
          <w:snapToGrid w:val="0"/>
          <w:color w:val="000000" w:themeColor="text1"/>
          <w:lang w:val="zh-CN"/>
          <w14:textFill>
            <w14:solidFill>
              <w14:schemeClr w14:val="tx1"/>
            </w14:solidFill>
          </w14:textFill>
        </w:rPr>
        <w:t>1.0%~</w:t>
      </w:r>
      <w:r>
        <w:rPr>
          <w:rFonts w:hint="eastAsia"/>
          <w:snapToGrid w:val="0"/>
          <w:color w:val="000000" w:themeColor="text1"/>
          <w:lang w:val="en-US" w:eastAsia="zh-CN"/>
          <w14:textFill>
            <w14:solidFill>
              <w14:schemeClr w14:val="tx1"/>
            </w14:solidFill>
          </w14:textFill>
        </w:rPr>
        <w:t>1.5</w:t>
      </w:r>
      <w:r>
        <w:rPr>
          <w:rFonts w:hint="eastAsia"/>
          <w:snapToGrid w:val="0"/>
          <w:color w:val="000000" w:themeColor="text1"/>
          <w:lang w:val="zh-CN"/>
          <w14:textFill>
            <w14:solidFill>
              <w14:schemeClr w14:val="tx1"/>
            </w14:solidFill>
          </w14:textFill>
        </w:rPr>
        <w:t>%的</w:t>
      </w:r>
      <w:r>
        <w:rPr>
          <w:rFonts w:hint="eastAsia"/>
          <w:snapToGrid w:val="0"/>
          <w:color w:val="000000" w:themeColor="text1"/>
          <w:lang w:val="en-US" w:eastAsia="zh-CN"/>
          <w14:textFill>
            <w14:solidFill>
              <w14:schemeClr w14:val="tx1"/>
            </w14:solidFill>
          </w14:textFill>
        </w:rPr>
        <w:t>HNO</w:t>
      </w:r>
      <w:r>
        <w:rPr>
          <w:rFonts w:hint="eastAsia"/>
          <w:snapToGrid w:val="0"/>
          <w:color w:val="000000" w:themeColor="text1"/>
          <w:vertAlign w:val="subscript"/>
          <w:lang w:val="en-US" w:eastAsia="zh-CN"/>
          <w14:textFill>
            <w14:solidFill>
              <w14:schemeClr w14:val="tx1"/>
            </w14:solidFill>
          </w14:textFill>
        </w:rPr>
        <w:t>3</w:t>
      </w:r>
      <w:r>
        <w:rPr>
          <w:rFonts w:hint="eastAsia"/>
          <w:snapToGrid w:val="0"/>
          <w:color w:val="000000" w:themeColor="text1"/>
          <w:lang w:val="zh-CN"/>
          <w14:textFill>
            <w14:solidFill>
              <w14:schemeClr w14:val="tx1"/>
            </w14:solidFill>
          </w14:textFill>
        </w:rPr>
        <w:t>溶液</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35</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4</w:t>
      </w:r>
      <w:r>
        <w:rPr>
          <w:rFonts w:hint="eastAsia"/>
          <w:snapToGrid w:val="0"/>
          <w:color w:val="000000" w:themeColor="text1"/>
          <w14:textFill>
            <w14:solidFill>
              <w14:schemeClr w14:val="tx1"/>
            </w14:solidFill>
          </w14:textFill>
        </w:rPr>
        <w:t>0℃）对生产设备及管路进行循环洗</w:t>
      </w:r>
      <w:r>
        <w:rPr>
          <w:rFonts w:hint="eastAsia"/>
          <w:snapToGrid w:val="0"/>
          <w:color w:val="000000" w:themeColor="text1"/>
          <w:lang w:val="en-US" w:eastAsia="zh-CN"/>
          <w14:textFill>
            <w14:solidFill>
              <w14:schemeClr w14:val="tx1"/>
            </w14:solidFill>
          </w14:textFill>
        </w:rPr>
        <w:t>30</w:t>
      </w:r>
      <w:r>
        <w:rPr>
          <w:rFonts w:hint="eastAsia"/>
          <w:snapToGrid w:val="0"/>
          <w:color w:val="000000" w:themeColor="text1"/>
          <w14:textFill>
            <w14:solidFill>
              <w14:schemeClr w14:val="tx1"/>
            </w14:solidFill>
          </w14:textFill>
        </w:rPr>
        <w:t>min，溶解钙镁水垢、啤酒石、矿物质沉积</w:t>
      </w:r>
      <w:r>
        <w:rPr>
          <w:rFonts w:hint="eastAsia"/>
          <w:snapToGrid w:val="0"/>
          <w:color w:val="000000" w:themeColor="text1"/>
          <w:lang w:val="en-US" w:eastAsia="zh-CN"/>
          <w14:textFill>
            <w14:solidFill>
              <w14:schemeClr w14:val="tx1"/>
            </w14:solidFill>
          </w14:textFill>
        </w:rPr>
        <w:t>等</w:t>
      </w:r>
      <w:r>
        <w:rPr>
          <w:rFonts w:hint="eastAsia"/>
          <w:snapToGrid w:val="0"/>
          <w:color w:val="000000" w:themeColor="text1"/>
          <w14:textFill>
            <w14:solidFill>
              <w14:schemeClr w14:val="tx1"/>
            </w14:solidFill>
          </w14:textFill>
        </w:rPr>
        <w:t>。</w:t>
      </w:r>
    </w:p>
    <w:p w14:paraId="1C280843">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④</w:t>
      </w:r>
      <w:r>
        <w:rPr>
          <w:rFonts w:hint="eastAsia"/>
          <w:snapToGrid w:val="0"/>
          <w:color w:val="000000" w:themeColor="text1"/>
          <w:lang w:val="en-US" w:eastAsia="zh-CN"/>
          <w14:textFill>
            <w14:solidFill>
              <w14:schemeClr w14:val="tx1"/>
            </w14:solidFill>
          </w14:textFill>
        </w:rPr>
        <w:t>二</w:t>
      </w:r>
      <w:r>
        <w:rPr>
          <w:rFonts w:hint="eastAsia"/>
          <w:snapToGrid w:val="0"/>
          <w:color w:val="000000" w:themeColor="text1"/>
          <w14:textFill>
            <w14:solidFill>
              <w14:schemeClr w14:val="tx1"/>
            </w14:solidFill>
          </w14:textFill>
        </w:rPr>
        <w:t>次热水清洗：一次热水洗采用8</w:t>
      </w:r>
      <w:r>
        <w:rPr>
          <w:rFonts w:hint="eastAsia"/>
          <w:snapToGrid w:val="0"/>
          <w:color w:val="000000" w:themeColor="text1"/>
          <w:lang w:val="en-US" w:eastAsia="zh-CN"/>
          <w14:textFill>
            <w14:solidFill>
              <w14:schemeClr w14:val="tx1"/>
            </w14:solidFill>
          </w14:textFill>
        </w:rPr>
        <w:t>5</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95</w:t>
      </w:r>
      <w:r>
        <w:rPr>
          <w:rFonts w:hint="eastAsia"/>
          <w:snapToGrid w:val="0"/>
          <w:color w:val="000000" w:themeColor="text1"/>
          <w14:textFill>
            <w14:solidFill>
              <w14:schemeClr w14:val="tx1"/>
            </w14:solidFill>
          </w14:textFill>
        </w:rPr>
        <w:t>℃的纯水，暂存于热水罐，冲洗</w:t>
      </w:r>
      <w:r>
        <w:rPr>
          <w:rFonts w:hint="eastAsia"/>
          <w:snapToGrid w:val="0"/>
          <w:color w:val="000000" w:themeColor="text1"/>
          <w:lang w:val="en-US" w:eastAsia="zh-CN"/>
          <w14:textFill>
            <w14:solidFill>
              <w14:schemeClr w14:val="tx1"/>
            </w14:solidFill>
          </w14:textFill>
        </w:rPr>
        <w:t>10-20</w:t>
      </w:r>
      <w:r>
        <w:rPr>
          <w:rFonts w:hint="eastAsia"/>
          <w:snapToGrid w:val="0"/>
          <w:color w:val="000000" w:themeColor="text1"/>
          <w14:textFill>
            <w14:solidFill>
              <w14:schemeClr w14:val="tx1"/>
            </w14:solidFill>
          </w14:textFill>
        </w:rPr>
        <w:t>min左右，将残留于罐内及管线中的</w:t>
      </w:r>
      <w:r>
        <w:rPr>
          <w:rFonts w:hint="eastAsia"/>
          <w:snapToGrid w:val="0"/>
          <w:color w:val="000000" w:themeColor="text1"/>
          <w:lang w:val="en-US" w:eastAsia="zh-CN"/>
          <w14:textFill>
            <w14:solidFill>
              <w14:schemeClr w14:val="tx1"/>
            </w14:solidFill>
          </w14:textFill>
        </w:rPr>
        <w:t>酸</w:t>
      </w:r>
      <w:r>
        <w:rPr>
          <w:rFonts w:hint="eastAsia"/>
          <w:snapToGrid w:val="0"/>
          <w:color w:val="000000" w:themeColor="text1"/>
          <w14:textFill>
            <w14:solidFill>
              <w14:schemeClr w14:val="tx1"/>
            </w14:solidFill>
          </w14:textFill>
        </w:rPr>
        <w:t>液冲洗干净，至pH为中性，设备每次运行前清洗一次，该过程产生中低浓度清洗废水。</w:t>
      </w:r>
    </w:p>
    <w:p w14:paraId="7D9FE4B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⑤消毒过程：采用</w:t>
      </w:r>
      <w:r>
        <w:rPr>
          <w:rFonts w:hint="eastAsia"/>
          <w:snapToGrid w:val="0"/>
          <w:color w:val="000000" w:themeColor="text1"/>
          <w:lang w:val="zh-CN"/>
          <w14:textFill>
            <w14:solidFill>
              <w14:schemeClr w14:val="tx1"/>
            </w14:solidFill>
          </w14:textFill>
        </w:rPr>
        <w:t>0.</w:t>
      </w:r>
      <w:r>
        <w:rPr>
          <w:rFonts w:hint="eastAsia"/>
          <w:snapToGrid w:val="0"/>
          <w:color w:val="000000" w:themeColor="text1"/>
          <w:lang w:val="en-US" w:eastAsia="zh-CN"/>
          <w14:textFill>
            <w14:solidFill>
              <w14:schemeClr w14:val="tx1"/>
            </w14:solidFill>
          </w14:textFill>
        </w:rPr>
        <w:t>1</w:t>
      </w:r>
      <w:r>
        <w:rPr>
          <w:rFonts w:hint="eastAsia"/>
          <w:snapToGrid w:val="0"/>
          <w:color w:val="000000" w:themeColor="text1"/>
          <w:lang w:val="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~0.3%</w:t>
      </w:r>
      <w:r>
        <w:rPr>
          <w:rFonts w:hint="eastAsia"/>
          <w:snapToGrid w:val="0"/>
          <w:color w:val="000000" w:themeColor="text1"/>
          <w:lang w:val="zh-CN"/>
          <w14:textFill>
            <w14:solidFill>
              <w14:schemeClr w14:val="tx1"/>
            </w14:solidFill>
          </w14:textFill>
        </w:rPr>
        <w:t>的过氧</w:t>
      </w:r>
      <w:r>
        <w:rPr>
          <w:rFonts w:hint="eastAsia"/>
          <w:snapToGrid w:val="0"/>
          <w:color w:val="000000" w:themeColor="text1"/>
          <w:lang w:val="en-US" w:eastAsia="zh-CN"/>
          <w14:textFill>
            <w14:solidFill>
              <w14:schemeClr w14:val="tx1"/>
            </w14:solidFill>
          </w14:textFill>
        </w:rPr>
        <w:t>乙酸</w:t>
      </w:r>
      <w:r>
        <w:rPr>
          <w:rFonts w:hint="eastAsia"/>
          <w:snapToGrid w:val="0"/>
          <w:color w:val="000000" w:themeColor="text1"/>
          <w:lang w:val="zh-CN"/>
          <w14:textFill>
            <w14:solidFill>
              <w14:schemeClr w14:val="tx1"/>
            </w14:solidFill>
          </w14:textFill>
        </w:rPr>
        <w:t>溶液</w:t>
      </w:r>
      <w:r>
        <w:rPr>
          <w:rFonts w:hint="eastAsia"/>
          <w:snapToGrid w:val="0"/>
          <w:color w:val="000000" w:themeColor="text1"/>
          <w14:textFill>
            <w14:solidFill>
              <w14:schemeClr w14:val="tx1"/>
            </w14:solidFill>
          </w14:textFill>
        </w:rPr>
        <w:t>对生产设备及管路进行循环冲洗约30min，去除设备及管路表面细菌。</w:t>
      </w:r>
    </w:p>
    <w:p w14:paraId="7A1698F2">
      <w:pPr>
        <w:pStyle w:val="85"/>
        <w:ind w:left="0" w:leftChars="0" w:firstLine="480" w:firstLineChars="200"/>
        <w:rPr>
          <w:snapToGrid w:val="0"/>
          <w:color w:val="000000" w:themeColor="text1"/>
          <w14:textFill>
            <w14:solidFill>
              <w14:schemeClr w14:val="tx1"/>
            </w14:solidFill>
          </w14:textFill>
        </w:rPr>
      </w:pPr>
      <w:r>
        <w:rPr>
          <w:rFonts w:hint="eastAsia" w:ascii="宋体" w:hAnsi="宋体" w:eastAsia="宋体" w:cs="宋体"/>
          <w:snapToGrid w:val="0"/>
          <w:color w:val="000000" w:themeColor="text1"/>
          <w14:textFill>
            <w14:solidFill>
              <w14:schemeClr w14:val="tx1"/>
            </w14:solidFill>
          </w14:textFill>
        </w:rPr>
        <w:t>⑥</w:t>
      </w:r>
      <w:r>
        <w:rPr>
          <w:rFonts w:hint="eastAsia"/>
          <w:snapToGrid w:val="0"/>
          <w:color w:val="000000" w:themeColor="text1"/>
          <w:lang w:val="en-US" w:eastAsia="zh-CN"/>
          <w14:textFill>
            <w14:solidFill>
              <w14:schemeClr w14:val="tx1"/>
            </w14:solidFill>
          </w14:textFill>
        </w:rPr>
        <w:t>终</w:t>
      </w:r>
      <w:r>
        <w:rPr>
          <w:rFonts w:hint="eastAsia"/>
          <w:snapToGrid w:val="0"/>
          <w:color w:val="000000" w:themeColor="text1"/>
          <w14:textFill>
            <w14:solidFill>
              <w14:schemeClr w14:val="tx1"/>
            </w14:solidFill>
          </w14:textFill>
        </w:rPr>
        <w:t>清洗：消毒剂冲洗后，</w:t>
      </w:r>
      <w:r>
        <w:rPr>
          <w:rFonts w:hint="eastAsia"/>
          <w:snapToGrid w:val="0"/>
          <w:color w:val="000000" w:themeColor="text1"/>
          <w:lang w:val="en-US" w:eastAsia="zh-CN"/>
          <w14:textFill>
            <w14:solidFill>
              <w14:schemeClr w14:val="tx1"/>
            </w14:solidFill>
          </w14:textFill>
        </w:rPr>
        <w:t>终</w:t>
      </w:r>
      <w:r>
        <w:rPr>
          <w:rFonts w:hint="eastAsia"/>
          <w:snapToGrid w:val="0"/>
          <w:color w:val="000000" w:themeColor="text1"/>
          <w14:textFill>
            <w14:solidFill>
              <w14:schemeClr w14:val="tx1"/>
            </w14:solidFill>
          </w14:textFill>
        </w:rPr>
        <w:t>洗采用80~85℃的纯水，通过热水洗将残留于设备及管道内的</w:t>
      </w:r>
      <w:r>
        <w:rPr>
          <w:rFonts w:hint="eastAsia"/>
          <w:snapToGrid w:val="0"/>
          <w:color w:val="000000" w:themeColor="text1"/>
          <w:lang w:val="zh-CN"/>
          <w14:textFill>
            <w14:solidFill>
              <w14:schemeClr w14:val="tx1"/>
            </w14:solidFill>
          </w14:textFill>
        </w:rPr>
        <w:t>过氧</w:t>
      </w:r>
      <w:r>
        <w:rPr>
          <w:rFonts w:hint="eastAsia"/>
          <w:snapToGrid w:val="0"/>
          <w:color w:val="000000" w:themeColor="text1"/>
          <w:lang w:val="en-US" w:eastAsia="zh-CN"/>
          <w14:textFill>
            <w14:solidFill>
              <w14:schemeClr w14:val="tx1"/>
            </w14:solidFill>
          </w14:textFill>
        </w:rPr>
        <w:t>乙酸</w:t>
      </w:r>
      <w:r>
        <w:rPr>
          <w:rFonts w:hint="eastAsia"/>
          <w:snapToGrid w:val="0"/>
          <w:color w:val="000000" w:themeColor="text1"/>
          <w14:textFill>
            <w14:solidFill>
              <w14:schemeClr w14:val="tx1"/>
            </w14:solidFill>
          </w14:textFill>
        </w:rPr>
        <w:t>冲洗干净，并去除异味杀灭细菌，冲洗约5min，设备每次运行前清洗一次，该过程产生清洗废水。</w:t>
      </w:r>
    </w:p>
    <w:p w14:paraId="3A88F123">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上述清洗过程中，清洗过程中使用的弱碱性清洗剂、弱</w:t>
      </w:r>
      <w:r>
        <w:rPr>
          <w:rFonts w:hint="eastAsia"/>
          <w:snapToGrid w:val="0"/>
          <w:color w:val="000000" w:themeColor="text1"/>
          <w:lang w:val="en-US" w:eastAsia="zh-CN"/>
          <w14:textFill>
            <w14:solidFill>
              <w14:schemeClr w14:val="tx1"/>
            </w14:solidFill>
          </w14:textFill>
        </w:rPr>
        <w:t>酸</w:t>
      </w:r>
      <w:r>
        <w:rPr>
          <w:rFonts w:hint="eastAsia"/>
          <w:snapToGrid w:val="0"/>
          <w:color w:val="000000" w:themeColor="text1"/>
          <w14:textFill>
            <w14:solidFill>
              <w14:schemeClr w14:val="tx1"/>
            </w14:solidFill>
          </w14:textFill>
        </w:rPr>
        <w:t>性清洗剂</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消毒液均分别回收至系统自带罐内循环使用，浓度降低时补充，少量粘在设备上的随纯水冲洗后排放，预清洗、一次清洗、二次清洗</w:t>
      </w:r>
      <w:r>
        <w:rPr>
          <w:rFonts w:hint="eastAsia"/>
          <w:snapToGrid w:val="0"/>
          <w:color w:val="000000" w:themeColor="text1"/>
          <w:lang w:val="en-US" w:eastAsia="zh-CN"/>
          <w14:textFill>
            <w14:solidFill>
              <w14:schemeClr w14:val="tx1"/>
            </w14:solidFill>
          </w14:textFill>
        </w:rPr>
        <w:t>以及终清洗</w:t>
      </w:r>
      <w:r>
        <w:rPr>
          <w:rFonts w:hint="eastAsia"/>
          <w:snapToGrid w:val="0"/>
          <w:color w:val="000000" w:themeColor="text1"/>
          <w14:textFill>
            <w14:solidFill>
              <w14:schemeClr w14:val="tx1"/>
            </w14:solidFill>
          </w14:textFill>
        </w:rPr>
        <w:t>产生的设备清洗废水均排入污水处理站。</w:t>
      </w:r>
    </w:p>
    <w:p w14:paraId="7D32FBB7">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、C</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回收系统</w:t>
      </w:r>
    </w:p>
    <w:p w14:paraId="1E8E39E3">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项目在发酵过程中会产生发酵废气，其主要成分为CO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和异味（主要为臭气浓度）。</w:t>
      </w:r>
    </w:p>
    <w:p w14:paraId="54780CE0">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啤酒在发酵过程中会产生CO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，回收系统回收的CO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，用于啤酒的添加，可大大减少外购CO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的投资，不仅增加了经济效益，而且还减少了对环境的污染。项目新建1套</w:t>
      </w:r>
      <w:r>
        <w:rPr>
          <w:rFonts w:hint="eastAsia"/>
          <w:snapToGrid w:val="0"/>
          <w:color w:val="000000" w:themeColor="text1"/>
          <w:lang w:val="en-US" w:eastAsia="zh-CN"/>
          <w14:textFill>
            <w14:solidFill>
              <w14:schemeClr w14:val="tx1"/>
            </w14:solidFill>
          </w14:textFill>
        </w:rPr>
        <w:t>150</w:t>
      </w:r>
      <w:r>
        <w:rPr>
          <w:rFonts w:hint="eastAsia"/>
          <w:snapToGrid w:val="0"/>
          <w:color w:val="000000" w:themeColor="text1"/>
          <w14:textFill>
            <w14:solidFill>
              <w14:schemeClr w14:val="tx1"/>
            </w14:solidFill>
          </w14:textFill>
        </w:rPr>
        <w:t>kg/h的CO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回收装置用于生产过程中的CO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回收，CO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回收率约84%，具体回收过程如下图所示。</w:t>
      </w:r>
    </w:p>
    <w:p w14:paraId="5F512723">
      <w:pPr>
        <w:pStyle w:val="206"/>
        <w:rPr>
          <w:color w:val="000000" w:themeColor="text1"/>
          <w14:textFill>
            <w14:solidFill>
              <w14:schemeClr w14:val="tx1"/>
            </w14:solidFill>
          </w14:textFill>
        </w:rPr>
      </w:pPr>
      <w:r>
        <w:rPr>
          <w:color w:val="000000" w:themeColor="text1"/>
          <w14:textFill>
            <w14:solidFill>
              <w14:schemeClr w14:val="tx1"/>
            </w14:solidFill>
          </w14:textFill>
        </w:rPr>
        <w:object>
          <v:shape id="_x0000_i1026" o:spt="75" type="#_x0000_t75" style="height:123pt;width:374.5pt;" o:ole="t" filled="f" o:preferrelative="t" stroked="f" coordsize="21600,21600">
            <v:path/>
            <v:fill on="f" focussize="0,0"/>
            <v:stroke on="f" joinstyle="miter"/>
            <v:imagedata r:id="rId41" o:title=""/>
            <o:lock v:ext="edit" aspectratio="f"/>
            <w10:wrap type="none"/>
            <w10:anchorlock/>
          </v:shape>
          <o:OLEObject Type="Embed" ProgID="Visio.Drawing.11" ShapeID="_x0000_i1026" DrawAspect="Content" ObjectID="_1468075726" r:id="rId40">
            <o:LockedField>false</o:LockedField>
          </o:OLEObject>
        </w:object>
      </w:r>
    </w:p>
    <w:p w14:paraId="0ADE405C">
      <w:pPr>
        <w:pStyle w:val="206"/>
        <w:rPr>
          <w:snapToGrid w:val="0"/>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图3</w:t>
      </w:r>
      <w:r>
        <w:rPr>
          <w:color w:val="000000" w:themeColor="text1"/>
          <w:lang w:eastAsia="zh-CN"/>
          <w14:textFill>
            <w14:solidFill>
              <w14:schemeClr w14:val="tx1"/>
            </w14:solidFill>
          </w14:textFill>
        </w:rPr>
        <w:t>-4-</w:t>
      </w:r>
      <w:r>
        <w:rPr>
          <w:rFonts w:hint="eastAsia"/>
          <w:color w:val="000000" w:themeColor="text1"/>
          <w:lang w:val="en-US" w:eastAsia="zh-CN"/>
          <w14:textFill>
            <w14:solidFill>
              <w14:schemeClr w14:val="tx1"/>
            </w14:solidFill>
          </w14:textFill>
        </w:rPr>
        <w:t>4</w:t>
      </w:r>
      <w:r>
        <w:rPr>
          <w:color w:val="000000" w:themeColor="text1"/>
          <w:lang w:eastAsia="zh-CN"/>
          <w14:textFill>
            <w14:solidFill>
              <w14:schemeClr w14:val="tx1"/>
            </w14:solidFill>
          </w14:textFill>
        </w:rPr>
        <w:t xml:space="preserve"> CO</w:t>
      </w:r>
      <w:r>
        <w:rPr>
          <w:color w:val="000000" w:themeColor="text1"/>
          <w:vertAlign w:val="subscript"/>
          <w:lang w:eastAsia="zh-CN"/>
          <w14:textFill>
            <w14:solidFill>
              <w14:schemeClr w14:val="tx1"/>
            </w14:solidFill>
          </w14:textFill>
        </w:rPr>
        <w:t>2</w:t>
      </w:r>
      <w:r>
        <w:rPr>
          <w:rFonts w:hint="eastAsia"/>
          <w:color w:val="000000" w:themeColor="text1"/>
          <w:lang w:eastAsia="zh-CN"/>
          <w14:textFill>
            <w14:solidFill>
              <w14:schemeClr w14:val="tx1"/>
            </w14:solidFill>
          </w14:textFill>
        </w:rPr>
        <w:t>回收系统工艺流程图</w:t>
      </w:r>
    </w:p>
    <w:p w14:paraId="2E1EEB00">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3、纯水制备工艺</w:t>
      </w:r>
    </w:p>
    <w:p w14:paraId="5C8B2400">
      <w:pPr>
        <w:pStyle w:val="85"/>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本项目新建</w:t>
      </w:r>
      <w:r>
        <w:rPr>
          <w:rFonts w:hint="eastAsia"/>
          <w:snapToGrid w:val="0"/>
          <w:color w:val="000000" w:themeColor="text1"/>
          <w14:textFill>
            <w14:solidFill>
              <w14:schemeClr w14:val="tx1"/>
            </w14:solidFill>
          </w14:textFill>
        </w:rPr>
        <w:t>一套一体化纯净水设备制备纯水，原水</w:t>
      </w:r>
      <w:r>
        <w:rPr>
          <w:rFonts w:hint="eastAsia"/>
          <w:snapToGrid w:val="0"/>
          <w:color w:val="000000" w:themeColor="text1"/>
          <w:lang w:val="en-US" w:eastAsia="zh-CN"/>
          <w14:textFill>
            <w14:solidFill>
              <w14:schemeClr w14:val="tx1"/>
            </w14:solidFill>
          </w14:textFill>
        </w:rPr>
        <w:t>经砂滤+炭滤+RO反渗透过滤工艺，</w:t>
      </w:r>
      <w:r>
        <w:rPr>
          <w:rFonts w:hint="eastAsia"/>
          <w:snapToGrid w:val="0"/>
          <w:color w:val="000000" w:themeColor="text1"/>
          <w14:textFill>
            <w14:solidFill>
              <w14:schemeClr w14:val="tx1"/>
            </w14:solidFill>
          </w14:textFill>
        </w:rPr>
        <w:t>经处理后进入酿造水箱，再用加压泵送至厂区工艺用水点。</w:t>
      </w:r>
    </w:p>
    <w:p w14:paraId="5F707E3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纯水制备系统产水率约80%，纯水制备产生的废水进入厂区污水处理站处理，纯水制备设备在运行过程中产生的废过滤材料（废石英砂、废活性炭、废滤膜），收集后交由纯水设备公司回收处理。纯水制备流程如下图所示：</w:t>
      </w:r>
    </w:p>
    <w:p w14:paraId="15C2BE62">
      <w:pPr>
        <w:pStyle w:val="206"/>
        <w:rPr>
          <w:snapToGrid w:val="0"/>
          <w:color w:val="000000" w:themeColor="text1"/>
          <w14:textFill>
            <w14:solidFill>
              <w14:schemeClr w14:val="tx1"/>
            </w14:solidFill>
          </w14:textFill>
        </w:rPr>
      </w:pPr>
      <w:r>
        <w:rPr>
          <w:rFonts w:cs="Times New Roman"/>
          <w:color w:val="000000" w:themeColor="text1"/>
          <w14:textFill>
            <w14:solidFill>
              <w14:schemeClr w14:val="tx1"/>
            </w14:solidFill>
          </w14:textFill>
        </w:rPr>
        <w:drawing>
          <wp:inline distT="0" distB="0" distL="114300" distR="114300">
            <wp:extent cx="5196840" cy="616585"/>
            <wp:effectExtent l="0" t="0" r="3810" b="0"/>
            <wp:docPr id="4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9"/>
                    <pic:cNvPicPr>
                      <a:picLocks noChangeAspect="1"/>
                    </pic:cNvPicPr>
                  </pic:nvPicPr>
                  <pic:blipFill>
                    <a:blip r:embed="rId42"/>
                    <a:stretch>
                      <a:fillRect/>
                    </a:stretch>
                  </pic:blipFill>
                  <pic:spPr>
                    <a:xfrm>
                      <a:off x="0" y="0"/>
                      <a:ext cx="5270182" cy="625740"/>
                    </a:xfrm>
                    <a:prstGeom prst="rect">
                      <a:avLst/>
                    </a:prstGeom>
                    <a:noFill/>
                    <a:ln>
                      <a:noFill/>
                    </a:ln>
                  </pic:spPr>
                </pic:pic>
              </a:graphicData>
            </a:graphic>
          </wp:inline>
        </w:drawing>
      </w:r>
    </w:p>
    <w:p w14:paraId="3FEB69BE">
      <w:pPr>
        <w:pStyle w:val="206"/>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图3</w:t>
      </w:r>
      <w:r>
        <w:rPr>
          <w:snapToGrid w:val="0"/>
          <w:color w:val="000000" w:themeColor="text1"/>
          <w:lang w:eastAsia="zh-CN"/>
          <w14:textFill>
            <w14:solidFill>
              <w14:schemeClr w14:val="tx1"/>
            </w14:solidFill>
          </w14:textFill>
        </w:rPr>
        <w:t>-4-</w:t>
      </w:r>
      <w:r>
        <w:rPr>
          <w:rFonts w:hint="eastAsia"/>
          <w:snapToGrid w:val="0"/>
          <w:color w:val="000000" w:themeColor="text1"/>
          <w:lang w:val="en-US" w:eastAsia="zh-CN"/>
          <w14:textFill>
            <w14:solidFill>
              <w14:schemeClr w14:val="tx1"/>
            </w14:solidFill>
          </w14:textFill>
        </w:rPr>
        <w:t>5</w:t>
      </w:r>
      <w:r>
        <w:rPr>
          <w:snapToGrid w:val="0"/>
          <w:color w:val="000000" w:themeColor="text1"/>
          <w:lang w:eastAsia="zh-CN"/>
          <w14:textFill>
            <w14:solidFill>
              <w14:schemeClr w14:val="tx1"/>
            </w14:solidFill>
          </w14:textFill>
        </w:rPr>
        <w:t xml:space="preserve"> </w:t>
      </w:r>
      <w:r>
        <w:rPr>
          <w:rFonts w:hint="eastAsia"/>
          <w:snapToGrid w:val="0"/>
          <w:color w:val="000000" w:themeColor="text1"/>
          <w:lang w:eastAsia="zh-CN"/>
          <w14:textFill>
            <w14:solidFill>
              <w14:schemeClr w14:val="tx1"/>
            </w14:solidFill>
          </w14:textFill>
        </w:rPr>
        <w:t>纯水制备工艺流程图</w:t>
      </w:r>
    </w:p>
    <w:p w14:paraId="2B61FE6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4、锅炉软水制备工艺</w:t>
      </w:r>
    </w:p>
    <w:p w14:paraId="57F1152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根据《工业锅炉水质》（GB/T 1576-2018），锅炉采用锅外水处理时，对给水水质有特别的要求，本项目</w:t>
      </w:r>
      <w:r>
        <w:rPr>
          <w:rFonts w:hint="eastAsia"/>
          <w:snapToGrid w:val="0"/>
          <w:color w:val="000000" w:themeColor="text1"/>
          <w:lang w:eastAsia="zh-CN"/>
          <w14:textFill>
            <w14:solidFill>
              <w14:schemeClr w14:val="tx1"/>
            </w14:solidFill>
          </w14:textFill>
        </w:rPr>
        <w:t>天然气锅炉</w:t>
      </w:r>
      <w:r>
        <w:rPr>
          <w:rFonts w:hint="eastAsia"/>
          <w:snapToGrid w:val="0"/>
          <w:color w:val="000000" w:themeColor="text1"/>
          <w14:textFill>
            <w14:solidFill>
              <w14:schemeClr w14:val="tx1"/>
            </w14:solidFill>
          </w14:textFill>
        </w:rPr>
        <w:t>用水参照《工业锅炉水质》（GB/T 1576-2018），浊度（FTU）≤5.0、硬度（mmol/L）≤0.03。本项目</w:t>
      </w:r>
      <w:r>
        <w:rPr>
          <w:rFonts w:hint="eastAsia"/>
          <w:snapToGrid w:val="0"/>
          <w:color w:val="000000" w:themeColor="text1"/>
          <w:lang w:eastAsia="zh-CN"/>
          <w14:textFill>
            <w14:solidFill>
              <w14:schemeClr w14:val="tx1"/>
            </w14:solidFill>
          </w14:textFill>
        </w:rPr>
        <w:t>天然气锅炉</w:t>
      </w:r>
      <w:r>
        <w:rPr>
          <w:rFonts w:hint="eastAsia"/>
          <w:snapToGrid w:val="0"/>
          <w:color w:val="000000" w:themeColor="text1"/>
          <w14:textFill>
            <w14:solidFill>
              <w14:schemeClr w14:val="tx1"/>
            </w14:solidFill>
          </w14:textFill>
        </w:rPr>
        <w:t>配套设置软化水制备系统，采用常用的离子交换法制备进行软化水制备，制水效率约为80%。</w:t>
      </w:r>
    </w:p>
    <w:p w14:paraId="3AE887D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水的硬度主要是由其中的阳离子：钙</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Ca</w:t>
      </w:r>
      <w:r>
        <w:rPr>
          <w:snapToGrid w:val="0"/>
          <w:color w:val="000000" w:themeColor="text1"/>
          <w:vertAlign w:val="superscript"/>
          <w14:textFill>
            <w14:solidFill>
              <w14:schemeClr w14:val="tx1"/>
            </w14:solidFill>
          </w14:textFill>
        </w:rPr>
        <w:t>2+</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、镁</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Mg</w:t>
      </w:r>
      <w:r>
        <w:rPr>
          <w:snapToGrid w:val="0"/>
          <w:color w:val="000000" w:themeColor="text1"/>
          <w:vertAlign w:val="superscript"/>
          <w14:textFill>
            <w14:solidFill>
              <w14:schemeClr w14:val="tx1"/>
            </w14:solidFill>
          </w14:textFill>
        </w:rPr>
        <w:t>2+</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离子构成的。当含有硬度离子的原水通过交换器树脂层时，水中的钙、镁离子与树脂内的钠离子发生置换，树脂吸附了钙、镁离子而钠离子进入水中，这样从交换器内流出的水就是去掉了硬度离子的软化水。随着交换过程的不断进行，工作一段时间后的设备，会在树脂上部拦截很多由原水带来的污物，把这些污物除去后，离子交换树脂才能完全暴露出来，再生的效果才能得到保证。反洗过程就是水从树脂的底部洗入，从顶部流出，这样可以把顶部拦截下来的污物冲走。</w:t>
      </w:r>
    </w:p>
    <w:p w14:paraId="35D0670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产污环节：软水制备过程产生废离子交换树脂、软水制备废水。</w:t>
      </w:r>
    </w:p>
    <w:p w14:paraId="5C731800">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5、沼气工程</w:t>
      </w:r>
    </w:p>
    <w:p w14:paraId="1D1DE53C">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本项目主要污水处理站设置U</w:t>
      </w:r>
      <w:r>
        <w:rPr>
          <w:snapToGrid w:val="0"/>
          <w:color w:val="000000" w:themeColor="text1"/>
          <w14:textFill>
            <w14:solidFill>
              <w14:schemeClr w14:val="tx1"/>
            </w14:solidFill>
          </w14:textFill>
        </w:rPr>
        <w:t>ASB</w:t>
      </w:r>
      <w:r>
        <w:rPr>
          <w:rFonts w:hint="eastAsia"/>
          <w:snapToGrid w:val="0"/>
          <w:color w:val="000000" w:themeColor="text1"/>
          <w14:textFill>
            <w14:solidFill>
              <w14:schemeClr w14:val="tx1"/>
            </w14:solidFill>
          </w14:textFill>
        </w:rPr>
        <w:t>厌氧反应器，处理过程会产生沼气。</w:t>
      </w:r>
      <w:r>
        <w:rPr>
          <w:snapToGrid w:val="0"/>
          <w:color w:val="000000" w:themeColor="text1"/>
          <w14:textFill>
            <w14:solidFill>
              <w14:schemeClr w14:val="tx1"/>
            </w14:solidFill>
          </w14:textFill>
        </w:rPr>
        <w:t>沼气</w:t>
      </w:r>
      <w:r>
        <w:rPr>
          <w:rFonts w:hint="eastAsia"/>
          <w:snapToGrid w:val="0"/>
          <w:color w:val="000000" w:themeColor="text1"/>
          <w14:textFill>
            <w14:solidFill>
              <w14:schemeClr w14:val="tx1"/>
            </w14:solidFill>
          </w14:textFill>
        </w:rPr>
        <w:t>产生后</w:t>
      </w:r>
      <w:r>
        <w:rPr>
          <w:snapToGrid w:val="0"/>
          <w:color w:val="000000" w:themeColor="text1"/>
          <w14:textFill>
            <w14:solidFill>
              <w14:schemeClr w14:val="tx1"/>
            </w14:solidFill>
          </w14:textFill>
        </w:rPr>
        <w:t>暂存于</w:t>
      </w:r>
      <w:r>
        <w:rPr>
          <w:rFonts w:hint="eastAsia"/>
          <w:snapToGrid w:val="0"/>
          <w:color w:val="000000" w:themeColor="text1"/>
          <w14:textFill>
            <w14:solidFill>
              <w14:schemeClr w14:val="tx1"/>
            </w14:solidFill>
          </w14:textFill>
        </w:rPr>
        <w:t>沼气室</w:t>
      </w:r>
      <w:r>
        <w:rPr>
          <w:snapToGrid w:val="0"/>
          <w:color w:val="000000" w:themeColor="text1"/>
          <w14:textFill>
            <w14:solidFill>
              <w14:schemeClr w14:val="tx1"/>
            </w14:solidFill>
          </w14:textFill>
        </w:rPr>
        <w:t>内，</w:t>
      </w:r>
      <w:r>
        <w:rPr>
          <w:rFonts w:hint="eastAsia"/>
          <w:snapToGrid w:val="0"/>
          <w:color w:val="000000" w:themeColor="text1"/>
          <w14:textFill>
            <w14:solidFill>
              <w14:schemeClr w14:val="tx1"/>
            </w14:solidFill>
          </w14:textFill>
        </w:rPr>
        <w:t>定期</w:t>
      </w:r>
      <w:r>
        <w:rPr>
          <w:snapToGrid w:val="0"/>
          <w:color w:val="000000" w:themeColor="text1"/>
          <w14:textFill>
            <w14:solidFill>
              <w14:schemeClr w14:val="tx1"/>
            </w14:solidFill>
          </w14:textFill>
        </w:rPr>
        <w:t>采取燃烧排空方式处理，本项目配套一套</w:t>
      </w:r>
      <w:bookmarkStart w:id="122" w:name="_Hlk205152067"/>
      <w:r>
        <w:rPr>
          <w:rFonts w:hint="eastAsia"/>
          <w:snapToGrid w:val="0"/>
          <w:color w:val="000000" w:themeColor="text1"/>
          <w14:textFill>
            <w14:solidFill>
              <w14:schemeClr w14:val="tx1"/>
            </w14:solidFill>
          </w14:textFill>
        </w:rPr>
        <w:t>沼气自动燃烧器</w:t>
      </w:r>
      <w:bookmarkEnd w:id="122"/>
      <w:r>
        <w:rPr>
          <w:snapToGrid w:val="0"/>
          <w:color w:val="000000" w:themeColor="text1"/>
          <w14:textFill>
            <w14:solidFill>
              <w14:schemeClr w14:val="tx1"/>
            </w14:solidFill>
          </w14:textFill>
        </w:rPr>
        <w:t>。</w:t>
      </w:r>
    </w:p>
    <w:p w14:paraId="1EEFE5B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沼气是多种气体的混合物，一般含甲烷50~70%，其余为二氧化碳和少量的氮、氢和硫化氢等，甲烷是一种理想的气体燃料，它无色无味，与适量空气混合后即可燃烧。</w:t>
      </w:r>
      <w:r>
        <w:rPr>
          <w:rFonts w:hint="eastAsia"/>
          <w:snapToGrid w:val="0"/>
          <w:color w:val="000000" w:themeColor="text1"/>
          <w14:textFill>
            <w14:solidFill>
              <w14:schemeClr w14:val="tx1"/>
            </w14:solidFill>
          </w14:textFill>
        </w:rPr>
        <w:t>沼气发酵时由于微生物对蛋白质的分解会产生一定量</w:t>
      </w: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r>
        <w:rPr>
          <w:rFonts w:hint="eastAsia"/>
          <w:snapToGrid w:val="0"/>
          <w:color w:val="000000" w:themeColor="text1"/>
          <w14:textFill>
            <w14:solidFill>
              <w14:schemeClr w14:val="tx1"/>
            </w14:solidFill>
          </w14:textFill>
        </w:rPr>
        <w:t>气体进入沼气，其浓度范围在</w:t>
      </w:r>
      <w:r>
        <w:rPr>
          <w:snapToGrid w:val="0"/>
          <w:color w:val="000000" w:themeColor="text1"/>
          <w14:textFill>
            <w14:solidFill>
              <w14:schemeClr w14:val="tx1"/>
            </w14:solidFill>
          </w14:textFill>
        </w:rPr>
        <w:t>2~4g/m</w:t>
      </w:r>
      <w:r>
        <w:rPr>
          <w:snapToGrid w:val="0"/>
          <w:color w:val="000000" w:themeColor="text1"/>
          <w:vertAlign w:val="superscript"/>
          <w14:textFill>
            <w14:solidFill>
              <w14:schemeClr w14:val="tx1"/>
            </w14:solidFill>
          </w14:textFill>
        </w:rPr>
        <w:t>3</w:t>
      </w:r>
      <w:r>
        <w:rPr>
          <w:rFonts w:hint="eastAsia"/>
          <w:snapToGrid w:val="0"/>
          <w:color w:val="000000" w:themeColor="text1"/>
          <w14:textFill>
            <w14:solidFill>
              <w14:schemeClr w14:val="tx1"/>
            </w14:solidFill>
          </w14:textFill>
        </w:rPr>
        <w:t>，若不进行处理而直接作为燃料燃烧，将会对周围环境造成一定危害，这将直接限制沼气的利用发展。因此，沼气利用系统必须设置脱硫装置。</w:t>
      </w:r>
    </w:p>
    <w:p w14:paraId="4F6E47E7">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综上，</w:t>
      </w:r>
      <w:r>
        <w:rPr>
          <w:snapToGrid w:val="0"/>
          <w:color w:val="000000" w:themeColor="text1"/>
          <w14:textFill>
            <w14:solidFill>
              <w14:schemeClr w14:val="tx1"/>
            </w14:solidFill>
          </w14:textFill>
        </w:rPr>
        <w:t>本项目沼气经过脱硫装置脱硫净化后通过</w:t>
      </w:r>
      <w:r>
        <w:rPr>
          <w:rFonts w:hint="eastAsia"/>
          <w:snapToGrid w:val="0"/>
          <w:color w:val="000000" w:themeColor="text1"/>
          <w14:textFill>
            <w14:solidFill>
              <w14:schemeClr w14:val="tx1"/>
            </w14:solidFill>
          </w14:textFill>
        </w:rPr>
        <w:t>沼气自动燃烧器燃烧</w:t>
      </w:r>
      <w:r>
        <w:rPr>
          <w:snapToGrid w:val="0"/>
          <w:color w:val="000000" w:themeColor="text1"/>
          <w14:textFill>
            <w14:solidFill>
              <w14:schemeClr w14:val="tx1"/>
            </w14:solidFill>
          </w14:textFill>
        </w:rPr>
        <w:t>方式处理，有烟气产生。</w:t>
      </w:r>
    </w:p>
    <w:p w14:paraId="10BD30D8">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1</w:t>
      </w:r>
      <w:r>
        <w:rPr>
          <w:rFonts w:hint="eastAsia"/>
          <w:snapToGrid w:val="0"/>
          <w:color w:val="000000" w:themeColor="text1"/>
          <w14:textFill>
            <w14:solidFill>
              <w14:schemeClr w14:val="tx1"/>
            </w14:solidFill>
          </w14:textFill>
        </w:rPr>
        <w:t>）沼气干法脱硫工艺流程简介</w:t>
      </w:r>
    </w:p>
    <w:p w14:paraId="27F30D55">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本工程采用干法脱硫。干法脱硫是在圆柱状脱硫装置内装填一定高度的脱硫剂，沼气自下而上通过脱硫剂，H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S被去除，实现脱硫过程。一般干法脱硫常用的脱硫剂为</w:t>
      </w:r>
      <w:r>
        <w:rPr>
          <w:rFonts w:hint="eastAsia"/>
          <w:snapToGrid w:val="0"/>
          <w:color w:val="000000" w:themeColor="text1"/>
          <w14:textFill>
            <w14:solidFill>
              <w14:schemeClr w14:val="tx1"/>
            </w14:solidFill>
          </w14:textFill>
        </w:rPr>
        <w:t>三氧化二铁</w:t>
      </w:r>
      <w:r>
        <w:rPr>
          <w:snapToGrid w:val="0"/>
          <w:color w:val="000000" w:themeColor="text1"/>
          <w14:textFill>
            <w14:solidFill>
              <w14:schemeClr w14:val="tx1"/>
            </w14:solidFill>
          </w14:textFill>
        </w:rPr>
        <w:t>，其粒状为圆柱状。氧化铁干法脱硫的原理分为氧化反应和还原再生反应两部分，具体如下：</w:t>
      </w:r>
    </w:p>
    <w:p w14:paraId="72CC3B18">
      <w:pPr>
        <w:pStyle w:val="143"/>
        <w:adjustRightInd/>
        <w:snapToGrid/>
        <w:spacing w:line="500" w:lineRule="exact"/>
        <w:rPr>
          <w:snapToGrid w:val="0"/>
          <w:color w:val="000000" w:themeColor="text1"/>
          <w:sz w:val="24"/>
          <w:szCs w:val="28"/>
          <w14:textFill>
            <w14:solidFill>
              <w14:schemeClr w14:val="tx1"/>
            </w14:solidFill>
          </w14:textFill>
        </w:rPr>
      </w:pPr>
      <w:r>
        <w:rPr>
          <w:snapToGrid w:val="0"/>
          <w:color w:val="000000" w:themeColor="text1"/>
          <w:sz w:val="24"/>
          <w:szCs w:val="28"/>
          <w14:textFill>
            <w14:solidFill>
              <w14:schemeClr w14:val="tx1"/>
            </w14:solidFill>
          </w14:textFill>
        </w:rPr>
        <w:t>Fe</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O</w:t>
      </w:r>
      <w:r>
        <w:rPr>
          <w:snapToGrid w:val="0"/>
          <w:color w:val="000000" w:themeColor="text1"/>
          <w:sz w:val="24"/>
          <w:szCs w:val="28"/>
          <w:vertAlign w:val="subscript"/>
          <w14:textFill>
            <w14:solidFill>
              <w14:schemeClr w14:val="tx1"/>
            </w14:solidFill>
          </w14:textFill>
        </w:rPr>
        <w:t>3</w:t>
      </w:r>
      <w:r>
        <w:rPr>
          <w:snapToGrid w:val="0"/>
          <w:color w:val="000000" w:themeColor="text1"/>
          <w:sz w:val="24"/>
          <w:szCs w:val="28"/>
          <w14:textFill>
            <w14:solidFill>
              <w14:schemeClr w14:val="tx1"/>
            </w14:solidFill>
          </w14:textFill>
        </w:rPr>
        <w:t>·H</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O+3H</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S=Fe</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S</w:t>
      </w:r>
      <w:r>
        <w:rPr>
          <w:snapToGrid w:val="0"/>
          <w:color w:val="000000" w:themeColor="text1"/>
          <w:sz w:val="24"/>
          <w:szCs w:val="28"/>
          <w:vertAlign w:val="subscript"/>
          <w14:textFill>
            <w14:solidFill>
              <w14:schemeClr w14:val="tx1"/>
            </w14:solidFill>
          </w14:textFill>
        </w:rPr>
        <w:t>3</w:t>
      </w:r>
      <w:r>
        <w:rPr>
          <w:snapToGrid w:val="0"/>
          <w:color w:val="000000" w:themeColor="text1"/>
          <w:sz w:val="24"/>
          <w:szCs w:val="28"/>
          <w14:textFill>
            <w14:solidFill>
              <w14:schemeClr w14:val="tx1"/>
            </w14:solidFill>
          </w14:textFill>
        </w:rPr>
        <w:t>-H</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O+3H</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O</w:t>
      </w:r>
    </w:p>
    <w:p w14:paraId="2003FEC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由上面的反应方程式可以看出，Fe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O；吸收H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S变成Fe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，随着沼气的不断产生，氧化铁吸收H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S，当吸收H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S达到一定的量，H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S的去除率将大大降低，直至失效。Fe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是可以还原再生的，与O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和H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O发生化学反应可还原为Fe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，原理如下：</w:t>
      </w:r>
    </w:p>
    <w:p w14:paraId="54520A42">
      <w:pPr>
        <w:pStyle w:val="143"/>
        <w:adjustRightInd/>
        <w:snapToGrid/>
        <w:spacing w:line="500" w:lineRule="exact"/>
        <w:rPr>
          <w:snapToGrid w:val="0"/>
          <w:color w:val="000000" w:themeColor="text1"/>
          <w:sz w:val="24"/>
          <w:szCs w:val="28"/>
          <w14:textFill>
            <w14:solidFill>
              <w14:schemeClr w14:val="tx1"/>
            </w14:solidFill>
          </w14:textFill>
        </w:rPr>
      </w:pPr>
      <w:r>
        <w:rPr>
          <w:snapToGrid w:val="0"/>
          <w:color w:val="000000" w:themeColor="text1"/>
          <w:sz w:val="24"/>
          <w:szCs w:val="28"/>
          <w14:textFill>
            <w14:solidFill>
              <w14:schemeClr w14:val="tx1"/>
            </w14:solidFill>
          </w14:textFill>
        </w:rPr>
        <w:t>2Fe</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S</w:t>
      </w:r>
      <w:r>
        <w:rPr>
          <w:snapToGrid w:val="0"/>
          <w:color w:val="000000" w:themeColor="text1"/>
          <w:sz w:val="24"/>
          <w:szCs w:val="28"/>
          <w:vertAlign w:val="subscript"/>
          <w14:textFill>
            <w14:solidFill>
              <w14:schemeClr w14:val="tx1"/>
            </w14:solidFill>
          </w14:textFill>
        </w:rPr>
        <w:t>3</w:t>
      </w:r>
      <w:r>
        <w:rPr>
          <w:snapToGrid w:val="0"/>
          <w:color w:val="000000" w:themeColor="text1"/>
          <w:sz w:val="24"/>
          <w:szCs w:val="28"/>
          <w14:textFill>
            <w14:solidFill>
              <w14:schemeClr w14:val="tx1"/>
            </w14:solidFill>
          </w14:textFill>
        </w:rPr>
        <w:t>·H</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O+3O</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=2Fe</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O</w:t>
      </w:r>
      <w:r>
        <w:rPr>
          <w:snapToGrid w:val="0"/>
          <w:color w:val="000000" w:themeColor="text1"/>
          <w:sz w:val="24"/>
          <w:szCs w:val="28"/>
          <w:vertAlign w:val="subscript"/>
          <w14:textFill>
            <w14:solidFill>
              <w14:schemeClr w14:val="tx1"/>
            </w14:solidFill>
          </w14:textFill>
        </w:rPr>
        <w:t>3</w:t>
      </w:r>
      <w:r>
        <w:rPr>
          <w:snapToGrid w:val="0"/>
          <w:color w:val="000000" w:themeColor="text1"/>
          <w:sz w:val="24"/>
          <w:szCs w:val="28"/>
          <w14:textFill>
            <w14:solidFill>
              <w14:schemeClr w14:val="tx1"/>
            </w14:solidFill>
          </w14:textFill>
        </w:rPr>
        <w:t>-H</w:t>
      </w:r>
      <w:r>
        <w:rPr>
          <w:snapToGrid w:val="0"/>
          <w:color w:val="000000" w:themeColor="text1"/>
          <w:sz w:val="24"/>
          <w:szCs w:val="28"/>
          <w:vertAlign w:val="subscript"/>
          <w14:textFill>
            <w14:solidFill>
              <w14:schemeClr w14:val="tx1"/>
            </w14:solidFill>
          </w14:textFill>
        </w:rPr>
        <w:t>2</w:t>
      </w:r>
      <w:r>
        <w:rPr>
          <w:snapToGrid w:val="0"/>
          <w:color w:val="000000" w:themeColor="text1"/>
          <w:sz w:val="24"/>
          <w:szCs w:val="28"/>
          <w14:textFill>
            <w14:solidFill>
              <w14:schemeClr w14:val="tx1"/>
            </w14:solidFill>
          </w14:textFill>
        </w:rPr>
        <w:t>O+6S</w:t>
      </w:r>
    </w:p>
    <w:p w14:paraId="6A606A6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综合以上两反应式，沼气脱硫反应式如下：</w:t>
      </w:r>
    </w:p>
    <w:p w14:paraId="0FDDF45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S+1/2O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O（反应条件是Fe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O）由以上化学反应方程式可以看出，Fe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0</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吸收H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S变成Fe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S；要还原成Fe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，需要O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，通过鼓风机在脱硫装置之前向沼气中投加空气即可满足脱硫剂还原对O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的要求。</w:t>
      </w:r>
    </w:p>
    <w:p w14:paraId="50F4678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因此，在沼气进入脱硫装置通过脱硫剂时，同时鼓入空气，脱硫剂吸收H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S失效，空气中的O</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将失效的脱硫剂还原再生成Fe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O；，此工艺即为沼气干法脱硫的连续再生工艺。</w:t>
      </w:r>
    </w:p>
    <w:p w14:paraId="4B358F4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Fe</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脱硫剂为条状多孔结构固体，对H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S能进行快速的不可逆化学吸附，数秒内可将H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S脱除到1×10</w:t>
      </w:r>
      <w:r>
        <w:rPr>
          <w:snapToGrid w:val="0"/>
          <w:color w:val="000000" w:themeColor="text1"/>
          <w:vertAlign w:val="superscript"/>
          <w14:textFill>
            <w14:solidFill>
              <w14:schemeClr w14:val="tx1"/>
            </w14:solidFill>
          </w14:textFill>
        </w:rPr>
        <w:t>6</w:t>
      </w:r>
      <w:r>
        <w:rPr>
          <w:snapToGrid w:val="0"/>
          <w:color w:val="000000" w:themeColor="text1"/>
          <w14:textFill>
            <w14:solidFill>
              <w14:schemeClr w14:val="tx1"/>
            </w14:solidFill>
          </w14:textFill>
        </w:rPr>
        <w:t>以下。脱硫剂工作一定时间后，其活性会逐渐下降，脱硫效果逐渐变差。当脱硫装置出口沼气中H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S的含量超过20mg/m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时，就需要对脱硫剂进行处理。</w:t>
      </w:r>
    </w:p>
    <w:p w14:paraId="60C63E5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当脱硫剂中硫未达到30%时，脱硫剂可进行再生；若脱硫剂硫容超过30%时，就要更新脱硫剂。项目一年更换一次脱硫剂。更换后由厂家回收。</w:t>
      </w:r>
    </w:p>
    <w:p w14:paraId="3052FF4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干法脱硫装置包括要包括主体钢结构、脱硫剂填料、观察窗、压力表、温度表等组件。项目干法脱硫装置设计规模为30m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/h，操作压力≤15kpa，阻力≤15kpa，净化率≥95%。</w:t>
      </w:r>
    </w:p>
    <w:p w14:paraId="512A740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项目沼气经净化处理后通过</w:t>
      </w:r>
      <w:r>
        <w:rPr>
          <w:rFonts w:hint="eastAsia"/>
          <w:snapToGrid w:val="0"/>
          <w:color w:val="000000" w:themeColor="text1"/>
          <w14:textFill>
            <w14:solidFill>
              <w14:schemeClr w14:val="tx1"/>
            </w14:solidFill>
          </w14:textFill>
        </w:rPr>
        <w:t>沼气自动燃烧器</w:t>
      </w:r>
      <w:r>
        <w:rPr>
          <w:snapToGrid w:val="0"/>
          <w:color w:val="000000" w:themeColor="text1"/>
          <w14:textFill>
            <w14:solidFill>
              <w14:schemeClr w14:val="tx1"/>
            </w14:solidFill>
          </w14:textFill>
        </w:rPr>
        <w:t>燃烧排放。沼气属于清洁能源，燃烧</w:t>
      </w:r>
      <w:r>
        <w:rPr>
          <w:rFonts w:hint="eastAsia"/>
          <w:snapToGrid w:val="0"/>
          <w:color w:val="000000" w:themeColor="text1"/>
          <w14:textFill>
            <w14:solidFill>
              <w14:schemeClr w14:val="tx1"/>
            </w14:solidFill>
          </w14:textFill>
        </w:rPr>
        <w:t>后污染物对外环境影响较小</w:t>
      </w:r>
      <w:r>
        <w:rPr>
          <w:snapToGrid w:val="0"/>
          <w:color w:val="000000" w:themeColor="text1"/>
          <w14:textFill>
            <w14:solidFill>
              <w14:schemeClr w14:val="tx1"/>
            </w14:solidFill>
          </w14:textFill>
        </w:rPr>
        <w:t>。</w:t>
      </w:r>
    </w:p>
    <w:p w14:paraId="30038248">
      <w:pPr>
        <w:pStyle w:val="5"/>
        <w:rPr>
          <w:snapToGrid w:val="0"/>
          <w:color w:val="000000" w:themeColor="text1"/>
          <w14:textFill>
            <w14:solidFill>
              <w14:schemeClr w14:val="tx1"/>
            </w14:solidFill>
          </w14:textFill>
        </w:rPr>
      </w:pPr>
      <w:bookmarkStart w:id="123" w:name="_Toc7925"/>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5</w:t>
      </w:r>
      <w:r>
        <w:rPr>
          <w:rFonts w:hint="eastAsia"/>
          <w:snapToGrid w:val="0"/>
          <w:color w:val="000000" w:themeColor="text1"/>
          <w14:textFill>
            <w14:solidFill>
              <w14:schemeClr w14:val="tx1"/>
            </w14:solidFill>
          </w14:textFill>
        </w:rPr>
        <w:t>项目生产工艺产污环节</w:t>
      </w:r>
      <w:bookmarkEnd w:id="123"/>
    </w:p>
    <w:p w14:paraId="3BEC8A02">
      <w:pPr>
        <w:pStyle w:val="6"/>
        <w:rPr>
          <w:snapToGrid w:val="0"/>
          <w:color w:val="000000" w:themeColor="text1"/>
          <w14:textFill>
            <w14:solidFill>
              <w14:schemeClr w14:val="tx1"/>
            </w14:solidFill>
          </w14:textFill>
        </w:rPr>
      </w:pPr>
      <w:bookmarkStart w:id="124" w:name="_Toc29498"/>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.5.1</w:t>
      </w:r>
      <w:r>
        <w:rPr>
          <w:rFonts w:hint="eastAsia"/>
          <w:snapToGrid w:val="0"/>
          <w:color w:val="000000" w:themeColor="text1"/>
          <w14:textFill>
            <w14:solidFill>
              <w14:schemeClr w14:val="tx1"/>
            </w14:solidFill>
          </w14:textFill>
        </w:rPr>
        <w:t>施工期产污环节分析</w:t>
      </w:r>
      <w:bookmarkEnd w:id="124"/>
    </w:p>
    <w:p w14:paraId="3095F012">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施工活动的工程内容主要为：平整土地、建筑施工、管线铺设、设备安装和景观绿化，主要影响范围为项目厂区区域，施工过程将产生施工扬尘、施工废水、施工噪声、施工固废及生活垃圾等污染物，主要环境影响因子包括环境空气、水环境、声环境、生态环境及少量水土流失等。</w:t>
      </w:r>
    </w:p>
    <w:p w14:paraId="0A019861">
      <w:pPr>
        <w:pStyle w:val="6"/>
        <w:rPr>
          <w:snapToGrid w:val="0"/>
          <w:color w:val="000000" w:themeColor="text1"/>
          <w14:textFill>
            <w14:solidFill>
              <w14:schemeClr w14:val="tx1"/>
            </w14:solidFill>
          </w14:textFill>
        </w:rPr>
      </w:pPr>
      <w:bookmarkStart w:id="125" w:name="_Toc22877"/>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.5.2</w:t>
      </w:r>
      <w:r>
        <w:rPr>
          <w:rFonts w:hint="eastAsia"/>
          <w:snapToGrid w:val="0"/>
          <w:color w:val="000000" w:themeColor="text1"/>
          <w14:textFill>
            <w14:solidFill>
              <w14:schemeClr w14:val="tx1"/>
            </w14:solidFill>
          </w14:textFill>
        </w:rPr>
        <w:t>运营期产污环节分析</w:t>
      </w:r>
      <w:bookmarkEnd w:id="125"/>
    </w:p>
    <w:p w14:paraId="0D1CFC37">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由工艺流程及产污环节分析可知，运营期的污染因素包括废气、废水、设备噪声和固体废物等，主要产污环节及污染因子见下表</w:t>
      </w:r>
    </w:p>
    <w:p w14:paraId="69DA9B60">
      <w:pPr>
        <w:pStyle w:val="206"/>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表3</w:t>
      </w:r>
      <w:r>
        <w:rPr>
          <w:color w:val="000000" w:themeColor="text1"/>
          <w:lang w:eastAsia="zh-CN"/>
          <w14:textFill>
            <w14:solidFill>
              <w14:schemeClr w14:val="tx1"/>
            </w14:solidFill>
          </w14:textFill>
        </w:rPr>
        <w:t xml:space="preserve">-5-1 </w:t>
      </w:r>
      <w:r>
        <w:rPr>
          <w:rFonts w:hint="eastAsia"/>
          <w:color w:val="000000" w:themeColor="text1"/>
          <w:lang w:eastAsia="zh-CN"/>
          <w14:textFill>
            <w14:solidFill>
              <w14:schemeClr w14:val="tx1"/>
            </w14:solidFill>
          </w14:textFill>
        </w:rPr>
        <w:t>本项目</w:t>
      </w:r>
      <w:r>
        <w:rPr>
          <w:rFonts w:hint="eastAsia"/>
          <w:color w:val="000000" w:themeColor="text1"/>
          <w:lang w:val="en-US" w:eastAsia="zh-CN"/>
          <w14:textFill>
            <w14:solidFill>
              <w14:schemeClr w14:val="tx1"/>
            </w14:solidFill>
          </w14:textFill>
        </w:rPr>
        <w:t>主要产污环节及污染因子</w:t>
      </w:r>
    </w:p>
    <w:tbl>
      <w:tblPr>
        <w:tblStyle w:val="418"/>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93"/>
        <w:gridCol w:w="1143"/>
        <w:gridCol w:w="2067"/>
        <w:gridCol w:w="4500"/>
      </w:tblGrid>
      <w:tr w14:paraId="092D9C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2" w:hRule="atLeast"/>
        </w:trPr>
        <w:tc>
          <w:tcPr>
            <w:tcW w:w="357" w:type="pct"/>
            <w:vAlign w:val="center"/>
          </w:tcPr>
          <w:p w14:paraId="7B627EA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类别</w:t>
            </w:r>
          </w:p>
        </w:tc>
        <w:tc>
          <w:tcPr>
            <w:tcW w:w="688" w:type="pct"/>
            <w:vAlign w:val="center"/>
          </w:tcPr>
          <w:p w14:paraId="0CA24DC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产污环节</w:t>
            </w:r>
          </w:p>
        </w:tc>
        <w:tc>
          <w:tcPr>
            <w:tcW w:w="1244" w:type="pct"/>
            <w:vAlign w:val="center"/>
          </w:tcPr>
          <w:p w14:paraId="498D7A51">
            <w:pPr>
              <w:pStyle w:val="143"/>
              <w:rPr>
                <w:rFonts w:hint="eastAsia" w:eastAsia="宋体"/>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主要</w:t>
            </w:r>
            <w:r>
              <w:rPr>
                <w:rFonts w:hint="eastAsia"/>
                <w:snapToGrid w:val="0"/>
                <w:color w:val="000000" w:themeColor="text1"/>
                <w:kern w:val="0"/>
                <w:lang w:val="en-US" w:eastAsia="zh-CN"/>
                <w14:textFill>
                  <w14:solidFill>
                    <w14:schemeClr w14:val="tx1"/>
                  </w14:solidFill>
                </w14:textFill>
              </w:rPr>
              <w:t>污染物</w:t>
            </w:r>
          </w:p>
        </w:tc>
        <w:tc>
          <w:tcPr>
            <w:tcW w:w="2709" w:type="pct"/>
            <w:vAlign w:val="center"/>
          </w:tcPr>
          <w:p w14:paraId="6432BA9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排放去向</w:t>
            </w:r>
          </w:p>
        </w:tc>
      </w:tr>
      <w:tr w14:paraId="32B9CE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357" w:type="pct"/>
            <w:vMerge w:val="restart"/>
            <w:vAlign w:val="center"/>
          </w:tcPr>
          <w:p w14:paraId="35DEC1E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废气</w:t>
            </w:r>
          </w:p>
        </w:tc>
        <w:tc>
          <w:tcPr>
            <w:tcW w:w="688" w:type="pct"/>
            <w:vAlign w:val="center"/>
          </w:tcPr>
          <w:p w14:paraId="3DC1869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污水处理站</w:t>
            </w:r>
          </w:p>
        </w:tc>
        <w:tc>
          <w:tcPr>
            <w:tcW w:w="1244" w:type="pct"/>
            <w:vAlign w:val="center"/>
          </w:tcPr>
          <w:p w14:paraId="4455609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NH</w:t>
            </w:r>
            <w:r>
              <w:rPr>
                <w:snapToGrid w:val="0"/>
                <w:vanish/>
                <w:color w:val="000000" w:themeColor="text1"/>
                <w:kern w:val="0"/>
                <w:vertAlign w:val="subscript"/>
                <w14:textFill>
                  <w14:solidFill>
                    <w14:schemeClr w14:val="tx1"/>
                  </w14:solidFill>
                </w14:textFill>
              </w:rPr>
              <w:t>3</w:t>
            </w:r>
            <w:r>
              <w:rPr>
                <w:snapToGrid w:val="0"/>
                <w:color w:val="000000" w:themeColor="text1"/>
                <w:kern w:val="0"/>
                <w14:textFill>
                  <w14:solidFill>
                    <w14:schemeClr w14:val="tx1"/>
                  </w14:solidFill>
                </w14:textFill>
              </w:rPr>
              <w:t>、H</w:t>
            </w:r>
            <w:r>
              <w:rPr>
                <w:snapToGrid w:val="0"/>
                <w:color w:val="000000" w:themeColor="text1"/>
                <w:kern w:val="0"/>
                <w:vertAlign w:val="subscript"/>
                <w14:textFill>
                  <w14:solidFill>
                    <w14:schemeClr w14:val="tx1"/>
                  </w14:solidFill>
                </w14:textFill>
              </w:rPr>
              <w:t>2</w:t>
            </w:r>
            <w:r>
              <w:rPr>
                <w:snapToGrid w:val="0"/>
                <w:color w:val="000000" w:themeColor="text1"/>
                <w:kern w:val="0"/>
                <w14:textFill>
                  <w14:solidFill>
                    <w14:schemeClr w14:val="tx1"/>
                  </w14:solidFill>
                </w14:textFill>
              </w:rPr>
              <w:t>S</w:t>
            </w:r>
            <w:r>
              <w:rPr>
                <w:rFonts w:hint="eastAsia"/>
                <w:snapToGrid w:val="0"/>
                <w:color w:val="000000" w:themeColor="text1"/>
                <w:kern w:val="0"/>
                <w:lang w:eastAsia="zh-CN"/>
                <w14:textFill>
                  <w14:solidFill>
                    <w14:schemeClr w14:val="tx1"/>
                  </w14:solidFill>
                </w14:textFill>
              </w:rPr>
              <w:t>、臭气浓度</w:t>
            </w:r>
          </w:p>
        </w:tc>
        <w:tc>
          <w:tcPr>
            <w:tcW w:w="2709" w:type="pct"/>
            <w:vAlign w:val="center"/>
          </w:tcPr>
          <w:p w14:paraId="0BBB7D1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污水处理站恶臭气体经引风机引至</w:t>
            </w:r>
            <w:r>
              <w:rPr>
                <w:rFonts w:hint="eastAsia"/>
                <w:snapToGrid w:val="0"/>
                <w:color w:val="000000" w:themeColor="text1"/>
                <w:kern w:val="0"/>
                <w:lang w:val="en-US" w:eastAsia="zh-CN"/>
                <w14:textFill>
                  <w14:solidFill>
                    <w14:schemeClr w14:val="tx1"/>
                  </w14:solidFill>
                </w14:textFill>
              </w:rPr>
              <w:t>活性炭吸附</w:t>
            </w:r>
            <w:r>
              <w:rPr>
                <w:snapToGrid w:val="0"/>
                <w:color w:val="000000" w:themeColor="text1"/>
                <w:kern w:val="0"/>
                <w14:textFill>
                  <w14:solidFill>
                    <w14:schemeClr w14:val="tx1"/>
                  </w14:solidFill>
                </w14:textFill>
              </w:rPr>
              <w:t>设施，经处理后由15m排气筒</w:t>
            </w:r>
            <w:r>
              <w:rPr>
                <w:rFonts w:hint="eastAsia"/>
                <w:snapToGrid w:val="0"/>
                <w:color w:val="000000" w:themeColor="text1"/>
                <w:kern w:val="0"/>
                <w:lang w:eastAsia="zh-CN"/>
                <w14:textFill>
                  <w14:solidFill>
                    <w14:schemeClr w14:val="tx1"/>
                  </w14:solidFill>
                </w14:textFill>
              </w:rPr>
              <w:t>D</w:t>
            </w:r>
            <w:r>
              <w:rPr>
                <w:snapToGrid w:val="0"/>
                <w:color w:val="000000" w:themeColor="text1"/>
                <w:kern w:val="0"/>
                <w:lang w:eastAsia="zh-CN"/>
                <w14:textFill>
                  <w14:solidFill>
                    <w14:schemeClr w14:val="tx1"/>
                  </w14:solidFill>
                </w14:textFill>
              </w:rPr>
              <w:t>A00</w:t>
            </w:r>
            <w:r>
              <w:rPr>
                <w:rFonts w:hint="eastAsia"/>
                <w:snapToGrid w:val="0"/>
                <w:color w:val="000000" w:themeColor="text1"/>
                <w:kern w:val="0"/>
                <w:lang w:val="en-US" w:eastAsia="zh-CN"/>
                <w14:textFill>
                  <w14:solidFill>
                    <w14:schemeClr w14:val="tx1"/>
                  </w14:solidFill>
                </w14:textFill>
              </w:rPr>
              <w:t>1</w:t>
            </w:r>
            <w:r>
              <w:rPr>
                <w:snapToGrid w:val="0"/>
                <w:color w:val="000000" w:themeColor="text1"/>
                <w:kern w:val="0"/>
                <w14:textFill>
                  <w14:solidFill>
                    <w14:schemeClr w14:val="tx1"/>
                  </w14:solidFill>
                </w14:textFill>
              </w:rPr>
              <w:t>排放</w:t>
            </w:r>
          </w:p>
        </w:tc>
      </w:tr>
      <w:tr w14:paraId="6FCB28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357" w:type="pct"/>
            <w:vMerge w:val="continue"/>
            <w:vAlign w:val="center"/>
          </w:tcPr>
          <w:p w14:paraId="1D2DBF4B">
            <w:pPr>
              <w:pStyle w:val="143"/>
              <w:rPr>
                <w:snapToGrid w:val="0"/>
                <w:color w:val="000000" w:themeColor="text1"/>
                <w:kern w:val="0"/>
                <w14:textFill>
                  <w14:solidFill>
                    <w14:schemeClr w14:val="tx1"/>
                  </w14:solidFill>
                </w14:textFill>
              </w:rPr>
            </w:pPr>
          </w:p>
        </w:tc>
        <w:tc>
          <w:tcPr>
            <w:tcW w:w="688" w:type="pct"/>
            <w:vAlign w:val="center"/>
          </w:tcPr>
          <w:p w14:paraId="7F1051F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锅炉</w:t>
            </w:r>
          </w:p>
        </w:tc>
        <w:tc>
          <w:tcPr>
            <w:tcW w:w="1244" w:type="pct"/>
            <w:vAlign w:val="center"/>
          </w:tcPr>
          <w:p w14:paraId="302694D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颗粒物、SO</w:t>
            </w:r>
            <w:r>
              <w:rPr>
                <w:snapToGrid w:val="0"/>
                <w:color w:val="000000" w:themeColor="text1"/>
                <w:kern w:val="0"/>
                <w:vertAlign w:val="subscript"/>
                <w14:textFill>
                  <w14:solidFill>
                    <w14:schemeClr w14:val="tx1"/>
                  </w14:solidFill>
                </w14:textFill>
              </w:rPr>
              <w:t>2</w:t>
            </w:r>
            <w:r>
              <w:rPr>
                <w:snapToGrid w:val="0"/>
                <w:color w:val="000000" w:themeColor="text1"/>
                <w:kern w:val="0"/>
                <w14:textFill>
                  <w14:solidFill>
                    <w14:schemeClr w14:val="tx1"/>
                  </w14:solidFill>
                </w14:textFill>
              </w:rPr>
              <w:t>、NOx、烟气黑度</w:t>
            </w:r>
          </w:p>
        </w:tc>
        <w:tc>
          <w:tcPr>
            <w:tcW w:w="2709" w:type="pct"/>
            <w:vAlign w:val="center"/>
          </w:tcPr>
          <w:p w14:paraId="748A116B">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本项目</w:t>
            </w:r>
            <w:r>
              <w:rPr>
                <w:rFonts w:hint="eastAsia"/>
                <w:snapToGrid w:val="0"/>
                <w:color w:val="000000" w:themeColor="text1"/>
                <w:kern w:val="0"/>
                <w:lang w:val="en-US" w:eastAsia="zh-CN"/>
                <w14:textFill>
                  <w14:solidFill>
                    <w14:schemeClr w14:val="tx1"/>
                  </w14:solidFill>
                </w14:textFill>
              </w:rPr>
              <w:t>天然气</w:t>
            </w:r>
            <w:r>
              <w:rPr>
                <w:rFonts w:hint="eastAsia"/>
                <w:snapToGrid w:val="0"/>
                <w:color w:val="000000" w:themeColor="text1"/>
                <w:kern w:val="0"/>
                <w:lang w:eastAsia="zh-CN"/>
                <w14:textFill>
                  <w14:solidFill>
                    <w14:schemeClr w14:val="tx1"/>
                  </w14:solidFill>
                </w14:textFill>
              </w:rPr>
              <w:t>锅炉配套低氮燃烧，烟气</w:t>
            </w:r>
            <w:r>
              <w:rPr>
                <w:rFonts w:hint="eastAsia"/>
                <w:snapToGrid w:val="0"/>
                <w:color w:val="000000" w:themeColor="text1"/>
                <w:kern w:val="0"/>
                <w:lang w:val="en-US" w:eastAsia="zh-CN"/>
                <w14:textFill>
                  <w14:solidFill>
                    <w14:schemeClr w14:val="tx1"/>
                  </w14:solidFill>
                </w14:textFill>
              </w:rPr>
              <w:t>经</w:t>
            </w:r>
            <w:r>
              <w:rPr>
                <w:snapToGrid w:val="0"/>
                <w:color w:val="000000" w:themeColor="text1"/>
                <w:kern w:val="0"/>
                <w14:textFill>
                  <w14:solidFill>
                    <w14:schemeClr w14:val="tx1"/>
                  </w14:solidFill>
                </w14:textFill>
              </w:rPr>
              <w:t>25m</w:t>
            </w:r>
            <w:r>
              <w:rPr>
                <w:rFonts w:hint="eastAsia"/>
                <w:snapToGrid w:val="0"/>
                <w:color w:val="000000" w:themeColor="text1"/>
                <w:kern w:val="0"/>
                <w:lang w:val="en-US" w:eastAsia="zh-CN"/>
                <w14:textFill>
                  <w14:solidFill>
                    <w14:schemeClr w14:val="tx1"/>
                  </w14:solidFill>
                </w14:textFill>
              </w:rPr>
              <w:t>高</w:t>
            </w:r>
            <w:r>
              <w:rPr>
                <w:snapToGrid w:val="0"/>
                <w:color w:val="000000" w:themeColor="text1"/>
                <w:kern w:val="0"/>
                <w14:textFill>
                  <w14:solidFill>
                    <w14:schemeClr w14:val="tx1"/>
                  </w14:solidFill>
                </w14:textFill>
              </w:rPr>
              <w:t>烟囱DA00</w:t>
            </w:r>
            <w:r>
              <w:rPr>
                <w:rFonts w:hint="eastAsia"/>
                <w:snapToGrid w:val="0"/>
                <w:color w:val="000000" w:themeColor="text1"/>
                <w:kern w:val="0"/>
                <w:lang w:val="en-US" w:eastAsia="zh-CN"/>
                <w14:textFill>
                  <w14:solidFill>
                    <w14:schemeClr w14:val="tx1"/>
                  </w14:solidFill>
                </w14:textFill>
              </w:rPr>
              <w:t>2</w:t>
            </w:r>
            <w:r>
              <w:rPr>
                <w:snapToGrid w:val="0"/>
                <w:color w:val="000000" w:themeColor="text1"/>
                <w:kern w:val="0"/>
                <w14:textFill>
                  <w14:solidFill>
                    <w14:schemeClr w14:val="tx1"/>
                  </w14:solidFill>
                </w14:textFill>
              </w:rPr>
              <w:t>排放</w:t>
            </w:r>
          </w:p>
        </w:tc>
      </w:tr>
      <w:tr w14:paraId="506D3D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357" w:type="pct"/>
            <w:vMerge w:val="continue"/>
            <w:vAlign w:val="center"/>
          </w:tcPr>
          <w:p w14:paraId="5FCFA0B4">
            <w:pPr>
              <w:pStyle w:val="143"/>
              <w:rPr>
                <w:snapToGrid w:val="0"/>
                <w:color w:val="000000" w:themeColor="text1"/>
                <w:kern w:val="0"/>
                <w14:textFill>
                  <w14:solidFill>
                    <w14:schemeClr w14:val="tx1"/>
                  </w14:solidFill>
                </w14:textFill>
              </w:rPr>
            </w:pPr>
          </w:p>
        </w:tc>
        <w:tc>
          <w:tcPr>
            <w:tcW w:w="688" w:type="pct"/>
            <w:vAlign w:val="center"/>
          </w:tcPr>
          <w:p w14:paraId="3B54F913">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原料处理间</w:t>
            </w:r>
          </w:p>
        </w:tc>
        <w:tc>
          <w:tcPr>
            <w:tcW w:w="1244" w:type="pct"/>
            <w:vAlign w:val="center"/>
          </w:tcPr>
          <w:p w14:paraId="45E42605">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颗粒物</w:t>
            </w:r>
          </w:p>
        </w:tc>
        <w:tc>
          <w:tcPr>
            <w:tcW w:w="2709" w:type="pct"/>
            <w:vAlign w:val="center"/>
          </w:tcPr>
          <w:p w14:paraId="1BBD8392">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原料处理间为封闭设备，原料投料、输送及去石筛分过程中产生的粉尘</w:t>
            </w:r>
            <w:r>
              <w:rPr>
                <w:snapToGrid w:val="0"/>
                <w:color w:val="000000" w:themeColor="text1"/>
                <w:kern w:val="0"/>
                <w:lang w:val="en-US"/>
                <w14:textFill>
                  <w14:solidFill>
                    <w14:schemeClr w14:val="tx1"/>
                  </w14:solidFill>
                </w14:textFill>
              </w:rPr>
              <w:t>经引风机引至</w:t>
            </w:r>
            <w:r>
              <w:rPr>
                <w:rFonts w:hint="eastAsia"/>
                <w:snapToGrid w:val="0"/>
                <w:color w:val="000000" w:themeColor="text1"/>
                <w:kern w:val="0"/>
                <w:lang w:val="en-US" w:eastAsia="zh-CN"/>
                <w14:textFill>
                  <w14:solidFill>
                    <w14:schemeClr w14:val="tx1"/>
                  </w14:solidFill>
                </w14:textFill>
              </w:rPr>
              <w:t>布袋除尘器</w:t>
            </w:r>
            <w:r>
              <w:rPr>
                <w:snapToGrid w:val="0"/>
                <w:color w:val="000000" w:themeColor="text1"/>
                <w:kern w:val="0"/>
                <w:lang w:val="en-US"/>
                <w14:textFill>
                  <w14:solidFill>
                    <w14:schemeClr w14:val="tx1"/>
                  </w14:solidFill>
                </w14:textFill>
              </w:rPr>
              <w:t>，经处理后由</w:t>
            </w:r>
            <w:r>
              <w:rPr>
                <w:rFonts w:hint="eastAsia"/>
                <w:snapToGrid w:val="0"/>
                <w:color w:val="000000" w:themeColor="text1"/>
                <w:kern w:val="0"/>
                <w:lang w:val="en-US" w:eastAsia="zh-CN"/>
                <w14:textFill>
                  <w14:solidFill>
                    <w14:schemeClr w14:val="tx1"/>
                  </w14:solidFill>
                </w14:textFill>
              </w:rPr>
              <w:t>15</w:t>
            </w:r>
            <w:r>
              <w:rPr>
                <w:snapToGrid w:val="0"/>
                <w:color w:val="000000" w:themeColor="text1"/>
                <w:kern w:val="0"/>
                <w:lang w:val="en-US"/>
                <w14:textFill>
                  <w14:solidFill>
                    <w14:schemeClr w14:val="tx1"/>
                  </w14:solidFill>
                </w14:textFill>
              </w:rPr>
              <w:t>m排气筒</w:t>
            </w:r>
            <w:r>
              <w:rPr>
                <w:rFonts w:hint="eastAsia"/>
                <w:snapToGrid w:val="0"/>
                <w:color w:val="000000" w:themeColor="text1"/>
                <w:kern w:val="0"/>
                <w:lang w:val="en-US"/>
                <w14:textFill>
                  <w14:solidFill>
                    <w14:schemeClr w14:val="tx1"/>
                  </w14:solidFill>
                </w14:textFill>
              </w:rPr>
              <w:t>D</w:t>
            </w:r>
            <w:r>
              <w:rPr>
                <w:snapToGrid w:val="0"/>
                <w:color w:val="000000" w:themeColor="text1"/>
                <w:kern w:val="0"/>
                <w:lang w:val="en-US"/>
                <w14:textFill>
                  <w14:solidFill>
                    <w14:schemeClr w14:val="tx1"/>
                  </w14:solidFill>
                </w14:textFill>
              </w:rPr>
              <w:t>A00</w:t>
            </w:r>
            <w:r>
              <w:rPr>
                <w:rFonts w:hint="eastAsia"/>
                <w:snapToGrid w:val="0"/>
                <w:color w:val="000000" w:themeColor="text1"/>
                <w:kern w:val="0"/>
                <w:lang w:val="en-US" w:eastAsia="zh-CN"/>
                <w14:textFill>
                  <w14:solidFill>
                    <w14:schemeClr w14:val="tx1"/>
                  </w14:solidFill>
                </w14:textFill>
              </w:rPr>
              <w:t>3</w:t>
            </w:r>
            <w:r>
              <w:rPr>
                <w:snapToGrid w:val="0"/>
                <w:color w:val="000000" w:themeColor="text1"/>
                <w:kern w:val="0"/>
                <w:lang w:val="en-US"/>
                <w14:textFill>
                  <w14:solidFill>
                    <w14:schemeClr w14:val="tx1"/>
                  </w14:solidFill>
                </w14:textFill>
              </w:rPr>
              <w:t>排放</w:t>
            </w:r>
          </w:p>
        </w:tc>
      </w:tr>
      <w:tr w14:paraId="41940A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357" w:type="pct"/>
            <w:vMerge w:val="continue"/>
            <w:vAlign w:val="center"/>
          </w:tcPr>
          <w:p w14:paraId="7E23F29F">
            <w:pPr>
              <w:pStyle w:val="143"/>
              <w:rPr>
                <w:snapToGrid w:val="0"/>
                <w:color w:val="000000" w:themeColor="text1"/>
                <w:kern w:val="0"/>
                <w14:textFill>
                  <w14:solidFill>
                    <w14:schemeClr w14:val="tx1"/>
                  </w14:solidFill>
                </w14:textFill>
              </w:rPr>
            </w:pPr>
          </w:p>
        </w:tc>
        <w:tc>
          <w:tcPr>
            <w:tcW w:w="688" w:type="pct"/>
            <w:vAlign w:val="center"/>
          </w:tcPr>
          <w:p w14:paraId="441FBD84">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w:t>
            </w:r>
            <w:r>
              <w:rPr>
                <w:snapToGrid w:val="0"/>
                <w:color w:val="000000" w:themeColor="text1"/>
                <w:kern w:val="0"/>
                <w14:textFill>
                  <w14:solidFill>
                    <w14:schemeClr w14:val="tx1"/>
                  </w14:solidFill>
                </w14:textFill>
              </w:rPr>
              <w:t>车间</w:t>
            </w:r>
          </w:p>
        </w:tc>
        <w:tc>
          <w:tcPr>
            <w:tcW w:w="1244" w:type="pct"/>
            <w:vAlign w:val="center"/>
          </w:tcPr>
          <w:p w14:paraId="10B63F4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臭气浓度、CO</w:t>
            </w:r>
            <w:r>
              <w:rPr>
                <w:snapToGrid w:val="0"/>
                <w:color w:val="000000" w:themeColor="text1"/>
                <w:kern w:val="0"/>
                <w:vertAlign w:val="subscript"/>
                <w14:textFill>
                  <w14:solidFill>
                    <w14:schemeClr w14:val="tx1"/>
                  </w14:solidFill>
                </w14:textFill>
              </w:rPr>
              <w:t>2</w:t>
            </w:r>
          </w:p>
        </w:tc>
        <w:tc>
          <w:tcPr>
            <w:tcW w:w="2709" w:type="pct"/>
            <w:vAlign w:val="center"/>
          </w:tcPr>
          <w:p w14:paraId="78467218">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w:t>
            </w:r>
            <w:r>
              <w:rPr>
                <w:snapToGrid w:val="0"/>
                <w:color w:val="000000" w:themeColor="text1"/>
                <w:kern w:val="0"/>
                <w14:textFill>
                  <w14:solidFill>
                    <w14:schemeClr w14:val="tx1"/>
                  </w14:solidFill>
                </w14:textFill>
              </w:rPr>
              <w:t>车间发酵废气经回收后全部回用于生产，臭气浓度活性炭吸附后厂界无组织排放</w:t>
            </w:r>
          </w:p>
        </w:tc>
      </w:tr>
      <w:tr w14:paraId="592EB6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357" w:type="pct"/>
            <w:vMerge w:val="continue"/>
            <w:vAlign w:val="center"/>
          </w:tcPr>
          <w:p w14:paraId="225CEE7D">
            <w:pPr>
              <w:pStyle w:val="143"/>
              <w:rPr>
                <w:snapToGrid w:val="0"/>
                <w:color w:val="000000" w:themeColor="text1"/>
                <w:kern w:val="0"/>
                <w14:textFill>
                  <w14:solidFill>
                    <w14:schemeClr w14:val="tx1"/>
                  </w14:solidFill>
                </w14:textFill>
              </w:rPr>
            </w:pPr>
          </w:p>
        </w:tc>
        <w:tc>
          <w:tcPr>
            <w:tcW w:w="688" w:type="pct"/>
            <w:vAlign w:val="center"/>
          </w:tcPr>
          <w:p w14:paraId="6235F36C">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沼气自动燃烧器</w:t>
            </w:r>
          </w:p>
        </w:tc>
        <w:tc>
          <w:tcPr>
            <w:tcW w:w="1244" w:type="pct"/>
            <w:vAlign w:val="center"/>
          </w:tcPr>
          <w:p w14:paraId="4AC8510C">
            <w:pPr>
              <w:pStyle w:val="143"/>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颗粒物、SO</w:t>
            </w:r>
            <w:r>
              <w:rPr>
                <w:snapToGrid w:val="0"/>
                <w:color w:val="000000" w:themeColor="text1"/>
                <w:kern w:val="0"/>
                <w:vertAlign w:val="subscript"/>
                <w:lang w:val="en-US"/>
                <w14:textFill>
                  <w14:solidFill>
                    <w14:schemeClr w14:val="tx1"/>
                  </w14:solidFill>
                </w14:textFill>
              </w:rPr>
              <w:t>2</w:t>
            </w:r>
            <w:r>
              <w:rPr>
                <w:snapToGrid w:val="0"/>
                <w:color w:val="000000" w:themeColor="text1"/>
                <w:kern w:val="0"/>
                <w:lang w:val="en-US"/>
                <w14:textFill>
                  <w14:solidFill>
                    <w14:schemeClr w14:val="tx1"/>
                  </w14:solidFill>
                </w14:textFill>
              </w:rPr>
              <w:t>、NOx</w:t>
            </w:r>
          </w:p>
        </w:tc>
        <w:tc>
          <w:tcPr>
            <w:tcW w:w="2709" w:type="pct"/>
            <w:vAlign w:val="center"/>
          </w:tcPr>
          <w:p w14:paraId="26F9D35F">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污水处理过程产生的</w:t>
            </w:r>
            <w:r>
              <w:rPr>
                <w:snapToGrid w:val="0"/>
                <w:color w:val="000000" w:themeColor="text1"/>
                <w:kern w:val="0"/>
                <w:lang w:val="en-US"/>
                <w14:textFill>
                  <w14:solidFill>
                    <w14:schemeClr w14:val="tx1"/>
                  </w14:solidFill>
                </w14:textFill>
              </w:rPr>
              <w:t>沼气</w:t>
            </w:r>
            <w:r>
              <w:rPr>
                <w:rFonts w:hint="eastAsia"/>
                <w:snapToGrid w:val="0"/>
                <w:color w:val="000000" w:themeColor="text1"/>
                <w:kern w:val="0"/>
                <w:lang w:val="en-US" w:eastAsia="zh-CN"/>
                <w14:textFill>
                  <w14:solidFill>
                    <w14:schemeClr w14:val="tx1"/>
                  </w14:solidFill>
                </w14:textFill>
              </w:rPr>
              <w:t>经沼气</w:t>
            </w:r>
            <w:r>
              <w:rPr>
                <w:rFonts w:hint="eastAsia"/>
                <w:snapToGrid w:val="0"/>
                <w:color w:val="000000" w:themeColor="text1"/>
                <w:kern w:val="0"/>
                <w:lang w:val="en-US"/>
                <w14:textFill>
                  <w14:solidFill>
                    <w14:schemeClr w14:val="tx1"/>
                  </w14:solidFill>
                </w14:textFill>
              </w:rPr>
              <w:t>自动燃烧器</w:t>
            </w:r>
            <w:r>
              <w:rPr>
                <w:rFonts w:hint="eastAsia"/>
                <w:snapToGrid w:val="0"/>
                <w:color w:val="000000" w:themeColor="text1"/>
                <w:kern w:val="0"/>
                <w:lang w:val="en-US" w:eastAsia="zh-CN"/>
                <w14:textFill>
                  <w14:solidFill>
                    <w14:schemeClr w14:val="tx1"/>
                  </w14:solidFill>
                </w14:textFill>
              </w:rPr>
              <w:t>燃烧后无组织排放。</w:t>
            </w:r>
          </w:p>
        </w:tc>
      </w:tr>
      <w:tr w14:paraId="14E3C0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357" w:type="pct"/>
            <w:vMerge w:val="continue"/>
            <w:vAlign w:val="center"/>
          </w:tcPr>
          <w:p w14:paraId="7BEB2BE9">
            <w:pPr>
              <w:pStyle w:val="143"/>
              <w:rPr>
                <w:snapToGrid w:val="0"/>
                <w:color w:val="000000" w:themeColor="text1"/>
                <w:kern w:val="0"/>
                <w14:textFill>
                  <w14:solidFill>
                    <w14:schemeClr w14:val="tx1"/>
                  </w14:solidFill>
                </w14:textFill>
              </w:rPr>
            </w:pPr>
          </w:p>
        </w:tc>
        <w:tc>
          <w:tcPr>
            <w:tcW w:w="688" w:type="pct"/>
            <w:vAlign w:val="center"/>
          </w:tcPr>
          <w:p w14:paraId="3453467E">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食堂</w:t>
            </w:r>
          </w:p>
        </w:tc>
        <w:tc>
          <w:tcPr>
            <w:tcW w:w="1244" w:type="pct"/>
            <w:vAlign w:val="center"/>
          </w:tcPr>
          <w:p w14:paraId="2F5AB1D0">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油烟</w:t>
            </w:r>
          </w:p>
        </w:tc>
        <w:tc>
          <w:tcPr>
            <w:tcW w:w="2709" w:type="pct"/>
            <w:vAlign w:val="center"/>
          </w:tcPr>
          <w:p w14:paraId="1D89200A">
            <w:pPr>
              <w:pStyle w:val="143"/>
              <w:rPr>
                <w:rFonts w:hint="eastAsia"/>
                <w:snapToGrid w:val="0"/>
                <w:color w:val="000000" w:themeColor="text1"/>
                <w:kern w:val="0"/>
                <w:lang w:val="en-US" w:eastAsia="zh-CN"/>
                <w14:textFill>
                  <w14:solidFill>
                    <w14:schemeClr w14:val="tx1"/>
                  </w14:solidFill>
                </w14:textFill>
              </w:rPr>
            </w:pPr>
            <w:r>
              <w:rPr>
                <w:rFonts w:hint="eastAsia"/>
                <w:bCs/>
                <w:snapToGrid w:val="0"/>
                <w:color w:val="000000" w:themeColor="text1"/>
                <w:sz w:val="21"/>
                <w:szCs w:val="21"/>
                <w:lang w:val="en-US" w:eastAsia="zh-CN"/>
                <w14:textFill>
                  <w14:solidFill>
                    <w14:schemeClr w14:val="tx1"/>
                  </w14:solidFill>
                </w14:textFill>
              </w:rPr>
              <w:t>食堂油烟经</w:t>
            </w:r>
            <w:r>
              <w:rPr>
                <w:rFonts w:hint="eastAsia"/>
                <w:bCs/>
                <w:snapToGrid w:val="0"/>
                <w:color w:val="000000" w:themeColor="text1"/>
                <w:sz w:val="21"/>
                <w:szCs w:val="21"/>
                <w:lang w:eastAsia="zh-CN"/>
                <w14:textFill>
                  <w14:solidFill>
                    <w14:schemeClr w14:val="tx1"/>
                  </w14:solidFill>
                </w14:textFill>
              </w:rPr>
              <w:t>油烟净化设施（</w:t>
            </w:r>
            <w:r>
              <w:rPr>
                <w:rFonts w:hint="eastAsia"/>
                <w:bCs/>
                <w:snapToGrid w:val="0"/>
                <w:color w:val="000000" w:themeColor="text1"/>
                <w:sz w:val="21"/>
                <w:szCs w:val="21"/>
                <w:lang w:val="en-US" w:eastAsia="zh-CN"/>
                <w14:textFill>
                  <w14:solidFill>
                    <w14:schemeClr w14:val="tx1"/>
                  </w14:solidFill>
                </w14:textFill>
              </w:rPr>
              <w:t>效率85%</w:t>
            </w:r>
            <w:r>
              <w:rPr>
                <w:rFonts w:hint="eastAsia"/>
                <w:bCs/>
                <w:snapToGrid w:val="0"/>
                <w:color w:val="000000" w:themeColor="text1"/>
                <w:sz w:val="21"/>
                <w:szCs w:val="21"/>
                <w:lang w:eastAsia="zh-CN"/>
                <w14:textFill>
                  <w14:solidFill>
                    <w14:schemeClr w14:val="tx1"/>
                  </w14:solidFill>
                </w14:textFill>
              </w:rPr>
              <w:t>）</w:t>
            </w:r>
            <w:r>
              <w:rPr>
                <w:rFonts w:hint="eastAsia"/>
                <w:bCs/>
                <w:snapToGrid w:val="0"/>
                <w:color w:val="000000" w:themeColor="text1"/>
                <w:sz w:val="21"/>
                <w:szCs w:val="21"/>
                <w:lang w:val="en-US" w:eastAsia="zh-CN"/>
                <w14:textFill>
                  <w14:solidFill>
                    <w14:schemeClr w14:val="tx1"/>
                  </w14:solidFill>
                </w14:textFill>
              </w:rPr>
              <w:t>处理，</w:t>
            </w:r>
            <w:r>
              <w:rPr>
                <w:rFonts w:hint="eastAsia"/>
                <w:bCs/>
                <w:snapToGrid w:val="0"/>
                <w:color w:val="000000" w:themeColor="text1"/>
                <w:sz w:val="21"/>
                <w:szCs w:val="21"/>
                <w:lang w:eastAsia="zh-CN"/>
                <w14:textFill>
                  <w14:solidFill>
                    <w14:schemeClr w14:val="tx1"/>
                  </w14:solidFill>
                </w14:textFill>
              </w:rPr>
              <w:t>处理后经专用烟道引至楼顶排放。</w:t>
            </w:r>
          </w:p>
        </w:tc>
      </w:tr>
      <w:tr w14:paraId="72C150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357" w:type="pct"/>
            <w:vMerge w:val="continue"/>
            <w:vAlign w:val="center"/>
          </w:tcPr>
          <w:p w14:paraId="40D99015">
            <w:pPr>
              <w:pStyle w:val="143"/>
              <w:rPr>
                <w:snapToGrid w:val="0"/>
                <w:color w:val="000000" w:themeColor="text1"/>
                <w:kern w:val="0"/>
                <w14:textFill>
                  <w14:solidFill>
                    <w14:schemeClr w14:val="tx1"/>
                  </w14:solidFill>
                </w14:textFill>
              </w:rPr>
            </w:pPr>
          </w:p>
        </w:tc>
        <w:tc>
          <w:tcPr>
            <w:tcW w:w="688" w:type="pct"/>
            <w:vAlign w:val="center"/>
          </w:tcPr>
          <w:p w14:paraId="34A4D584">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柴油发电机</w:t>
            </w:r>
          </w:p>
        </w:tc>
        <w:tc>
          <w:tcPr>
            <w:tcW w:w="1244" w:type="pct"/>
            <w:vAlign w:val="center"/>
          </w:tcPr>
          <w:p w14:paraId="4B00931C">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烟尘、NO</w:t>
            </w:r>
            <w:r>
              <w:rPr>
                <w:rFonts w:hint="eastAsia"/>
                <w:snapToGrid w:val="0"/>
                <w:color w:val="000000" w:themeColor="text1"/>
                <w:kern w:val="0"/>
                <w:vertAlign w:val="subscript"/>
                <w:lang w:val="en-US" w:eastAsia="zh-CN"/>
                <w14:textFill>
                  <w14:solidFill>
                    <w14:schemeClr w14:val="tx1"/>
                  </w14:solidFill>
                </w14:textFill>
              </w:rPr>
              <w:t>X</w:t>
            </w:r>
            <w:r>
              <w:rPr>
                <w:rFonts w:hint="eastAsia"/>
                <w:snapToGrid w:val="0"/>
                <w:color w:val="000000" w:themeColor="text1"/>
                <w:kern w:val="0"/>
                <w:lang w:val="en-US" w:eastAsia="zh-CN"/>
                <w14:textFill>
                  <w14:solidFill>
                    <w14:schemeClr w14:val="tx1"/>
                  </w14:solidFill>
                </w14:textFill>
              </w:rPr>
              <w:t>、SO</w:t>
            </w:r>
            <w:r>
              <w:rPr>
                <w:rFonts w:hint="eastAsia"/>
                <w:snapToGrid w:val="0"/>
                <w:color w:val="000000" w:themeColor="text1"/>
                <w:kern w:val="0"/>
                <w:vertAlign w:val="subscript"/>
                <w:lang w:val="en-US" w:eastAsia="zh-CN"/>
                <w14:textFill>
                  <w14:solidFill>
                    <w14:schemeClr w14:val="tx1"/>
                  </w14:solidFill>
                </w14:textFill>
              </w:rPr>
              <w:t>2</w:t>
            </w:r>
          </w:p>
        </w:tc>
        <w:tc>
          <w:tcPr>
            <w:tcW w:w="2709" w:type="pct"/>
            <w:vAlign w:val="center"/>
          </w:tcPr>
          <w:p w14:paraId="7137C0A1">
            <w:pPr>
              <w:pStyle w:val="143"/>
              <w:rPr>
                <w:rFonts w:hint="eastAsia"/>
                <w:bCs/>
                <w:snapToGrid w:val="0"/>
                <w:color w:val="000000" w:themeColor="text1"/>
                <w:sz w:val="21"/>
                <w:szCs w:val="21"/>
                <w:lang w:val="en-US" w:eastAsia="zh-CN"/>
                <w14:textFill>
                  <w14:solidFill>
                    <w14:schemeClr w14:val="tx1"/>
                  </w14:solidFill>
                </w14:textFill>
              </w:rPr>
            </w:pPr>
            <w:r>
              <w:rPr>
                <w:rFonts w:hint="eastAsia" w:ascii="Times New Roman"/>
                <w:snapToGrid w:val="0"/>
                <w:color w:val="000000"/>
                <w:sz w:val="21"/>
                <w:szCs w:val="21"/>
              </w:rPr>
              <w:t>经内置烟井引至房顶无组织排放</w:t>
            </w:r>
          </w:p>
        </w:tc>
      </w:tr>
      <w:tr w14:paraId="1415E6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47" w:hRule="atLeast"/>
        </w:trPr>
        <w:tc>
          <w:tcPr>
            <w:tcW w:w="357" w:type="pct"/>
            <w:vAlign w:val="center"/>
          </w:tcPr>
          <w:p w14:paraId="675D7CC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废水</w:t>
            </w:r>
          </w:p>
        </w:tc>
        <w:tc>
          <w:tcPr>
            <w:tcW w:w="688" w:type="pct"/>
            <w:vAlign w:val="center"/>
          </w:tcPr>
          <w:p w14:paraId="0887C71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综合废水</w:t>
            </w:r>
          </w:p>
        </w:tc>
        <w:tc>
          <w:tcPr>
            <w:tcW w:w="1244" w:type="pct"/>
            <w:vAlign w:val="center"/>
          </w:tcPr>
          <w:p w14:paraId="5BED8210">
            <w:pPr>
              <w:pStyle w:val="143"/>
              <w:jc w:val="both"/>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p</w:t>
            </w:r>
            <w:r>
              <w:rPr>
                <w:snapToGrid w:val="0"/>
                <w:color w:val="000000" w:themeColor="text1"/>
                <w:kern w:val="0"/>
                <w14:textFill>
                  <w14:solidFill>
                    <w14:schemeClr w14:val="tx1"/>
                  </w14:solidFill>
                </w14:textFill>
              </w:rPr>
              <w:t>H</w:t>
            </w:r>
            <w:r>
              <w:rPr>
                <w:rFonts w:hint="eastAsia"/>
                <w:snapToGrid w:val="0"/>
                <w:color w:val="000000" w:themeColor="text1"/>
                <w:kern w:val="0"/>
                <w:lang w:eastAsia="zh-CN"/>
                <w14:textFill>
                  <w14:solidFill>
                    <w14:schemeClr w14:val="tx1"/>
                  </w14:solidFill>
                </w14:textFill>
              </w:rPr>
              <w:t>值、</w:t>
            </w:r>
            <w:r>
              <w:rPr>
                <w:snapToGrid w:val="0"/>
                <w:color w:val="000000" w:themeColor="text1"/>
                <w:kern w:val="0"/>
                <w14:textFill>
                  <w14:solidFill>
                    <w14:schemeClr w14:val="tx1"/>
                  </w14:solidFill>
                </w14:textFill>
              </w:rPr>
              <w:t>COD、BOD</w:t>
            </w:r>
            <w:r>
              <w:rPr>
                <w:snapToGrid w:val="0"/>
                <w:color w:val="000000" w:themeColor="text1"/>
                <w:kern w:val="0"/>
                <w:vertAlign w:val="subscript"/>
                <w14:textFill>
                  <w14:solidFill>
                    <w14:schemeClr w14:val="tx1"/>
                  </w14:solidFill>
                </w14:textFill>
              </w:rPr>
              <w:t>5</w:t>
            </w:r>
            <w:r>
              <w:rPr>
                <w:snapToGrid w:val="0"/>
                <w:color w:val="000000" w:themeColor="text1"/>
                <w:kern w:val="0"/>
                <w14:textFill>
                  <w14:solidFill>
                    <w14:schemeClr w14:val="tx1"/>
                  </w14:solidFill>
                </w14:textFill>
              </w:rPr>
              <w:t>、SS、NH</w:t>
            </w:r>
            <w:r>
              <w:rPr>
                <w:snapToGrid w:val="0"/>
                <w:vanish/>
                <w:color w:val="000000" w:themeColor="text1"/>
                <w:kern w:val="0"/>
                <w:vertAlign w:val="subscript"/>
                <w14:textFill>
                  <w14:solidFill>
                    <w14:schemeClr w14:val="tx1"/>
                  </w14:solidFill>
                </w14:textFill>
              </w:rPr>
              <w:t>3</w:t>
            </w:r>
            <w:r>
              <w:rPr>
                <w:snapToGrid w:val="0"/>
                <w:color w:val="000000" w:themeColor="text1"/>
                <w:kern w:val="0"/>
                <w14:textFill>
                  <w14:solidFill>
                    <w14:schemeClr w14:val="tx1"/>
                  </w14:solidFill>
                </w14:textFill>
              </w:rPr>
              <w:t>-N</w:t>
            </w:r>
            <w:r>
              <w:rPr>
                <w:rFonts w:hint="eastAsia"/>
                <w:snapToGrid w:val="0"/>
                <w:color w:val="000000" w:themeColor="text1"/>
                <w:kern w:val="0"/>
                <w:lang w:eastAsia="zh-CN"/>
                <w14:textFill>
                  <w14:solidFill>
                    <w14:schemeClr w14:val="tx1"/>
                  </w14:solidFill>
                </w14:textFill>
              </w:rPr>
              <w:t>、T</w:t>
            </w:r>
            <w:r>
              <w:rPr>
                <w:snapToGrid w:val="0"/>
                <w:color w:val="000000" w:themeColor="text1"/>
                <w:kern w:val="0"/>
                <w:lang w:eastAsia="zh-CN"/>
                <w14:textFill>
                  <w14:solidFill>
                    <w14:schemeClr w14:val="tx1"/>
                  </w14:solidFill>
                </w14:textFill>
              </w:rPr>
              <w:t>P</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TN</w:t>
            </w:r>
          </w:p>
        </w:tc>
        <w:tc>
          <w:tcPr>
            <w:tcW w:w="2709" w:type="pct"/>
            <w:vAlign w:val="center"/>
          </w:tcPr>
          <w:p w14:paraId="3ABD87F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由厂区设置的污水处理站处理达标后排入</w:t>
            </w:r>
            <w:r>
              <w:rPr>
                <w:rFonts w:hint="eastAsia"/>
                <w:snapToGrid w:val="0"/>
                <w:color w:val="000000" w:themeColor="text1"/>
                <w:kern w:val="0"/>
                <w:lang w:val="en-US" w:eastAsia="zh-CN"/>
                <w14:textFill>
                  <w14:solidFill>
                    <w14:schemeClr w14:val="tx1"/>
                  </w14:solidFill>
                </w14:textFill>
              </w:rPr>
              <w:t>园区</w:t>
            </w:r>
            <w:r>
              <w:rPr>
                <w:snapToGrid w:val="0"/>
                <w:color w:val="000000" w:themeColor="text1"/>
                <w:kern w:val="0"/>
                <w14:textFill>
                  <w14:solidFill>
                    <w14:schemeClr w14:val="tx1"/>
                  </w14:solidFill>
                </w14:textFill>
              </w:rPr>
              <w:t>污水管网，最终排入</w:t>
            </w:r>
            <w:r>
              <w:rPr>
                <w:rFonts w:hint="eastAsia"/>
                <w:snapToGrid w:val="0"/>
                <w:color w:val="000000" w:themeColor="text1"/>
                <w:kern w:val="0"/>
                <w:lang w:eastAsia="zh-CN"/>
                <w14:textFill>
                  <w14:solidFill>
                    <w14:schemeClr w14:val="tx1"/>
                  </w14:solidFill>
                </w14:textFill>
              </w:rPr>
              <w:t>桦南县城镇污水处理厂</w:t>
            </w:r>
            <w:r>
              <w:rPr>
                <w:snapToGrid w:val="0"/>
                <w:color w:val="000000" w:themeColor="text1"/>
                <w:kern w:val="0"/>
                <w14:textFill>
                  <w14:solidFill>
                    <w14:schemeClr w14:val="tx1"/>
                  </w14:solidFill>
                </w14:textFill>
              </w:rPr>
              <w:t>进行处理。</w:t>
            </w:r>
          </w:p>
        </w:tc>
      </w:tr>
      <w:tr w14:paraId="77529F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357" w:type="pct"/>
            <w:vAlign w:val="center"/>
          </w:tcPr>
          <w:p w14:paraId="2E543BA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噪声</w:t>
            </w:r>
          </w:p>
        </w:tc>
        <w:tc>
          <w:tcPr>
            <w:tcW w:w="688" w:type="pct"/>
            <w:vAlign w:val="center"/>
          </w:tcPr>
          <w:p w14:paraId="70824D5D">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生产</w:t>
            </w:r>
            <w:r>
              <w:rPr>
                <w:rFonts w:hint="eastAsia"/>
                <w:snapToGrid w:val="0"/>
                <w:color w:val="000000" w:themeColor="text1"/>
                <w:kern w:val="0"/>
                <w:lang w:eastAsia="zh-CN"/>
                <w14:textFill>
                  <w14:solidFill>
                    <w14:schemeClr w14:val="tx1"/>
                  </w14:solidFill>
                </w14:textFill>
              </w:rPr>
              <w:t>设备</w:t>
            </w:r>
          </w:p>
        </w:tc>
        <w:tc>
          <w:tcPr>
            <w:tcW w:w="1244" w:type="pct"/>
            <w:vAlign w:val="center"/>
          </w:tcPr>
          <w:p w14:paraId="51DEC9BE">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噪声</w:t>
            </w:r>
          </w:p>
        </w:tc>
        <w:tc>
          <w:tcPr>
            <w:tcW w:w="2709" w:type="pct"/>
            <w:vAlign w:val="center"/>
          </w:tcPr>
          <w:p w14:paraId="54F287D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采用低噪声设备、隔音、基础减振等措施</w:t>
            </w:r>
          </w:p>
        </w:tc>
      </w:tr>
      <w:tr w14:paraId="72326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57" w:type="pct"/>
            <w:vMerge w:val="restart"/>
            <w:vAlign w:val="center"/>
          </w:tcPr>
          <w:p w14:paraId="538FC99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固体废物</w:t>
            </w:r>
          </w:p>
        </w:tc>
        <w:tc>
          <w:tcPr>
            <w:tcW w:w="688" w:type="pct"/>
            <w:vAlign w:val="center"/>
          </w:tcPr>
          <w:p w14:paraId="75FF5094">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酿造车间</w:t>
            </w:r>
          </w:p>
        </w:tc>
        <w:tc>
          <w:tcPr>
            <w:tcW w:w="1244" w:type="pct"/>
            <w:vAlign w:val="center"/>
          </w:tcPr>
          <w:p w14:paraId="1EFEA42D">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麦芽、大米中杂质</w:t>
            </w:r>
          </w:p>
        </w:tc>
        <w:tc>
          <w:tcPr>
            <w:tcW w:w="2709" w:type="pct"/>
            <w:vAlign w:val="center"/>
          </w:tcPr>
          <w:p w14:paraId="20F1BC70">
            <w:pPr>
              <w:pStyle w:val="143"/>
              <w:rPr>
                <w:snapToGrid w:val="0"/>
                <w:color w:val="000000" w:themeColor="text1"/>
                <w:kern w:val="0"/>
                <w14:textFill>
                  <w14:solidFill>
                    <w14:schemeClr w14:val="tx1"/>
                  </w14:solidFill>
                </w14:textFill>
              </w:rPr>
            </w:pPr>
            <w:r>
              <w:rPr>
                <w:rFonts w:hint="eastAsia"/>
                <w:snapToGrid w:val="0"/>
                <w:color w:val="auto"/>
              </w:rPr>
              <w:t>集中收集，外售有机肥厂生产有机肥</w:t>
            </w:r>
          </w:p>
        </w:tc>
      </w:tr>
      <w:tr w14:paraId="3F950C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57" w:type="pct"/>
            <w:vMerge w:val="continue"/>
            <w:vAlign w:val="center"/>
          </w:tcPr>
          <w:p w14:paraId="37CDDF86">
            <w:pPr>
              <w:pStyle w:val="143"/>
              <w:rPr>
                <w:snapToGrid w:val="0"/>
                <w:color w:val="000000" w:themeColor="text1"/>
                <w:kern w:val="0"/>
                <w14:textFill>
                  <w14:solidFill>
                    <w14:schemeClr w14:val="tx1"/>
                  </w14:solidFill>
                </w14:textFill>
              </w:rPr>
            </w:pPr>
          </w:p>
        </w:tc>
        <w:tc>
          <w:tcPr>
            <w:tcW w:w="688" w:type="pct"/>
            <w:vAlign w:val="center"/>
          </w:tcPr>
          <w:p w14:paraId="7004F9E8">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酿造车间</w:t>
            </w:r>
          </w:p>
        </w:tc>
        <w:tc>
          <w:tcPr>
            <w:tcW w:w="1244" w:type="pct"/>
            <w:vAlign w:val="center"/>
          </w:tcPr>
          <w:p w14:paraId="09F43E82">
            <w:pPr>
              <w:pStyle w:val="143"/>
              <w:rPr>
                <w:snapToGrid w:val="0"/>
                <w:color w:val="000000" w:themeColor="text1"/>
                <w:kern w:val="0"/>
                <w14:textFill>
                  <w14:solidFill>
                    <w14:schemeClr w14:val="tx1"/>
                  </w14:solidFill>
                </w14:textFill>
              </w:rPr>
            </w:pPr>
            <w:r>
              <w:rPr>
                <w:rFonts w:hint="eastAsia"/>
                <w:snapToGrid w:val="0"/>
                <w:color w:val="auto"/>
                <w:lang w:val="en-US" w:eastAsia="zh-CN"/>
              </w:rPr>
              <w:t>废</w:t>
            </w:r>
            <w:r>
              <w:rPr>
                <w:snapToGrid w:val="0"/>
                <w:color w:val="auto"/>
              </w:rPr>
              <w:t>酒糟及废酵母</w:t>
            </w:r>
          </w:p>
        </w:tc>
        <w:tc>
          <w:tcPr>
            <w:tcW w:w="2709" w:type="pct"/>
            <w:vAlign w:val="center"/>
          </w:tcPr>
          <w:p w14:paraId="20FDB1A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采用专用容器收集并加盖密封，外售作饲料，日产日清</w:t>
            </w:r>
          </w:p>
        </w:tc>
      </w:tr>
      <w:tr w14:paraId="763545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57" w:type="pct"/>
            <w:vMerge w:val="continue"/>
            <w:vAlign w:val="center"/>
          </w:tcPr>
          <w:p w14:paraId="0E4F35AC">
            <w:pPr>
              <w:pStyle w:val="143"/>
              <w:rPr>
                <w:snapToGrid w:val="0"/>
                <w:color w:val="000000" w:themeColor="text1"/>
                <w:kern w:val="0"/>
                <w14:textFill>
                  <w14:solidFill>
                    <w14:schemeClr w14:val="tx1"/>
                  </w14:solidFill>
                </w14:textFill>
              </w:rPr>
            </w:pPr>
          </w:p>
        </w:tc>
        <w:tc>
          <w:tcPr>
            <w:tcW w:w="688" w:type="pct"/>
            <w:vAlign w:val="center"/>
          </w:tcPr>
          <w:p w14:paraId="2C44D69A">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酿造车间</w:t>
            </w:r>
          </w:p>
        </w:tc>
        <w:tc>
          <w:tcPr>
            <w:tcW w:w="1244" w:type="pct"/>
            <w:vAlign w:val="center"/>
          </w:tcPr>
          <w:p w14:paraId="1D5933AB">
            <w:pPr>
              <w:pStyle w:val="143"/>
              <w:rPr>
                <w:rFonts w:hint="default"/>
                <w:snapToGrid w:val="0"/>
                <w:color w:val="auto"/>
                <w:lang w:val="en-US" w:eastAsia="zh-CN"/>
              </w:rPr>
            </w:pPr>
            <w:r>
              <w:rPr>
                <w:rFonts w:hint="eastAsia"/>
                <w:snapToGrid w:val="0"/>
                <w:color w:val="auto"/>
                <w:lang w:val="en-US" w:eastAsia="zh-CN"/>
              </w:rPr>
              <w:t>废硅藻土</w:t>
            </w:r>
          </w:p>
        </w:tc>
        <w:tc>
          <w:tcPr>
            <w:tcW w:w="2709" w:type="pct"/>
            <w:vAlign w:val="center"/>
          </w:tcPr>
          <w:p w14:paraId="77309891">
            <w:pPr>
              <w:pStyle w:val="143"/>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暂存在密闭废土罐中</w:t>
            </w:r>
            <w:r>
              <w:rPr>
                <w:rFonts w:hint="default"/>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外售综合利用</w:t>
            </w:r>
            <w:r>
              <w:rPr>
                <w:rFonts w:hint="default"/>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定期转运</w:t>
            </w:r>
            <w:r>
              <w:rPr>
                <w:rFonts w:hint="default"/>
                <w:snapToGrid w:val="0"/>
                <w:color w:val="000000" w:themeColor="text1"/>
                <w:lang w:val="en-US" w:eastAsia="zh-CN"/>
                <w14:textFill>
                  <w14:solidFill>
                    <w14:schemeClr w14:val="tx1"/>
                  </w14:solidFill>
                </w14:textFill>
              </w:rPr>
              <w:t>不在厂区长时间贮存</w:t>
            </w:r>
          </w:p>
        </w:tc>
      </w:tr>
      <w:tr w14:paraId="1F7B68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57" w:type="pct"/>
            <w:vMerge w:val="continue"/>
            <w:vAlign w:val="center"/>
          </w:tcPr>
          <w:p w14:paraId="109102BD">
            <w:pPr>
              <w:pStyle w:val="143"/>
              <w:rPr>
                <w:snapToGrid w:val="0"/>
                <w:color w:val="000000" w:themeColor="text1"/>
                <w:kern w:val="0"/>
                <w14:textFill>
                  <w14:solidFill>
                    <w14:schemeClr w14:val="tx1"/>
                  </w14:solidFill>
                </w14:textFill>
              </w:rPr>
            </w:pPr>
          </w:p>
        </w:tc>
        <w:tc>
          <w:tcPr>
            <w:tcW w:w="688" w:type="pct"/>
            <w:vMerge w:val="restart"/>
            <w:vAlign w:val="center"/>
          </w:tcPr>
          <w:p w14:paraId="3BB14A4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布袋除尘器</w:t>
            </w:r>
          </w:p>
        </w:tc>
        <w:tc>
          <w:tcPr>
            <w:tcW w:w="1244" w:type="pct"/>
            <w:vAlign w:val="center"/>
          </w:tcPr>
          <w:p w14:paraId="1B7C168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除尘器</w:t>
            </w:r>
            <w:r>
              <w:rPr>
                <w:rFonts w:hint="eastAsia"/>
                <w:snapToGrid w:val="0"/>
                <w:color w:val="000000" w:themeColor="text1"/>
                <w:kern w:val="0"/>
                <w:lang w:eastAsia="zh-CN"/>
                <w14:textFill>
                  <w14:solidFill>
                    <w14:schemeClr w14:val="tx1"/>
                  </w14:solidFill>
                </w14:textFill>
              </w:rPr>
              <w:t>收尘</w:t>
            </w:r>
          </w:p>
        </w:tc>
        <w:tc>
          <w:tcPr>
            <w:tcW w:w="2709" w:type="pct"/>
            <w:vAlign w:val="center"/>
          </w:tcPr>
          <w:p w14:paraId="0092EC2F">
            <w:pPr>
              <w:pStyle w:val="143"/>
              <w:jc w:val="center"/>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集中外售给有机肥厂生产有机肥</w:t>
            </w:r>
          </w:p>
        </w:tc>
      </w:tr>
      <w:tr w14:paraId="337B39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357" w:type="pct"/>
            <w:vMerge w:val="continue"/>
            <w:vAlign w:val="center"/>
          </w:tcPr>
          <w:p w14:paraId="49626381">
            <w:pPr>
              <w:pStyle w:val="143"/>
              <w:rPr>
                <w:snapToGrid w:val="0"/>
                <w:color w:val="000000" w:themeColor="text1"/>
                <w:kern w:val="0"/>
                <w14:textFill>
                  <w14:solidFill>
                    <w14:schemeClr w14:val="tx1"/>
                  </w14:solidFill>
                </w14:textFill>
              </w:rPr>
            </w:pPr>
          </w:p>
        </w:tc>
        <w:tc>
          <w:tcPr>
            <w:tcW w:w="688" w:type="pct"/>
            <w:vMerge w:val="continue"/>
            <w:vAlign w:val="center"/>
          </w:tcPr>
          <w:p w14:paraId="5E901E48">
            <w:pPr>
              <w:pStyle w:val="143"/>
              <w:rPr>
                <w:snapToGrid w:val="0"/>
                <w:color w:val="000000" w:themeColor="text1"/>
                <w:kern w:val="0"/>
                <w14:textFill>
                  <w14:solidFill>
                    <w14:schemeClr w14:val="tx1"/>
                  </w14:solidFill>
                </w14:textFill>
              </w:rPr>
            </w:pPr>
          </w:p>
        </w:tc>
        <w:tc>
          <w:tcPr>
            <w:tcW w:w="1244" w:type="pct"/>
            <w:vAlign w:val="center"/>
          </w:tcPr>
          <w:p w14:paraId="59E6A8DD">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废布袋</w:t>
            </w:r>
          </w:p>
        </w:tc>
        <w:tc>
          <w:tcPr>
            <w:tcW w:w="2709" w:type="pct"/>
            <w:vAlign w:val="center"/>
          </w:tcPr>
          <w:p w14:paraId="094B940C">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更换时交厂家回收处置</w:t>
            </w:r>
          </w:p>
        </w:tc>
      </w:tr>
      <w:tr w14:paraId="617D9F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57" w:type="pct"/>
            <w:vMerge w:val="continue"/>
            <w:vAlign w:val="center"/>
          </w:tcPr>
          <w:p w14:paraId="5C6D3AAB">
            <w:pPr>
              <w:pStyle w:val="143"/>
              <w:rPr>
                <w:snapToGrid w:val="0"/>
                <w:color w:val="000000" w:themeColor="text1"/>
                <w:kern w:val="0"/>
                <w14:textFill>
                  <w14:solidFill>
                    <w14:schemeClr w14:val="tx1"/>
                  </w14:solidFill>
                </w14:textFill>
              </w:rPr>
            </w:pPr>
          </w:p>
        </w:tc>
        <w:tc>
          <w:tcPr>
            <w:tcW w:w="688" w:type="pct"/>
            <w:vAlign w:val="center"/>
          </w:tcPr>
          <w:p w14:paraId="6570AB6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污水处理站</w:t>
            </w:r>
          </w:p>
        </w:tc>
        <w:tc>
          <w:tcPr>
            <w:tcW w:w="1244" w:type="pct"/>
            <w:vAlign w:val="center"/>
          </w:tcPr>
          <w:p w14:paraId="2E6C07D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污水处理污泥</w:t>
            </w:r>
          </w:p>
        </w:tc>
        <w:tc>
          <w:tcPr>
            <w:tcW w:w="2709" w:type="pct"/>
            <w:vAlign w:val="center"/>
          </w:tcPr>
          <w:p w14:paraId="012AC96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交由</w:t>
            </w:r>
            <w:r>
              <w:rPr>
                <w:rFonts w:hint="eastAsia"/>
                <w:snapToGrid w:val="0"/>
                <w:color w:val="000000" w:themeColor="text1"/>
                <w:kern w:val="0"/>
                <w:lang w:eastAsia="zh-CN"/>
                <w14:textFill>
                  <w14:solidFill>
                    <w14:schemeClr w14:val="tx1"/>
                  </w14:solidFill>
                </w14:textFill>
              </w:rPr>
              <w:t>市政部门统一处理</w:t>
            </w:r>
          </w:p>
        </w:tc>
      </w:tr>
      <w:tr w14:paraId="26CD82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57" w:type="pct"/>
            <w:vMerge w:val="continue"/>
            <w:vAlign w:val="center"/>
          </w:tcPr>
          <w:p w14:paraId="09647D77">
            <w:pPr>
              <w:pStyle w:val="143"/>
              <w:rPr>
                <w:snapToGrid w:val="0"/>
                <w:color w:val="000000" w:themeColor="text1"/>
                <w:kern w:val="0"/>
                <w14:textFill>
                  <w14:solidFill>
                    <w14:schemeClr w14:val="tx1"/>
                  </w14:solidFill>
                </w14:textFill>
              </w:rPr>
            </w:pPr>
          </w:p>
        </w:tc>
        <w:tc>
          <w:tcPr>
            <w:tcW w:w="688" w:type="pct"/>
            <w:vAlign w:val="center"/>
          </w:tcPr>
          <w:p w14:paraId="6F2DE737">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沼气工程</w:t>
            </w:r>
          </w:p>
        </w:tc>
        <w:tc>
          <w:tcPr>
            <w:tcW w:w="1244" w:type="pct"/>
            <w:vAlign w:val="center"/>
          </w:tcPr>
          <w:p w14:paraId="4F0C1088">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废脱硫剂</w:t>
            </w:r>
          </w:p>
        </w:tc>
        <w:tc>
          <w:tcPr>
            <w:tcW w:w="2709" w:type="pct"/>
            <w:vAlign w:val="center"/>
          </w:tcPr>
          <w:p w14:paraId="4D613F7D">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废脱硫剂更换</w:t>
            </w:r>
            <w:r>
              <w:rPr>
                <w:rFonts w:hint="eastAsia"/>
                <w:snapToGrid w:val="0"/>
                <w:color w:val="000000" w:themeColor="text1"/>
                <w:kern w:val="0"/>
                <w:lang w:eastAsia="zh-CN"/>
                <w14:textFill>
                  <w14:solidFill>
                    <w14:schemeClr w14:val="tx1"/>
                  </w14:solidFill>
                </w14:textFill>
              </w:rPr>
              <w:t>时</w:t>
            </w:r>
            <w:r>
              <w:rPr>
                <w:rFonts w:hint="eastAsia"/>
                <w:snapToGrid w:val="0"/>
                <w:color w:val="000000" w:themeColor="text1"/>
                <w:kern w:val="0"/>
                <w14:textFill>
                  <w14:solidFill>
                    <w14:schemeClr w14:val="tx1"/>
                  </w14:solidFill>
                </w14:textFill>
              </w:rPr>
              <w:t>由厂家回收</w:t>
            </w:r>
          </w:p>
        </w:tc>
      </w:tr>
      <w:tr w14:paraId="4908B8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357" w:type="pct"/>
            <w:vMerge w:val="continue"/>
            <w:vAlign w:val="center"/>
          </w:tcPr>
          <w:p w14:paraId="2B6D4A2F">
            <w:pPr>
              <w:pStyle w:val="143"/>
              <w:rPr>
                <w:snapToGrid w:val="0"/>
                <w:color w:val="000000" w:themeColor="text1"/>
                <w:kern w:val="0"/>
                <w14:textFill>
                  <w14:solidFill>
                    <w14:schemeClr w14:val="tx1"/>
                  </w14:solidFill>
                </w14:textFill>
              </w:rPr>
            </w:pPr>
          </w:p>
        </w:tc>
        <w:tc>
          <w:tcPr>
            <w:tcW w:w="688" w:type="pct"/>
            <w:vAlign w:val="center"/>
          </w:tcPr>
          <w:p w14:paraId="1AC3BAB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生产过程</w:t>
            </w:r>
          </w:p>
        </w:tc>
        <w:tc>
          <w:tcPr>
            <w:tcW w:w="1244" w:type="pct"/>
            <w:vAlign w:val="center"/>
          </w:tcPr>
          <w:p w14:paraId="61DE45C2">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废包装物</w:t>
            </w:r>
          </w:p>
        </w:tc>
        <w:tc>
          <w:tcPr>
            <w:tcW w:w="2709" w:type="pct"/>
            <w:vAlign w:val="center"/>
          </w:tcPr>
          <w:p w14:paraId="20ADDD1F">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集中收集</w:t>
            </w:r>
            <w:r>
              <w:rPr>
                <w:snapToGrid w:val="0"/>
                <w:color w:val="000000" w:themeColor="text1"/>
                <w:kern w:val="0"/>
                <w14:textFill>
                  <w14:solidFill>
                    <w14:schemeClr w14:val="tx1"/>
                  </w14:solidFill>
                </w14:textFill>
              </w:rPr>
              <w:t>，外售废品回收站</w:t>
            </w:r>
          </w:p>
        </w:tc>
      </w:tr>
      <w:tr w14:paraId="3C493B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357" w:type="pct"/>
            <w:vMerge w:val="continue"/>
            <w:vAlign w:val="center"/>
          </w:tcPr>
          <w:p w14:paraId="398018EA">
            <w:pPr>
              <w:pStyle w:val="143"/>
              <w:rPr>
                <w:snapToGrid w:val="0"/>
                <w:color w:val="000000" w:themeColor="text1"/>
                <w:kern w:val="0"/>
                <w14:textFill>
                  <w14:solidFill>
                    <w14:schemeClr w14:val="tx1"/>
                  </w14:solidFill>
                </w14:textFill>
              </w:rPr>
            </w:pPr>
          </w:p>
        </w:tc>
        <w:tc>
          <w:tcPr>
            <w:tcW w:w="688" w:type="pct"/>
            <w:vAlign w:val="center"/>
          </w:tcPr>
          <w:p w14:paraId="7AD25157">
            <w:pPr>
              <w:pStyle w:val="143"/>
              <w:ind w:firstLine="0" w:firstLineChars="0"/>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纯水制备</w:t>
            </w:r>
          </w:p>
        </w:tc>
        <w:tc>
          <w:tcPr>
            <w:tcW w:w="1244" w:type="pct"/>
            <w:vAlign w:val="center"/>
          </w:tcPr>
          <w:p w14:paraId="56A25188">
            <w:pPr>
              <w:pStyle w:val="143"/>
              <w:ind w:firstLine="0" w:firstLineChars="0"/>
              <w:rPr>
                <w:rFonts w:hint="eastAsia"/>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废过滤材料</w:t>
            </w:r>
          </w:p>
        </w:tc>
        <w:tc>
          <w:tcPr>
            <w:tcW w:w="2709" w:type="pct"/>
            <w:vAlign w:val="center"/>
          </w:tcPr>
          <w:p w14:paraId="32468834">
            <w:pPr>
              <w:pStyle w:val="143"/>
              <w:ind w:firstLine="0" w:firstLineChars="0"/>
              <w:rPr>
                <w:rFonts w:hint="eastAsia"/>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p>
        </w:tc>
      </w:tr>
      <w:tr w14:paraId="5CB291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357" w:type="pct"/>
            <w:vMerge w:val="continue"/>
            <w:vAlign w:val="center"/>
          </w:tcPr>
          <w:p w14:paraId="5B64C44E">
            <w:pPr>
              <w:pStyle w:val="143"/>
              <w:rPr>
                <w:snapToGrid w:val="0"/>
                <w:color w:val="000000" w:themeColor="text1"/>
                <w:kern w:val="0"/>
                <w14:textFill>
                  <w14:solidFill>
                    <w14:schemeClr w14:val="tx1"/>
                  </w14:solidFill>
                </w14:textFill>
              </w:rPr>
            </w:pPr>
          </w:p>
        </w:tc>
        <w:tc>
          <w:tcPr>
            <w:tcW w:w="688" w:type="pct"/>
            <w:vAlign w:val="center"/>
          </w:tcPr>
          <w:p w14:paraId="1A6C70AE">
            <w:pPr>
              <w:pStyle w:val="143"/>
              <w:ind w:firstLine="0" w:firstLineChars="0"/>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软水制备</w:t>
            </w:r>
          </w:p>
        </w:tc>
        <w:tc>
          <w:tcPr>
            <w:tcW w:w="1244" w:type="pct"/>
            <w:vAlign w:val="center"/>
          </w:tcPr>
          <w:p w14:paraId="60E99363">
            <w:pPr>
              <w:pStyle w:val="143"/>
              <w:ind w:firstLine="0" w:firstLineChars="0"/>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废离子交换树脂</w:t>
            </w:r>
          </w:p>
        </w:tc>
        <w:tc>
          <w:tcPr>
            <w:tcW w:w="2709" w:type="pct"/>
            <w:vAlign w:val="center"/>
          </w:tcPr>
          <w:p w14:paraId="0EAD8092">
            <w:pPr>
              <w:pStyle w:val="143"/>
              <w:ind w:firstLine="0" w:firstLineChars="0"/>
              <w:rPr>
                <w:rFonts w:hint="eastAsia"/>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p>
        </w:tc>
      </w:tr>
      <w:tr w14:paraId="58FE94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57" w:type="pct"/>
            <w:vMerge w:val="continue"/>
            <w:vAlign w:val="center"/>
          </w:tcPr>
          <w:p w14:paraId="2200A15A">
            <w:pPr>
              <w:pStyle w:val="143"/>
              <w:rPr>
                <w:snapToGrid w:val="0"/>
                <w:color w:val="000000" w:themeColor="text1"/>
                <w:kern w:val="0"/>
                <w14:textFill>
                  <w14:solidFill>
                    <w14:schemeClr w14:val="tx1"/>
                  </w14:solidFill>
                </w14:textFill>
              </w:rPr>
            </w:pPr>
          </w:p>
        </w:tc>
        <w:tc>
          <w:tcPr>
            <w:tcW w:w="688" w:type="pct"/>
            <w:vAlign w:val="center"/>
          </w:tcPr>
          <w:p w14:paraId="4865AC54">
            <w:pPr>
              <w:pStyle w:val="143"/>
              <w:rPr>
                <w:snapToGrid w:val="0"/>
                <w:color w:val="000000" w:themeColor="text1"/>
                <w:kern w:val="0"/>
                <w14:textFill>
                  <w14:solidFill>
                    <w14:schemeClr w14:val="tx1"/>
                  </w14:solidFill>
                </w14:textFill>
              </w:rPr>
            </w:pPr>
            <w:r>
              <w:rPr>
                <w:rFonts w:hint="default"/>
                <w:snapToGrid w:val="0"/>
                <w:color w:val="000000" w:themeColor="text1"/>
                <w:kern w:val="0"/>
                <w:lang w:val="en-US" w:eastAsia="zh-CN"/>
                <w14:textFill>
                  <w14:solidFill>
                    <w14:schemeClr w14:val="tx1"/>
                  </w14:solidFill>
                </w14:textFill>
              </w:rPr>
              <w:t>CO</w:t>
            </w:r>
            <w:r>
              <w:rPr>
                <w:rFonts w:hint="default"/>
                <w:snapToGrid w:val="0"/>
                <w:color w:val="000000" w:themeColor="text1"/>
                <w:kern w:val="0"/>
                <w:vertAlign w:val="subscript"/>
                <w:lang w:val="en-US" w:eastAsia="zh-CN"/>
                <w14:textFill>
                  <w14:solidFill>
                    <w14:schemeClr w14:val="tx1"/>
                  </w14:solidFill>
                </w14:textFill>
              </w:rPr>
              <w:t>2</w:t>
            </w:r>
            <w:r>
              <w:rPr>
                <w:rFonts w:hint="eastAsia"/>
                <w:snapToGrid w:val="0"/>
                <w:color w:val="000000" w:themeColor="text1"/>
                <w:kern w:val="0"/>
                <w:lang w:val="en-US" w:eastAsia="zh-CN"/>
                <w14:textFill>
                  <w14:solidFill>
                    <w14:schemeClr w14:val="tx1"/>
                  </w14:solidFill>
                </w14:textFill>
              </w:rPr>
              <w:t>回收系统</w:t>
            </w:r>
          </w:p>
        </w:tc>
        <w:tc>
          <w:tcPr>
            <w:tcW w:w="1244" w:type="pct"/>
            <w:vAlign w:val="center"/>
          </w:tcPr>
          <w:p w14:paraId="7F90F378">
            <w:pPr>
              <w:pStyle w:val="143"/>
              <w:rPr>
                <w:rFonts w:hint="default" w:eastAsia="宋体"/>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废活性炭</w:t>
            </w:r>
            <w:r>
              <w:rPr>
                <w:rFonts w:hint="eastAsia"/>
                <w:snapToGrid w:val="0"/>
                <w:color w:val="000000" w:themeColor="text1"/>
                <w:kern w:val="0"/>
                <w:lang w:val="en-US" w:eastAsia="zh-CN"/>
                <w14:textFill>
                  <w14:solidFill>
                    <w14:schemeClr w14:val="tx1"/>
                  </w14:solidFill>
                </w14:textFill>
              </w:rPr>
              <w:t>及废分子筛</w:t>
            </w:r>
          </w:p>
        </w:tc>
        <w:tc>
          <w:tcPr>
            <w:tcW w:w="2709" w:type="pct"/>
            <w:vAlign w:val="center"/>
          </w:tcPr>
          <w:p w14:paraId="08239B0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p>
        </w:tc>
      </w:tr>
      <w:tr w14:paraId="30F8DC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57" w:type="pct"/>
            <w:vMerge w:val="continue"/>
            <w:vAlign w:val="center"/>
          </w:tcPr>
          <w:p w14:paraId="0B881460">
            <w:pPr>
              <w:pStyle w:val="143"/>
              <w:rPr>
                <w:snapToGrid w:val="0"/>
                <w:color w:val="000000" w:themeColor="text1"/>
                <w:kern w:val="0"/>
                <w14:textFill>
                  <w14:solidFill>
                    <w14:schemeClr w14:val="tx1"/>
                  </w14:solidFill>
                </w14:textFill>
              </w:rPr>
            </w:pPr>
          </w:p>
        </w:tc>
        <w:tc>
          <w:tcPr>
            <w:tcW w:w="688" w:type="pct"/>
            <w:vAlign w:val="center"/>
          </w:tcPr>
          <w:p w14:paraId="4A8C7247">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生产过程</w:t>
            </w:r>
          </w:p>
        </w:tc>
        <w:tc>
          <w:tcPr>
            <w:tcW w:w="1244" w:type="pct"/>
            <w:vAlign w:val="center"/>
          </w:tcPr>
          <w:p w14:paraId="47040346">
            <w:pPr>
              <w:pStyle w:val="143"/>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废危化品包装材料</w:t>
            </w:r>
          </w:p>
        </w:tc>
        <w:tc>
          <w:tcPr>
            <w:tcW w:w="2709" w:type="pct"/>
            <w:vMerge w:val="restart"/>
            <w:vAlign w:val="center"/>
          </w:tcPr>
          <w:p w14:paraId="760AB597">
            <w:pPr>
              <w:pStyle w:val="143"/>
              <w:rPr>
                <w:snapToGrid w:val="0"/>
                <w:color w:val="000000" w:themeColor="text1"/>
                <w:kern w:val="0"/>
                <w14:textFill>
                  <w14:solidFill>
                    <w14:schemeClr w14:val="tx1"/>
                  </w14:solidFill>
                </w14:textFill>
              </w:rPr>
            </w:pPr>
            <w:r>
              <w:rPr>
                <w:rFonts w:hint="eastAsia"/>
                <w:snapToGrid w:val="0"/>
                <w:color w:val="000000" w:themeColor="text1"/>
                <w14:textFill>
                  <w14:solidFill>
                    <w14:schemeClr w14:val="tx1"/>
                  </w14:solidFill>
                </w14:textFill>
              </w:rPr>
              <w:t>暂存于危险废物贮存点，定期委托有资质单位处置</w:t>
            </w:r>
          </w:p>
        </w:tc>
      </w:tr>
      <w:tr w14:paraId="24A2E7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3" w:hRule="atLeast"/>
        </w:trPr>
        <w:tc>
          <w:tcPr>
            <w:tcW w:w="357" w:type="pct"/>
            <w:vMerge w:val="continue"/>
            <w:vAlign w:val="center"/>
          </w:tcPr>
          <w:p w14:paraId="280AE0E8">
            <w:pPr>
              <w:pStyle w:val="143"/>
              <w:rPr>
                <w:snapToGrid w:val="0"/>
                <w:color w:val="000000" w:themeColor="text1"/>
                <w:kern w:val="0"/>
                <w14:textFill>
                  <w14:solidFill>
                    <w14:schemeClr w14:val="tx1"/>
                  </w14:solidFill>
                </w14:textFill>
              </w:rPr>
            </w:pPr>
          </w:p>
        </w:tc>
        <w:tc>
          <w:tcPr>
            <w:tcW w:w="688" w:type="pct"/>
            <w:vAlign w:val="center"/>
          </w:tcPr>
          <w:p w14:paraId="7479277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质检</w:t>
            </w:r>
          </w:p>
        </w:tc>
        <w:tc>
          <w:tcPr>
            <w:tcW w:w="1244" w:type="pct"/>
            <w:vAlign w:val="center"/>
          </w:tcPr>
          <w:p w14:paraId="66EB8360">
            <w:pPr>
              <w:pStyle w:val="143"/>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化验室废液</w:t>
            </w:r>
          </w:p>
        </w:tc>
        <w:tc>
          <w:tcPr>
            <w:tcW w:w="2709" w:type="pct"/>
            <w:vMerge w:val="continue"/>
            <w:vAlign w:val="center"/>
          </w:tcPr>
          <w:p w14:paraId="6E393B40">
            <w:pPr>
              <w:pStyle w:val="143"/>
              <w:rPr>
                <w:snapToGrid w:val="0"/>
                <w:color w:val="000000" w:themeColor="text1"/>
                <w:kern w:val="0"/>
                <w14:textFill>
                  <w14:solidFill>
                    <w14:schemeClr w14:val="tx1"/>
                  </w14:solidFill>
                </w14:textFill>
              </w:rPr>
            </w:pPr>
          </w:p>
        </w:tc>
      </w:tr>
      <w:tr w14:paraId="45EEEC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3" w:hRule="atLeast"/>
        </w:trPr>
        <w:tc>
          <w:tcPr>
            <w:tcW w:w="357" w:type="pct"/>
            <w:vMerge w:val="continue"/>
            <w:vAlign w:val="center"/>
          </w:tcPr>
          <w:p w14:paraId="188F97B1">
            <w:pPr>
              <w:pStyle w:val="143"/>
              <w:rPr>
                <w:snapToGrid w:val="0"/>
                <w:color w:val="000000" w:themeColor="text1"/>
                <w:kern w:val="0"/>
                <w14:textFill>
                  <w14:solidFill>
                    <w14:schemeClr w14:val="tx1"/>
                  </w14:solidFill>
                </w14:textFill>
              </w:rPr>
            </w:pPr>
          </w:p>
        </w:tc>
        <w:tc>
          <w:tcPr>
            <w:tcW w:w="688" w:type="pct"/>
            <w:vMerge w:val="restart"/>
            <w:vAlign w:val="center"/>
          </w:tcPr>
          <w:p w14:paraId="57BB0F4E">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设备维修保养</w:t>
            </w:r>
          </w:p>
        </w:tc>
        <w:tc>
          <w:tcPr>
            <w:tcW w:w="1244" w:type="pct"/>
            <w:vAlign w:val="center"/>
          </w:tcPr>
          <w:p w14:paraId="3E471168">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废机油</w:t>
            </w:r>
          </w:p>
        </w:tc>
        <w:tc>
          <w:tcPr>
            <w:tcW w:w="2709" w:type="pct"/>
            <w:vMerge w:val="continue"/>
            <w:vAlign w:val="center"/>
          </w:tcPr>
          <w:p w14:paraId="38523CB0">
            <w:pPr>
              <w:pStyle w:val="143"/>
              <w:rPr>
                <w:snapToGrid w:val="0"/>
                <w:color w:val="000000" w:themeColor="text1"/>
                <w:kern w:val="0"/>
                <w14:textFill>
                  <w14:solidFill>
                    <w14:schemeClr w14:val="tx1"/>
                  </w14:solidFill>
                </w14:textFill>
              </w:rPr>
            </w:pPr>
          </w:p>
        </w:tc>
      </w:tr>
      <w:tr w14:paraId="569B54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57" w:type="pct"/>
            <w:vMerge w:val="continue"/>
            <w:vAlign w:val="center"/>
          </w:tcPr>
          <w:p w14:paraId="79E94110">
            <w:pPr>
              <w:pStyle w:val="143"/>
              <w:rPr>
                <w:snapToGrid w:val="0"/>
                <w:color w:val="000000" w:themeColor="text1"/>
                <w:kern w:val="0"/>
                <w14:textFill>
                  <w14:solidFill>
                    <w14:schemeClr w14:val="tx1"/>
                  </w14:solidFill>
                </w14:textFill>
              </w:rPr>
            </w:pPr>
          </w:p>
        </w:tc>
        <w:tc>
          <w:tcPr>
            <w:tcW w:w="688" w:type="pct"/>
            <w:vMerge w:val="continue"/>
            <w:vAlign w:val="center"/>
          </w:tcPr>
          <w:p w14:paraId="0471F468">
            <w:pPr>
              <w:pStyle w:val="143"/>
              <w:rPr>
                <w:snapToGrid w:val="0"/>
                <w:color w:val="000000" w:themeColor="text1"/>
                <w:kern w:val="0"/>
                <w14:textFill>
                  <w14:solidFill>
                    <w14:schemeClr w14:val="tx1"/>
                  </w14:solidFill>
                </w14:textFill>
              </w:rPr>
            </w:pPr>
          </w:p>
        </w:tc>
        <w:tc>
          <w:tcPr>
            <w:tcW w:w="1244" w:type="pct"/>
            <w:vAlign w:val="center"/>
          </w:tcPr>
          <w:p w14:paraId="3A639E5D">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废机油桶</w:t>
            </w:r>
          </w:p>
        </w:tc>
        <w:tc>
          <w:tcPr>
            <w:tcW w:w="2709" w:type="pct"/>
            <w:vMerge w:val="continue"/>
            <w:vAlign w:val="center"/>
          </w:tcPr>
          <w:p w14:paraId="27ED5324">
            <w:pPr>
              <w:pStyle w:val="143"/>
              <w:rPr>
                <w:snapToGrid w:val="0"/>
                <w:color w:val="000000" w:themeColor="text1"/>
                <w:kern w:val="0"/>
                <w14:textFill>
                  <w14:solidFill>
                    <w14:schemeClr w14:val="tx1"/>
                  </w14:solidFill>
                </w14:textFill>
              </w:rPr>
            </w:pPr>
          </w:p>
        </w:tc>
      </w:tr>
      <w:tr w14:paraId="73B657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3" w:hRule="atLeast"/>
        </w:trPr>
        <w:tc>
          <w:tcPr>
            <w:tcW w:w="357" w:type="pct"/>
            <w:vMerge w:val="continue"/>
            <w:vAlign w:val="center"/>
          </w:tcPr>
          <w:p w14:paraId="39C315BC">
            <w:pPr>
              <w:pStyle w:val="143"/>
              <w:rPr>
                <w:snapToGrid w:val="0"/>
                <w:color w:val="000000" w:themeColor="text1"/>
                <w:kern w:val="0"/>
                <w14:textFill>
                  <w14:solidFill>
                    <w14:schemeClr w14:val="tx1"/>
                  </w14:solidFill>
                </w14:textFill>
              </w:rPr>
            </w:pPr>
            <w:bookmarkStart w:id="126" w:name="_Toc277178428"/>
            <w:bookmarkStart w:id="127" w:name="_Toc255202294"/>
            <w:bookmarkStart w:id="128" w:name="_Toc480447664"/>
          </w:p>
        </w:tc>
        <w:tc>
          <w:tcPr>
            <w:tcW w:w="688" w:type="pct"/>
            <w:vMerge w:val="continue"/>
            <w:vAlign w:val="center"/>
          </w:tcPr>
          <w:p w14:paraId="2B27AA26">
            <w:pPr>
              <w:pStyle w:val="143"/>
              <w:rPr>
                <w:snapToGrid w:val="0"/>
                <w:color w:val="000000" w:themeColor="text1"/>
                <w:kern w:val="0"/>
                <w14:textFill>
                  <w14:solidFill>
                    <w14:schemeClr w14:val="tx1"/>
                  </w14:solidFill>
                </w14:textFill>
              </w:rPr>
            </w:pPr>
          </w:p>
        </w:tc>
        <w:tc>
          <w:tcPr>
            <w:tcW w:w="1244" w:type="pct"/>
            <w:vAlign w:val="center"/>
          </w:tcPr>
          <w:p w14:paraId="444E01FF">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废含油抹布手套</w:t>
            </w:r>
          </w:p>
        </w:tc>
        <w:tc>
          <w:tcPr>
            <w:tcW w:w="2709" w:type="pct"/>
            <w:vMerge w:val="continue"/>
            <w:vAlign w:val="center"/>
          </w:tcPr>
          <w:p w14:paraId="430F6DFC">
            <w:pPr>
              <w:pStyle w:val="143"/>
              <w:rPr>
                <w:snapToGrid w:val="0"/>
                <w:color w:val="000000" w:themeColor="text1"/>
                <w:kern w:val="0"/>
                <w14:textFill>
                  <w14:solidFill>
                    <w14:schemeClr w14:val="tx1"/>
                  </w14:solidFill>
                </w14:textFill>
              </w:rPr>
            </w:pPr>
          </w:p>
        </w:tc>
      </w:tr>
      <w:tr w14:paraId="3BE44D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3" w:hRule="atLeast"/>
        </w:trPr>
        <w:tc>
          <w:tcPr>
            <w:tcW w:w="357" w:type="pct"/>
            <w:vMerge w:val="continue"/>
            <w:vAlign w:val="center"/>
          </w:tcPr>
          <w:p w14:paraId="407CB4F9">
            <w:pPr>
              <w:pStyle w:val="143"/>
              <w:rPr>
                <w:snapToGrid w:val="0"/>
                <w:color w:val="000000" w:themeColor="text1"/>
                <w:kern w:val="0"/>
                <w14:textFill>
                  <w14:solidFill>
                    <w14:schemeClr w14:val="tx1"/>
                  </w14:solidFill>
                </w14:textFill>
              </w:rPr>
            </w:pPr>
          </w:p>
        </w:tc>
        <w:tc>
          <w:tcPr>
            <w:tcW w:w="688" w:type="pct"/>
            <w:vAlign w:val="center"/>
          </w:tcPr>
          <w:p w14:paraId="7F0E4C84">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生活垃圾</w:t>
            </w:r>
          </w:p>
        </w:tc>
        <w:tc>
          <w:tcPr>
            <w:tcW w:w="1244" w:type="pct"/>
            <w:vAlign w:val="center"/>
          </w:tcPr>
          <w:p w14:paraId="3B7C1EC0">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生活垃圾</w:t>
            </w:r>
          </w:p>
        </w:tc>
        <w:tc>
          <w:tcPr>
            <w:tcW w:w="2709" w:type="pct"/>
            <w:vAlign w:val="center"/>
          </w:tcPr>
          <w:p w14:paraId="50E078C0">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经垃圾桶收集暂存后委托环卫部门集中处理</w:t>
            </w:r>
          </w:p>
        </w:tc>
      </w:tr>
      <w:tr w14:paraId="483B24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3" w:hRule="atLeast"/>
        </w:trPr>
        <w:tc>
          <w:tcPr>
            <w:tcW w:w="357" w:type="pct"/>
            <w:vMerge w:val="continue"/>
            <w:vAlign w:val="center"/>
          </w:tcPr>
          <w:p w14:paraId="11245F19">
            <w:pPr>
              <w:pStyle w:val="143"/>
              <w:rPr>
                <w:snapToGrid w:val="0"/>
                <w:color w:val="000000" w:themeColor="text1"/>
                <w:kern w:val="0"/>
                <w14:textFill>
                  <w14:solidFill>
                    <w14:schemeClr w14:val="tx1"/>
                  </w14:solidFill>
                </w14:textFill>
              </w:rPr>
            </w:pPr>
          </w:p>
        </w:tc>
        <w:tc>
          <w:tcPr>
            <w:tcW w:w="688" w:type="pct"/>
            <w:vAlign w:val="center"/>
          </w:tcPr>
          <w:p w14:paraId="086C8563">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餐厨废弃物</w:t>
            </w:r>
          </w:p>
        </w:tc>
        <w:tc>
          <w:tcPr>
            <w:tcW w:w="1244" w:type="pct"/>
            <w:vAlign w:val="center"/>
          </w:tcPr>
          <w:p w14:paraId="5915299E">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餐厨废弃物</w:t>
            </w:r>
          </w:p>
        </w:tc>
        <w:tc>
          <w:tcPr>
            <w:tcW w:w="2709" w:type="pct"/>
            <w:vAlign w:val="center"/>
          </w:tcPr>
          <w:p w14:paraId="6406635D">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集中收集，交由有资质单位处理</w:t>
            </w:r>
          </w:p>
        </w:tc>
      </w:tr>
    </w:tbl>
    <w:p w14:paraId="6E07B571">
      <w:pPr>
        <w:pStyle w:val="6"/>
        <w:rPr>
          <w:snapToGrid w:val="0"/>
          <w:color w:val="000000" w:themeColor="text1"/>
          <w14:textFill>
            <w14:solidFill>
              <w14:schemeClr w14:val="tx1"/>
            </w14:solidFill>
          </w14:textFill>
        </w:rPr>
      </w:pPr>
      <w:bookmarkStart w:id="129" w:name="_Toc5903"/>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.5.3</w:t>
      </w:r>
      <w:r>
        <w:rPr>
          <w:rFonts w:hint="eastAsia"/>
          <w:snapToGrid w:val="0"/>
          <w:color w:val="000000" w:themeColor="text1"/>
          <w14:textFill>
            <w14:solidFill>
              <w14:schemeClr w14:val="tx1"/>
            </w14:solidFill>
          </w14:textFill>
        </w:rPr>
        <w:t>物料平衡</w:t>
      </w:r>
      <w:bookmarkEnd w:id="129"/>
    </w:p>
    <w:p w14:paraId="04E52D89">
      <w:pPr>
        <w:pStyle w:val="143"/>
        <w:rPr>
          <w:rFonts w:hint="eastAsia" w:eastAsia="宋体"/>
          <w:snapToGrid w:val="0"/>
          <w:color w:val="000000" w:themeColor="text1"/>
          <w:lang w:eastAsia="zh-CN"/>
          <w14:textFill>
            <w14:solidFill>
              <w14:schemeClr w14:val="tx1"/>
            </w14:solidFill>
          </w14:textFill>
        </w:rPr>
      </w:pPr>
      <w:r>
        <w:rPr>
          <w:rFonts w:hint="eastAsia" w:eastAsia="宋体"/>
          <w:snapToGrid w:val="0"/>
          <w:color w:val="000000" w:themeColor="text1"/>
          <w:lang w:eastAsia="zh-CN"/>
          <w14:textFill>
            <w14:solidFill>
              <w14:schemeClr w14:val="tx1"/>
            </w14:solidFill>
          </w14:textFill>
        </w:rPr>
        <w:drawing>
          <wp:inline distT="0" distB="0" distL="114300" distR="114300">
            <wp:extent cx="5273040" cy="7001510"/>
            <wp:effectExtent l="0" t="0" r="3810" b="8890"/>
            <wp:docPr id="11" name="图片 11" descr="紫苏物料平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紫苏物料平衡"/>
                    <pic:cNvPicPr>
                      <a:picLocks noChangeAspect="1"/>
                    </pic:cNvPicPr>
                  </pic:nvPicPr>
                  <pic:blipFill>
                    <a:blip r:embed="rId43"/>
                    <a:stretch>
                      <a:fillRect/>
                    </a:stretch>
                  </pic:blipFill>
                  <pic:spPr>
                    <a:xfrm>
                      <a:off x="0" y="0"/>
                      <a:ext cx="5273040" cy="7001510"/>
                    </a:xfrm>
                    <a:prstGeom prst="rect">
                      <a:avLst/>
                    </a:prstGeom>
                  </pic:spPr>
                </pic:pic>
              </a:graphicData>
            </a:graphic>
          </wp:inline>
        </w:drawing>
      </w:r>
    </w:p>
    <w:p w14:paraId="026D228E">
      <w:pPr>
        <w:pStyle w:val="206"/>
        <w:rPr>
          <w:snapToGrid w:val="0"/>
          <w:color w:val="000000" w:themeColor="text1"/>
          <w:highlight w:val="none"/>
          <w:lang w:eastAsia="zh-CN"/>
          <w14:textFill>
            <w14:solidFill>
              <w14:schemeClr w14:val="tx1"/>
            </w14:solidFill>
          </w14:textFill>
        </w:rPr>
      </w:pPr>
      <w:r>
        <w:rPr>
          <w:rFonts w:hint="eastAsia"/>
          <w:snapToGrid w:val="0"/>
          <w:color w:val="000000" w:themeColor="text1"/>
          <w:highlight w:val="none"/>
          <w:lang w:eastAsia="zh-CN"/>
          <w14:textFill>
            <w14:solidFill>
              <w14:schemeClr w14:val="tx1"/>
            </w14:solidFill>
          </w14:textFill>
        </w:rPr>
        <w:t>图3</w:t>
      </w:r>
      <w:r>
        <w:rPr>
          <w:snapToGrid w:val="0"/>
          <w:color w:val="000000" w:themeColor="text1"/>
          <w:highlight w:val="none"/>
          <w:lang w:eastAsia="zh-CN"/>
          <w14:textFill>
            <w14:solidFill>
              <w14:schemeClr w14:val="tx1"/>
            </w14:solidFill>
          </w14:textFill>
        </w:rPr>
        <w:t xml:space="preserve">-5-1 </w:t>
      </w:r>
      <w:r>
        <w:rPr>
          <w:rFonts w:hint="eastAsia"/>
          <w:snapToGrid w:val="0"/>
          <w:color w:val="000000" w:themeColor="text1"/>
          <w:highlight w:val="none"/>
          <w:lang w:eastAsia="zh-CN"/>
          <w14:textFill>
            <w14:solidFill>
              <w14:schemeClr w14:val="tx1"/>
            </w14:solidFill>
          </w14:textFill>
        </w:rPr>
        <w:t>物料平衡图（kg/</w:t>
      </w:r>
      <w:r>
        <w:rPr>
          <w:snapToGrid w:val="0"/>
          <w:color w:val="000000" w:themeColor="text1"/>
          <w:highlight w:val="none"/>
          <w:lang w:eastAsia="zh-CN"/>
          <w14:textFill>
            <w14:solidFill>
              <w14:schemeClr w14:val="tx1"/>
            </w14:solidFill>
          </w14:textFill>
        </w:rPr>
        <w:t>kL</w:t>
      </w:r>
      <w:r>
        <w:rPr>
          <w:rFonts w:hint="eastAsia"/>
          <w:snapToGrid w:val="0"/>
          <w:color w:val="000000" w:themeColor="text1"/>
          <w:highlight w:val="none"/>
          <w:lang w:eastAsia="zh-CN"/>
          <w14:textFill>
            <w14:solidFill>
              <w14:schemeClr w14:val="tx1"/>
            </w14:solidFill>
          </w14:textFill>
        </w:rPr>
        <w:t>）</w:t>
      </w:r>
    </w:p>
    <w:p w14:paraId="577C0F1E">
      <w:pPr>
        <w:pStyle w:val="85"/>
        <w:rPr>
          <w:snapToGrid w:val="0"/>
          <w:color w:val="000000" w:themeColor="text1"/>
          <w14:textFill>
            <w14:solidFill>
              <w14:schemeClr w14:val="tx1"/>
            </w14:solidFill>
          </w14:textFill>
        </w:rPr>
      </w:pPr>
    </w:p>
    <w:p w14:paraId="7E3A09B9">
      <w:pPr>
        <w:pStyle w:val="85"/>
        <w:rPr>
          <w:snapToGrid w:val="0"/>
          <w:color w:val="000000" w:themeColor="text1"/>
          <w14:textFill>
            <w14:solidFill>
              <w14:schemeClr w14:val="tx1"/>
            </w14:solidFill>
          </w14:textFill>
        </w:rPr>
      </w:pPr>
    </w:p>
    <w:p w14:paraId="66B4BF40">
      <w:pPr>
        <w:pStyle w:val="5"/>
        <w:rPr>
          <w:snapToGrid w:val="0"/>
          <w:color w:val="000000" w:themeColor="text1"/>
          <w14:textFill>
            <w14:solidFill>
              <w14:schemeClr w14:val="tx1"/>
            </w14:solidFill>
          </w14:textFill>
        </w:rPr>
      </w:pPr>
      <w:bookmarkStart w:id="130" w:name="_Toc728"/>
      <w:r>
        <w:rPr>
          <w:snapToGrid w:val="0"/>
          <w:color w:val="000000" w:themeColor="text1"/>
          <w14:textFill>
            <w14:solidFill>
              <w14:schemeClr w14:val="tx1"/>
            </w14:solidFill>
          </w14:textFill>
        </w:rPr>
        <w:t>3.6</w:t>
      </w:r>
      <w:r>
        <w:rPr>
          <w:rFonts w:hint="eastAsia"/>
          <w:snapToGrid w:val="0"/>
          <w:color w:val="000000" w:themeColor="text1"/>
          <w14:textFill>
            <w14:solidFill>
              <w14:schemeClr w14:val="tx1"/>
            </w14:solidFill>
          </w14:textFill>
        </w:rPr>
        <w:t>工程污染源强分析</w:t>
      </w:r>
      <w:bookmarkEnd w:id="126"/>
      <w:bookmarkEnd w:id="127"/>
      <w:bookmarkEnd w:id="128"/>
      <w:bookmarkEnd w:id="130"/>
    </w:p>
    <w:p w14:paraId="3F19ED44">
      <w:pPr>
        <w:pStyle w:val="6"/>
        <w:rPr>
          <w:snapToGrid w:val="0"/>
          <w:color w:val="000000" w:themeColor="text1"/>
          <w14:textFill>
            <w14:solidFill>
              <w14:schemeClr w14:val="tx1"/>
            </w14:solidFill>
          </w14:textFill>
        </w:rPr>
      </w:pPr>
      <w:bookmarkStart w:id="131" w:name="_Toc12629"/>
      <w:r>
        <w:rPr>
          <w:snapToGrid w:val="0"/>
          <w:color w:val="000000" w:themeColor="text1"/>
          <w14:textFill>
            <w14:solidFill>
              <w14:schemeClr w14:val="tx1"/>
            </w14:solidFill>
          </w14:textFill>
        </w:rPr>
        <w:t>3.6.1</w:t>
      </w:r>
      <w:r>
        <w:rPr>
          <w:rFonts w:hint="eastAsia"/>
          <w:snapToGrid w:val="0"/>
          <w:color w:val="000000" w:themeColor="text1"/>
          <w14:textFill>
            <w14:solidFill>
              <w14:schemeClr w14:val="tx1"/>
            </w14:solidFill>
          </w14:textFill>
        </w:rPr>
        <w:t>施工期污染源及源强分析</w:t>
      </w:r>
      <w:bookmarkEnd w:id="131"/>
    </w:p>
    <w:p w14:paraId="5F450932">
      <w:pPr>
        <w:pStyle w:val="7"/>
        <w:rPr>
          <w:snapToGrid w:val="0"/>
          <w:color w:val="000000" w:themeColor="text1"/>
          <w:lang w:val="en-US" w:eastAsia="zh-CN"/>
          <w14:textFill>
            <w14:solidFill>
              <w14:schemeClr w14:val="tx1"/>
            </w14:solidFill>
          </w14:textFill>
        </w:rPr>
      </w:pPr>
      <w:r>
        <w:rPr>
          <w:snapToGrid w:val="0"/>
          <w:color w:val="000000" w:themeColor="text1"/>
          <w14:textFill>
            <w14:solidFill>
              <w14:schemeClr w14:val="tx1"/>
            </w14:solidFill>
          </w14:textFill>
        </w:rPr>
        <w:t>3.6.1.1</w:t>
      </w:r>
      <w:r>
        <w:rPr>
          <w:rFonts w:hint="eastAsia"/>
          <w:snapToGrid w:val="0"/>
          <w:color w:val="000000" w:themeColor="text1"/>
          <w14:textFill>
            <w14:solidFill>
              <w14:schemeClr w14:val="tx1"/>
            </w14:solidFill>
          </w14:textFill>
        </w:rPr>
        <w:t>废气</w:t>
      </w:r>
    </w:p>
    <w:p w14:paraId="2B9D07CB">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施工期大气污染物主要为施工机械、运输车辆尾气，施工环节产生的扬尘。施工期扬尘主要产生于土方挖掘、平整土地、建材装卸以及车辆行驶等作业环节。根据类比调查，施工作业场地近地面扬尘浓度可达1.5mg/m</w:t>
      </w:r>
      <w:r>
        <w:rPr>
          <w:rFonts w:hint="eastAsia"/>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～30mg/m</w:t>
      </w:r>
      <w:r>
        <w:rPr>
          <w:rFonts w:hint="eastAsia"/>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，将对本项目周边环境产生一定的不利影响。考虑到施工期产生扬尘颗粒粒径较大，受自然沉降作用明显。由于施工机械数量少且较分散，施工期不长，其污染程度相对较轻。</w:t>
      </w:r>
    </w:p>
    <w:p w14:paraId="7D8C87AB">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根据有关资料显示，施工现场扬尘的另一个主要来源是车辆运输造成的，约占扬尘总量的60%。扬尘量的大小与天气干燥程度、道路路况、车辆行驶速度、风速大小等有关。一般情况下，在自然风作用下道路扬尘影响范围在100m以内，在大风天气，扬尘量及影响范围将有所扩大。对于施工中的挖方、填方作业及施工场地，采用洒水降尘的湿法作业抑制扬尘，以降低对大气环境影响。</w:t>
      </w:r>
    </w:p>
    <w:p w14:paraId="16FC4EC3">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3.6.1.2</w:t>
      </w:r>
      <w:r>
        <w:rPr>
          <w:rFonts w:hint="eastAsia"/>
          <w:snapToGrid w:val="0"/>
          <w:color w:val="000000" w:themeColor="text1"/>
          <w14:textFill>
            <w14:solidFill>
              <w14:schemeClr w14:val="tx1"/>
            </w14:solidFill>
          </w14:textFill>
        </w:rPr>
        <w:t>废</w:t>
      </w:r>
      <w:r>
        <w:rPr>
          <w:rFonts w:hint="eastAsia"/>
          <w:snapToGrid w:val="0"/>
          <w:color w:val="000000" w:themeColor="text1"/>
          <w:lang w:eastAsia="zh-CN"/>
          <w14:textFill>
            <w14:solidFill>
              <w14:schemeClr w14:val="tx1"/>
            </w14:solidFill>
          </w14:textFill>
        </w:rPr>
        <w:t>水</w:t>
      </w:r>
    </w:p>
    <w:p w14:paraId="700699F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项目施工期对水环境造成的影响主要有施工废水和生活污水。施工场地堆放的土石方被雨水冲刷易对地面径流产生污染。施工</w:t>
      </w:r>
      <w:r>
        <w:rPr>
          <w:snapToGrid w:val="0"/>
          <w:color w:val="000000" w:themeColor="text1"/>
          <w14:textFill>
            <w14:solidFill>
              <w14:schemeClr w14:val="tx1"/>
            </w14:solidFill>
          </w14:textFill>
        </w:rPr>
        <w:t>机械不在现场维修和冲洗，</w:t>
      </w:r>
      <w:r>
        <w:rPr>
          <w:rFonts w:hint="eastAsia"/>
          <w:snapToGrid w:val="0"/>
          <w:color w:val="000000" w:themeColor="text1"/>
          <w14:textFill>
            <w14:solidFill>
              <w14:schemeClr w14:val="tx1"/>
            </w14:solidFill>
          </w14:textFill>
        </w:rPr>
        <w:t>施工废水主要污染因子为</w:t>
      </w:r>
      <w:r>
        <w:rPr>
          <w:snapToGrid w:val="0"/>
          <w:color w:val="000000" w:themeColor="text1"/>
          <w14:textFill>
            <w14:solidFill>
              <w14:schemeClr w14:val="tx1"/>
            </w14:solidFill>
          </w14:textFill>
        </w:rPr>
        <w:t>COD</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BOD</w:t>
      </w:r>
      <w:r>
        <w:rPr>
          <w:snapToGrid w:val="0"/>
          <w:color w:val="000000" w:themeColor="text1"/>
          <w:vertAlign w:val="subscript"/>
          <w14:textFill>
            <w14:solidFill>
              <w14:schemeClr w14:val="tx1"/>
            </w14:solidFill>
          </w14:textFill>
        </w:rPr>
        <w:t>5</w:t>
      </w:r>
      <w:r>
        <w:rPr>
          <w:rFonts w:hint="eastAsia"/>
          <w:snapToGrid w:val="0"/>
          <w:color w:val="000000" w:themeColor="text1"/>
          <w14:textFill>
            <w14:solidFill>
              <w14:schemeClr w14:val="tx1"/>
            </w14:solidFill>
          </w14:textFill>
        </w:rPr>
        <w:t>、氨氮、</w:t>
      </w:r>
      <w:r>
        <w:rPr>
          <w:snapToGrid w:val="0"/>
          <w:color w:val="000000" w:themeColor="text1"/>
          <w14:textFill>
            <w14:solidFill>
              <w14:schemeClr w14:val="tx1"/>
            </w14:solidFill>
          </w14:textFill>
        </w:rPr>
        <w:t>SS</w:t>
      </w:r>
      <w:r>
        <w:rPr>
          <w:rFonts w:hint="eastAsia"/>
          <w:snapToGrid w:val="0"/>
          <w:color w:val="000000" w:themeColor="text1"/>
          <w14:textFill>
            <w14:solidFill>
              <w14:schemeClr w14:val="tx1"/>
            </w14:solidFill>
          </w14:textFill>
        </w:rPr>
        <w:t>。施工现场设置临时沉淀池，施工废水经沉淀后上清液用于施工场地和道路洒水降尘。</w:t>
      </w:r>
    </w:p>
    <w:p w14:paraId="595FB545">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施工现场高峰期人数约为</w:t>
      </w:r>
      <w:r>
        <w:rPr>
          <w:snapToGrid w:val="0"/>
          <w:color w:val="000000" w:themeColor="text1"/>
          <w14:textFill>
            <w14:solidFill>
              <w14:schemeClr w14:val="tx1"/>
            </w14:solidFill>
          </w14:textFill>
        </w:rPr>
        <w:t>50</w:t>
      </w:r>
      <w:r>
        <w:rPr>
          <w:rFonts w:hint="eastAsia"/>
          <w:snapToGrid w:val="0"/>
          <w:color w:val="000000" w:themeColor="text1"/>
          <w14:textFill>
            <w14:solidFill>
              <w14:schemeClr w14:val="tx1"/>
            </w14:solidFill>
          </w14:textFill>
        </w:rPr>
        <w:t>人，施工营地施工人员人均用水量约</w:t>
      </w:r>
      <w:r>
        <w:rPr>
          <w:snapToGrid w:val="0"/>
          <w:color w:val="000000" w:themeColor="text1"/>
          <w14:textFill>
            <w14:solidFill>
              <w14:schemeClr w14:val="tx1"/>
            </w14:solidFill>
          </w14:textFill>
        </w:rPr>
        <w:t>20L/</w:t>
      </w:r>
      <w:r>
        <w:rPr>
          <w:rFonts w:hint="eastAsia"/>
          <w:snapToGrid w:val="0"/>
          <w:color w:val="000000" w:themeColor="text1"/>
          <w14:textFill>
            <w14:solidFill>
              <w14:schemeClr w14:val="tx1"/>
            </w14:solidFill>
          </w14:textFill>
        </w:rPr>
        <w:t>人</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天，废水排放系数按</w:t>
      </w:r>
      <w:r>
        <w:rPr>
          <w:snapToGrid w:val="0"/>
          <w:color w:val="000000" w:themeColor="text1"/>
          <w14:textFill>
            <w14:solidFill>
              <w14:schemeClr w14:val="tx1"/>
            </w14:solidFill>
          </w14:textFill>
        </w:rPr>
        <w:t>0.8</w:t>
      </w:r>
      <w:r>
        <w:rPr>
          <w:rFonts w:hint="eastAsia"/>
          <w:snapToGrid w:val="0"/>
          <w:color w:val="000000" w:themeColor="text1"/>
          <w14:textFill>
            <w14:solidFill>
              <w14:schemeClr w14:val="tx1"/>
            </w14:solidFill>
          </w14:textFill>
        </w:rPr>
        <w:t>计算，每天排放生活污水约</w:t>
      </w:r>
      <w:r>
        <w:rPr>
          <w:snapToGrid w:val="0"/>
          <w:color w:val="000000" w:themeColor="text1"/>
          <w14:textFill>
            <w14:solidFill>
              <w14:schemeClr w14:val="tx1"/>
            </w14:solidFill>
          </w14:textFill>
        </w:rPr>
        <w:t>0.8t/d</w:t>
      </w:r>
      <w:r>
        <w:rPr>
          <w:rFonts w:hint="eastAsia"/>
          <w:snapToGrid w:val="0"/>
          <w:color w:val="000000" w:themeColor="text1"/>
          <w14:textFill>
            <w14:solidFill>
              <w14:schemeClr w14:val="tx1"/>
            </w14:solidFill>
          </w14:textFill>
        </w:rPr>
        <w:t>，污染物产生情况见下表3</w:t>
      </w:r>
      <w:r>
        <w:rPr>
          <w:snapToGrid w:val="0"/>
          <w:color w:val="000000" w:themeColor="text1"/>
          <w14:textFill>
            <w14:solidFill>
              <w14:schemeClr w14:val="tx1"/>
            </w14:solidFill>
          </w14:textFill>
        </w:rPr>
        <w:t>-6-1</w:t>
      </w:r>
      <w:r>
        <w:rPr>
          <w:rFonts w:hint="eastAsia"/>
          <w:snapToGrid w:val="0"/>
          <w:color w:val="000000" w:themeColor="text1"/>
          <w14:textFill>
            <w14:solidFill>
              <w14:schemeClr w14:val="tx1"/>
            </w14:solidFill>
          </w14:textFill>
        </w:rPr>
        <w:t>。施工场地不设置食堂。施工现场</w:t>
      </w:r>
      <w:r>
        <w:rPr>
          <w:rFonts w:hint="eastAsia" w:ascii="Times New Roman" w:hAnsi="Times New Roman" w:eastAsia="宋体"/>
          <w:bCs/>
          <w:color w:val="000000" w:themeColor="text1"/>
          <w:sz w:val="24"/>
          <w:szCs w:val="24"/>
          <w:lang w:val="en-US" w:eastAsia="zh-CN"/>
          <w14:textFill>
            <w14:solidFill>
              <w14:schemeClr w14:val="tx1"/>
            </w14:solidFill>
          </w14:textFill>
        </w:rPr>
        <w:t>设置</w:t>
      </w:r>
      <w:r>
        <w:rPr>
          <w:rFonts w:hint="eastAsia"/>
          <w:bCs/>
          <w:color w:val="000000" w:themeColor="text1"/>
          <w:sz w:val="24"/>
          <w:szCs w:val="24"/>
          <w:lang w:val="en-US" w:eastAsia="zh-CN"/>
          <w14:textFill>
            <w14:solidFill>
              <w14:schemeClr w14:val="tx1"/>
            </w14:solidFill>
          </w14:textFill>
        </w:rPr>
        <w:t>临时防渗旱厕</w:t>
      </w:r>
      <w:r>
        <w:rPr>
          <w:rFonts w:hint="eastAsia" w:ascii="Times New Roman" w:hAnsi="Times New Roman" w:eastAsia="宋体"/>
          <w:bCs/>
          <w:color w:val="000000" w:themeColor="text1"/>
          <w:sz w:val="24"/>
          <w:szCs w:val="24"/>
          <w:lang w:val="en-US" w:eastAsia="zh-CN"/>
          <w14:textFill>
            <w14:solidFill>
              <w14:schemeClr w14:val="tx1"/>
            </w14:solidFill>
          </w14:textFill>
        </w:rPr>
        <w:t>，</w:t>
      </w:r>
      <w:r>
        <w:rPr>
          <w:rFonts w:hint="eastAsia"/>
          <w:bCs/>
          <w:color w:val="000000" w:themeColor="text1"/>
          <w:sz w:val="24"/>
          <w:szCs w:val="24"/>
          <w:lang w:val="en-US" w:eastAsia="zh-CN"/>
          <w14:textFill>
            <w14:solidFill>
              <w14:schemeClr w14:val="tx1"/>
            </w14:solidFill>
          </w14:textFill>
        </w:rPr>
        <w:t>待施工期结束后，拆除临时防渗旱厕</w:t>
      </w:r>
      <w:r>
        <w:rPr>
          <w:rFonts w:hint="eastAsia" w:ascii="Times New Roman" w:hAnsi="Times New Roman" w:eastAsia="宋体"/>
          <w:bCs/>
          <w:color w:val="000000" w:themeColor="text1"/>
          <w:sz w:val="24"/>
          <w:szCs w:val="24"/>
          <w:lang w:val="en-US" w:eastAsia="zh-CN"/>
          <w14:textFill>
            <w14:solidFill>
              <w14:schemeClr w14:val="tx1"/>
            </w14:solidFill>
          </w14:textFill>
        </w:rPr>
        <w:t>，粪污</w:t>
      </w:r>
      <w:r>
        <w:rPr>
          <w:rFonts w:hint="eastAsia"/>
          <w:bCs/>
          <w:color w:val="000000" w:themeColor="text1"/>
          <w:sz w:val="24"/>
          <w:szCs w:val="24"/>
          <w:lang w:val="en-US" w:eastAsia="zh-CN"/>
          <w14:textFill>
            <w14:solidFill>
              <w14:schemeClr w14:val="tx1"/>
            </w14:solidFill>
          </w14:textFill>
        </w:rPr>
        <w:t>外售堆肥</w:t>
      </w:r>
      <w:r>
        <w:rPr>
          <w:rFonts w:hint="eastAsia" w:ascii="Times New Roman" w:hAnsi="Times New Roman" w:eastAsia="宋体"/>
          <w:bCs/>
          <w:color w:val="000000" w:themeColor="text1"/>
          <w:sz w:val="24"/>
          <w:szCs w:val="24"/>
          <w:lang w:val="en-US" w:eastAsia="zh-CN"/>
          <w14:textFill>
            <w14:solidFill>
              <w14:schemeClr w14:val="tx1"/>
            </w14:solidFill>
          </w14:textFill>
        </w:rPr>
        <w:t>。</w:t>
      </w:r>
    </w:p>
    <w:p w14:paraId="79873CDB">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3.6.1.3</w:t>
      </w:r>
      <w:r>
        <w:rPr>
          <w:rFonts w:hint="eastAsia"/>
          <w:snapToGrid w:val="0"/>
          <w:color w:val="000000" w:themeColor="text1"/>
          <w14:textFill>
            <w14:solidFill>
              <w14:schemeClr w14:val="tx1"/>
            </w14:solidFill>
          </w14:textFill>
        </w:rPr>
        <w:t>噪声</w:t>
      </w:r>
    </w:p>
    <w:p w14:paraId="2EF975BF">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施工期的噪声主要来源于施工机械，如推土机、装载机、挖掘机等各类施工设备，这些突发性非稳态声源将对施工人员和施工沿线声环境产生不利影响。</w:t>
      </w:r>
    </w:p>
    <w:p w14:paraId="3326ED30">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不同施工阶段的噪声源和物性不同可分为：</w:t>
      </w:r>
    </w:p>
    <w:p w14:paraId="77662B3E">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①基础施工阶段：主要噪声源是各种装载机、挖掘机、推土机等，大部分为移动声源。该阶段占整个施工期比例较小，但噪声大；</w:t>
      </w:r>
    </w:p>
    <w:p w14:paraId="2595DD70">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②建筑结构施工阶段：主要噪声源是塔式起重机、钢筋调直机、电渣焊机、电焊机、石料切割机、机械振捣器和电锯等等，此阶段占整个施工期比例最大。声源有固定的也有移动的；</w:t>
      </w:r>
    </w:p>
    <w:p w14:paraId="5E6524DF">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③设备安装阶段：主要噪声源有电锯、电锤等。此阶段占施工期的比例也较大，但大部分在房间内部使用，对环境影响不大。</w:t>
      </w:r>
    </w:p>
    <w:p w14:paraId="196D35B1">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④此外，由于施工期运输车辆增加，会增加评价区内公路沿线地区的交通噪声污染。</w:t>
      </w:r>
    </w:p>
    <w:p w14:paraId="611608A0">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参考《环境噪声与振动控制工程技术导则》（HJ 2034-2013）表A</w:t>
      </w:r>
      <w:r>
        <w:rPr>
          <w:snapToGrid w:val="0"/>
          <w:color w:val="000000" w:themeColor="text1"/>
          <w:kern w:val="0"/>
          <w14:textFill>
            <w14:solidFill>
              <w14:schemeClr w14:val="tx1"/>
            </w14:solidFill>
          </w14:textFill>
        </w:rPr>
        <w:t>.2</w:t>
      </w:r>
      <w:r>
        <w:rPr>
          <w:rFonts w:hint="eastAsia"/>
          <w:snapToGrid w:val="0"/>
          <w:color w:val="000000" w:themeColor="text1"/>
          <w:kern w:val="0"/>
          <w14:textFill>
            <w14:solidFill>
              <w14:schemeClr w14:val="tx1"/>
            </w14:solidFill>
          </w14:textFill>
        </w:rPr>
        <w:t>，本项目施工阶段距施工设备5m处主要噪声源强详见下表。</w:t>
      </w:r>
    </w:p>
    <w:p w14:paraId="2555DD3C">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hint="eastAsia" w:eastAsia="黑体"/>
          <w:snapToGrid w:val="0"/>
          <w:color w:val="000000" w:themeColor="text1"/>
          <w:kern w:val="0"/>
          <w:lang w:val="zh-CN" w:eastAsia="zh-CN"/>
          <w14:textFill>
            <w14:solidFill>
              <w14:schemeClr w14:val="tx1"/>
            </w14:solidFill>
          </w14:textFill>
        </w:rPr>
        <w:t>表3-</w:t>
      </w:r>
      <w:r>
        <w:rPr>
          <w:rFonts w:eastAsia="黑体"/>
          <w:snapToGrid w:val="0"/>
          <w:color w:val="000000" w:themeColor="text1"/>
          <w:kern w:val="0"/>
          <w:lang w:val="zh-CN" w:eastAsia="zh-CN"/>
          <w14:textFill>
            <w14:solidFill>
              <w14:schemeClr w14:val="tx1"/>
            </w14:solidFill>
          </w14:textFill>
        </w:rPr>
        <w:t>6</w:t>
      </w:r>
      <w:r>
        <w:rPr>
          <w:rFonts w:hint="eastAsia" w:eastAsia="黑体"/>
          <w:snapToGrid w:val="0"/>
          <w:color w:val="000000" w:themeColor="text1"/>
          <w:kern w:val="0"/>
          <w:lang w:val="zh-CN" w:eastAsia="zh-CN"/>
          <w14:textFill>
            <w14:solidFill>
              <w14:schemeClr w14:val="tx1"/>
            </w14:solidFill>
          </w14:textFill>
        </w:rPr>
        <w:t>-</w:t>
      </w:r>
      <w:r>
        <w:rPr>
          <w:rFonts w:hint="eastAsia" w:eastAsia="黑体"/>
          <w:snapToGrid w:val="0"/>
          <w:color w:val="000000" w:themeColor="text1"/>
          <w:kern w:val="0"/>
          <w:lang w:val="en-US" w:eastAsia="zh-CN"/>
          <w14:textFill>
            <w14:solidFill>
              <w14:schemeClr w14:val="tx1"/>
            </w14:solidFill>
          </w14:textFill>
        </w:rPr>
        <w:t>1</w:t>
      </w:r>
      <w:r>
        <w:rPr>
          <w:rFonts w:eastAsia="黑体"/>
          <w:snapToGrid w:val="0"/>
          <w:color w:val="000000" w:themeColor="text1"/>
          <w:kern w:val="0"/>
          <w:lang w:val="zh-CN" w:eastAsia="zh-CN"/>
          <w14:textFill>
            <w14:solidFill>
              <w14:schemeClr w14:val="tx1"/>
            </w14:solidFill>
          </w14:textFill>
        </w:rPr>
        <w:t xml:space="preserve"> </w:t>
      </w:r>
      <w:r>
        <w:rPr>
          <w:rFonts w:hint="eastAsia" w:eastAsia="黑体"/>
          <w:snapToGrid w:val="0"/>
          <w:color w:val="000000" w:themeColor="text1"/>
          <w:kern w:val="0"/>
          <w:lang w:val="zh-CN" w:eastAsia="zh-CN"/>
          <w14:textFill>
            <w14:solidFill>
              <w14:schemeClr w14:val="tx1"/>
            </w14:solidFill>
          </w14:textFill>
        </w:rPr>
        <w:t>各施工阶段主要噪声源强</w:t>
      </w:r>
    </w:p>
    <w:tbl>
      <w:tblPr>
        <w:tblStyle w:val="38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472"/>
        <w:gridCol w:w="3853"/>
        <w:gridCol w:w="1981"/>
      </w:tblGrid>
      <w:tr w14:paraId="3B48AC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6A150AFB">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14:textFill>
                  <w14:solidFill>
                    <w14:schemeClr w14:val="tx1"/>
                  </w14:solidFill>
                </w14:textFill>
              </w:rPr>
              <w:t>声源</w:t>
            </w:r>
          </w:p>
        </w:tc>
        <w:tc>
          <w:tcPr>
            <w:tcW w:w="3853" w:type="dxa"/>
            <w:vAlign w:val="center"/>
          </w:tcPr>
          <w:p w14:paraId="44532443">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噪声源强</w:t>
            </w:r>
            <w:r>
              <w:rPr>
                <w:snapToGrid w:val="0"/>
                <w:color w:val="000000" w:themeColor="text1"/>
                <w:kern w:val="0"/>
                <w14:textFill>
                  <w14:solidFill>
                    <w14:schemeClr w14:val="tx1"/>
                  </w14:solidFill>
                </w14:textFill>
              </w:rPr>
              <w:t>dB(A)</w:t>
            </w:r>
          </w:p>
        </w:tc>
        <w:tc>
          <w:tcPr>
            <w:tcW w:w="1981" w:type="dxa"/>
            <w:vAlign w:val="center"/>
          </w:tcPr>
          <w:p w14:paraId="44A2F974">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备注</w:t>
            </w:r>
          </w:p>
        </w:tc>
      </w:tr>
      <w:tr w14:paraId="428ED0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6E026721">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装载机</w:t>
            </w:r>
          </w:p>
        </w:tc>
        <w:tc>
          <w:tcPr>
            <w:tcW w:w="3853" w:type="dxa"/>
            <w:vAlign w:val="center"/>
          </w:tcPr>
          <w:p w14:paraId="6D3B57F1">
            <w:pPr>
              <w:pStyle w:val="143"/>
              <w:rPr>
                <w:snapToGrid w:val="0"/>
                <w:color w:val="000000" w:themeColor="text1"/>
                <w:kern w:val="0"/>
                <w14:textFill>
                  <w14:solidFill>
                    <w14:schemeClr w14:val="tx1"/>
                  </w14:solidFill>
                </w14:textFill>
              </w:rPr>
            </w:pPr>
            <w:r>
              <w:rPr>
                <w:snapToGrid w:val="0"/>
                <w:color w:val="000000" w:themeColor="text1"/>
                <w:kern w:val="0"/>
                <w:lang w:eastAsia="zh-CN"/>
                <w14:textFill>
                  <w14:solidFill>
                    <w14:schemeClr w14:val="tx1"/>
                  </w14:solidFill>
                </w14:textFill>
              </w:rPr>
              <w:t>90</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lang w:eastAsia="zh-CN"/>
                <w14:textFill>
                  <w14:solidFill>
                    <w14:schemeClr w14:val="tx1"/>
                  </w14:solidFill>
                </w14:textFill>
              </w:rPr>
              <w:t>95</w:t>
            </w:r>
          </w:p>
        </w:tc>
        <w:tc>
          <w:tcPr>
            <w:tcW w:w="1981" w:type="dxa"/>
            <w:vAlign w:val="center"/>
          </w:tcPr>
          <w:p w14:paraId="18A9BB9A">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流动源</w:t>
            </w:r>
          </w:p>
        </w:tc>
      </w:tr>
      <w:tr w14:paraId="557D05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6F14373C">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液压挖掘机</w:t>
            </w:r>
          </w:p>
        </w:tc>
        <w:tc>
          <w:tcPr>
            <w:tcW w:w="3853" w:type="dxa"/>
            <w:vAlign w:val="center"/>
          </w:tcPr>
          <w:p w14:paraId="7597EE82">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8</w:t>
            </w:r>
            <w:r>
              <w:rPr>
                <w:snapToGrid w:val="0"/>
                <w:color w:val="000000" w:themeColor="text1"/>
                <w:kern w:val="0"/>
                <w:lang w:eastAsia="zh-CN"/>
                <w14:textFill>
                  <w14:solidFill>
                    <w14:schemeClr w14:val="tx1"/>
                  </w14:solidFill>
                </w14:textFill>
              </w:rPr>
              <w:t>2~90</w:t>
            </w:r>
          </w:p>
        </w:tc>
        <w:tc>
          <w:tcPr>
            <w:tcW w:w="1981" w:type="dxa"/>
            <w:vAlign w:val="center"/>
          </w:tcPr>
          <w:p w14:paraId="60A5D8DA">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流动源</w:t>
            </w:r>
          </w:p>
        </w:tc>
      </w:tr>
      <w:tr w14:paraId="2C1EA5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3E8915C3">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打桩机</w:t>
            </w:r>
          </w:p>
        </w:tc>
        <w:tc>
          <w:tcPr>
            <w:tcW w:w="3853" w:type="dxa"/>
            <w:vAlign w:val="center"/>
          </w:tcPr>
          <w:p w14:paraId="2C149FAD">
            <w:pPr>
              <w:pStyle w:val="143"/>
              <w:rPr>
                <w:snapToGrid w:val="0"/>
                <w:color w:val="000000" w:themeColor="text1"/>
                <w:kern w:val="0"/>
                <w14:textFill>
                  <w14:solidFill>
                    <w14:schemeClr w14:val="tx1"/>
                  </w14:solidFill>
                </w14:textFill>
              </w:rPr>
            </w:pPr>
            <w:r>
              <w:rPr>
                <w:snapToGrid w:val="0"/>
                <w:color w:val="000000" w:themeColor="text1"/>
                <w:kern w:val="0"/>
                <w:lang w:eastAsia="zh-CN"/>
                <w14:textFill>
                  <w14:solidFill>
                    <w14:schemeClr w14:val="tx1"/>
                  </w14:solidFill>
                </w14:textFill>
              </w:rPr>
              <w:t>100</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lang w:eastAsia="zh-CN"/>
                <w14:textFill>
                  <w14:solidFill>
                    <w14:schemeClr w14:val="tx1"/>
                  </w14:solidFill>
                </w14:textFill>
              </w:rPr>
              <w:t>110</w:t>
            </w:r>
          </w:p>
        </w:tc>
        <w:tc>
          <w:tcPr>
            <w:tcW w:w="1981" w:type="dxa"/>
            <w:vAlign w:val="center"/>
          </w:tcPr>
          <w:p w14:paraId="2E3E6E6A">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流动源</w:t>
            </w:r>
          </w:p>
        </w:tc>
      </w:tr>
      <w:tr w14:paraId="6E978A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2EC707DC">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压路机</w:t>
            </w:r>
          </w:p>
        </w:tc>
        <w:tc>
          <w:tcPr>
            <w:tcW w:w="3853" w:type="dxa"/>
            <w:vAlign w:val="center"/>
          </w:tcPr>
          <w:p w14:paraId="2485623C">
            <w:pPr>
              <w:pStyle w:val="143"/>
              <w:rPr>
                <w:snapToGrid w:val="0"/>
                <w:color w:val="000000" w:themeColor="text1"/>
                <w:kern w:val="0"/>
                <w14:textFill>
                  <w14:solidFill>
                    <w14:schemeClr w14:val="tx1"/>
                  </w14:solidFill>
                </w14:textFill>
              </w:rPr>
            </w:pPr>
            <w:r>
              <w:rPr>
                <w:snapToGrid w:val="0"/>
                <w:color w:val="000000" w:themeColor="text1"/>
                <w:kern w:val="0"/>
                <w:lang w:eastAsia="zh-CN"/>
                <w14:textFill>
                  <w14:solidFill>
                    <w14:schemeClr w14:val="tx1"/>
                  </w14:solidFill>
                </w14:textFill>
              </w:rPr>
              <w:t>80</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lang w:eastAsia="zh-CN"/>
                <w14:textFill>
                  <w14:solidFill>
                    <w14:schemeClr w14:val="tx1"/>
                  </w14:solidFill>
                </w14:textFill>
              </w:rPr>
              <w:t>90</w:t>
            </w:r>
          </w:p>
        </w:tc>
        <w:tc>
          <w:tcPr>
            <w:tcW w:w="1981" w:type="dxa"/>
            <w:vAlign w:val="center"/>
          </w:tcPr>
          <w:p w14:paraId="2C164D13">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流动源</w:t>
            </w:r>
          </w:p>
        </w:tc>
      </w:tr>
      <w:tr w14:paraId="0E3421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3B8570D9">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推土机</w:t>
            </w:r>
          </w:p>
        </w:tc>
        <w:tc>
          <w:tcPr>
            <w:tcW w:w="3853" w:type="dxa"/>
            <w:vAlign w:val="center"/>
          </w:tcPr>
          <w:p w14:paraId="09470AB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8</w:t>
            </w:r>
            <w:r>
              <w:rPr>
                <w:snapToGrid w:val="0"/>
                <w:color w:val="000000" w:themeColor="text1"/>
                <w:kern w:val="0"/>
                <w:lang w:eastAsia="zh-CN"/>
                <w14:textFill>
                  <w14:solidFill>
                    <w14:schemeClr w14:val="tx1"/>
                  </w14:solidFill>
                </w14:textFill>
              </w:rPr>
              <w:t>3~88</w:t>
            </w:r>
          </w:p>
        </w:tc>
        <w:tc>
          <w:tcPr>
            <w:tcW w:w="1981" w:type="dxa"/>
            <w:vAlign w:val="center"/>
          </w:tcPr>
          <w:p w14:paraId="0572550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流动源</w:t>
            </w:r>
          </w:p>
        </w:tc>
      </w:tr>
      <w:tr w14:paraId="2054DD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63C474CD">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翻斗车</w:t>
            </w:r>
          </w:p>
        </w:tc>
        <w:tc>
          <w:tcPr>
            <w:tcW w:w="3853" w:type="dxa"/>
            <w:vAlign w:val="center"/>
          </w:tcPr>
          <w:p w14:paraId="02C1D496">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8</w:t>
            </w:r>
            <w:r>
              <w:rPr>
                <w:snapToGrid w:val="0"/>
                <w:color w:val="000000" w:themeColor="text1"/>
                <w:kern w:val="0"/>
                <w:lang w:eastAsia="zh-CN"/>
                <w14:textFill>
                  <w14:solidFill>
                    <w14:schemeClr w14:val="tx1"/>
                  </w14:solidFill>
                </w14:textFill>
              </w:rPr>
              <w:t>2~90</w:t>
            </w:r>
          </w:p>
        </w:tc>
        <w:tc>
          <w:tcPr>
            <w:tcW w:w="1981" w:type="dxa"/>
            <w:vAlign w:val="center"/>
          </w:tcPr>
          <w:p w14:paraId="6105387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流动源</w:t>
            </w:r>
          </w:p>
        </w:tc>
      </w:tr>
      <w:tr w14:paraId="34B7BC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46BC4236">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重型运输车</w:t>
            </w:r>
          </w:p>
        </w:tc>
        <w:tc>
          <w:tcPr>
            <w:tcW w:w="3853" w:type="dxa"/>
            <w:vAlign w:val="center"/>
          </w:tcPr>
          <w:p w14:paraId="3F44E8E9">
            <w:pPr>
              <w:pStyle w:val="143"/>
              <w:rPr>
                <w:snapToGrid w:val="0"/>
                <w:color w:val="000000" w:themeColor="text1"/>
                <w:kern w:val="0"/>
                <w:lang w:eastAsia="zh-CN"/>
                <w14:textFill>
                  <w14:solidFill>
                    <w14:schemeClr w14:val="tx1"/>
                  </w14:solidFill>
                </w14:textFill>
              </w:rPr>
            </w:pPr>
            <w:r>
              <w:rPr>
                <w:snapToGrid w:val="0"/>
                <w:color w:val="000000" w:themeColor="text1"/>
                <w:kern w:val="0"/>
                <w:lang w:eastAsia="zh-CN"/>
                <w14:textFill>
                  <w14:solidFill>
                    <w14:schemeClr w14:val="tx1"/>
                  </w14:solidFill>
                </w14:textFill>
              </w:rPr>
              <w:t>82</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lang w:eastAsia="zh-CN"/>
                <w14:textFill>
                  <w14:solidFill>
                    <w14:schemeClr w14:val="tx1"/>
                  </w14:solidFill>
                </w14:textFill>
              </w:rPr>
              <w:t>90</w:t>
            </w:r>
          </w:p>
        </w:tc>
        <w:tc>
          <w:tcPr>
            <w:tcW w:w="1981" w:type="dxa"/>
            <w:vAlign w:val="center"/>
          </w:tcPr>
          <w:p w14:paraId="51A7FD92">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流动源</w:t>
            </w:r>
          </w:p>
        </w:tc>
      </w:tr>
      <w:tr w14:paraId="72ED0F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1E0CD28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电锤</w:t>
            </w:r>
          </w:p>
        </w:tc>
        <w:tc>
          <w:tcPr>
            <w:tcW w:w="3853" w:type="dxa"/>
            <w:vAlign w:val="center"/>
          </w:tcPr>
          <w:p w14:paraId="6CF4D0E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1</w:t>
            </w:r>
            <w:r>
              <w:rPr>
                <w:snapToGrid w:val="0"/>
                <w:color w:val="000000" w:themeColor="text1"/>
                <w:kern w:val="0"/>
                <w:lang w:eastAsia="zh-CN"/>
                <w14:textFill>
                  <w14:solidFill>
                    <w14:schemeClr w14:val="tx1"/>
                  </w14:solidFill>
                </w14:textFill>
              </w:rPr>
              <w:t>00~105</w:t>
            </w:r>
          </w:p>
        </w:tc>
        <w:tc>
          <w:tcPr>
            <w:tcW w:w="1981" w:type="dxa"/>
            <w:vAlign w:val="center"/>
          </w:tcPr>
          <w:p w14:paraId="06FEAADA">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流动源</w:t>
            </w:r>
          </w:p>
        </w:tc>
      </w:tr>
      <w:tr w14:paraId="1932BD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7DAADC40">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木工电锯</w:t>
            </w:r>
          </w:p>
        </w:tc>
        <w:tc>
          <w:tcPr>
            <w:tcW w:w="3853" w:type="dxa"/>
            <w:vAlign w:val="center"/>
          </w:tcPr>
          <w:p w14:paraId="1ED07C1D">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9</w:t>
            </w:r>
            <w:r>
              <w:rPr>
                <w:snapToGrid w:val="0"/>
                <w:color w:val="000000" w:themeColor="text1"/>
                <w:kern w:val="0"/>
                <w:lang w:eastAsia="zh-CN"/>
                <w14:textFill>
                  <w14:solidFill>
                    <w14:schemeClr w14:val="tx1"/>
                  </w14:solidFill>
                </w14:textFill>
              </w:rPr>
              <w:t>3~99</w:t>
            </w:r>
          </w:p>
        </w:tc>
        <w:tc>
          <w:tcPr>
            <w:tcW w:w="1981" w:type="dxa"/>
            <w:vAlign w:val="center"/>
          </w:tcPr>
          <w:p w14:paraId="3F361790">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流动源</w:t>
            </w:r>
          </w:p>
        </w:tc>
      </w:tr>
      <w:tr w14:paraId="56B116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04BC7C89">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混凝土输送泵</w:t>
            </w:r>
          </w:p>
        </w:tc>
        <w:tc>
          <w:tcPr>
            <w:tcW w:w="3853" w:type="dxa"/>
            <w:vAlign w:val="center"/>
          </w:tcPr>
          <w:p w14:paraId="4E023EED">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8</w:t>
            </w:r>
            <w:r>
              <w:rPr>
                <w:snapToGrid w:val="0"/>
                <w:color w:val="000000" w:themeColor="text1"/>
                <w:kern w:val="0"/>
                <w:lang w:eastAsia="zh-CN"/>
                <w14:textFill>
                  <w14:solidFill>
                    <w14:schemeClr w14:val="tx1"/>
                  </w14:solidFill>
                </w14:textFill>
              </w:rPr>
              <w:t>8~95</w:t>
            </w:r>
          </w:p>
        </w:tc>
        <w:tc>
          <w:tcPr>
            <w:tcW w:w="1981" w:type="dxa"/>
            <w:vAlign w:val="center"/>
          </w:tcPr>
          <w:p w14:paraId="4734FBEA">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流动源</w:t>
            </w:r>
          </w:p>
        </w:tc>
      </w:tr>
      <w:tr w14:paraId="6A15A5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3702A787">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空压机</w:t>
            </w:r>
          </w:p>
        </w:tc>
        <w:tc>
          <w:tcPr>
            <w:tcW w:w="3853" w:type="dxa"/>
            <w:vAlign w:val="center"/>
          </w:tcPr>
          <w:p w14:paraId="7BE1BFCE">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8</w:t>
            </w:r>
            <w:r>
              <w:rPr>
                <w:snapToGrid w:val="0"/>
                <w:color w:val="000000" w:themeColor="text1"/>
                <w:kern w:val="0"/>
                <w:lang w:eastAsia="zh-CN"/>
                <w14:textFill>
                  <w14:solidFill>
                    <w14:schemeClr w14:val="tx1"/>
                  </w14:solidFill>
                </w14:textFill>
              </w:rPr>
              <w:t>8~92</w:t>
            </w:r>
          </w:p>
        </w:tc>
        <w:tc>
          <w:tcPr>
            <w:tcW w:w="1981" w:type="dxa"/>
            <w:vAlign w:val="center"/>
          </w:tcPr>
          <w:p w14:paraId="1E8832E8">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流动源</w:t>
            </w:r>
          </w:p>
        </w:tc>
      </w:tr>
      <w:tr w14:paraId="39E15D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5856F249">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商砼搅拌车</w:t>
            </w:r>
          </w:p>
        </w:tc>
        <w:tc>
          <w:tcPr>
            <w:tcW w:w="3853" w:type="dxa"/>
            <w:vAlign w:val="center"/>
          </w:tcPr>
          <w:p w14:paraId="1A99D27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8</w:t>
            </w:r>
            <w:r>
              <w:rPr>
                <w:snapToGrid w:val="0"/>
                <w:color w:val="000000" w:themeColor="text1"/>
                <w:kern w:val="0"/>
                <w:lang w:eastAsia="zh-CN"/>
                <w14:textFill>
                  <w14:solidFill>
                    <w14:schemeClr w14:val="tx1"/>
                  </w14:solidFill>
                </w14:textFill>
              </w:rPr>
              <w:t>5~90</w:t>
            </w:r>
          </w:p>
        </w:tc>
        <w:tc>
          <w:tcPr>
            <w:tcW w:w="1981" w:type="dxa"/>
            <w:vAlign w:val="center"/>
          </w:tcPr>
          <w:p w14:paraId="1A2C8B1B">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流动源</w:t>
            </w:r>
          </w:p>
        </w:tc>
      </w:tr>
    </w:tbl>
    <w:p w14:paraId="730AE062">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3.6.1.4</w:t>
      </w:r>
      <w:r>
        <w:rPr>
          <w:rFonts w:hint="eastAsia"/>
          <w:snapToGrid w:val="0"/>
          <w:color w:val="000000" w:themeColor="text1"/>
          <w14:textFill>
            <w14:solidFill>
              <w14:schemeClr w14:val="tx1"/>
            </w14:solidFill>
          </w14:textFill>
        </w:rPr>
        <w:t>固体废物</w:t>
      </w:r>
    </w:p>
    <w:p w14:paraId="3CAE14CD">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期固体废物主要包括建筑垃圾、施工弃土弃渣和生活垃圾。建筑垃圾有废建材、废钢材、包装袋等。对可再利用的建筑废料，应进行回收利用，以节省资源。多余废弃的砂、砾石可结合修路利用；除可回收利用外建筑垃圾应运输到环境保护管理部门指定的地点进行填埋，最大程度减小对环境的影响。本项目产生的土方主要为土地平整及挖地基时产生的少许土方，除回填外平整场地外，挖方的表土用于厂区绿化，无弃土产生。</w:t>
      </w:r>
    </w:p>
    <w:p w14:paraId="36D5F97D">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施工期生活垃圾按照每天每人产生</w:t>
      </w:r>
      <w:r>
        <w:rPr>
          <w:snapToGrid w:val="0"/>
          <w:color w:val="000000" w:themeColor="text1"/>
          <w14:textFill>
            <w14:solidFill>
              <w14:schemeClr w14:val="tx1"/>
            </w14:solidFill>
          </w14:textFill>
        </w:rPr>
        <w:t>0.5kg</w:t>
      </w:r>
      <w:r>
        <w:rPr>
          <w:rFonts w:hint="eastAsia"/>
          <w:snapToGrid w:val="0"/>
          <w:color w:val="000000" w:themeColor="text1"/>
          <w14:textFill>
            <w14:solidFill>
              <w14:schemeClr w14:val="tx1"/>
            </w14:solidFill>
          </w14:textFill>
        </w:rPr>
        <w:t>固体废物计算，预计一天产生</w:t>
      </w:r>
      <w:r>
        <w:rPr>
          <w:snapToGrid w:val="0"/>
          <w:color w:val="000000" w:themeColor="text1"/>
          <w14:textFill>
            <w14:solidFill>
              <w14:schemeClr w14:val="tx1"/>
            </w14:solidFill>
          </w14:textFill>
        </w:rPr>
        <w:t>25kg</w:t>
      </w:r>
      <w:r>
        <w:rPr>
          <w:rFonts w:hint="eastAsia"/>
          <w:snapToGrid w:val="0"/>
          <w:color w:val="000000" w:themeColor="text1"/>
          <w14:textFill>
            <w14:solidFill>
              <w14:schemeClr w14:val="tx1"/>
            </w14:solidFill>
          </w14:textFill>
        </w:rPr>
        <w:t>固体废物。施工人员产生的生活垃圾若随意堆放，不仅影响施工区环境景观，而且影响施工区环境卫生。在施工现场设置垃圾收集箱，集中收集后应由市政环卫部门统一清运处置。</w:t>
      </w:r>
    </w:p>
    <w:p w14:paraId="3DAF155E">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3.6.1.5</w:t>
      </w:r>
      <w:r>
        <w:rPr>
          <w:rFonts w:hint="eastAsia"/>
          <w:snapToGrid w:val="0"/>
          <w:color w:val="000000" w:themeColor="text1"/>
          <w14:textFill>
            <w14:solidFill>
              <w14:schemeClr w14:val="tx1"/>
            </w14:solidFill>
          </w14:textFill>
        </w:rPr>
        <w:t>生态环境</w:t>
      </w:r>
    </w:p>
    <w:p w14:paraId="73AB5047">
      <w:pPr>
        <w:adjustRightInd/>
        <w:snapToGrid/>
        <w:spacing w:line="500" w:lineRule="exact"/>
        <w:rPr>
          <w:rFonts w:hint="eastAsia" w:eastAsia="宋体"/>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本项目属于位于已批准规划环评的产业园区内且符合规划环评要求、不涉及生态敏感区的污染影响类建设项目</w:t>
      </w:r>
      <w:r>
        <w:rPr>
          <w:rFonts w:hint="eastAsia"/>
          <w:snapToGrid w:val="0"/>
          <w:color w:val="000000" w:themeColor="text1"/>
          <w:kern w:val="0"/>
          <w:lang w:eastAsia="zh-CN"/>
          <w14:textFill>
            <w14:solidFill>
              <w14:schemeClr w14:val="tx1"/>
            </w14:solidFill>
          </w14:textFill>
        </w:rPr>
        <w:t>。</w:t>
      </w:r>
    </w:p>
    <w:p w14:paraId="4B5DFDE1">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本项目新增占地位于产业园区内，不涉及生态敏感区，不设取土场，弃土场，对周边生态环境影响较小，施工期间的生态影响主要为：</w:t>
      </w:r>
    </w:p>
    <w:p w14:paraId="392B05CD">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r>
        <w:rPr>
          <w:rFonts w:hint="eastAsia"/>
          <w:snapToGrid w:val="0"/>
          <w:color w:val="000000" w:themeColor="text1"/>
          <w:kern w:val="0"/>
          <w14:textFill>
            <w14:solidFill>
              <w14:schemeClr w14:val="tx1"/>
            </w14:solidFill>
          </w14:textFill>
        </w:rPr>
        <w:t>、建设期间施工材料运输、建筑物建设、道路建设造成的扬尘及水土流失影响。</w:t>
      </w:r>
    </w:p>
    <w:p w14:paraId="1353D546">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w:t>
      </w:r>
      <w:r>
        <w:rPr>
          <w:rFonts w:hint="eastAsia"/>
          <w:snapToGrid w:val="0"/>
          <w:color w:val="000000" w:themeColor="text1"/>
          <w:kern w:val="0"/>
          <w14:textFill>
            <w14:solidFill>
              <w14:schemeClr w14:val="tx1"/>
            </w14:solidFill>
          </w14:textFill>
        </w:rPr>
        <w:t>、工程施工过程中的挖、填方等施工活动，将会在短期内加大水土流失量。施工场地土方的临时堆放、开挖面的裸露，土质松散，遇到降雨影响，如果防护不当，将使水土流失现象加剧。</w:t>
      </w:r>
    </w:p>
    <w:p w14:paraId="0A286958">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因此，施工期间应采取有效措施防止水土流失，如修建施工围挡和护坡等，最大限度地减少施工过程对环境的影响，施工结束后进行植物景观种植以及水土保持工作，进行生态恢复，施工期的生态影响也将结束。</w:t>
      </w:r>
    </w:p>
    <w:p w14:paraId="491986E6">
      <w:pPr>
        <w:pStyle w:val="6"/>
        <w:rPr>
          <w:snapToGrid w:val="0"/>
          <w:color w:val="000000" w:themeColor="text1"/>
          <w14:textFill>
            <w14:solidFill>
              <w14:schemeClr w14:val="tx1"/>
            </w14:solidFill>
          </w14:textFill>
        </w:rPr>
      </w:pPr>
      <w:bookmarkStart w:id="132" w:name="_Toc28421"/>
      <w:r>
        <w:rPr>
          <w:snapToGrid w:val="0"/>
          <w:color w:val="000000" w:themeColor="text1"/>
          <w14:textFill>
            <w14:solidFill>
              <w14:schemeClr w14:val="tx1"/>
            </w14:solidFill>
          </w14:textFill>
        </w:rPr>
        <w:t>3.6.2</w:t>
      </w:r>
      <w:r>
        <w:rPr>
          <w:rFonts w:hint="eastAsia"/>
          <w:snapToGrid w:val="0"/>
          <w:color w:val="000000" w:themeColor="text1"/>
          <w14:textFill>
            <w14:solidFill>
              <w14:schemeClr w14:val="tx1"/>
            </w14:solidFill>
          </w14:textFill>
        </w:rPr>
        <w:t>运营期污染源及源强分析</w:t>
      </w:r>
      <w:bookmarkEnd w:id="132"/>
    </w:p>
    <w:p w14:paraId="3747E301">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3.6.2.1</w:t>
      </w:r>
      <w:r>
        <w:rPr>
          <w:rFonts w:hint="eastAsia"/>
          <w:snapToGrid w:val="0"/>
          <w:color w:val="000000" w:themeColor="text1"/>
          <w14:textFill>
            <w14:solidFill>
              <w14:schemeClr w14:val="tx1"/>
            </w14:solidFill>
          </w14:textFill>
        </w:rPr>
        <w:t>废气</w:t>
      </w:r>
    </w:p>
    <w:p w14:paraId="225963EF">
      <w:pPr>
        <w:pStyle w:val="85"/>
        <w:keepNext w:val="0"/>
        <w:keepLines w:val="0"/>
        <w:pageBreakBefore w:val="0"/>
        <w:widowControl w:val="0"/>
        <w:kinsoku/>
        <w:wordWrap/>
        <w:overflowPunct/>
        <w:topLinePunct w:val="0"/>
        <w:autoSpaceDE/>
        <w:autoSpaceDN/>
        <w:bidi w:val="0"/>
        <w:spacing w:line="360" w:lineRule="auto"/>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本项目运营期大气污染源主要为污水处理站恶臭气体、发酵车间</w:t>
      </w:r>
      <w:r>
        <w:rPr>
          <w:color w:val="000000" w:themeColor="text1"/>
          <w14:textFill>
            <w14:solidFill>
              <w14:schemeClr w14:val="tx1"/>
            </w14:solidFill>
          </w14:textFill>
        </w:rPr>
        <w:t>废气</w:t>
      </w:r>
      <w:r>
        <w:rPr>
          <w:rFonts w:hint="eastAsia"/>
          <w:color w:val="000000" w:themeColor="text1"/>
          <w14:textFill>
            <w14:solidFill>
              <w14:schemeClr w14:val="tx1"/>
            </w14:solidFill>
          </w14:textFill>
        </w:rPr>
        <w:t>、锅炉烟气、原料处理间粉尘、沼气燃烧废气</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食堂油烟、柴油发电机废气</w:t>
      </w:r>
      <w:r>
        <w:rPr>
          <w:rFonts w:hint="eastAsia"/>
          <w:color w:val="000000" w:themeColor="text1"/>
          <w14:textFill>
            <w14:solidFill>
              <w14:schemeClr w14:val="tx1"/>
            </w14:solidFill>
          </w14:textFill>
        </w:rPr>
        <w:t>等。</w:t>
      </w:r>
    </w:p>
    <w:p w14:paraId="3BE3BBCD">
      <w:pPr>
        <w:pStyle w:val="85"/>
        <w:keepNext w:val="0"/>
        <w:keepLines w:val="0"/>
        <w:pageBreakBefore w:val="0"/>
        <w:widowControl w:val="0"/>
        <w:kinsoku/>
        <w:wordWrap/>
        <w:overflowPunct/>
        <w:topLinePunct w:val="0"/>
        <w:autoSpaceDE/>
        <w:autoSpaceDN/>
        <w:bidi w:val="0"/>
        <w:spacing w:line="360" w:lineRule="auto"/>
        <w:textAlignment w:val="auto"/>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、污水处理站恶臭气体</w:t>
      </w:r>
    </w:p>
    <w:p w14:paraId="5FDFB244">
      <w:pPr>
        <w:pStyle w:val="85"/>
        <w:keepNext w:val="0"/>
        <w:keepLines w:val="0"/>
        <w:pageBreakBefore w:val="0"/>
        <w:widowControl w:val="0"/>
        <w:kinsoku/>
        <w:wordWrap/>
        <w:overflowPunct/>
        <w:topLinePunct w:val="0"/>
        <w:autoSpaceDE/>
        <w:autoSpaceDN/>
        <w:bidi w:val="0"/>
        <w:spacing w:line="360" w:lineRule="auto"/>
        <w:textAlignment w:val="auto"/>
        <w:rPr>
          <w:rFonts w:hint="eastAsia"/>
          <w:color w:val="000000" w:themeColor="text1"/>
          <w14:textFill>
            <w14:solidFill>
              <w14:schemeClr w14:val="tx1"/>
            </w14:solidFill>
          </w14:textFill>
        </w:rPr>
      </w:pPr>
      <w:r>
        <w:rPr>
          <w:rFonts w:hint="eastAsia"/>
          <w:color w:val="000000" w:themeColor="text1"/>
          <w:lang w:val="zh-CN"/>
          <w14:textFill>
            <w14:solidFill>
              <w14:schemeClr w14:val="tx1"/>
            </w14:solidFill>
          </w14:textFill>
        </w:rPr>
        <w:t>项目污水处理站产生恶臭的主要成分为在调节池、厌氧、污泥浓缩、</w:t>
      </w:r>
      <w:r>
        <w:rPr>
          <w:rFonts w:hint="eastAsia"/>
          <w:color w:val="000000" w:themeColor="text1"/>
          <w14:textFill>
            <w14:solidFill>
              <w14:schemeClr w14:val="tx1"/>
            </w14:solidFill>
          </w14:textFill>
        </w:rPr>
        <w:t>污泥暂存等</w:t>
      </w:r>
      <w:r>
        <w:rPr>
          <w:rFonts w:hint="eastAsia"/>
          <w:color w:val="000000" w:themeColor="text1"/>
          <w:lang w:val="zh-CN"/>
          <w14:textFill>
            <w14:solidFill>
              <w14:schemeClr w14:val="tx1"/>
            </w14:solidFill>
          </w14:textFill>
        </w:rPr>
        <w:t>工序产生氨、H</w:t>
      </w:r>
      <w:r>
        <w:rPr>
          <w:rFonts w:hint="eastAsia"/>
          <w:color w:val="000000" w:themeColor="text1"/>
          <w:vertAlign w:val="subscript"/>
          <w:lang w:val="zh-CN"/>
          <w14:textFill>
            <w14:solidFill>
              <w14:schemeClr w14:val="tx1"/>
            </w14:solidFill>
          </w14:textFill>
        </w:rPr>
        <w:t>2</w:t>
      </w:r>
      <w:r>
        <w:rPr>
          <w:rFonts w:hint="eastAsia"/>
          <w:color w:val="000000" w:themeColor="text1"/>
          <w:lang w:val="zh-CN"/>
          <w14:textFill>
            <w14:solidFill>
              <w14:schemeClr w14:val="tx1"/>
            </w14:solidFill>
          </w14:textFill>
        </w:rPr>
        <w:t>S、胺等具有臭味的气体，</w:t>
      </w:r>
      <w:r>
        <w:rPr>
          <w:rFonts w:hint="eastAsia"/>
          <w:color w:val="000000" w:themeColor="text1"/>
          <w14:textFill>
            <w14:solidFill>
              <w14:schemeClr w14:val="tx1"/>
            </w14:solidFill>
          </w14:textFill>
        </w:rPr>
        <w:t>恶臭主要污染因子为氨、硫化氢及臭气浓度。</w:t>
      </w:r>
    </w:p>
    <w:p w14:paraId="31C1A8F9">
      <w:pPr>
        <w:pStyle w:val="22"/>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color w:val="000000"/>
          <w:sz w:val="24"/>
        </w:rPr>
      </w:pPr>
      <w:r>
        <w:rPr>
          <w:color w:val="000000"/>
          <w:kern w:val="0"/>
          <w:sz w:val="24"/>
          <w:szCs w:val="20"/>
          <w:lang w:val="zh-CN"/>
        </w:rPr>
        <w:t>根据美国</w:t>
      </w:r>
      <w:r>
        <w:rPr>
          <w:color w:val="000000"/>
          <w:kern w:val="0"/>
          <w:sz w:val="24"/>
          <w:szCs w:val="20"/>
        </w:rPr>
        <w:t xml:space="preserve"> EPA </w:t>
      </w:r>
      <w:r>
        <w:rPr>
          <w:color w:val="000000"/>
          <w:kern w:val="0"/>
          <w:sz w:val="24"/>
          <w:szCs w:val="20"/>
          <w:lang w:val="zh-CN"/>
        </w:rPr>
        <w:t>对城市污水处理厂恶臭污染物的研究</w:t>
      </w:r>
      <w:r>
        <w:rPr>
          <w:color w:val="000000"/>
          <w:kern w:val="0"/>
          <w:sz w:val="24"/>
          <w:szCs w:val="20"/>
        </w:rPr>
        <w:t>，</w:t>
      </w:r>
      <w:r>
        <w:rPr>
          <w:color w:val="000000"/>
          <w:kern w:val="0"/>
          <w:sz w:val="24"/>
          <w:szCs w:val="20"/>
          <w:lang w:val="zh-CN"/>
        </w:rPr>
        <w:t>每处理</w:t>
      </w:r>
      <w:r>
        <w:rPr>
          <w:color w:val="000000"/>
          <w:kern w:val="0"/>
          <w:sz w:val="24"/>
          <w:szCs w:val="20"/>
        </w:rPr>
        <w:t xml:space="preserve"> 1g </w:t>
      </w:r>
      <w:r>
        <w:rPr>
          <w:color w:val="000000"/>
          <w:kern w:val="0"/>
          <w:sz w:val="24"/>
          <w:szCs w:val="20"/>
          <w:lang w:val="zh-CN"/>
        </w:rPr>
        <w:t>的</w:t>
      </w:r>
      <w:r>
        <w:rPr>
          <w:color w:val="000000"/>
          <w:kern w:val="0"/>
          <w:sz w:val="24"/>
          <w:szCs w:val="20"/>
        </w:rPr>
        <w:t>BOD</w:t>
      </w:r>
      <w:r>
        <w:rPr>
          <w:color w:val="000000"/>
          <w:kern w:val="0"/>
          <w:sz w:val="24"/>
          <w:szCs w:val="20"/>
          <w:vertAlign w:val="subscript"/>
        </w:rPr>
        <w:t>5</w:t>
      </w:r>
      <w:r>
        <w:rPr>
          <w:color w:val="000000"/>
          <w:kern w:val="0"/>
          <w:sz w:val="24"/>
          <w:szCs w:val="20"/>
          <w:lang w:val="zh-CN"/>
        </w:rPr>
        <w:t>可产生</w:t>
      </w:r>
      <w:r>
        <w:rPr>
          <w:color w:val="000000"/>
          <w:kern w:val="0"/>
          <w:sz w:val="24"/>
          <w:szCs w:val="20"/>
        </w:rPr>
        <w:t xml:space="preserve"> 0.0031g </w:t>
      </w:r>
      <w:r>
        <w:rPr>
          <w:color w:val="000000"/>
          <w:kern w:val="0"/>
          <w:sz w:val="24"/>
          <w:szCs w:val="20"/>
          <w:lang w:val="zh-CN"/>
        </w:rPr>
        <w:t>的</w:t>
      </w:r>
      <w:r>
        <w:rPr>
          <w:color w:val="000000"/>
          <w:kern w:val="0"/>
          <w:sz w:val="24"/>
          <w:szCs w:val="20"/>
        </w:rPr>
        <w:t xml:space="preserve"> NH</w:t>
      </w:r>
      <w:r>
        <w:rPr>
          <w:color w:val="000000"/>
          <w:kern w:val="0"/>
          <w:sz w:val="24"/>
          <w:szCs w:val="20"/>
          <w:vertAlign w:val="subscript"/>
        </w:rPr>
        <w:t>3</w:t>
      </w:r>
      <w:r>
        <w:rPr>
          <w:color w:val="000000"/>
          <w:kern w:val="0"/>
          <w:sz w:val="24"/>
          <w:szCs w:val="20"/>
        </w:rPr>
        <w:t xml:space="preserve"> </w:t>
      </w:r>
      <w:r>
        <w:rPr>
          <w:color w:val="000000"/>
          <w:kern w:val="0"/>
          <w:sz w:val="24"/>
          <w:szCs w:val="20"/>
          <w:lang w:val="zh-CN"/>
        </w:rPr>
        <w:t>和</w:t>
      </w:r>
      <w:r>
        <w:rPr>
          <w:color w:val="000000"/>
          <w:kern w:val="0"/>
          <w:sz w:val="24"/>
          <w:szCs w:val="20"/>
        </w:rPr>
        <w:t xml:space="preserve"> 0.00012g </w:t>
      </w:r>
      <w:r>
        <w:rPr>
          <w:color w:val="000000"/>
          <w:kern w:val="0"/>
          <w:sz w:val="24"/>
          <w:szCs w:val="20"/>
          <w:lang w:val="zh-CN"/>
        </w:rPr>
        <w:t>的</w:t>
      </w:r>
      <w:r>
        <w:rPr>
          <w:color w:val="000000"/>
          <w:kern w:val="0"/>
          <w:sz w:val="24"/>
          <w:szCs w:val="20"/>
        </w:rPr>
        <w:t xml:space="preserve"> H</w:t>
      </w:r>
      <w:r>
        <w:rPr>
          <w:color w:val="000000"/>
          <w:kern w:val="0"/>
          <w:sz w:val="24"/>
          <w:szCs w:val="20"/>
          <w:vertAlign w:val="subscript"/>
        </w:rPr>
        <w:t>2</w:t>
      </w:r>
      <w:r>
        <w:rPr>
          <w:color w:val="000000"/>
          <w:kern w:val="0"/>
          <w:sz w:val="24"/>
          <w:szCs w:val="20"/>
        </w:rPr>
        <w:t xml:space="preserve">S </w:t>
      </w:r>
      <w:r>
        <w:rPr>
          <w:color w:val="000000"/>
          <w:kern w:val="0"/>
          <w:sz w:val="24"/>
          <w:szCs w:val="20"/>
          <w:lang w:val="zh-CN"/>
        </w:rPr>
        <w:t>核算源强。根据计算，项目拟建</w:t>
      </w:r>
      <w:r>
        <w:rPr>
          <w:rFonts w:hint="eastAsia"/>
          <w:color w:val="000000"/>
          <w:kern w:val="0"/>
          <w:sz w:val="24"/>
          <w:szCs w:val="20"/>
        </w:rPr>
        <w:t>一</w:t>
      </w:r>
      <w:r>
        <w:rPr>
          <w:color w:val="000000"/>
          <w:kern w:val="0"/>
          <w:sz w:val="24"/>
          <w:szCs w:val="20"/>
          <w:lang w:val="zh-CN"/>
        </w:rPr>
        <w:t>座污水</w:t>
      </w:r>
      <w:r>
        <w:rPr>
          <w:rFonts w:hint="eastAsia"/>
          <w:color w:val="000000"/>
          <w:kern w:val="0"/>
          <w:sz w:val="24"/>
          <w:szCs w:val="20"/>
        </w:rPr>
        <w:t>处理</w:t>
      </w:r>
      <w:r>
        <w:rPr>
          <w:color w:val="000000"/>
          <w:kern w:val="0"/>
          <w:sz w:val="24"/>
          <w:szCs w:val="20"/>
          <w:lang w:val="zh-CN"/>
        </w:rPr>
        <w:t>站</w:t>
      </w:r>
      <w:r>
        <w:rPr>
          <w:rFonts w:hint="eastAsia"/>
          <w:color w:val="000000"/>
          <w:kern w:val="0"/>
          <w:sz w:val="24"/>
          <w:szCs w:val="20"/>
          <w:lang w:val="zh-CN"/>
        </w:rPr>
        <w:t>，</w:t>
      </w:r>
      <w:r>
        <w:rPr>
          <w:rFonts w:hint="eastAsia"/>
          <w:color w:val="000000"/>
          <w:kern w:val="0"/>
          <w:sz w:val="24"/>
          <w:szCs w:val="20"/>
        </w:rPr>
        <w:t>考虑污水在池中停滞贮存，且污水处理生化工艺需要提前一个月培养菌群，故污水处理站废气排放时间按年</w:t>
      </w:r>
      <w:r>
        <w:rPr>
          <w:rFonts w:hint="eastAsia"/>
          <w:color w:val="000000"/>
          <w:kern w:val="0"/>
          <w:sz w:val="24"/>
          <w:szCs w:val="20"/>
          <w:lang w:val="en-US" w:eastAsia="zh-CN"/>
        </w:rPr>
        <w:t>330</w:t>
      </w:r>
      <w:r>
        <w:rPr>
          <w:rFonts w:hint="eastAsia"/>
          <w:color w:val="000000"/>
          <w:kern w:val="0"/>
          <w:sz w:val="24"/>
          <w:szCs w:val="20"/>
        </w:rPr>
        <w:t>d，日24小时计，故污水处理站废气排放时间为</w:t>
      </w:r>
      <w:r>
        <w:rPr>
          <w:rFonts w:hint="eastAsia"/>
          <w:color w:val="000000"/>
          <w:kern w:val="0"/>
          <w:sz w:val="24"/>
          <w:szCs w:val="20"/>
          <w:lang w:val="en-US" w:eastAsia="zh-CN"/>
        </w:rPr>
        <w:t>7920</w:t>
      </w:r>
      <w:r>
        <w:rPr>
          <w:rFonts w:hint="eastAsia"/>
          <w:color w:val="000000"/>
          <w:kern w:val="0"/>
          <w:sz w:val="24"/>
          <w:szCs w:val="20"/>
        </w:rPr>
        <w:t>小时，</w:t>
      </w:r>
      <w:r>
        <w:rPr>
          <w:color w:val="000000"/>
          <w:kern w:val="0"/>
          <w:sz w:val="24"/>
          <w:szCs w:val="20"/>
          <w:lang w:val="zh-CN"/>
        </w:rPr>
        <w:t>BOD</w:t>
      </w:r>
      <w:r>
        <w:rPr>
          <w:color w:val="000000"/>
          <w:kern w:val="0"/>
          <w:sz w:val="24"/>
          <w:szCs w:val="20"/>
          <w:vertAlign w:val="subscript"/>
          <w:lang w:val="zh-CN"/>
        </w:rPr>
        <w:t>5</w:t>
      </w:r>
      <w:r>
        <w:rPr>
          <w:color w:val="000000"/>
          <w:kern w:val="0"/>
          <w:sz w:val="24"/>
          <w:szCs w:val="20"/>
          <w:lang w:val="zh-CN"/>
        </w:rPr>
        <w:t>处理量约为</w:t>
      </w:r>
      <w:r>
        <w:rPr>
          <w:rFonts w:hint="eastAsia"/>
          <w:color w:val="000000"/>
          <w:kern w:val="0"/>
          <w:sz w:val="24"/>
          <w:szCs w:val="20"/>
          <w:lang w:val="en-US" w:eastAsia="zh-CN"/>
        </w:rPr>
        <w:t>54.49</w:t>
      </w:r>
      <w:r>
        <w:rPr>
          <w:color w:val="000000"/>
          <w:kern w:val="0"/>
          <w:sz w:val="24"/>
          <w:szCs w:val="20"/>
          <w:lang w:val="zh-CN"/>
        </w:rPr>
        <w:t>t/a，拟建项目NH</w:t>
      </w:r>
      <w:r>
        <w:rPr>
          <w:color w:val="000000"/>
          <w:kern w:val="0"/>
          <w:sz w:val="24"/>
          <w:szCs w:val="20"/>
          <w:vertAlign w:val="subscript"/>
          <w:lang w:val="zh-CN"/>
        </w:rPr>
        <w:t>3</w:t>
      </w:r>
      <w:r>
        <w:rPr>
          <w:color w:val="000000"/>
          <w:kern w:val="0"/>
          <w:sz w:val="24"/>
          <w:szCs w:val="20"/>
          <w:lang w:val="zh-CN"/>
        </w:rPr>
        <w:t>、H</w:t>
      </w:r>
      <w:r>
        <w:rPr>
          <w:color w:val="000000"/>
          <w:kern w:val="0"/>
          <w:sz w:val="24"/>
          <w:szCs w:val="20"/>
          <w:vertAlign w:val="subscript"/>
          <w:lang w:val="zh-CN"/>
        </w:rPr>
        <w:t>2</w:t>
      </w:r>
      <w:r>
        <w:rPr>
          <w:color w:val="000000"/>
          <w:kern w:val="0"/>
          <w:sz w:val="24"/>
          <w:szCs w:val="20"/>
          <w:lang w:val="zh-CN"/>
        </w:rPr>
        <w:t xml:space="preserve">S总产生量为 </w:t>
      </w:r>
      <w:r>
        <w:rPr>
          <w:rFonts w:hint="eastAsia"/>
          <w:color w:val="000000"/>
          <w:kern w:val="0"/>
          <w:sz w:val="24"/>
          <w:szCs w:val="20"/>
          <w:lang w:val="en-US" w:eastAsia="zh-CN"/>
        </w:rPr>
        <w:t>0.169</w:t>
      </w:r>
      <w:r>
        <w:rPr>
          <w:color w:val="000000"/>
          <w:kern w:val="0"/>
          <w:sz w:val="24"/>
          <w:szCs w:val="20"/>
          <w:lang w:val="zh-CN"/>
        </w:rPr>
        <w:t>t/a、0.</w:t>
      </w:r>
      <w:r>
        <w:rPr>
          <w:rFonts w:hint="eastAsia"/>
          <w:color w:val="000000"/>
          <w:kern w:val="0"/>
          <w:sz w:val="24"/>
          <w:szCs w:val="20"/>
        </w:rPr>
        <w:t>0</w:t>
      </w:r>
      <w:r>
        <w:rPr>
          <w:rFonts w:hint="eastAsia"/>
          <w:color w:val="000000"/>
          <w:kern w:val="0"/>
          <w:sz w:val="24"/>
          <w:szCs w:val="20"/>
          <w:lang w:val="en-US" w:eastAsia="zh-CN"/>
        </w:rPr>
        <w:t>065</w:t>
      </w:r>
      <w:r>
        <w:rPr>
          <w:color w:val="000000"/>
          <w:kern w:val="0"/>
          <w:sz w:val="24"/>
          <w:szCs w:val="20"/>
          <w:lang w:val="zh-CN"/>
        </w:rPr>
        <w:t>t/a</w:t>
      </w:r>
      <w:r>
        <w:rPr>
          <w:rFonts w:hint="eastAsia"/>
          <w:color w:val="000000"/>
          <w:kern w:val="0"/>
          <w:sz w:val="24"/>
          <w:szCs w:val="20"/>
          <w:lang w:val="zh-CN"/>
        </w:rPr>
        <w:t>，</w:t>
      </w:r>
      <w:r>
        <w:rPr>
          <w:rFonts w:hint="eastAsia"/>
          <w:color w:val="000000"/>
          <w:kern w:val="0"/>
          <w:sz w:val="24"/>
          <w:szCs w:val="20"/>
        </w:rPr>
        <w:t>产生速率分别为</w:t>
      </w:r>
      <w:r>
        <w:rPr>
          <w:rFonts w:hint="eastAsia"/>
          <w:color w:val="000000"/>
          <w:kern w:val="0"/>
          <w:sz w:val="24"/>
          <w:szCs w:val="20"/>
          <w:lang w:val="en-US" w:eastAsia="zh-CN"/>
        </w:rPr>
        <w:t>0.021</w:t>
      </w:r>
      <w:r>
        <w:rPr>
          <w:rFonts w:hint="eastAsia"/>
          <w:color w:val="000000"/>
          <w:kern w:val="0"/>
          <w:sz w:val="24"/>
          <w:szCs w:val="20"/>
        </w:rPr>
        <w:t>kg/h、0.00</w:t>
      </w:r>
      <w:r>
        <w:rPr>
          <w:rFonts w:hint="eastAsia"/>
          <w:color w:val="000000"/>
          <w:kern w:val="0"/>
          <w:sz w:val="24"/>
          <w:szCs w:val="20"/>
          <w:lang w:val="en-US" w:eastAsia="zh-CN"/>
        </w:rPr>
        <w:t>083</w:t>
      </w:r>
      <w:r>
        <w:rPr>
          <w:rFonts w:hint="eastAsia"/>
          <w:color w:val="000000"/>
          <w:kern w:val="0"/>
          <w:sz w:val="24"/>
          <w:szCs w:val="20"/>
        </w:rPr>
        <w:t>kg/h</w:t>
      </w:r>
      <w:r>
        <w:rPr>
          <w:rFonts w:hint="eastAsia"/>
          <w:color w:val="000000"/>
          <w:kern w:val="0"/>
          <w:sz w:val="24"/>
          <w:szCs w:val="20"/>
          <w:lang w:val="zh-CN"/>
        </w:rPr>
        <w:t>。</w:t>
      </w:r>
      <w:r>
        <w:rPr>
          <w:color w:val="000000"/>
          <w:sz w:val="24"/>
          <w:lang w:val="zh-CN"/>
        </w:rPr>
        <w:t>本项目对上述</w:t>
      </w:r>
      <w:r>
        <w:rPr>
          <w:rFonts w:hint="eastAsia"/>
          <w:color w:val="000000"/>
          <w:sz w:val="24"/>
        </w:rPr>
        <w:t>易产生恶臭</w:t>
      </w:r>
      <w:r>
        <w:rPr>
          <w:color w:val="000000"/>
          <w:sz w:val="24"/>
          <w:lang w:val="zh-CN"/>
        </w:rPr>
        <w:t>部位采取全封闭措施，将产生的臭气</w:t>
      </w:r>
      <w:r>
        <w:rPr>
          <w:rFonts w:hint="eastAsia"/>
          <w:color w:val="000000"/>
          <w:sz w:val="24"/>
        </w:rPr>
        <w:t>经集气收集后，</w:t>
      </w:r>
      <w:r>
        <w:rPr>
          <w:color w:val="000000"/>
          <w:sz w:val="24"/>
          <w:lang w:val="zh-CN"/>
        </w:rPr>
        <w:t>通过</w:t>
      </w:r>
      <w:r>
        <w:rPr>
          <w:rFonts w:hint="eastAsia"/>
          <w:color w:val="000000"/>
          <w:sz w:val="24"/>
          <w:lang w:val="zh-CN"/>
        </w:rPr>
        <w:t>活性炭吸附装置</w:t>
      </w:r>
      <w:r>
        <w:rPr>
          <w:color w:val="000000"/>
          <w:sz w:val="24"/>
          <w:lang w:val="zh-CN"/>
        </w:rPr>
        <w:t>处理后通过15m高排气筒</w:t>
      </w:r>
      <w:r>
        <w:rPr>
          <w:rFonts w:hint="eastAsia"/>
          <w:color w:val="000000"/>
          <w:sz w:val="24"/>
          <w:lang w:val="zh-CN"/>
        </w:rPr>
        <w:t>（</w:t>
      </w:r>
      <w:r>
        <w:rPr>
          <w:rFonts w:hint="eastAsia"/>
          <w:color w:val="000000"/>
          <w:sz w:val="24"/>
        </w:rPr>
        <w:t>DA00</w:t>
      </w:r>
      <w:r>
        <w:rPr>
          <w:rFonts w:hint="eastAsia"/>
          <w:color w:val="000000"/>
          <w:sz w:val="24"/>
          <w:lang w:val="en-US" w:eastAsia="zh-CN"/>
        </w:rPr>
        <w:t>1</w:t>
      </w:r>
      <w:r>
        <w:rPr>
          <w:rFonts w:hint="eastAsia"/>
          <w:color w:val="000000"/>
          <w:sz w:val="24"/>
          <w:lang w:val="zh-CN"/>
        </w:rPr>
        <w:t>）</w:t>
      </w:r>
      <w:r>
        <w:rPr>
          <w:color w:val="000000"/>
          <w:sz w:val="24"/>
          <w:lang w:val="zh-CN"/>
        </w:rPr>
        <w:t>排放，根据企业提供资料，废气收集效率可达到</w:t>
      </w:r>
      <w:r>
        <w:rPr>
          <w:rFonts w:hint="eastAsia"/>
          <w:color w:val="000000"/>
          <w:sz w:val="24"/>
        </w:rPr>
        <w:t>9</w:t>
      </w:r>
      <w:r>
        <w:rPr>
          <w:color w:val="000000"/>
          <w:sz w:val="24"/>
          <w:lang w:val="zh-CN"/>
        </w:rPr>
        <w:t>0%，风机风量设计为</w:t>
      </w:r>
      <w:r>
        <w:rPr>
          <w:rFonts w:hint="eastAsia"/>
          <w:color w:val="000000"/>
          <w:sz w:val="24"/>
        </w:rPr>
        <w:t>8</w:t>
      </w:r>
      <w:r>
        <w:rPr>
          <w:color w:val="000000"/>
          <w:sz w:val="24"/>
          <w:lang w:val="zh-CN"/>
        </w:rPr>
        <w:t>000</w:t>
      </w:r>
      <w:r>
        <w:rPr>
          <w:rFonts w:hint="eastAsia"/>
          <w:color w:val="000000"/>
          <w:sz w:val="24"/>
        </w:rPr>
        <w:t xml:space="preserve"> </w:t>
      </w:r>
      <w:r>
        <w:rPr>
          <w:color w:val="000000"/>
          <w:sz w:val="24"/>
          <w:lang w:val="zh-CN"/>
        </w:rPr>
        <w:t>m</w:t>
      </w:r>
      <w:r>
        <w:rPr>
          <w:rFonts w:hint="eastAsia"/>
          <w:color w:val="000000"/>
          <w:sz w:val="24"/>
          <w:vertAlign w:val="superscript"/>
        </w:rPr>
        <w:t>3</w:t>
      </w:r>
      <w:r>
        <w:rPr>
          <w:color w:val="000000"/>
          <w:sz w:val="24"/>
          <w:lang w:val="zh-CN"/>
        </w:rPr>
        <w:t>/h，处理效率可达</w:t>
      </w:r>
      <w:r>
        <w:rPr>
          <w:rFonts w:hint="eastAsia"/>
          <w:color w:val="000000"/>
          <w:sz w:val="24"/>
        </w:rPr>
        <w:t>80%</w:t>
      </w:r>
      <w:r>
        <w:rPr>
          <w:rFonts w:hint="eastAsia"/>
          <w:color w:val="000000"/>
          <w:kern w:val="0"/>
          <w:sz w:val="24"/>
          <w:szCs w:val="20"/>
        </w:rPr>
        <w:t>以上</w:t>
      </w:r>
      <w:r>
        <w:rPr>
          <w:rFonts w:hint="eastAsia"/>
          <w:color w:val="000000"/>
          <w:sz w:val="24"/>
          <w:lang w:val="zh-CN"/>
        </w:rPr>
        <w:t>。</w:t>
      </w:r>
      <w:r>
        <w:rPr>
          <w:rFonts w:hint="eastAsia"/>
          <w:color w:val="000000"/>
          <w:sz w:val="24"/>
        </w:rPr>
        <w:t>污水处理站有组织废气产生速率为：氨</w:t>
      </w:r>
      <w:r>
        <w:rPr>
          <w:rFonts w:hint="eastAsia"/>
          <w:color w:val="000000"/>
          <w:sz w:val="24"/>
          <w:lang w:val="en-US" w:eastAsia="zh-CN"/>
        </w:rPr>
        <w:t>0.019</w:t>
      </w:r>
      <w:r>
        <w:rPr>
          <w:rFonts w:hint="eastAsia"/>
          <w:color w:val="000000"/>
          <w:sz w:val="24"/>
        </w:rPr>
        <w:t>kg/h，硫化氢</w:t>
      </w:r>
      <w:r>
        <w:rPr>
          <w:rFonts w:hint="eastAsia"/>
          <w:color w:val="000000"/>
          <w:sz w:val="24"/>
          <w:lang w:val="en-US" w:eastAsia="zh-CN"/>
        </w:rPr>
        <w:t>0.0007</w:t>
      </w:r>
      <w:r>
        <w:rPr>
          <w:rFonts w:hint="eastAsia"/>
          <w:color w:val="000000"/>
          <w:sz w:val="24"/>
        </w:rPr>
        <w:t>kg/h；有组织废气产生浓度为：氨</w:t>
      </w:r>
      <w:r>
        <w:rPr>
          <w:rFonts w:hint="eastAsia"/>
          <w:color w:val="000000"/>
          <w:sz w:val="24"/>
          <w:lang w:val="en-US" w:eastAsia="zh-CN"/>
        </w:rPr>
        <w:t>2.37</w:t>
      </w:r>
      <w:r>
        <w:rPr>
          <w:rFonts w:hint="eastAsia"/>
          <w:color w:val="000000"/>
          <w:sz w:val="24"/>
        </w:rPr>
        <w:t>mg/m</w:t>
      </w:r>
      <w:r>
        <w:rPr>
          <w:rFonts w:hint="eastAsia"/>
          <w:color w:val="000000"/>
          <w:sz w:val="24"/>
          <w:vertAlign w:val="superscript"/>
        </w:rPr>
        <w:t>3</w:t>
      </w:r>
      <w:r>
        <w:rPr>
          <w:rFonts w:hint="eastAsia"/>
          <w:color w:val="000000"/>
          <w:sz w:val="24"/>
        </w:rPr>
        <w:t>，硫化氢</w:t>
      </w:r>
      <w:r>
        <w:rPr>
          <w:rFonts w:hint="eastAsia"/>
          <w:color w:val="000000"/>
          <w:sz w:val="24"/>
          <w:lang w:val="en-US" w:eastAsia="zh-CN"/>
        </w:rPr>
        <w:t>0.09</w:t>
      </w:r>
      <w:r>
        <w:rPr>
          <w:rFonts w:hint="eastAsia"/>
          <w:color w:val="000000"/>
          <w:sz w:val="24"/>
        </w:rPr>
        <w:t>mg/m</w:t>
      </w:r>
      <w:r>
        <w:rPr>
          <w:rFonts w:hint="eastAsia"/>
          <w:color w:val="000000"/>
          <w:sz w:val="24"/>
          <w:vertAlign w:val="superscript"/>
        </w:rPr>
        <w:t>3</w:t>
      </w:r>
      <w:r>
        <w:rPr>
          <w:rFonts w:hint="eastAsia"/>
          <w:color w:val="000000"/>
          <w:sz w:val="24"/>
        </w:rPr>
        <w:t>。污水处理站有组织废气排放速率为：氨</w:t>
      </w:r>
      <w:r>
        <w:rPr>
          <w:rFonts w:hint="eastAsia"/>
          <w:color w:val="000000"/>
          <w:sz w:val="24"/>
          <w:lang w:val="en-US" w:eastAsia="zh-CN"/>
        </w:rPr>
        <w:t>0.0038</w:t>
      </w:r>
      <w:r>
        <w:rPr>
          <w:rFonts w:hint="eastAsia"/>
          <w:color w:val="000000"/>
          <w:sz w:val="24"/>
        </w:rPr>
        <w:t>kg/h，硫化氢0.00</w:t>
      </w:r>
      <w:r>
        <w:rPr>
          <w:rFonts w:hint="eastAsia"/>
          <w:color w:val="000000"/>
          <w:sz w:val="24"/>
          <w:lang w:val="en-US" w:eastAsia="zh-CN"/>
        </w:rPr>
        <w:t>015</w:t>
      </w:r>
      <w:r>
        <w:rPr>
          <w:rFonts w:hint="eastAsia"/>
          <w:color w:val="000000"/>
          <w:sz w:val="24"/>
        </w:rPr>
        <w:t>kg/h；有组织废气排放浓度为：氨</w:t>
      </w:r>
      <w:r>
        <w:rPr>
          <w:rFonts w:hint="eastAsia"/>
          <w:color w:val="000000"/>
          <w:sz w:val="24"/>
          <w:lang w:val="en-US" w:eastAsia="zh-CN"/>
        </w:rPr>
        <w:t>0.47</w:t>
      </w:r>
      <w:r>
        <w:rPr>
          <w:rFonts w:hint="eastAsia"/>
          <w:color w:val="000000"/>
          <w:sz w:val="24"/>
        </w:rPr>
        <w:t>mg/m</w:t>
      </w:r>
      <w:r>
        <w:rPr>
          <w:rFonts w:hint="eastAsia"/>
          <w:color w:val="000000"/>
          <w:sz w:val="24"/>
          <w:vertAlign w:val="superscript"/>
        </w:rPr>
        <w:t>3</w:t>
      </w:r>
      <w:r>
        <w:rPr>
          <w:rFonts w:hint="eastAsia"/>
          <w:color w:val="000000"/>
          <w:sz w:val="24"/>
        </w:rPr>
        <w:t>，硫化氢0.</w:t>
      </w:r>
      <w:r>
        <w:rPr>
          <w:rFonts w:hint="eastAsia"/>
          <w:color w:val="000000"/>
          <w:sz w:val="24"/>
          <w:lang w:val="en-US" w:eastAsia="zh-CN"/>
        </w:rPr>
        <w:t>019</w:t>
      </w:r>
      <w:r>
        <w:rPr>
          <w:rFonts w:hint="eastAsia"/>
          <w:color w:val="000000"/>
          <w:sz w:val="24"/>
        </w:rPr>
        <w:t>mg/m</w:t>
      </w:r>
      <w:r>
        <w:rPr>
          <w:rFonts w:hint="eastAsia"/>
          <w:color w:val="000000"/>
          <w:sz w:val="24"/>
          <w:vertAlign w:val="superscript"/>
        </w:rPr>
        <w:t>3</w:t>
      </w:r>
      <w:r>
        <w:rPr>
          <w:rFonts w:hint="eastAsia"/>
          <w:color w:val="000000"/>
          <w:sz w:val="24"/>
        </w:rPr>
        <w:t>。</w:t>
      </w:r>
    </w:p>
    <w:p w14:paraId="4C5D0739">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color w:val="000000"/>
          <w:szCs w:val="24"/>
        </w:rPr>
      </w:pPr>
      <w:r>
        <w:rPr>
          <w:rFonts w:hint="eastAsia" w:ascii="Times New Roman"/>
          <w:color w:val="000000"/>
          <w:szCs w:val="24"/>
        </w:rPr>
        <w:t>无组织逸散时间为</w:t>
      </w:r>
      <w:r>
        <w:rPr>
          <w:rFonts w:hint="eastAsia" w:ascii="Times New Roman"/>
          <w:color w:val="000000"/>
          <w:szCs w:val="24"/>
          <w:lang w:val="en-US" w:eastAsia="zh-CN"/>
        </w:rPr>
        <w:t>7920</w:t>
      </w:r>
      <w:r>
        <w:rPr>
          <w:rFonts w:hint="eastAsia" w:ascii="Times New Roman"/>
          <w:color w:val="000000"/>
          <w:szCs w:val="24"/>
        </w:rPr>
        <w:t>小时，无组织排放</w:t>
      </w:r>
      <w:r>
        <w:rPr>
          <w:rFonts w:hint="eastAsia" w:ascii="Times New Roman"/>
          <w:color w:val="000000"/>
          <w:szCs w:val="24"/>
          <w:lang w:val="zh-CN"/>
        </w:rPr>
        <w:t>氨气</w:t>
      </w:r>
      <w:r>
        <w:rPr>
          <w:rFonts w:hint="eastAsia" w:ascii="Times New Roman"/>
          <w:color w:val="000000"/>
          <w:szCs w:val="24"/>
        </w:rPr>
        <w:t>产生量</w:t>
      </w:r>
      <w:r>
        <w:rPr>
          <w:rFonts w:hint="eastAsia" w:ascii="Times New Roman"/>
          <w:color w:val="000000"/>
          <w:szCs w:val="24"/>
          <w:lang w:val="zh-CN"/>
        </w:rPr>
        <w:t>为</w:t>
      </w:r>
      <w:r>
        <w:rPr>
          <w:rFonts w:hint="eastAsia" w:ascii="Times New Roman"/>
          <w:color w:val="000000"/>
          <w:szCs w:val="24"/>
          <w:lang w:val="en-US" w:eastAsia="zh-CN"/>
        </w:rPr>
        <w:t>0.0169</w:t>
      </w:r>
      <w:r>
        <w:rPr>
          <w:rFonts w:hint="eastAsia" w:ascii="Times New Roman"/>
          <w:color w:val="000000"/>
          <w:szCs w:val="24"/>
        </w:rPr>
        <w:t>t</w:t>
      </w:r>
      <w:r>
        <w:rPr>
          <w:rFonts w:hint="eastAsia" w:ascii="Times New Roman"/>
          <w:color w:val="000000"/>
          <w:szCs w:val="24"/>
          <w:lang w:val="zh-CN"/>
        </w:rPr>
        <w:t>/</w:t>
      </w:r>
      <w:r>
        <w:rPr>
          <w:rFonts w:hint="eastAsia" w:ascii="Times New Roman"/>
          <w:color w:val="000000"/>
          <w:szCs w:val="24"/>
        </w:rPr>
        <w:t>a（0.0</w:t>
      </w:r>
      <w:r>
        <w:rPr>
          <w:rFonts w:hint="eastAsia" w:ascii="Times New Roman"/>
          <w:color w:val="000000"/>
          <w:szCs w:val="24"/>
          <w:lang w:val="en-US" w:eastAsia="zh-CN"/>
        </w:rPr>
        <w:t>021</w:t>
      </w:r>
      <w:r>
        <w:rPr>
          <w:rFonts w:hint="eastAsia" w:ascii="Times New Roman"/>
          <w:color w:val="000000"/>
          <w:szCs w:val="24"/>
        </w:rPr>
        <w:t>kg/h）</w:t>
      </w:r>
      <w:r>
        <w:rPr>
          <w:rFonts w:hint="eastAsia" w:ascii="Times New Roman"/>
          <w:color w:val="000000"/>
          <w:szCs w:val="24"/>
          <w:lang w:val="zh-CN"/>
        </w:rPr>
        <w:t>，硫化氢产生速率为</w:t>
      </w:r>
      <w:r>
        <w:rPr>
          <w:rFonts w:hint="eastAsia" w:ascii="Times New Roman"/>
          <w:color w:val="000000"/>
          <w:szCs w:val="24"/>
          <w:lang w:val="en-US" w:eastAsia="zh-CN"/>
        </w:rPr>
        <w:t>6.5×10</w:t>
      </w:r>
      <w:r>
        <w:rPr>
          <w:rFonts w:hint="eastAsia" w:ascii="Times New Roman"/>
          <w:color w:val="000000"/>
          <w:szCs w:val="24"/>
          <w:vertAlign w:val="superscript"/>
          <w:lang w:val="en-US" w:eastAsia="zh-CN"/>
        </w:rPr>
        <w:t>-4</w:t>
      </w:r>
      <w:r>
        <w:rPr>
          <w:rFonts w:hint="eastAsia" w:ascii="Times New Roman"/>
          <w:color w:val="000000"/>
          <w:szCs w:val="24"/>
        </w:rPr>
        <w:t>t</w:t>
      </w:r>
      <w:r>
        <w:rPr>
          <w:rFonts w:hint="eastAsia" w:ascii="Times New Roman"/>
          <w:color w:val="000000"/>
          <w:szCs w:val="24"/>
          <w:lang w:val="zh-CN"/>
        </w:rPr>
        <w:t>/</w:t>
      </w:r>
      <w:r>
        <w:rPr>
          <w:rFonts w:hint="eastAsia" w:ascii="Times New Roman"/>
          <w:color w:val="000000"/>
          <w:szCs w:val="24"/>
        </w:rPr>
        <w:t>a（</w:t>
      </w:r>
      <w:r>
        <w:rPr>
          <w:rFonts w:hint="eastAsia" w:ascii="Times New Roman"/>
          <w:color w:val="000000"/>
          <w:szCs w:val="24"/>
          <w:lang w:val="en-US" w:eastAsia="zh-CN"/>
        </w:rPr>
        <w:t>8.3×10</w:t>
      </w:r>
      <w:r>
        <w:rPr>
          <w:rFonts w:hint="eastAsia" w:ascii="Times New Roman"/>
          <w:color w:val="000000"/>
          <w:szCs w:val="24"/>
          <w:vertAlign w:val="superscript"/>
          <w:lang w:val="en-US" w:eastAsia="zh-CN"/>
        </w:rPr>
        <w:t>-5</w:t>
      </w:r>
      <w:r>
        <w:rPr>
          <w:rFonts w:hint="eastAsia" w:ascii="Times New Roman"/>
          <w:color w:val="000000"/>
          <w:szCs w:val="24"/>
        </w:rPr>
        <w:t>kg/h）。拟建项目污水处理站产生恶臭气体的单元加盖密闭，定期喷洒除臭剂，同时加强厂区卫生、绿化，采取上述措施后可有效减轻臭味向厂界外扩散。</w:t>
      </w:r>
    </w:p>
    <w:p w14:paraId="7CD17A7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、发酵废气</w:t>
      </w:r>
    </w:p>
    <w:p w14:paraId="0B54BDF8">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项目在发酵过程中会产生发酵废气，其主要成分为CO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和异味（主要为臭气浓度）。</w:t>
      </w:r>
    </w:p>
    <w:p w14:paraId="4D087B2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根据哈尔滨啤酒有限公司的研究（资料来源：闫伟,陈怀国,张春滨,韩涛.啤酒发酵过程中CO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回收及计算的探讨[J].酿酒,2000,03.）及廊坊青岛啤酒厂的研究（窦春生.啤酒厂CO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的回收量和使用量的计算,廊坊青岛啤酒厂.），1kL麦汁产生CO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理论量为25.62kg/kL，实际CO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回收量会受到各个环节及操作水平的影响，根据建设单位提供资料，本项目CO</w:t>
      </w:r>
      <w:r>
        <w:rPr>
          <w:rFonts w:hint="eastAsia"/>
          <w:color w:val="000000" w:themeColor="text1"/>
          <w:vertAlign w:val="subscript"/>
          <w14:textFill>
            <w14:solidFill>
              <w14:schemeClr w14:val="tx1"/>
            </w14:solidFill>
          </w14:textFill>
        </w:rPr>
        <w:t>2</w:t>
      </w:r>
      <w:r>
        <w:rPr>
          <w:rFonts w:hint="eastAsia"/>
          <w:color w:val="000000" w:themeColor="text1"/>
          <w:vertAlign w:val="baseline"/>
          <w:lang w:val="en-US" w:eastAsia="zh-CN"/>
          <w14:textFill>
            <w14:solidFill>
              <w14:schemeClr w14:val="tx1"/>
            </w14:solidFill>
          </w14:textFill>
        </w:rPr>
        <w:t>回收设备</w:t>
      </w:r>
      <w:r>
        <w:rPr>
          <w:rFonts w:hint="eastAsia"/>
          <w:color w:val="000000" w:themeColor="text1"/>
          <w14:textFill>
            <w14:solidFill>
              <w14:schemeClr w14:val="tx1"/>
            </w14:solidFill>
          </w14:textFill>
        </w:rPr>
        <w:t>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回收率</w:t>
      </w:r>
      <w:r>
        <w:rPr>
          <w:rFonts w:hint="eastAsia"/>
          <w:color w:val="000000" w:themeColor="text1"/>
          <w:lang w:val="en-US" w:eastAsia="zh-CN"/>
          <w14:textFill>
            <w14:solidFill>
              <w14:schemeClr w14:val="tx1"/>
            </w14:solidFill>
          </w14:textFill>
        </w:rPr>
        <w:t>可达85</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。本项目年产啤酒</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0000</w:t>
      </w:r>
      <w:r>
        <w:rPr>
          <w:rFonts w:hint="eastAsia"/>
          <w:color w:val="000000" w:themeColor="text1"/>
          <w14:textFill>
            <w14:solidFill>
              <w14:schemeClr w14:val="tx1"/>
            </w14:solidFill>
          </w14:textFill>
        </w:rPr>
        <w:t>kL，经计算可知，CO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产生量</w:t>
      </w:r>
      <w:r>
        <w:rPr>
          <w:rFonts w:hint="eastAsia"/>
          <w:color w:val="000000" w:themeColor="text1"/>
          <w:lang w:val="en-US" w:eastAsia="zh-CN"/>
          <w14:textFill>
            <w14:solidFill>
              <w14:schemeClr w14:val="tx1"/>
            </w14:solidFill>
          </w14:textFill>
        </w:rPr>
        <w:t>768.6</w:t>
      </w:r>
      <w:r>
        <w:rPr>
          <w:rFonts w:hint="eastAsia"/>
          <w:color w:val="000000" w:themeColor="text1"/>
          <w14:textFill>
            <w14:solidFill>
              <w14:schemeClr w14:val="tx1"/>
            </w14:solidFill>
          </w14:textFill>
        </w:rPr>
        <w:t>t/a，CO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回收量</w:t>
      </w:r>
      <w:r>
        <w:rPr>
          <w:rFonts w:hint="eastAsia"/>
          <w:color w:val="000000" w:themeColor="text1"/>
          <w:lang w:val="en-US" w:eastAsia="zh-CN"/>
          <w14:textFill>
            <w14:solidFill>
              <w14:schemeClr w14:val="tx1"/>
            </w14:solidFill>
          </w14:textFill>
        </w:rPr>
        <w:t>653.31</w:t>
      </w:r>
      <w:r>
        <w:rPr>
          <w:rFonts w:hint="eastAsia"/>
          <w:color w:val="000000" w:themeColor="text1"/>
          <w14:textFill>
            <w14:solidFill>
              <w14:schemeClr w14:val="tx1"/>
            </w14:solidFill>
          </w14:textFill>
        </w:rPr>
        <w:t>t/a，无组织逃逸量</w:t>
      </w:r>
      <w:r>
        <w:rPr>
          <w:rFonts w:hint="eastAsia"/>
          <w:color w:val="000000" w:themeColor="text1"/>
          <w:lang w:val="en-US" w:eastAsia="zh-CN"/>
          <w14:textFill>
            <w14:solidFill>
              <w14:schemeClr w14:val="tx1"/>
            </w14:solidFill>
          </w14:textFill>
        </w:rPr>
        <w:t>115.29</w:t>
      </w:r>
      <w:r>
        <w:rPr>
          <w:rFonts w:hint="eastAsia"/>
          <w:color w:val="000000" w:themeColor="text1"/>
          <w14:textFill>
            <w14:solidFill>
              <w14:schemeClr w14:val="tx1"/>
            </w14:solidFill>
          </w14:textFill>
        </w:rPr>
        <w:t>t/a（</w:t>
      </w:r>
      <w:r>
        <w:rPr>
          <w:rFonts w:hint="eastAsia"/>
          <w:color w:val="000000" w:themeColor="text1"/>
          <w:lang w:val="en-US" w:eastAsia="zh-CN"/>
          <w14:textFill>
            <w14:solidFill>
              <w14:schemeClr w14:val="tx1"/>
            </w14:solidFill>
          </w14:textFill>
        </w:rPr>
        <w:t>16.01</w:t>
      </w:r>
      <w:r>
        <w:rPr>
          <w:rFonts w:hint="eastAsia"/>
          <w:color w:val="000000" w:themeColor="text1"/>
          <w14:textFill>
            <w14:solidFill>
              <w14:schemeClr w14:val="tx1"/>
            </w14:solidFill>
          </w14:textFill>
        </w:rPr>
        <w:t>kg/h）。</w:t>
      </w:r>
    </w:p>
    <w:p w14:paraId="4807118F">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二氧化碳逸出夹带少量异味废气排出，其异味废气产生量极少，在二氧化碳回收系统采用活性炭吸附异味气体后排放量甚微，主要为无组织排放。</w:t>
      </w:r>
    </w:p>
    <w:p w14:paraId="7F12B19E">
      <w:pPr>
        <w:pStyle w:val="85"/>
        <w:keepNext w:val="0"/>
        <w:keepLines w:val="0"/>
        <w:pageBreakBefore w:val="0"/>
        <w:kinsoku/>
        <w:wordWrap/>
        <w:overflowPunct/>
        <w:topLinePunct w:val="0"/>
        <w:autoSpaceDE/>
        <w:autoSpaceDN/>
        <w:bidi w:val="0"/>
        <w:spacing w:line="360" w:lineRule="auto"/>
        <w:textAlignment w:val="auto"/>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14:textFill>
            <w14:solidFill>
              <w14:schemeClr w14:val="tx1"/>
            </w14:solidFill>
          </w14:textFill>
        </w:rPr>
        <w:t>、锅炉烟气</w:t>
      </w:r>
    </w:p>
    <w:p w14:paraId="54D4C6B8">
      <w:pPr>
        <w:pStyle w:val="85"/>
        <w:keepNext w:val="0"/>
        <w:keepLines w:val="0"/>
        <w:pageBreakBefore w:val="0"/>
        <w:kinsoku/>
        <w:wordWrap/>
        <w:overflowPunct/>
        <w:topLinePunct w:val="0"/>
        <w:autoSpaceDE/>
        <w:autoSpaceDN/>
        <w:bidi w:val="0"/>
        <w:spacing w:line="360" w:lineRule="auto"/>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本项目在锅炉房内</w:t>
      </w:r>
      <w:r>
        <w:rPr>
          <w:color w:val="000000" w:themeColor="text1"/>
          <w14:textFill>
            <w14:solidFill>
              <w14:schemeClr w14:val="tx1"/>
            </w14:solidFill>
          </w14:textFill>
        </w:rPr>
        <w:t>新建3台</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t/h</w:t>
      </w:r>
      <w:r>
        <w:rPr>
          <w:rFonts w:hint="eastAsia"/>
          <w:color w:val="000000" w:themeColor="text1"/>
          <w:lang w:eastAsia="zh-CN"/>
          <w14:textFill>
            <w14:solidFill>
              <w14:schemeClr w14:val="tx1"/>
            </w14:solidFill>
          </w14:textFill>
        </w:rPr>
        <w:t>燃气</w:t>
      </w:r>
      <w:r>
        <w:rPr>
          <w:color w:val="000000" w:themeColor="text1"/>
          <w14:textFill>
            <w14:solidFill>
              <w14:schemeClr w14:val="tx1"/>
            </w14:solidFill>
          </w14:textFill>
        </w:rPr>
        <w:t>锅炉</w:t>
      </w:r>
      <w:r>
        <w:rPr>
          <w:rFonts w:hint="eastAsia"/>
          <w:color w:val="000000" w:themeColor="text1"/>
          <w14:textFill>
            <w14:solidFill>
              <w14:schemeClr w14:val="tx1"/>
            </w14:solidFill>
          </w14:textFill>
        </w:rPr>
        <w:t>为本项目啤酒生产</w:t>
      </w:r>
      <w:r>
        <w:rPr>
          <w:color w:val="000000" w:themeColor="text1"/>
          <w14:textFill>
            <w14:solidFill>
              <w14:schemeClr w14:val="tx1"/>
            </w14:solidFill>
          </w14:textFill>
        </w:rPr>
        <w:t>提供蒸汽，按</w:t>
      </w:r>
      <w:r>
        <w:rPr>
          <w:rFonts w:hint="eastAsia"/>
          <w:color w:val="000000" w:themeColor="text1"/>
          <w14:textFill>
            <w14:solidFill>
              <w14:schemeClr w14:val="tx1"/>
            </w14:solidFill>
          </w14:textFill>
        </w:rPr>
        <w:t>锅炉</w:t>
      </w:r>
      <w:r>
        <w:rPr>
          <w:color w:val="000000" w:themeColor="text1"/>
          <w14:textFill>
            <w14:solidFill>
              <w14:schemeClr w14:val="tx1"/>
            </w14:solidFill>
          </w14:textFill>
        </w:rPr>
        <w:t>满负荷运行</w:t>
      </w:r>
      <w:r>
        <w:rPr>
          <w:rFonts w:hint="eastAsia"/>
          <w:color w:val="000000" w:themeColor="text1"/>
          <w14:textFill>
            <w14:solidFill>
              <w14:schemeClr w14:val="tx1"/>
            </w14:solidFill>
          </w14:textFill>
        </w:rPr>
        <w:t>条件下进行</w:t>
      </w:r>
      <w:r>
        <w:rPr>
          <w:color w:val="000000" w:themeColor="text1"/>
          <w14:textFill>
            <w14:solidFill>
              <w14:schemeClr w14:val="tx1"/>
            </w14:solidFill>
          </w14:textFill>
        </w:rPr>
        <w:t>计算</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3台</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t/h</w:t>
      </w:r>
      <w:r>
        <w:rPr>
          <w:rFonts w:hint="eastAsia"/>
          <w:color w:val="000000" w:themeColor="text1"/>
          <w:lang w:eastAsia="zh-CN"/>
          <w14:textFill>
            <w14:solidFill>
              <w14:schemeClr w14:val="tx1"/>
            </w14:solidFill>
          </w14:textFill>
        </w:rPr>
        <w:t>燃气</w:t>
      </w:r>
      <w:r>
        <w:rPr>
          <w:color w:val="000000" w:themeColor="text1"/>
          <w14:textFill>
            <w14:solidFill>
              <w14:schemeClr w14:val="tx1"/>
            </w14:solidFill>
          </w14:textFill>
        </w:rPr>
        <w:t>锅炉</w:t>
      </w:r>
      <w:r>
        <w:rPr>
          <w:rFonts w:hint="eastAsia"/>
          <w:color w:val="000000" w:themeColor="text1"/>
          <w14:textFill>
            <w14:solidFill>
              <w14:schemeClr w14:val="tx1"/>
            </w14:solidFill>
          </w14:textFill>
        </w:rPr>
        <w:t>发热量为</w:t>
      </w:r>
      <w:r>
        <w:rPr>
          <w:rFonts w:hint="eastAsia"/>
          <w:color w:val="000000" w:themeColor="text1"/>
          <w:lang w:val="en-US" w:eastAsia="zh-CN"/>
          <w14:textFill>
            <w14:solidFill>
              <w14:schemeClr w14:val="tx1"/>
            </w14:solidFill>
          </w14:textFill>
        </w:rPr>
        <w:t>720</w:t>
      </w:r>
      <w:r>
        <w:rPr>
          <w:rFonts w:hint="eastAsia"/>
          <w:color w:val="000000" w:themeColor="text1"/>
          <w14:textFill>
            <w14:solidFill>
              <w14:schemeClr w14:val="tx1"/>
            </w14:solidFill>
          </w14:textFill>
        </w:rPr>
        <w:t>万kcal/h，</w:t>
      </w:r>
      <w:r>
        <w:rPr>
          <w:color w:val="000000" w:themeColor="text1"/>
          <w14:textFill>
            <w14:solidFill>
              <w14:schemeClr w14:val="tx1"/>
            </w14:solidFill>
          </w14:textFill>
        </w:rPr>
        <w:t>锅炉年最大运行时间共为</w:t>
      </w:r>
      <w:r>
        <w:rPr>
          <w:rFonts w:hint="eastAsia"/>
          <w:color w:val="000000" w:themeColor="text1"/>
          <w:lang w:val="en-US" w:eastAsia="zh-CN"/>
          <w14:textFill>
            <w14:solidFill>
              <w14:schemeClr w14:val="tx1"/>
            </w14:solidFill>
          </w14:textFill>
        </w:rPr>
        <w:t>7200</w:t>
      </w:r>
      <w:r>
        <w:rPr>
          <w:color w:val="000000" w:themeColor="text1"/>
          <w14:textFill>
            <w14:solidFill>
              <w14:schemeClr w14:val="tx1"/>
            </w14:solidFill>
          </w14:textFill>
        </w:rPr>
        <w:t>h/a（每天运行</w:t>
      </w:r>
      <w:r>
        <w:rPr>
          <w:rFonts w:hint="eastAsia"/>
          <w:color w:val="000000" w:themeColor="text1"/>
          <w:lang w:val="en-US" w:eastAsia="zh-CN"/>
          <w14:textFill>
            <w14:solidFill>
              <w14:schemeClr w14:val="tx1"/>
            </w14:solidFill>
          </w14:textFill>
        </w:rPr>
        <w:t>24</w:t>
      </w:r>
      <w:r>
        <w:rPr>
          <w:color w:val="000000" w:themeColor="text1"/>
          <w14:textFill>
            <w14:solidFill>
              <w14:schemeClr w14:val="tx1"/>
            </w14:solidFill>
          </w14:textFill>
        </w:rPr>
        <w:t>小时，年运行300天）</w:t>
      </w:r>
      <w:r>
        <w:rPr>
          <w:rFonts w:hint="eastAsia"/>
          <w:color w:val="000000" w:themeColor="text1"/>
          <w14:textFill>
            <w14:solidFill>
              <w14:schemeClr w14:val="tx1"/>
            </w14:solidFill>
          </w14:textFill>
        </w:rPr>
        <w:t>。本项目锅炉</w:t>
      </w:r>
      <w:r>
        <w:rPr>
          <w:rFonts w:hint="eastAsia"/>
          <w:color w:val="000000" w:themeColor="text1"/>
          <w:lang w:val="en-US" w:eastAsia="zh-CN"/>
          <w14:textFill>
            <w14:solidFill>
              <w14:schemeClr w14:val="tx1"/>
            </w14:solidFill>
          </w14:textFill>
        </w:rPr>
        <w:t>天然气</w:t>
      </w:r>
      <w:r>
        <w:rPr>
          <w:rFonts w:hint="eastAsia"/>
          <w:color w:val="000000" w:themeColor="text1"/>
          <w14:textFill>
            <w14:solidFill>
              <w14:schemeClr w14:val="tx1"/>
            </w14:solidFill>
          </w14:textFill>
        </w:rPr>
        <w:t>燃料消耗量为</w:t>
      </w:r>
      <w:r>
        <w:rPr>
          <w:rFonts w:hint="eastAsia" w:cs="Times New Roman"/>
          <w:bCs/>
          <w:color w:val="auto"/>
          <w:kern w:val="0"/>
          <w:sz w:val="24"/>
          <w:highlight w:val="none"/>
          <w:lang w:val="en-US" w:eastAsia="zh-CN"/>
        </w:rPr>
        <w:t>771.43万</w:t>
      </w:r>
      <w:r>
        <w:rPr>
          <w:rFonts w:hint="eastAsia"/>
          <w:color w:val="000000" w:themeColor="text1"/>
          <w:lang w:val="en-US" w:eastAsia="zh-CN"/>
          <w14:textFill>
            <w14:solidFill>
              <w14:schemeClr w14:val="tx1"/>
            </w14:solidFill>
          </w14:textFill>
        </w:rPr>
        <w:t>m</w:t>
      </w:r>
      <w:r>
        <w:rPr>
          <w:rFonts w:hint="eastAsia"/>
          <w:color w:val="000000" w:themeColor="text1"/>
          <w:vertAlign w:val="superscript"/>
          <w:lang w:val="en-US" w:eastAsia="zh-CN"/>
          <w14:textFill>
            <w14:solidFill>
              <w14:schemeClr w14:val="tx1"/>
            </w14:solidFill>
          </w14:textFill>
        </w:rPr>
        <w:t>3</w:t>
      </w:r>
      <w:r>
        <w:rPr>
          <w:rFonts w:hint="eastAsia"/>
          <w:color w:val="000000" w:themeColor="text1"/>
          <w14:textFill>
            <w14:solidFill>
              <w14:schemeClr w14:val="tx1"/>
            </w14:solidFill>
          </w14:textFill>
        </w:rPr>
        <w:t>/a。</w:t>
      </w:r>
    </w:p>
    <w:p w14:paraId="019AAC6E">
      <w:pPr>
        <w:pStyle w:val="85"/>
        <w:keepNext w:val="0"/>
        <w:keepLines w:val="0"/>
        <w:pageBreakBefore w:val="0"/>
        <w:kinsoku/>
        <w:wordWrap/>
        <w:overflowPunct/>
        <w:topLinePunct w:val="0"/>
        <w:autoSpaceDE/>
        <w:autoSpaceDN/>
        <w:bidi w:val="0"/>
        <w:spacing w:line="360" w:lineRule="auto"/>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根据《污染源源强核算技术指南 锅炉》（HJ 991-2018），本项目锅炉采用</w:t>
      </w:r>
      <w:r>
        <w:rPr>
          <w:rFonts w:hint="eastAsia"/>
          <w:color w:val="000000" w:themeColor="text1"/>
          <w:lang w:val="en-US" w:eastAsia="zh-CN"/>
          <w14:textFill>
            <w14:solidFill>
              <w14:schemeClr w14:val="tx1"/>
            </w14:solidFill>
          </w14:textFill>
        </w:rPr>
        <w:t>天然气</w:t>
      </w:r>
      <w:r>
        <w:rPr>
          <w:rFonts w:hint="eastAsia"/>
          <w:color w:val="000000" w:themeColor="text1"/>
          <w14:textFill>
            <w14:solidFill>
              <w14:schemeClr w14:val="tx1"/>
            </w14:solidFill>
          </w14:textFill>
        </w:rPr>
        <w:t>作为燃料，锅炉烟气污染物计算方法如下。</w:t>
      </w:r>
    </w:p>
    <w:p w14:paraId="7B56E01A">
      <w:pPr>
        <w:pStyle w:val="85"/>
        <w:keepNext w:val="0"/>
        <w:keepLines w:val="0"/>
        <w:pageBreakBefore w:val="0"/>
        <w:kinsoku/>
        <w:wordWrap/>
        <w:overflowPunct/>
        <w:topLinePunct w:val="0"/>
        <w:autoSpaceDE/>
        <w:autoSpaceDN/>
        <w:bidi w:val="0"/>
        <w:spacing w:line="360" w:lineRule="auto"/>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（1）烟气量计算</w:t>
      </w:r>
    </w:p>
    <w:p w14:paraId="6D46647C">
      <w:pPr>
        <w:keepNext w:val="0"/>
        <w:keepLines w:val="0"/>
        <w:pageBreakBefore w:val="0"/>
        <w:widowControl/>
        <w:kinsoku/>
        <w:wordWrap/>
        <w:overflowPunct/>
        <w:topLinePunct w:val="0"/>
        <w:autoSpaceDE/>
        <w:autoSpaceDN/>
        <w:bidi w:val="0"/>
        <w:snapToGrid w:val="0"/>
        <w:spacing w:before="0" w:after="0" w:line="360" w:lineRule="auto"/>
        <w:ind w:right="0"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eastAsia="宋体" w:cs="Times New Roman"/>
          <w:color w:val="auto"/>
          <w:kern w:val="0"/>
          <w:sz w:val="24"/>
          <w:szCs w:val="24"/>
          <w:highlight w:val="none"/>
          <w:lang w:val="en-US" w:eastAsia="zh-CN" w:bidi="ar-SA"/>
        </w:rPr>
        <w:t>本项目燃料天然气为气体燃料，干烟气排放量依据HJ991-2018 附录C中公式计算，公式如下：</w:t>
      </w:r>
    </w:p>
    <w:p w14:paraId="060EEDC4">
      <w:pPr>
        <w:keepNext w:val="0"/>
        <w:keepLines w:val="0"/>
        <w:pageBreakBefore w:val="0"/>
        <w:kinsoku/>
        <w:wordWrap/>
        <w:overflowPunct/>
        <w:topLinePunct w:val="0"/>
        <w:autoSpaceDE/>
        <w:autoSpaceDN/>
        <w:bidi w:val="0"/>
        <w:adjustRightInd w:val="0"/>
        <w:snapToGrid w:val="0"/>
        <w:spacing w:line="360" w:lineRule="auto"/>
        <w:ind w:firstLine="480" w:firstLineChars="200"/>
        <w:jc w:val="center"/>
        <w:textAlignment w:val="auto"/>
        <w:rPr>
          <w:rFonts w:hint="default" w:ascii="Times New Roman" w:hAnsi="Times New Roman" w:eastAsia="宋体" w:cs="Times New Roman"/>
          <w:color w:val="auto"/>
          <w:position w:val="-14"/>
          <w:sz w:val="24"/>
          <w:highlight w:val="none"/>
        </w:rPr>
      </w:pPr>
      <w:r>
        <w:rPr>
          <w:rFonts w:hint="default" w:ascii="Times New Roman" w:hAnsi="Times New Roman" w:eastAsia="宋体" w:cs="Times New Roman"/>
          <w:color w:val="auto"/>
          <w:position w:val="-30"/>
          <w:sz w:val="24"/>
          <w:highlight w:val="none"/>
        </w:rPr>
        <w:object>
          <v:shape id="_x0000_i1027" o:spt="75" type="#_x0000_t75" style="height:36pt;width:377pt;" o:ole="t" filled="f" o:preferrelative="t" stroked="f" coordsize="21600,21600">
            <v:path/>
            <v:fill on="f" focussize="0,0"/>
            <v:stroke on="f"/>
            <v:imagedata r:id="rId45" o:title=""/>
            <o:lock v:ext="edit" aspectratio="t"/>
            <w10:wrap type="none"/>
            <w10:anchorlock/>
          </v:shape>
          <o:OLEObject Type="Embed" ProgID="Equation.KSEE3" ShapeID="_x0000_i1027" DrawAspect="Content" ObjectID="_1468075727" r:id="rId44">
            <o:LockedField>false</o:LockedField>
          </o:OLEObject>
        </w:object>
      </w:r>
      <w:r>
        <w:rPr>
          <w:rFonts w:hint="default" w:ascii="Times New Roman" w:hAnsi="Times New Roman" w:eastAsia="宋体" w:cs="Times New Roman"/>
          <w:color w:val="auto"/>
          <w:position w:val="-30"/>
          <w:sz w:val="24"/>
          <w:highlight w:val="none"/>
        </w:rPr>
        <w:t xml:space="preserve">    </w:t>
      </w:r>
      <w:r>
        <w:rPr>
          <w:rFonts w:hint="default" w:ascii="Times New Roman" w:hAnsi="Times New Roman" w:eastAsia="宋体" w:cs="Times New Roman"/>
          <w:color w:val="auto"/>
          <w:position w:val="-14"/>
          <w:sz w:val="24"/>
          <w:highlight w:val="none"/>
        </w:rPr>
        <w:object>
          <v:shape id="_x0000_i1028" o:spt="75" type="#_x0000_t75" style="height:20pt;width:263pt;" o:ole="t" filled="f" o:preferrelative="t" stroked="f" coordsize="21600,21600">
            <v:path/>
            <v:fill on="f" focussize="0,0"/>
            <v:stroke on="f"/>
            <v:imagedata r:id="rId47" o:title=""/>
            <o:lock v:ext="edit" aspectratio="t"/>
            <w10:wrap type="none"/>
            <w10:anchorlock/>
          </v:shape>
          <o:OLEObject Type="Embed" ProgID="Equation.KSEE3" ShapeID="_x0000_i1028" DrawAspect="Content" ObjectID="_1468075728" r:id="rId46">
            <o:LockedField>false</o:LockedField>
          </o:OLEObject>
        </w:object>
      </w:r>
    </w:p>
    <w:p w14:paraId="57887BFA">
      <w:pPr>
        <w:keepNext w:val="0"/>
        <w:keepLines w:val="0"/>
        <w:pageBreakBefore w:val="0"/>
        <w:widowControl/>
        <w:kinsoku/>
        <w:wordWrap/>
        <w:overflowPunct/>
        <w:topLinePunct w:val="0"/>
        <w:autoSpaceDE/>
        <w:autoSpaceDN/>
        <w:bidi w:val="0"/>
        <w:spacing w:line="360" w:lineRule="auto"/>
        <w:ind w:firstLine="480" w:firstLineChars="200"/>
        <w:jc w:val="center"/>
        <w:textAlignment w:val="auto"/>
        <w:rPr>
          <w:rFonts w:hint="default" w:ascii="Times New Roman" w:hAnsi="Times New Roman" w:eastAsia="宋体" w:cs="Times New Roman"/>
          <w:color w:val="auto"/>
          <w:kern w:val="0"/>
          <w:position w:val="-24"/>
          <w:sz w:val="24"/>
          <w:szCs w:val="24"/>
          <w:highlight w:val="none"/>
          <w:lang w:val="en-US" w:eastAsia="zh-CN" w:bidi="ar-SA"/>
        </w:rPr>
      </w:pPr>
      <w:r>
        <w:rPr>
          <w:rFonts w:hint="default" w:ascii="Times New Roman" w:hAnsi="Times New Roman" w:eastAsia="宋体" w:cs="Times New Roman"/>
          <w:color w:val="auto"/>
          <w:kern w:val="0"/>
          <w:position w:val="-24"/>
          <w:sz w:val="24"/>
          <w:szCs w:val="24"/>
          <w:highlight w:val="none"/>
          <w:lang w:val="en-US" w:eastAsia="zh-CN" w:bidi="ar-SA"/>
        </w:rPr>
        <w:object>
          <v:shape id="_x0000_i1029" o:spt="75" type="#_x0000_t75" style="height:31pt;width:105pt;" o:ole="t" filled="f" o:preferrelative="t" stroked="f" coordsize="21600,21600">
            <v:path/>
            <v:fill on="f" focussize="0,0"/>
            <v:stroke on="f"/>
            <v:imagedata r:id="rId49" o:title=""/>
            <o:lock v:ext="edit" aspectratio="t"/>
            <w10:wrap type="none"/>
            <w10:anchorlock/>
          </v:shape>
          <o:OLEObject Type="Embed" ProgID="Equation.KSEE3" ShapeID="_x0000_i1029" DrawAspect="Content" ObjectID="_1468075729" r:id="rId48">
            <o:LockedField>false</o:LockedField>
          </o:OLEObject>
        </w:object>
      </w:r>
    </w:p>
    <w:p w14:paraId="03735528">
      <w:pPr>
        <w:keepNext w:val="0"/>
        <w:keepLines w:val="0"/>
        <w:pageBreakBefore w:val="0"/>
        <w:kinsoku/>
        <w:wordWrap/>
        <w:overflowPunct/>
        <w:topLinePunct w:val="0"/>
        <w:autoSpaceDE/>
        <w:autoSpaceDN/>
        <w:bidi w:val="0"/>
        <w:spacing w:line="360" w:lineRule="auto"/>
        <w:ind w:firstLine="480" w:firstLineChars="200"/>
        <w:jc w:val="center"/>
        <w:textAlignment w:val="auto"/>
        <w:rPr>
          <w:rFonts w:hint="default" w:ascii="Times New Roman" w:hAnsi="Times New Roman" w:eastAsia="宋体" w:cs="Times New Roman"/>
          <w:color w:val="auto"/>
          <w:position w:val="-14"/>
          <w:sz w:val="24"/>
          <w:highlight w:val="none"/>
        </w:rPr>
      </w:pPr>
      <w:r>
        <w:rPr>
          <w:rFonts w:hint="default" w:ascii="Times New Roman" w:hAnsi="Times New Roman" w:eastAsia="宋体" w:cs="Times New Roman"/>
          <w:color w:val="auto"/>
          <w:position w:val="-14"/>
          <w:sz w:val="24"/>
          <w:highlight w:val="none"/>
        </w:rPr>
        <w:object>
          <v:shape id="_x0000_i1030" o:spt="75" type="#_x0000_t75" style="height:19pt;width:124pt;" o:ole="t" filled="f" o:preferrelative="t" stroked="f" coordsize="21600,21600">
            <v:path/>
            <v:fill on="f" focussize="0,0"/>
            <v:stroke on="f"/>
            <v:imagedata r:id="rId51" o:title=""/>
            <o:lock v:ext="edit" aspectratio="t"/>
            <w10:wrap type="none"/>
            <w10:anchorlock/>
          </v:shape>
          <o:OLEObject Type="Embed" ProgID="Equation.KSEE3" ShapeID="_x0000_i1030" DrawAspect="Content" ObjectID="_1468075730" r:id="rId50">
            <o:LockedField>false</o:LockedField>
          </o:OLEObject>
        </w:object>
      </w:r>
    </w:p>
    <w:p w14:paraId="06DE5946">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式中：</w:t>
      </w:r>
      <w:r>
        <w:rPr>
          <w:rFonts w:hint="default" w:ascii="Times New Roman" w:hAnsi="Times New Roman" w:eastAsia="宋体" w:cs="Times New Roman"/>
          <w:color w:val="auto"/>
          <w:position w:val="-12"/>
          <w:sz w:val="24"/>
          <w:highlight w:val="none"/>
        </w:rPr>
        <w:object>
          <v:shape id="_x0000_i1031" o:spt="75" type="#_x0000_t75" style="height:18pt;width:13pt;" o:ole="t" filled="f" o:preferrelative="t" stroked="f" coordsize="21600,21600">
            <v:path/>
            <v:fill on="f" focussize="0,0"/>
            <v:stroke on="f"/>
            <v:imagedata r:id="rId53" o:title=""/>
            <o:lock v:ext="edit" aspectratio="t"/>
            <w10:wrap type="none"/>
            <w10:anchorlock/>
          </v:shape>
          <o:OLEObject Type="Embed" ProgID="Equation.KSEE3" ShapeID="_x0000_i1031" DrawAspect="Content" ObjectID="_1468075731" r:id="rId52">
            <o:LockedField>false</o:LockedField>
          </o:OLEObject>
        </w:object>
      </w:r>
      <w:r>
        <w:rPr>
          <w:rFonts w:hint="default" w:ascii="Times New Roman" w:hAnsi="Times New Roman" w:eastAsia="宋体" w:cs="Times New Roman"/>
          <w:color w:val="auto"/>
          <w:sz w:val="24"/>
          <w:highlight w:val="none"/>
        </w:rPr>
        <w:t>--理论空气量，m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w:t>
      </w:r>
    </w:p>
    <w:p w14:paraId="5D902F28">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4"/>
          <w:sz w:val="24"/>
          <w:highlight w:val="none"/>
        </w:rPr>
        <w:object>
          <v:shape id="_x0000_i1032" o:spt="75" type="#_x0000_t75" style="height:19pt;width:23pt;" o:ole="t" filled="f" o:preferrelative="t" stroked="f" coordsize="21600,21600">
            <v:path/>
            <v:fill on="f" focussize="0,0"/>
            <v:stroke on="f"/>
            <v:imagedata r:id="rId55" o:title=""/>
            <o:lock v:ext="edit" aspectratio="t"/>
            <w10:wrap type="none"/>
            <w10:anchorlock/>
          </v:shape>
          <o:OLEObject Type="Embed" ProgID="Equation.KSEE3" ShapeID="_x0000_i1032" DrawAspect="Content" ObjectID="_1468075732" r:id="rId54">
            <o:LockedField>false</o:LockedField>
          </o:OLEObject>
        </w:object>
      </w:r>
      <w:r>
        <w:rPr>
          <w:rFonts w:hint="default" w:ascii="Times New Roman" w:hAnsi="Times New Roman" w:eastAsia="宋体" w:cs="Times New Roman"/>
          <w:color w:val="auto"/>
          <w:sz w:val="24"/>
          <w:highlight w:val="none"/>
        </w:rPr>
        <w:t>--烟气中二氧化碳和二氧化硫容积之和，m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w:t>
      </w:r>
    </w:p>
    <w:p w14:paraId="37C0FEE1">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4"/>
          <w:sz w:val="24"/>
          <w:highlight w:val="none"/>
        </w:rPr>
        <w:object>
          <v:shape id="_x0000_i1033" o:spt="75" type="#_x0000_t75" style="height:19pt;width:19pt;" o:ole="t" filled="f" o:preferrelative="t" stroked="f" coordsize="21600,21600">
            <v:path/>
            <v:fill on="f" focussize="0,0"/>
            <v:stroke on="f"/>
            <v:imagedata r:id="rId57" o:title=""/>
            <o:lock v:ext="edit" aspectratio="t"/>
            <w10:wrap type="none"/>
            <w10:anchorlock/>
          </v:shape>
          <o:OLEObject Type="Embed" ProgID="Equation.KSEE3" ShapeID="_x0000_i1033" DrawAspect="Content" ObjectID="_1468075733" r:id="rId56">
            <o:LockedField>false</o:LockedField>
          </o:OLEObject>
        </w:object>
      </w:r>
      <w:r>
        <w:rPr>
          <w:rFonts w:hint="default" w:ascii="Times New Roman" w:hAnsi="Times New Roman" w:eastAsia="宋体" w:cs="Times New Roman"/>
          <w:color w:val="auto"/>
          <w:sz w:val="24"/>
          <w:highlight w:val="none"/>
        </w:rPr>
        <w:t>--烟气中氮气量，m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/m</w:t>
      </w:r>
      <w:r>
        <w:rPr>
          <w:rFonts w:hint="default" w:ascii="Times New Roman" w:hAnsi="Times New Roman" w:eastAsia="宋体" w:cs="Times New Roman"/>
          <w:color w:val="auto"/>
          <w:sz w:val="24"/>
          <w:highlight w:val="none"/>
          <w:vertAlign w:val="superscript"/>
        </w:rPr>
        <w:t>3</w:t>
      </w:r>
      <w:r>
        <w:rPr>
          <w:rFonts w:hint="default" w:ascii="Times New Roman" w:hAnsi="Times New Roman" w:eastAsia="宋体" w:cs="Times New Roman"/>
          <w:color w:val="auto"/>
          <w:sz w:val="24"/>
          <w:highlight w:val="none"/>
        </w:rPr>
        <w:t>；</w:t>
      </w:r>
    </w:p>
    <w:p w14:paraId="581B6180">
      <w:pPr>
        <w:keepNext w:val="0"/>
        <w:keepLines w:val="0"/>
        <w:pageBreakBefore w:val="0"/>
        <w:widowControl/>
        <w:kinsoku/>
        <w:wordWrap/>
        <w:overflowPunct/>
        <w:topLinePunct w:val="0"/>
        <w:autoSpaceDE/>
        <w:autoSpaceDN/>
        <w:bidi w:val="0"/>
        <w:snapToGrid w:val="0"/>
        <w:spacing w:before="0" w:after="0" w:line="360" w:lineRule="auto"/>
        <w:ind w:right="0" w:firstLine="480" w:firstLineChars="200"/>
        <w:jc w:val="both"/>
        <w:textAlignment w:val="auto"/>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eastAsia="宋体" w:cs="Times New Roman"/>
          <w:color w:val="auto"/>
          <w:kern w:val="0"/>
          <w:position w:val="-14"/>
          <w:sz w:val="24"/>
          <w:szCs w:val="24"/>
          <w:highlight w:val="none"/>
          <w:lang w:val="en-US" w:eastAsia="zh-CN" w:bidi="ar-SA"/>
        </w:rPr>
        <w:object>
          <v:shape id="_x0000_i1034" o:spt="75" type="#_x0000_t75" style="height:19pt;width:13.95pt;" o:ole="t" filled="f" o:preferrelative="t" stroked="f" coordsize="21600,21600">
            <v:path/>
            <v:fill on="f" focussize="0,0"/>
            <v:stroke on="f"/>
            <v:imagedata r:id="rId59" o:title=""/>
            <o:lock v:ext="edit" aspectratio="t"/>
            <w10:wrap type="none"/>
            <w10:anchorlock/>
          </v:shape>
          <o:OLEObject Type="Embed" ProgID="Equation.KSEE3" ShapeID="_x0000_i1034" DrawAspect="Content" ObjectID="_1468075734" r:id="rId58">
            <o:LockedField>false</o:LockedField>
          </o:OLEObject>
        </w:object>
      </w:r>
      <w:r>
        <w:rPr>
          <w:rFonts w:hint="default" w:ascii="Times New Roman" w:hAnsi="Times New Roman" w:eastAsia="宋体" w:cs="Times New Roman"/>
          <w:color w:val="auto"/>
          <w:kern w:val="0"/>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每台锅炉干烟气排放量，m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p>
    <w:p w14:paraId="07106911">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0"/>
          <w:sz w:val="24"/>
          <w:highlight w:val="none"/>
        </w:rPr>
        <w:object>
          <v:shape id="_x0000_i1035" o:spt="75" type="#_x0000_t75" style="height:17pt;width:35pt;" o:ole="t" filled="f" o:preferrelative="t" stroked="f" coordsize="21600,21600">
            <v:path/>
            <v:fill on="f" focussize="0,0"/>
            <v:stroke on="f"/>
            <v:imagedata r:id="rId61" o:title=""/>
            <o:lock v:ext="edit" aspectratio="t"/>
            <w10:wrap type="none"/>
            <w10:anchorlock/>
          </v:shape>
          <o:OLEObject Type="Embed" ProgID="Equation.KSEE3" ShapeID="_x0000_i1035" DrawAspect="Content" ObjectID="_1468075735" r:id="rId60">
            <o:LockedField>false</o:LockedField>
          </o:OLEObject>
        </w:object>
      </w:r>
      <w:r>
        <w:rPr>
          <w:rFonts w:hint="default" w:ascii="Times New Roman" w:hAnsi="Times New Roman" w:eastAsia="宋体" w:cs="Times New Roman"/>
          <w:color w:val="auto"/>
          <w:sz w:val="24"/>
          <w:highlight w:val="none"/>
        </w:rPr>
        <w:t>--一氧化碳体积分数，%；</w:t>
      </w:r>
    </w:p>
    <w:p w14:paraId="4EFB16B5">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0"/>
          <w:sz w:val="24"/>
          <w:highlight w:val="none"/>
        </w:rPr>
        <w:object>
          <v:shape id="_x0000_i1036" o:spt="75" type="#_x0000_t75" style="height:17pt;width:33pt;" o:ole="t" filled="f" o:preferrelative="t" stroked="f" coordsize="21600,21600">
            <v:path/>
            <v:fill on="f" focussize="0,0"/>
            <v:stroke on="f"/>
            <v:imagedata r:id="rId63" o:title=""/>
            <o:lock v:ext="edit" aspectratio="t"/>
            <w10:wrap type="none"/>
            <w10:anchorlock/>
          </v:shape>
          <o:OLEObject Type="Embed" ProgID="Equation.KSEE3" ShapeID="_x0000_i1036" DrawAspect="Content" ObjectID="_1468075736" r:id="rId62">
            <o:LockedField>false</o:LockedField>
          </o:OLEObject>
        </w:object>
      </w:r>
      <w:r>
        <w:rPr>
          <w:rFonts w:hint="default" w:ascii="Times New Roman" w:hAnsi="Times New Roman" w:eastAsia="宋体" w:cs="Times New Roman"/>
          <w:color w:val="auto"/>
          <w:sz w:val="24"/>
          <w:highlight w:val="none"/>
        </w:rPr>
        <w:t>--氢体积分数，%；</w:t>
      </w:r>
    </w:p>
    <w:p w14:paraId="48249899">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0"/>
          <w:sz w:val="24"/>
          <w:highlight w:val="none"/>
        </w:rPr>
        <w:object>
          <v:shape id="_x0000_i1037" o:spt="75" type="#_x0000_t75" style="height:17pt;width:40pt;" o:ole="t" filled="f" o:preferrelative="t" stroked="f" coordsize="21600,21600">
            <v:path/>
            <v:fill on="f" focussize="0,0"/>
            <v:stroke on="f"/>
            <v:imagedata r:id="rId65" o:title=""/>
            <o:lock v:ext="edit" aspectratio="t"/>
            <w10:wrap type="none"/>
            <w10:anchorlock/>
          </v:shape>
          <o:OLEObject Type="Embed" ProgID="Equation.KSEE3" ShapeID="_x0000_i1037" DrawAspect="Content" ObjectID="_1468075737" r:id="rId64">
            <o:LockedField>false</o:LockedField>
          </o:OLEObject>
        </w:object>
      </w:r>
      <w:r>
        <w:rPr>
          <w:rFonts w:hint="default" w:ascii="Times New Roman" w:hAnsi="Times New Roman" w:eastAsia="宋体" w:cs="Times New Roman"/>
          <w:color w:val="auto"/>
          <w:sz w:val="24"/>
          <w:highlight w:val="none"/>
        </w:rPr>
        <w:t>--硫化氢体积分数，%；</w:t>
      </w:r>
    </w:p>
    <w:p w14:paraId="710F2CFF">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2"/>
          <w:sz w:val="24"/>
          <w:highlight w:val="none"/>
        </w:rPr>
        <w:object>
          <v:shape id="_x0000_i1038" o:spt="75" type="#_x0000_t75" style="height:18pt;width:47pt;" o:ole="t" filled="f" o:preferrelative="t" stroked="f" coordsize="21600,21600">
            <v:path/>
            <v:fill on="f" focussize="0,0"/>
            <v:stroke on="f"/>
            <v:imagedata r:id="rId67" o:title=""/>
            <o:lock v:ext="edit" aspectratio="t"/>
            <w10:wrap type="none"/>
            <w10:anchorlock/>
          </v:shape>
          <o:OLEObject Type="Embed" ProgID="Equation.KSEE3" ShapeID="_x0000_i1038" DrawAspect="Content" ObjectID="_1468075738" r:id="rId66">
            <o:LockedField>false</o:LockedField>
          </o:OLEObject>
        </w:object>
      </w:r>
      <w:r>
        <w:rPr>
          <w:rFonts w:hint="default" w:ascii="Times New Roman" w:hAnsi="Times New Roman" w:eastAsia="宋体" w:cs="Times New Roman"/>
          <w:color w:val="auto"/>
          <w:sz w:val="24"/>
          <w:highlight w:val="none"/>
        </w:rPr>
        <w:t>--烃类体积分数，%，m为碳原子数，n为氢原子数；</w:t>
      </w:r>
    </w:p>
    <w:p w14:paraId="29233D1F">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0"/>
          <w:sz w:val="24"/>
          <w:highlight w:val="none"/>
        </w:rPr>
        <w:object>
          <v:shape id="_x0000_i1039" o:spt="75" type="#_x0000_t75" style="height:17pt;width:31pt;" o:ole="t" filled="f" o:preferrelative="t" stroked="f" coordsize="21600,21600">
            <v:path/>
            <v:fill on="f" focussize="0,0"/>
            <v:stroke on="f"/>
            <v:imagedata r:id="rId69" o:title=""/>
            <o:lock v:ext="edit" aspectratio="t"/>
            <w10:wrap type="none"/>
            <w10:anchorlock/>
          </v:shape>
          <o:OLEObject Type="Embed" ProgID="Equation.KSEE3" ShapeID="_x0000_i1039" DrawAspect="Content" ObjectID="_1468075739" r:id="rId68">
            <o:LockedField>false</o:LockedField>
          </o:OLEObject>
        </w:object>
      </w:r>
      <w:r>
        <w:rPr>
          <w:rFonts w:hint="default" w:ascii="Times New Roman" w:hAnsi="Times New Roman" w:eastAsia="宋体" w:cs="Times New Roman"/>
          <w:color w:val="auto"/>
          <w:sz w:val="24"/>
          <w:highlight w:val="none"/>
        </w:rPr>
        <w:t>--氧体积分数，%；</w:t>
      </w:r>
    </w:p>
    <w:p w14:paraId="54249F14">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0"/>
          <w:sz w:val="24"/>
          <w:highlight w:val="none"/>
        </w:rPr>
        <w:object>
          <v:shape id="_x0000_i1040" o:spt="75" type="#_x0000_t75" style="height:17pt;width:39pt;" o:ole="t" filled="f" o:preferrelative="t" stroked="f" coordsize="21600,21600">
            <v:path/>
            <v:fill on="f" focussize="0,0"/>
            <v:stroke on="f"/>
            <v:imagedata r:id="rId71" o:title=""/>
            <o:lock v:ext="edit" aspectratio="t"/>
            <w10:wrap type="none"/>
            <w10:anchorlock/>
          </v:shape>
          <o:OLEObject Type="Embed" ProgID="Equation.KSEE3" ShapeID="_x0000_i1040" DrawAspect="Content" ObjectID="_1468075740" r:id="rId70">
            <o:LockedField>false</o:LockedField>
          </o:OLEObject>
        </w:object>
      </w:r>
      <w:r>
        <w:rPr>
          <w:rFonts w:hint="default" w:ascii="Times New Roman" w:hAnsi="Times New Roman" w:eastAsia="宋体" w:cs="Times New Roman"/>
          <w:color w:val="auto"/>
          <w:sz w:val="24"/>
          <w:highlight w:val="none"/>
        </w:rPr>
        <w:t>--二氧化碳体积百分数，%；</w:t>
      </w:r>
    </w:p>
    <w:p w14:paraId="11AC183F">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10"/>
          <w:sz w:val="24"/>
          <w:highlight w:val="none"/>
        </w:rPr>
        <w:object>
          <v:shape id="_x0000_i1041" o:spt="75" type="#_x0000_t75" style="height:17pt;width:31.95pt;" o:ole="t" filled="f" o:preferrelative="t" stroked="f" coordsize="21600,21600">
            <v:path/>
            <v:fill on="f" focussize="0,0"/>
            <v:stroke on="f"/>
            <v:imagedata r:id="rId73" o:title=""/>
            <o:lock v:ext="edit" aspectratio="t"/>
            <w10:wrap type="none"/>
            <w10:anchorlock/>
          </v:shape>
          <o:OLEObject Type="Embed" ProgID="Equation.KSEE3" ShapeID="_x0000_i1041" DrawAspect="Content" ObjectID="_1468075741" r:id="rId72">
            <o:LockedField>false</o:LockedField>
          </o:OLEObject>
        </w:object>
      </w:r>
      <w:r>
        <w:rPr>
          <w:rFonts w:hint="default" w:ascii="Times New Roman" w:hAnsi="Times New Roman" w:eastAsia="宋体" w:cs="Times New Roman"/>
          <w:color w:val="auto"/>
          <w:sz w:val="24"/>
          <w:highlight w:val="none"/>
        </w:rPr>
        <w:t>--氮体积百分数，%；</w:t>
      </w:r>
    </w:p>
    <w:p w14:paraId="26E810CD">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position w:val="-6"/>
          <w:sz w:val="24"/>
          <w:highlight w:val="none"/>
        </w:rPr>
        <w:object>
          <v:shape id="_x0000_i1042" o:spt="75" type="#_x0000_t75" style="height:11pt;width:12pt;" o:ole="t" filled="f" o:preferrelative="t" stroked="f" coordsize="21600,21600">
            <v:path/>
            <v:fill on="f" focussize="0,0"/>
            <v:stroke on="f"/>
            <v:imagedata r:id="rId75" o:title=""/>
            <o:lock v:ext="edit" aspectratio="t"/>
            <w10:wrap type="none"/>
            <w10:anchorlock/>
          </v:shape>
          <o:OLEObject Type="Embed" ProgID="Equation.KSEE3" ShapeID="_x0000_i1042" DrawAspect="Content" ObjectID="_1468075742" r:id="rId74">
            <o:LockedField>false</o:LockedField>
          </o:OLEObject>
        </w:object>
      </w:r>
      <w:r>
        <w:rPr>
          <w:rFonts w:hint="default" w:ascii="Times New Roman" w:hAnsi="Times New Roman" w:eastAsia="宋体" w:cs="Times New Roman"/>
          <w:color w:val="auto"/>
          <w:sz w:val="24"/>
          <w:highlight w:val="none"/>
        </w:rPr>
        <w:t>--过量空气系数，燃料燃烧时实际空气供给量与理论空气量之比值，燃气锅炉的过量空气系数为1.2，对应基准氧含量为3.5%。</w:t>
      </w:r>
    </w:p>
    <w:p w14:paraId="00D1415C">
      <w:pPr>
        <w:keepNext w:val="0"/>
        <w:keepLines w:val="0"/>
        <w:pageBreakBefore w:val="0"/>
        <w:widowControl/>
        <w:kinsoku/>
        <w:wordWrap/>
        <w:overflowPunct/>
        <w:topLinePunct w:val="0"/>
        <w:autoSpaceDE/>
        <w:autoSpaceDN/>
        <w:bidi w:val="0"/>
        <w:snapToGrid w:val="0"/>
        <w:spacing w:before="0" w:after="0" w:line="360" w:lineRule="auto"/>
        <w:ind w:right="0" w:firstLine="480" w:firstLineChars="20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结合附件2中燃料分析报告各数据，计算：</w:t>
      </w:r>
    </w:p>
    <w:p w14:paraId="6C803B6F">
      <w:pPr>
        <w:keepNext w:val="0"/>
        <w:keepLines w:val="0"/>
        <w:pageBreakBefore w:val="0"/>
        <w:widowControl/>
        <w:kinsoku/>
        <w:wordWrap/>
        <w:overflowPunct/>
        <w:topLinePunct w:val="0"/>
        <w:autoSpaceDE/>
        <w:autoSpaceDN/>
        <w:bidi w:val="0"/>
        <w:snapToGrid w:val="0"/>
        <w:spacing w:before="0" w:after="0" w:line="360" w:lineRule="auto"/>
        <w:ind w:right="0" w:firstLine="480" w:firstLineChars="20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0"/>
          <w:position w:val="-12"/>
          <w:sz w:val="24"/>
          <w:szCs w:val="24"/>
          <w:highlight w:val="none"/>
          <w:lang w:val="en-US" w:eastAsia="zh-CN" w:bidi="ar-SA"/>
        </w:rPr>
        <w:object>
          <v:shape id="_x0000_i1043" o:spt="75" type="#_x0000_t75" style="height:18pt;width:13pt;" o:ole="t" filled="f" o:preferrelative="t" stroked="f" coordsize="21600,21600">
            <v:path/>
            <v:fill on="f" focussize="0,0"/>
            <v:stroke on="f"/>
            <v:imagedata r:id="rId53" o:title=""/>
            <o:lock v:ext="edit" aspectratio="t"/>
            <w10:wrap type="none"/>
            <w10:anchorlock/>
          </v:shape>
          <o:OLEObject Type="Embed" ProgID="Equation.KSEE3" ShapeID="_x0000_i1043" DrawAspect="Content" ObjectID="_1468075743" r:id="rId76">
            <o:LockedField>false</o:LockedField>
          </o:OLEObject>
        </w:object>
      </w:r>
      <w:r>
        <w:rPr>
          <w:rFonts w:hint="default" w:ascii="Times New Roman" w:hAnsi="Times New Roman" w:eastAsia="宋体" w:cs="Times New Roman"/>
          <w:color w:val="auto"/>
          <w:kern w:val="2"/>
          <w:sz w:val="24"/>
          <w:szCs w:val="24"/>
          <w:highlight w:val="none"/>
          <w:lang w:val="en-US" w:eastAsia="zh-CN" w:bidi="ar-SA"/>
        </w:rPr>
        <w:t>=</w:t>
      </w:r>
      <w:bookmarkStart w:id="133" w:name="OLE_LINK41"/>
      <w:r>
        <w:rPr>
          <w:rFonts w:hint="default" w:ascii="Times New Roman" w:hAnsi="Times New Roman" w:eastAsia="宋体" w:cs="Times New Roman"/>
          <w:color w:val="auto"/>
          <w:kern w:val="2"/>
          <w:sz w:val="24"/>
          <w:szCs w:val="24"/>
          <w:highlight w:val="none"/>
          <w:lang w:val="en-US" w:eastAsia="zh-CN" w:bidi="ar-SA"/>
        </w:rPr>
        <w:t>9.40</w:t>
      </w:r>
      <w:r>
        <w:rPr>
          <w:rFonts w:hint="eastAsia" w:cs="Times New Roman"/>
          <w:color w:val="auto"/>
          <w:kern w:val="2"/>
          <w:sz w:val="24"/>
          <w:szCs w:val="24"/>
          <w:highlight w:val="none"/>
          <w:lang w:val="en-US" w:eastAsia="zh-CN" w:bidi="ar-SA"/>
        </w:rPr>
        <w:t>2428</w:t>
      </w:r>
      <w:bookmarkEnd w:id="133"/>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w:t>
      </w:r>
    </w:p>
    <w:p w14:paraId="1737732F">
      <w:pPr>
        <w:keepNext w:val="0"/>
        <w:keepLines w:val="0"/>
        <w:pageBreakBefore w:val="0"/>
        <w:widowControl/>
        <w:kinsoku/>
        <w:wordWrap/>
        <w:overflowPunct/>
        <w:topLinePunct w:val="0"/>
        <w:autoSpaceDE/>
        <w:autoSpaceDN/>
        <w:bidi w:val="0"/>
        <w:snapToGrid w:val="0"/>
        <w:spacing w:before="0" w:after="0" w:line="360" w:lineRule="auto"/>
        <w:ind w:right="0" w:firstLine="480" w:firstLineChars="20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0"/>
          <w:position w:val="-14"/>
          <w:sz w:val="24"/>
          <w:szCs w:val="24"/>
          <w:highlight w:val="none"/>
          <w:lang w:val="en-US" w:eastAsia="zh-CN" w:bidi="ar-SA"/>
        </w:rPr>
        <w:object>
          <v:shape id="_x0000_i1044" o:spt="75" type="#_x0000_t75" style="height:19pt;width:23pt;" o:ole="t" filled="f" o:preferrelative="t" stroked="f" coordsize="21600,21600">
            <v:path/>
            <v:fill on="f" focussize="0,0"/>
            <v:stroke on="f"/>
            <v:imagedata r:id="rId55" o:title=""/>
            <o:lock v:ext="edit" aspectratio="t"/>
            <w10:wrap type="none"/>
            <w10:anchorlock/>
          </v:shape>
          <o:OLEObject Type="Embed" ProgID="Equation.KSEE3" ShapeID="_x0000_i1044" DrawAspect="Content" ObjectID="_1468075744" r:id="rId77">
            <o:LockedField>false</o:LockedField>
          </o:OLEObject>
        </w:object>
      </w:r>
      <w:r>
        <w:rPr>
          <w:rFonts w:hint="default" w:ascii="Times New Roman" w:hAnsi="Times New Roman" w:eastAsia="宋体" w:cs="Times New Roman"/>
          <w:color w:val="auto"/>
          <w:kern w:val="2"/>
          <w:sz w:val="24"/>
          <w:szCs w:val="24"/>
          <w:highlight w:val="none"/>
          <w:lang w:val="en-US" w:eastAsia="zh-CN" w:bidi="ar-SA"/>
        </w:rPr>
        <w:t>=</w:t>
      </w:r>
      <w:r>
        <w:rPr>
          <w:rFonts w:hint="eastAsia" w:cs="Times New Roman"/>
          <w:color w:val="auto"/>
          <w:kern w:val="2"/>
          <w:sz w:val="24"/>
          <w:szCs w:val="24"/>
          <w:highlight w:val="none"/>
          <w:lang w:val="en-US" w:eastAsia="zh-CN" w:bidi="ar-SA"/>
        </w:rPr>
        <w:t>0.9905</w:t>
      </w:r>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w:t>
      </w:r>
    </w:p>
    <w:p w14:paraId="7533E6A1">
      <w:pPr>
        <w:keepNext w:val="0"/>
        <w:keepLines w:val="0"/>
        <w:pageBreakBefore w:val="0"/>
        <w:widowControl/>
        <w:kinsoku/>
        <w:wordWrap/>
        <w:overflowPunct/>
        <w:topLinePunct w:val="0"/>
        <w:autoSpaceDE/>
        <w:autoSpaceDN/>
        <w:bidi w:val="0"/>
        <w:snapToGrid w:val="0"/>
        <w:spacing w:before="0" w:after="0" w:line="360" w:lineRule="auto"/>
        <w:ind w:right="0" w:firstLine="480" w:firstLineChars="20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0"/>
          <w:position w:val="-14"/>
          <w:sz w:val="24"/>
          <w:szCs w:val="24"/>
          <w:highlight w:val="none"/>
          <w:lang w:val="en-US" w:eastAsia="zh-CN" w:bidi="ar-SA"/>
        </w:rPr>
        <w:object>
          <v:shape id="_x0000_i1045" o:spt="75" type="#_x0000_t75" style="height:19pt;width:19pt;" o:ole="t" filled="f" o:preferrelative="t" stroked="f" coordsize="21600,21600">
            <v:path/>
            <v:fill on="f" focussize="0,0"/>
            <v:stroke on="f"/>
            <v:imagedata r:id="rId57" o:title=""/>
            <o:lock v:ext="edit" aspectratio="t"/>
            <w10:wrap type="none"/>
            <w10:anchorlock/>
          </v:shape>
          <o:OLEObject Type="Embed" ProgID="Equation.KSEE3" ShapeID="_x0000_i1045" DrawAspect="Content" ObjectID="_1468075745" r:id="rId78">
            <o:LockedField>false</o:LockedField>
          </o:OLEObject>
        </w:object>
      </w:r>
      <w:r>
        <w:rPr>
          <w:rFonts w:hint="default" w:ascii="Times New Roman" w:hAnsi="Times New Roman" w:eastAsia="宋体" w:cs="Times New Roman"/>
          <w:color w:val="auto"/>
          <w:kern w:val="0"/>
          <w:sz w:val="24"/>
          <w:szCs w:val="24"/>
          <w:highlight w:val="none"/>
          <w:lang w:val="en-US" w:eastAsia="zh-CN" w:bidi="ar-SA"/>
        </w:rPr>
        <w:t>=7.4</w:t>
      </w:r>
      <w:r>
        <w:rPr>
          <w:rFonts w:hint="eastAsia" w:cs="Times New Roman"/>
          <w:color w:val="auto"/>
          <w:kern w:val="0"/>
          <w:sz w:val="24"/>
          <w:szCs w:val="24"/>
          <w:highlight w:val="none"/>
          <w:lang w:val="en-US" w:eastAsia="zh-CN" w:bidi="ar-SA"/>
        </w:rPr>
        <w:t>451</w:t>
      </w:r>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w:t>
      </w:r>
    </w:p>
    <w:p w14:paraId="590E0356">
      <w:pPr>
        <w:keepNext w:val="0"/>
        <w:keepLines w:val="0"/>
        <w:pageBreakBefore w:val="0"/>
        <w:widowControl/>
        <w:kinsoku/>
        <w:wordWrap/>
        <w:overflowPunct/>
        <w:topLinePunct w:val="0"/>
        <w:autoSpaceDE/>
        <w:autoSpaceDN/>
        <w:bidi w:val="0"/>
        <w:spacing w:line="360" w:lineRule="auto"/>
        <w:jc w:val="left"/>
        <w:textAlignment w:val="auto"/>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eastAsia="宋体" w:cs="Times New Roman"/>
          <w:color w:val="auto"/>
          <w:kern w:val="0"/>
          <w:position w:val="-14"/>
          <w:sz w:val="24"/>
          <w:szCs w:val="24"/>
          <w:highlight w:val="none"/>
          <w:lang w:val="en-US" w:eastAsia="zh-CN" w:bidi="ar-SA"/>
        </w:rPr>
        <w:object>
          <v:shape id="_x0000_i1046" o:spt="75" type="#_x0000_t75" style="height:19pt;width:124pt;" o:ole="t" filled="f" o:preferrelative="t" stroked="f" coordsize="21600,21600">
            <v:path/>
            <v:fill on="f" focussize="0,0"/>
            <v:stroke on="f"/>
            <v:imagedata r:id="rId51" o:title=""/>
            <o:lock v:ext="edit" aspectratio="t"/>
            <w10:wrap type="none"/>
            <w10:anchorlock/>
          </v:shape>
          <o:OLEObject Type="Embed" ProgID="Equation.KSEE3" ShapeID="_x0000_i1046" DrawAspect="Content" ObjectID="_1468075746" r:id="rId79">
            <o:LockedField>false</o:LockedField>
          </o:OLEObject>
        </w:object>
      </w:r>
      <w:r>
        <w:rPr>
          <w:rFonts w:hint="default" w:ascii="Times New Roman" w:hAnsi="Times New Roman" w:eastAsia="宋体" w:cs="Times New Roman"/>
          <w:color w:val="auto"/>
          <w:kern w:val="0"/>
          <w:sz w:val="24"/>
          <w:szCs w:val="24"/>
          <w:highlight w:val="none"/>
          <w:lang w:val="en-US" w:eastAsia="zh-CN" w:bidi="ar-SA"/>
        </w:rPr>
        <w:t>=</w:t>
      </w:r>
      <w:bookmarkStart w:id="134" w:name="OLE_LINK42"/>
      <w:r>
        <w:rPr>
          <w:rFonts w:hint="default" w:ascii="Times New Roman" w:hAnsi="Times New Roman" w:eastAsia="宋体" w:cs="Times New Roman"/>
          <w:color w:val="auto"/>
          <w:kern w:val="0"/>
          <w:sz w:val="24"/>
          <w:szCs w:val="24"/>
          <w:highlight w:val="none"/>
          <w:lang w:val="en-US" w:eastAsia="zh-CN" w:bidi="ar-SA"/>
        </w:rPr>
        <w:t>10.3</w:t>
      </w:r>
      <w:r>
        <w:rPr>
          <w:rFonts w:hint="eastAsia" w:cs="Times New Roman"/>
          <w:color w:val="auto"/>
          <w:kern w:val="0"/>
          <w:sz w:val="24"/>
          <w:szCs w:val="24"/>
          <w:highlight w:val="none"/>
          <w:lang w:val="en-US" w:eastAsia="zh-CN" w:bidi="ar-SA"/>
        </w:rPr>
        <w:t>161</w:t>
      </w:r>
      <w:bookmarkEnd w:id="134"/>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/m</w:t>
      </w:r>
      <w:r>
        <w:rPr>
          <w:rFonts w:hint="default" w:ascii="Times New Roman" w:hAnsi="Times New Roman" w:eastAsia="宋体" w:cs="Times New Roman"/>
          <w:color w:val="auto"/>
          <w:kern w:val="2"/>
          <w:sz w:val="24"/>
          <w:szCs w:val="24"/>
          <w:highlight w:val="none"/>
          <w:vertAlign w:val="superscript"/>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原料。</w:t>
      </w:r>
    </w:p>
    <w:p w14:paraId="13B4F605">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bCs/>
          <w:color w:val="auto"/>
          <w:kern w:val="0"/>
          <w:sz w:val="24"/>
          <w:highlight w:val="none"/>
          <w:lang w:val="en-US"/>
        </w:rPr>
      </w:pPr>
      <w:r>
        <w:rPr>
          <w:rFonts w:hint="default" w:ascii="Times New Roman" w:hAnsi="Times New Roman" w:eastAsia="宋体" w:cs="Times New Roman"/>
          <w:bCs/>
          <w:color w:val="auto"/>
          <w:kern w:val="0"/>
          <w:sz w:val="24"/>
          <w:highlight w:val="none"/>
        </w:rPr>
        <w:t>故锅炉干烟气排放量为103</w:t>
      </w:r>
      <w:r>
        <w:rPr>
          <w:rFonts w:hint="eastAsia" w:cs="Times New Roman"/>
          <w:bCs/>
          <w:color w:val="auto"/>
          <w:kern w:val="0"/>
          <w:sz w:val="24"/>
          <w:highlight w:val="none"/>
          <w:lang w:val="en-US" w:eastAsia="zh-CN"/>
        </w:rPr>
        <w:t>161</w:t>
      </w:r>
      <w:r>
        <w:rPr>
          <w:rFonts w:hint="default" w:ascii="Times New Roman" w:hAnsi="Times New Roman" w:eastAsia="宋体" w:cs="Times New Roman"/>
          <w:bCs/>
          <w:color w:val="auto"/>
          <w:kern w:val="0"/>
          <w:sz w:val="24"/>
          <w:highlight w:val="none"/>
        </w:rPr>
        <w:t>m</w:t>
      </w:r>
      <w:r>
        <w:rPr>
          <w:rFonts w:hint="default" w:ascii="Times New Roman" w:hAnsi="Times New Roman" w:eastAsia="宋体" w:cs="Times New Roman"/>
          <w:bCs/>
          <w:color w:val="auto"/>
          <w:kern w:val="0"/>
          <w:sz w:val="24"/>
          <w:highlight w:val="none"/>
          <w:vertAlign w:val="superscript"/>
        </w:rPr>
        <w:t>3</w:t>
      </w:r>
      <w:r>
        <w:rPr>
          <w:rFonts w:hint="default" w:ascii="Times New Roman" w:hAnsi="Times New Roman" w:eastAsia="宋体" w:cs="Times New Roman"/>
          <w:bCs/>
          <w:color w:val="auto"/>
          <w:kern w:val="0"/>
          <w:sz w:val="24"/>
          <w:highlight w:val="none"/>
        </w:rPr>
        <w:t>/万m</w:t>
      </w:r>
      <w:r>
        <w:rPr>
          <w:rFonts w:hint="default" w:ascii="Times New Roman" w:hAnsi="Times New Roman" w:eastAsia="宋体" w:cs="Times New Roman"/>
          <w:bCs/>
          <w:color w:val="auto"/>
          <w:kern w:val="0"/>
          <w:sz w:val="24"/>
          <w:highlight w:val="none"/>
          <w:vertAlign w:val="superscript"/>
        </w:rPr>
        <w:t>3</w:t>
      </w:r>
      <w:r>
        <w:rPr>
          <w:rFonts w:hint="default" w:ascii="Times New Roman" w:hAnsi="Times New Roman" w:eastAsia="宋体" w:cs="Times New Roman"/>
          <w:bCs/>
          <w:color w:val="auto"/>
          <w:kern w:val="0"/>
          <w:sz w:val="24"/>
          <w:highlight w:val="none"/>
        </w:rPr>
        <w:t>原料，计算锅炉干烟气排放量为79581490.23m</w:t>
      </w:r>
      <w:r>
        <w:rPr>
          <w:rFonts w:hint="default" w:ascii="Times New Roman" w:hAnsi="Times New Roman" w:eastAsia="宋体" w:cs="Times New Roman"/>
          <w:bCs/>
          <w:color w:val="auto"/>
          <w:kern w:val="0"/>
          <w:sz w:val="24"/>
          <w:highlight w:val="none"/>
          <w:vertAlign w:val="superscript"/>
        </w:rPr>
        <w:t>3</w:t>
      </w:r>
      <w:r>
        <w:rPr>
          <w:rFonts w:hint="default" w:ascii="Times New Roman" w:hAnsi="Times New Roman" w:eastAsia="宋体" w:cs="Times New Roman"/>
          <w:bCs/>
          <w:color w:val="auto"/>
          <w:kern w:val="0"/>
          <w:sz w:val="24"/>
          <w:highlight w:val="none"/>
        </w:rPr>
        <w:t>/</w:t>
      </w:r>
      <w:r>
        <w:rPr>
          <w:rFonts w:hint="eastAsia" w:cs="Times New Roman"/>
          <w:bCs/>
          <w:color w:val="auto"/>
          <w:kern w:val="0"/>
          <w:sz w:val="24"/>
          <w:highlight w:val="none"/>
          <w:lang w:val="en-US" w:eastAsia="zh-CN"/>
        </w:rPr>
        <w:t>a，11052.98</w:t>
      </w:r>
      <w:r>
        <w:rPr>
          <w:rFonts w:hint="default" w:ascii="Times New Roman" w:hAnsi="Times New Roman" w:eastAsia="宋体" w:cs="Times New Roman"/>
          <w:bCs/>
          <w:color w:val="auto"/>
          <w:kern w:val="0"/>
          <w:sz w:val="24"/>
          <w:highlight w:val="none"/>
        </w:rPr>
        <w:t>m</w:t>
      </w:r>
      <w:r>
        <w:rPr>
          <w:rFonts w:hint="default" w:ascii="Times New Roman" w:hAnsi="Times New Roman" w:eastAsia="宋体" w:cs="Times New Roman"/>
          <w:bCs/>
          <w:color w:val="auto"/>
          <w:kern w:val="0"/>
          <w:sz w:val="24"/>
          <w:highlight w:val="none"/>
          <w:vertAlign w:val="superscript"/>
        </w:rPr>
        <w:t>3</w:t>
      </w:r>
      <w:r>
        <w:rPr>
          <w:rFonts w:hint="default" w:ascii="Times New Roman" w:hAnsi="Times New Roman" w:eastAsia="宋体" w:cs="Times New Roman"/>
          <w:bCs/>
          <w:color w:val="auto"/>
          <w:kern w:val="0"/>
          <w:sz w:val="24"/>
          <w:highlight w:val="none"/>
        </w:rPr>
        <w:t>/</w:t>
      </w:r>
      <w:r>
        <w:rPr>
          <w:rFonts w:hint="eastAsia" w:cs="Times New Roman"/>
          <w:bCs/>
          <w:color w:val="auto"/>
          <w:kern w:val="0"/>
          <w:sz w:val="24"/>
          <w:highlight w:val="none"/>
          <w:lang w:val="en-US" w:eastAsia="zh-CN"/>
        </w:rPr>
        <w:t>h。</w:t>
      </w:r>
    </w:p>
    <w:p w14:paraId="1146F78E">
      <w:pPr>
        <w:pStyle w:val="85"/>
        <w:keepNext w:val="0"/>
        <w:keepLines w:val="0"/>
        <w:pageBreakBefore w:val="0"/>
        <w:kinsoku/>
        <w:wordWrap/>
        <w:overflowPunct/>
        <w:topLinePunct w:val="0"/>
        <w:autoSpaceDE/>
        <w:autoSpaceDN/>
        <w:bidi w:val="0"/>
        <w:spacing w:line="360" w:lineRule="auto"/>
        <w:textAlignment w:val="auto"/>
        <w:rPr>
          <w:color w:val="auto"/>
        </w:rPr>
      </w:pPr>
      <w:r>
        <w:rPr>
          <w:rFonts w:hint="eastAsia"/>
          <w:color w:val="auto"/>
        </w:rPr>
        <w:t>（2）污染物排放量计算</w:t>
      </w:r>
    </w:p>
    <w:p w14:paraId="48067828">
      <w:pPr>
        <w:pStyle w:val="85"/>
        <w:keepNext w:val="0"/>
        <w:keepLines w:val="0"/>
        <w:pageBreakBefore w:val="0"/>
        <w:kinsoku/>
        <w:wordWrap/>
        <w:overflowPunct/>
        <w:topLinePunct w:val="0"/>
        <w:autoSpaceDE/>
        <w:autoSpaceDN/>
        <w:bidi w:val="0"/>
        <w:spacing w:line="360" w:lineRule="auto"/>
        <w:textAlignment w:val="auto"/>
        <w:rPr>
          <w:color w:val="auto"/>
        </w:rPr>
      </w:pPr>
      <w:r>
        <w:rPr>
          <w:rFonts w:hint="eastAsia"/>
          <w:color w:val="auto"/>
        </w:rPr>
        <w:t>①颗粒物</w:t>
      </w:r>
    </w:p>
    <w:p w14:paraId="4C45010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position w:val="-28"/>
          <w:sz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highlight w:val="none"/>
          <w14:textFill>
            <w14:solidFill>
              <w14:schemeClr w14:val="tx1"/>
            </w14:solidFill>
          </w14:textFill>
        </w:rPr>
        <w:t>根据</w:t>
      </w:r>
      <w:r>
        <w:rPr>
          <w:rFonts w:hint="default" w:ascii="Times New Roman" w:hAnsi="Times New Roman" w:eastAsia="宋体" w:cs="Times New Roman"/>
          <w:color w:val="000000" w:themeColor="text1"/>
          <w:sz w:val="24"/>
          <w:highlight w:val="none"/>
          <w14:textFill>
            <w14:solidFill>
              <w14:schemeClr w14:val="tx1"/>
            </w14:solidFill>
          </w14:textFill>
        </w:rPr>
        <w:t>《污染源源强核算技术指南 锅炉》（HJ991-2018），燃气锅炉颗粒物采用产污系数法。</w:t>
      </w:r>
      <w:r>
        <w:rPr>
          <w:rFonts w:hint="default" w:ascii="Times New Roman" w:hAnsi="Times New Roman" w:eastAsia="宋体" w:cs="Times New Roman"/>
          <w:color w:val="000000" w:themeColor="text1"/>
          <w:position w:val="-28"/>
          <w:sz w:val="24"/>
          <w:highlight w:val="none"/>
          <w14:textFill>
            <w14:solidFill>
              <w14:schemeClr w14:val="tx1"/>
            </w14:solidFill>
          </w14:textFill>
        </w:rPr>
        <w:object>
          <v:shape id="_x0000_i1047" o:spt="75" type="#_x0000_t75" style="height:34pt;width:139.95pt;" o:ole="t" filled="f" o:preferrelative="t" stroked="f" coordsize="21600,21600">
            <v:path/>
            <v:fill on="f" focussize="0,0"/>
            <v:stroke on="f"/>
            <v:imagedata r:id="rId81" o:title=""/>
            <o:lock v:ext="edit" aspectratio="t"/>
            <w10:wrap type="none"/>
            <w10:anchorlock/>
          </v:shape>
          <o:OLEObject Type="Embed" ProgID="Equation.KSEE3" ShapeID="_x0000_i1047" DrawAspect="Content" ObjectID="_1468075747" r:id="rId80">
            <o:LockedField>false</o:LockedField>
          </o:OLEObject>
        </w:object>
      </w:r>
    </w:p>
    <w:p w14:paraId="1C068E1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式中：</w:t>
      </w:r>
      <w:r>
        <w:rPr>
          <w:rFonts w:hint="default" w:ascii="Times New Roman" w:hAnsi="Times New Roman" w:eastAsia="宋体" w:cs="Times New Roman"/>
          <w:color w:val="000000" w:themeColor="text1"/>
          <w:position w:val="-14"/>
          <w:sz w:val="24"/>
          <w:highlight w:val="none"/>
          <w14:textFill>
            <w14:solidFill>
              <w14:schemeClr w14:val="tx1"/>
            </w14:solidFill>
          </w14:textFill>
        </w:rPr>
        <w:object>
          <v:shape id="_x0000_i1048" o:spt="75" type="#_x0000_t75" style="height:19pt;width:15pt;" o:ole="t" filled="f" o:preferrelative="t" stroked="f" coordsize="21600,21600">
            <v:path/>
            <v:fill on="f" focussize="0,0"/>
            <v:stroke on="f"/>
            <v:imagedata r:id="rId83" o:title=""/>
            <o:lock v:ext="edit" aspectratio="t"/>
            <w10:wrap type="none"/>
            <w10:anchorlock/>
          </v:shape>
          <o:OLEObject Type="Embed" ProgID="Equation.KSEE3" ShapeID="_x0000_i1048" DrawAspect="Content" ObjectID="_1468075748" r:id="rId82">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--核算时段内第j类污染物排放量，t；</w:t>
      </w:r>
    </w:p>
    <w:p w14:paraId="752F7C71">
      <w:pPr>
        <w:keepNext w:val="0"/>
        <w:keepLines w:val="0"/>
        <w:pageBreakBefore w:val="0"/>
        <w:widowControl w:val="0"/>
        <w:kinsoku/>
        <w:wordWrap/>
        <w:overflowPunct/>
        <w:topLinePunct w:val="0"/>
        <w:autoSpaceDE/>
        <w:autoSpaceDN/>
        <w:bidi w:val="0"/>
        <w:snapToGrid w:val="0"/>
        <w:spacing w:line="360" w:lineRule="auto"/>
        <w:ind w:firstLine="1200" w:firstLineChars="500"/>
        <w:textAlignment w:val="auto"/>
        <w:rPr>
          <w:rFonts w:hint="eastAsia"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R--核算时段内锅炉燃料耗量，万m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本项目</w:t>
      </w:r>
      <w:r>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t>小时燃料最大消耗量为</w:t>
      </w:r>
      <w:r>
        <w:rPr>
          <w:rFonts w:hint="eastAsia" w:cs="Times New Roman"/>
          <w:bCs/>
          <w:color w:val="auto"/>
          <w:kern w:val="0"/>
          <w:sz w:val="24"/>
          <w:highlight w:val="none"/>
          <w:lang w:val="en-US" w:eastAsia="zh-CN"/>
        </w:rPr>
        <w:t>1071.43</w:t>
      </w:r>
      <w:r>
        <w:rPr>
          <w:rFonts w:hint="eastAsia" w:ascii="Times New Roman" w:hAnsi="Times New Roman" w:eastAsia="宋体" w:cs="Times New Roman"/>
          <w:bCs/>
          <w:color w:val="000000" w:themeColor="text1"/>
          <w:sz w:val="24"/>
          <w:highlight w:val="none"/>
          <w:lang w:val="en-US" w:eastAsia="zh-CN"/>
          <w14:textFill>
            <w14:solidFill>
              <w14:schemeClr w14:val="tx1"/>
            </w14:solidFill>
          </w14:textFill>
        </w:rPr>
        <w:t>m</w:t>
      </w:r>
      <w:r>
        <w:rPr>
          <w:rFonts w:hint="eastAsia" w:ascii="Times New Roman" w:hAnsi="Times New Roman" w:eastAsia="宋体" w:cs="Times New Roman"/>
          <w:bCs/>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Cs/>
          <w:color w:val="000000" w:themeColor="text1"/>
          <w:sz w:val="24"/>
          <w:highlight w:val="none"/>
          <w14:textFill>
            <w14:solidFill>
              <w14:schemeClr w14:val="tx1"/>
            </w14:solidFill>
          </w14:textFill>
        </w:rPr>
        <w:t>/</w:t>
      </w:r>
      <w:r>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t>h</w:t>
      </w:r>
      <w:r>
        <w:rPr>
          <w:rFonts w:hint="eastAsia" w:cs="Times New Roman"/>
          <w:bCs/>
          <w:color w:val="000000" w:themeColor="text1"/>
          <w:sz w:val="24"/>
          <w:highlight w:val="none"/>
          <w:lang w:val="en-US" w:eastAsia="zh-CN"/>
          <w14:textFill>
            <w14:solidFill>
              <w14:schemeClr w14:val="tx1"/>
            </w14:solidFill>
          </w14:textFill>
        </w:rPr>
        <w:t>，</w:t>
      </w:r>
      <w:r>
        <w:rPr>
          <w:rFonts w:hint="eastAsia" w:ascii="Times New Roman" w:hAnsi="Times New Roman" w:eastAsia="宋体" w:cs="Times New Roman"/>
          <w:bCs/>
          <w:color w:val="000000" w:themeColor="text1"/>
          <w:sz w:val="24"/>
          <w:highlight w:val="none"/>
          <w:lang w:val="en-US" w:eastAsia="zh-CN"/>
          <w14:textFill>
            <w14:solidFill>
              <w14:schemeClr w14:val="tx1"/>
            </w14:solidFill>
          </w14:textFill>
        </w:rPr>
        <w:t>天然气</w:t>
      </w:r>
      <w:r>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t>燃料</w:t>
      </w:r>
      <w:r>
        <w:rPr>
          <w:rFonts w:hint="default" w:ascii="Times New Roman" w:hAnsi="Times New Roman" w:eastAsia="宋体" w:cs="Times New Roman"/>
          <w:bCs/>
          <w:color w:val="000000" w:themeColor="text1"/>
          <w:sz w:val="24"/>
          <w:highlight w:val="none"/>
          <w14:textFill>
            <w14:solidFill>
              <w14:schemeClr w14:val="tx1"/>
            </w14:solidFill>
          </w14:textFill>
        </w:rPr>
        <w:t>使用</w:t>
      </w:r>
      <w:r>
        <w:rPr>
          <w:rFonts w:hint="eastAsia" w:eastAsia="宋体" w:cs="Times New Roman"/>
          <w:bCs/>
          <w:color w:val="000000" w:themeColor="text1"/>
          <w:sz w:val="24"/>
          <w:highlight w:val="none"/>
          <w:lang w:val="en-US" w:eastAsia="zh-CN"/>
          <w14:textFill>
            <w14:solidFill>
              <w14:schemeClr w14:val="tx1"/>
            </w14:solidFill>
          </w14:textFill>
        </w:rPr>
        <w:t>总</w:t>
      </w:r>
      <w:r>
        <w:rPr>
          <w:rFonts w:hint="default" w:ascii="Times New Roman" w:hAnsi="Times New Roman" w:eastAsia="宋体" w:cs="Times New Roman"/>
          <w:bCs/>
          <w:color w:val="000000" w:themeColor="text1"/>
          <w:sz w:val="24"/>
          <w:highlight w:val="none"/>
          <w14:textFill>
            <w14:solidFill>
              <w14:schemeClr w14:val="tx1"/>
            </w14:solidFill>
          </w14:textFill>
        </w:rPr>
        <w:t>量为</w:t>
      </w:r>
      <w:r>
        <w:rPr>
          <w:rFonts w:hint="eastAsia" w:ascii="Times New Roman" w:hAnsi="Times New Roman" w:eastAsia="宋体" w:cs="Times New Roman"/>
          <w:bCs/>
          <w:color w:val="auto"/>
          <w:kern w:val="0"/>
          <w:sz w:val="24"/>
          <w:highlight w:val="none"/>
          <w:lang w:val="en-US" w:eastAsia="zh-CN"/>
        </w:rPr>
        <w:t>771.43万</w:t>
      </w:r>
      <w:r>
        <w:rPr>
          <w:rFonts w:hint="eastAsia" w:ascii="Times New Roman" w:hAnsi="Times New Roman" w:eastAsia="宋体" w:cs="Times New Roman"/>
          <w:bCs/>
          <w:color w:val="000000" w:themeColor="text1"/>
          <w:sz w:val="24"/>
          <w:highlight w:val="none"/>
          <w:lang w:val="en-US" w:eastAsia="zh-CN"/>
          <w14:textFill>
            <w14:solidFill>
              <w14:schemeClr w14:val="tx1"/>
            </w14:solidFill>
          </w14:textFill>
        </w:rPr>
        <w:t>m</w:t>
      </w:r>
      <w:r>
        <w:rPr>
          <w:rFonts w:hint="eastAsia" w:ascii="Times New Roman" w:hAnsi="Times New Roman" w:eastAsia="宋体" w:cs="Times New Roman"/>
          <w:bCs/>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Cs/>
          <w:color w:val="000000" w:themeColor="text1"/>
          <w:sz w:val="24"/>
          <w:highlight w:val="none"/>
          <w14:textFill>
            <w14:solidFill>
              <w14:schemeClr w14:val="tx1"/>
            </w14:solidFill>
          </w14:textFill>
        </w:rPr>
        <w:t>/a</w:t>
      </w:r>
      <w:r>
        <w:rPr>
          <w:rFonts w:hint="eastAsia" w:cs="Times New Roman"/>
          <w:bCs/>
          <w:color w:val="000000" w:themeColor="text1"/>
          <w:sz w:val="24"/>
          <w:highlight w:val="none"/>
          <w:lang w:eastAsia="zh-CN"/>
          <w14:textFill>
            <w14:solidFill>
              <w14:schemeClr w14:val="tx1"/>
            </w14:solidFill>
          </w14:textFill>
        </w:rPr>
        <w:t>。</w:t>
      </w:r>
    </w:p>
    <w:p w14:paraId="1F752B3D">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position w:val="-14"/>
          <w:sz w:val="24"/>
          <w:highlight w:val="none"/>
          <w14:textFill>
            <w14:solidFill>
              <w14:schemeClr w14:val="tx1"/>
            </w14:solidFill>
          </w14:textFill>
        </w:rPr>
        <w:object>
          <v:shape id="_x0000_i1049" o:spt="75" type="#_x0000_t75" style="height:19pt;width:15pt;" o:ole="t" filled="f" o:preferrelative="t" stroked="f" coordsize="21600,21600">
            <v:path/>
            <v:fill on="f" focussize="0,0"/>
            <v:stroke on="f"/>
            <v:imagedata r:id="rId85" o:title=""/>
            <o:lock v:ext="edit" aspectratio="t"/>
            <w10:wrap type="none"/>
            <w10:anchorlock/>
          </v:shape>
          <o:OLEObject Type="Embed" ProgID="Equation.KSEE3" ShapeID="_x0000_i1049" DrawAspect="Content" ObjectID="_1468075749" r:id="rId84">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--产污系数，kg/t或kg/万m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；本次参照环境部公告2021年第24号《关于发布&lt;排放源统计调查产排污核算方法和系数手册&gt;的公告》附具的《4411、4412火力发电热电联产行业系数手册》</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中天然气锅炉燃烧烟气颗粒物产污系数，</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103.90mg/m</w:t>
      </w:r>
      <w:r>
        <w:rPr>
          <w:rFonts w:hint="eastAsia"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3</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原料；</w:t>
      </w:r>
    </w:p>
    <w:p w14:paraId="2A70641F">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position w:val="-10"/>
          <w:sz w:val="24"/>
          <w:highlight w:val="none"/>
          <w14:textFill>
            <w14:solidFill>
              <w14:schemeClr w14:val="tx1"/>
            </w14:solidFill>
          </w14:textFill>
        </w:rPr>
        <w:object>
          <v:shape id="_x0000_i1050" o:spt="75" type="#_x0000_t75" style="height:13pt;width:10pt;" o:ole="t" filled="f" o:preferrelative="t" stroked="f" coordsize="21600,21600">
            <v:path/>
            <v:fill on="f" focussize="0,0"/>
            <v:stroke on="f"/>
            <v:imagedata r:id="rId87" o:title=""/>
            <o:lock v:ext="edit" aspectratio="t"/>
            <w10:wrap type="none"/>
            <w10:anchorlock/>
          </v:shape>
          <o:OLEObject Type="Embed" ProgID="Equation.KSEE3" ShapeID="_x0000_i1050" DrawAspect="Content" ObjectID="_1468075750" r:id="rId86">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--污染物脱除效率，%；本项目取0；</w:t>
      </w:r>
    </w:p>
    <w:p w14:paraId="649AAC5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经计算，颗粒物</w:t>
      </w:r>
      <w:r>
        <w:rPr>
          <w:rFonts w:hint="eastAsia" w:cs="Times New Roman"/>
          <w:color w:val="000000" w:themeColor="text1"/>
          <w:sz w:val="24"/>
          <w:highlight w:val="none"/>
          <w:lang w:val="en-US" w:eastAsia="zh-CN"/>
          <w14:textFill>
            <w14:solidFill>
              <w14:schemeClr w14:val="tx1"/>
            </w14:solidFill>
          </w14:textFill>
        </w:rPr>
        <w:t>最大小时</w:t>
      </w:r>
      <w:r>
        <w:rPr>
          <w:rFonts w:hint="default" w:ascii="Times New Roman" w:hAnsi="Times New Roman" w:eastAsia="宋体" w:cs="Times New Roman"/>
          <w:color w:val="000000" w:themeColor="text1"/>
          <w:sz w:val="24"/>
          <w:highlight w:val="none"/>
          <w14:textFill>
            <w14:solidFill>
              <w14:schemeClr w14:val="tx1"/>
            </w14:solidFill>
          </w14:textFill>
        </w:rPr>
        <w:t>产生量及排放量为</w:t>
      </w:r>
      <w:r>
        <w:rPr>
          <w:rFonts w:hint="eastAsia" w:cs="Times New Roman"/>
          <w:color w:val="000000" w:themeColor="text1"/>
          <w:sz w:val="24"/>
          <w:highlight w:val="none"/>
          <w:lang w:val="en-US" w:eastAsia="zh-CN"/>
          <w14:textFill>
            <w14:solidFill>
              <w14:schemeClr w14:val="tx1"/>
            </w14:solidFill>
          </w14:textFill>
        </w:rPr>
        <w:t>0.11</w:t>
      </w:r>
      <w:r>
        <w:rPr>
          <w:rFonts w:hint="default" w:ascii="Times New Roman" w:hAnsi="Times New Roman" w:eastAsia="宋体" w:cs="Times New Roman"/>
          <w:color w:val="000000" w:themeColor="text1"/>
          <w:sz w:val="24"/>
          <w:highlight w:val="none"/>
          <w14:textFill>
            <w14:solidFill>
              <w14:schemeClr w14:val="tx1"/>
            </w14:solidFill>
          </w14:textFill>
        </w:rPr>
        <w:t>kg/h</w:t>
      </w:r>
      <w:r>
        <w:rPr>
          <w:rFonts w:hint="eastAsia"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最大小时</w:t>
      </w:r>
      <w:r>
        <w:rPr>
          <w:rFonts w:hint="default" w:ascii="Times New Roman" w:hAnsi="Times New Roman" w:eastAsia="宋体" w:cs="Times New Roman"/>
          <w:color w:val="000000" w:themeColor="text1"/>
          <w:sz w:val="24"/>
          <w:highlight w:val="none"/>
          <w14:textFill>
            <w14:solidFill>
              <w14:schemeClr w14:val="tx1"/>
            </w14:solidFill>
          </w14:textFill>
        </w:rPr>
        <w:t>烟气量为</w:t>
      </w:r>
      <w:r>
        <w:rPr>
          <w:rFonts w:hint="eastAsia" w:cs="Times New Roman"/>
          <w:bCs/>
          <w:color w:val="auto"/>
          <w:kern w:val="0"/>
          <w:sz w:val="24"/>
          <w:highlight w:val="none"/>
          <w:lang w:val="en-US" w:eastAsia="zh-CN"/>
        </w:rPr>
        <w:t>11052.98</w:t>
      </w:r>
      <w:r>
        <w:rPr>
          <w:rFonts w:hint="default" w:ascii="Times New Roman" w:hAnsi="Times New Roman" w:eastAsia="宋体" w:cs="Times New Roman"/>
          <w:color w:val="000000" w:themeColor="text1"/>
          <w:sz w:val="24"/>
          <w:highlight w:val="none"/>
          <w14:textFill>
            <w14:solidFill>
              <w14:schemeClr w14:val="tx1"/>
            </w14:solidFill>
          </w14:textFill>
        </w:rPr>
        <w:t>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/h，计算锅炉烟气颗粒物</w:t>
      </w:r>
      <w:r>
        <w:rPr>
          <w:rFonts w:hint="eastAsia" w:cs="Times New Roman"/>
          <w:color w:val="000000" w:themeColor="text1"/>
          <w:sz w:val="24"/>
          <w:highlight w:val="none"/>
          <w:lang w:val="en-US" w:eastAsia="zh-CN"/>
          <w14:textFill>
            <w14:solidFill>
              <w14:schemeClr w14:val="tx1"/>
            </w14:solidFill>
          </w14:textFill>
        </w:rPr>
        <w:t>最大小时</w:t>
      </w:r>
      <w:r>
        <w:rPr>
          <w:rFonts w:hint="default" w:ascii="Times New Roman" w:hAnsi="Times New Roman" w:eastAsia="宋体" w:cs="Times New Roman"/>
          <w:color w:val="000000" w:themeColor="text1"/>
          <w:sz w:val="24"/>
          <w:highlight w:val="none"/>
          <w14:textFill>
            <w14:solidFill>
              <w14:schemeClr w14:val="tx1"/>
            </w14:solidFill>
          </w14:textFill>
        </w:rPr>
        <w:t>产生浓度及排放浓度为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9.95</w:t>
      </w:r>
      <w:r>
        <w:rPr>
          <w:rFonts w:hint="default" w:ascii="Times New Roman" w:hAnsi="Times New Roman" w:eastAsia="宋体" w:cs="Times New Roman"/>
          <w:color w:val="000000" w:themeColor="text1"/>
          <w:sz w:val="24"/>
          <w:highlight w:val="none"/>
          <w14:textFill>
            <w14:solidFill>
              <w14:schemeClr w14:val="tx1"/>
            </w14:solidFill>
          </w14:textFill>
        </w:rPr>
        <w:t>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。颗粒物</w:t>
      </w:r>
      <w:r>
        <w:rPr>
          <w:rFonts w:hint="eastAsia"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产生量及排放量为</w:t>
      </w:r>
      <w:r>
        <w:rPr>
          <w:rFonts w:hint="eastAsia" w:cs="Times New Roman"/>
          <w:color w:val="000000" w:themeColor="text1"/>
          <w:sz w:val="24"/>
          <w:highlight w:val="none"/>
          <w:lang w:val="en-US" w:eastAsia="zh-CN"/>
          <w14:textFill>
            <w14:solidFill>
              <w14:schemeClr w14:val="tx1"/>
            </w14:solidFill>
          </w14:textFill>
        </w:rPr>
        <w:t>0.8015t/a</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740A3B92">
      <w:pPr>
        <w:pStyle w:val="85"/>
        <w:keepNext w:val="0"/>
        <w:keepLines w:val="0"/>
        <w:pageBreakBefore w:val="0"/>
        <w:widowControl w:val="0"/>
        <w:kinsoku/>
        <w:wordWrap/>
        <w:overflowPunct/>
        <w:topLinePunct w:val="0"/>
        <w:autoSpaceDE/>
        <w:autoSpaceDN/>
        <w:bidi w:val="0"/>
        <w:spacing w:line="360" w:lineRule="auto"/>
        <w:textAlignment w:val="auto"/>
        <w:rPr>
          <w:color w:val="auto"/>
        </w:rPr>
      </w:pPr>
      <w:r>
        <w:rPr>
          <w:rFonts w:hint="eastAsia"/>
          <w:color w:val="auto"/>
        </w:rPr>
        <w:t>②二氧化硫排放量按下式计算：</w:t>
      </w:r>
    </w:p>
    <w:p w14:paraId="7B2901A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highlight w:val="none"/>
          <w14:textFill>
            <w14:solidFill>
              <w14:schemeClr w14:val="tx1"/>
            </w14:solidFill>
          </w14:textFill>
        </w:rPr>
        <w:t>根据</w:t>
      </w:r>
      <w:r>
        <w:rPr>
          <w:rFonts w:hint="default" w:ascii="Times New Roman" w:hAnsi="Times New Roman" w:eastAsia="宋体" w:cs="Times New Roman"/>
          <w:color w:val="000000" w:themeColor="text1"/>
          <w:sz w:val="24"/>
          <w:highlight w:val="none"/>
          <w14:textFill>
            <w14:solidFill>
              <w14:schemeClr w14:val="tx1"/>
            </w14:solidFill>
          </w14:textFill>
        </w:rPr>
        <w:t>《污染源源强核算技术指南 锅炉》（HJ991-2018），燃气锅炉污染物二氧化硫排放量采用物料衡算法核算，核算按下列公式进行计算。</w:t>
      </w:r>
    </w:p>
    <w:p w14:paraId="25E08E95">
      <w:pPr>
        <w:pStyle w:val="22"/>
        <w:keepNext w:val="0"/>
        <w:keepLines w:val="0"/>
        <w:pageBreakBefore w:val="0"/>
        <w:widowControl w:val="0"/>
        <w:kinsoku/>
        <w:wordWrap/>
        <w:overflowPunct/>
        <w:topLinePunct w:val="0"/>
        <w:autoSpaceDE/>
        <w:autoSpaceDN/>
        <w:bidi w:val="0"/>
        <w:spacing w:before="0" w:after="0" w:line="360" w:lineRule="auto"/>
        <w:ind w:right="0"/>
        <w:jc w:val="center"/>
        <w:textAlignment w:val="auto"/>
        <w:rPr>
          <w:rFonts w:hint="default" w:ascii="Times New Roman" w:hAnsi="Times New Roman" w:eastAsia="宋体" w:cs="Times New Roman"/>
          <w:color w:val="000000" w:themeColor="text1"/>
          <w:position w:val="-28"/>
          <w:sz w:val="24"/>
          <w:szCs w:val="24"/>
          <w:highlight w:val="none"/>
          <w14:textFill>
            <w14:solidFill>
              <w14:schemeClr w14:val="tx1"/>
            </w14:solidFill>
          </w14:textFill>
        </w:rPr>
      </w:pPr>
      <w:r>
        <w:rPr>
          <w:rFonts w:hint="default" w:ascii="Times New Roman" w:hAnsi="Times New Roman" w:eastAsia="宋体" w:cs="Times New Roman"/>
          <w:color w:val="000000" w:themeColor="text1"/>
          <w:position w:val="-28"/>
          <w:sz w:val="24"/>
          <w:szCs w:val="24"/>
          <w:highlight w:val="none"/>
          <w14:textFill>
            <w14:solidFill>
              <w14:schemeClr w14:val="tx1"/>
            </w14:solidFill>
          </w14:textFill>
        </w:rPr>
        <w:object>
          <v:shape id="_x0000_i1051" o:spt="75" type="#_x0000_t75" style="height:34pt;width:172pt;" o:ole="t" filled="f" o:preferrelative="t" stroked="f" coordsize="21600,21600">
            <v:path/>
            <v:fill on="f" focussize="0,0"/>
            <v:stroke on="f"/>
            <v:imagedata r:id="rId89" o:title=""/>
            <o:lock v:ext="edit" aspectratio="t"/>
            <w10:wrap type="none"/>
            <w10:anchorlock/>
          </v:shape>
          <o:OLEObject Type="Embed" ProgID="Equation.KSEE3" ShapeID="_x0000_i1051" DrawAspect="Content" ObjectID="_1468075751" r:id="rId88">
            <o:LockedField>false</o:LockedField>
          </o:OLEObject>
        </w:object>
      </w:r>
    </w:p>
    <w:p w14:paraId="53CEDC73">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式中：</w:t>
      </w:r>
      <w:r>
        <w:rPr>
          <w:rFonts w:hint="default" w:ascii="Times New Roman" w:hAnsi="Times New Roman" w:eastAsia="宋体" w:cs="Times New Roman"/>
          <w:color w:val="000000" w:themeColor="text1"/>
          <w:position w:val="-14"/>
          <w:sz w:val="24"/>
          <w:highlight w:val="none"/>
          <w14:textFill>
            <w14:solidFill>
              <w14:schemeClr w14:val="tx1"/>
            </w14:solidFill>
          </w14:textFill>
        </w:rPr>
        <w:object>
          <v:shape id="_x0000_i1052" o:spt="75" type="#_x0000_t75" style="height:19pt;width:24pt;" o:ole="t" filled="f" o:preferrelative="t" stroked="f" coordsize="21600,21600">
            <v:path/>
            <v:fill on="f" focussize="0,0"/>
            <v:stroke on="f"/>
            <v:imagedata r:id="rId91" o:title=""/>
            <o:lock v:ext="edit" aspectratio="t"/>
            <w10:wrap type="none"/>
            <w10:anchorlock/>
          </v:shape>
          <o:OLEObject Type="Embed" ProgID="Equation.KSEE3" ShapeID="_x0000_i1052" DrawAspect="Content" ObjectID="_1468075752" r:id="rId90">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--核算时段内二氧化硫排放量，t；</w:t>
      </w:r>
    </w:p>
    <w:p w14:paraId="18EEB0DC">
      <w:pPr>
        <w:keepNext w:val="0"/>
        <w:keepLines w:val="0"/>
        <w:pageBreakBefore w:val="0"/>
        <w:widowControl w:val="0"/>
        <w:kinsoku/>
        <w:wordWrap/>
        <w:overflowPunct/>
        <w:topLinePunct w:val="0"/>
        <w:autoSpaceDE/>
        <w:autoSpaceDN/>
        <w:bidi w:val="0"/>
        <w:snapToGrid w:val="0"/>
        <w:spacing w:line="360" w:lineRule="auto"/>
        <w:textAlignment w:val="auto"/>
        <w:rPr>
          <w:rFonts w:hint="eastAsia"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R--核算时段内锅炉燃料耗量，万m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本项目</w:t>
      </w:r>
      <w:r>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t>小时燃料最大消耗量为</w:t>
      </w:r>
      <w:r>
        <w:rPr>
          <w:rFonts w:hint="eastAsia" w:cs="Times New Roman"/>
          <w:bCs/>
          <w:color w:val="auto"/>
          <w:kern w:val="0"/>
          <w:sz w:val="24"/>
          <w:highlight w:val="none"/>
          <w:lang w:val="en-US" w:eastAsia="zh-CN"/>
        </w:rPr>
        <w:t>1071.43</w:t>
      </w:r>
      <w:r>
        <w:rPr>
          <w:rFonts w:hint="eastAsia" w:ascii="Times New Roman" w:hAnsi="Times New Roman" w:eastAsia="宋体" w:cs="Times New Roman"/>
          <w:bCs/>
          <w:color w:val="000000" w:themeColor="text1"/>
          <w:sz w:val="24"/>
          <w:highlight w:val="none"/>
          <w:lang w:val="en-US" w:eastAsia="zh-CN"/>
          <w14:textFill>
            <w14:solidFill>
              <w14:schemeClr w14:val="tx1"/>
            </w14:solidFill>
          </w14:textFill>
        </w:rPr>
        <w:t>m</w:t>
      </w:r>
      <w:r>
        <w:rPr>
          <w:rFonts w:hint="eastAsia" w:ascii="Times New Roman" w:hAnsi="Times New Roman" w:eastAsia="宋体" w:cs="Times New Roman"/>
          <w:bCs/>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Cs/>
          <w:color w:val="000000" w:themeColor="text1"/>
          <w:sz w:val="24"/>
          <w:highlight w:val="none"/>
          <w14:textFill>
            <w14:solidFill>
              <w14:schemeClr w14:val="tx1"/>
            </w14:solidFill>
          </w14:textFill>
        </w:rPr>
        <w:t>/</w:t>
      </w:r>
      <w:r>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t>h</w:t>
      </w:r>
      <w:r>
        <w:rPr>
          <w:rFonts w:hint="eastAsia" w:cs="Times New Roman"/>
          <w:bCs/>
          <w:color w:val="000000" w:themeColor="text1"/>
          <w:sz w:val="24"/>
          <w:highlight w:val="none"/>
          <w:lang w:val="en-US" w:eastAsia="zh-CN"/>
          <w14:textFill>
            <w14:solidFill>
              <w14:schemeClr w14:val="tx1"/>
            </w14:solidFill>
          </w14:textFill>
        </w:rPr>
        <w:t>，</w:t>
      </w:r>
      <w:r>
        <w:rPr>
          <w:rFonts w:hint="eastAsia" w:ascii="Times New Roman" w:hAnsi="Times New Roman" w:eastAsia="宋体" w:cs="Times New Roman"/>
          <w:bCs/>
          <w:color w:val="000000" w:themeColor="text1"/>
          <w:sz w:val="24"/>
          <w:highlight w:val="none"/>
          <w:lang w:val="en-US" w:eastAsia="zh-CN"/>
          <w14:textFill>
            <w14:solidFill>
              <w14:schemeClr w14:val="tx1"/>
            </w14:solidFill>
          </w14:textFill>
        </w:rPr>
        <w:t>天然气</w:t>
      </w:r>
      <w:r>
        <w:rPr>
          <w:rFonts w:hint="default" w:ascii="Times New Roman" w:hAnsi="Times New Roman" w:eastAsia="宋体" w:cs="Times New Roman"/>
          <w:bCs/>
          <w:color w:val="000000" w:themeColor="text1"/>
          <w:sz w:val="24"/>
          <w:highlight w:val="none"/>
          <w:lang w:val="en-US" w:eastAsia="zh-CN"/>
          <w14:textFill>
            <w14:solidFill>
              <w14:schemeClr w14:val="tx1"/>
            </w14:solidFill>
          </w14:textFill>
        </w:rPr>
        <w:t>燃料</w:t>
      </w:r>
      <w:r>
        <w:rPr>
          <w:rFonts w:hint="default" w:ascii="Times New Roman" w:hAnsi="Times New Roman" w:eastAsia="宋体" w:cs="Times New Roman"/>
          <w:bCs/>
          <w:color w:val="000000" w:themeColor="text1"/>
          <w:sz w:val="24"/>
          <w:highlight w:val="none"/>
          <w14:textFill>
            <w14:solidFill>
              <w14:schemeClr w14:val="tx1"/>
            </w14:solidFill>
          </w14:textFill>
        </w:rPr>
        <w:t>使用</w:t>
      </w:r>
      <w:r>
        <w:rPr>
          <w:rFonts w:hint="eastAsia" w:eastAsia="宋体" w:cs="Times New Roman"/>
          <w:bCs/>
          <w:color w:val="000000" w:themeColor="text1"/>
          <w:sz w:val="24"/>
          <w:highlight w:val="none"/>
          <w:lang w:val="en-US" w:eastAsia="zh-CN"/>
          <w14:textFill>
            <w14:solidFill>
              <w14:schemeClr w14:val="tx1"/>
            </w14:solidFill>
          </w14:textFill>
        </w:rPr>
        <w:t>总</w:t>
      </w:r>
      <w:r>
        <w:rPr>
          <w:rFonts w:hint="default" w:ascii="Times New Roman" w:hAnsi="Times New Roman" w:eastAsia="宋体" w:cs="Times New Roman"/>
          <w:bCs/>
          <w:color w:val="000000" w:themeColor="text1"/>
          <w:sz w:val="24"/>
          <w:highlight w:val="none"/>
          <w14:textFill>
            <w14:solidFill>
              <w14:schemeClr w14:val="tx1"/>
            </w14:solidFill>
          </w14:textFill>
        </w:rPr>
        <w:t>量为</w:t>
      </w:r>
      <w:r>
        <w:rPr>
          <w:rFonts w:hint="eastAsia" w:ascii="Times New Roman" w:hAnsi="Times New Roman" w:eastAsia="宋体" w:cs="Times New Roman"/>
          <w:bCs/>
          <w:color w:val="auto"/>
          <w:kern w:val="0"/>
          <w:sz w:val="24"/>
          <w:highlight w:val="none"/>
          <w:lang w:val="en-US" w:eastAsia="zh-CN"/>
        </w:rPr>
        <w:t>771.43万</w:t>
      </w:r>
      <w:r>
        <w:rPr>
          <w:rFonts w:hint="eastAsia" w:ascii="Times New Roman" w:hAnsi="Times New Roman" w:eastAsia="宋体" w:cs="Times New Roman"/>
          <w:bCs/>
          <w:color w:val="000000" w:themeColor="text1"/>
          <w:sz w:val="24"/>
          <w:highlight w:val="none"/>
          <w:lang w:val="en-US" w:eastAsia="zh-CN"/>
          <w14:textFill>
            <w14:solidFill>
              <w14:schemeClr w14:val="tx1"/>
            </w14:solidFill>
          </w14:textFill>
        </w:rPr>
        <w:t>m</w:t>
      </w:r>
      <w:r>
        <w:rPr>
          <w:rFonts w:hint="eastAsia" w:ascii="Times New Roman" w:hAnsi="Times New Roman" w:eastAsia="宋体" w:cs="Times New Roman"/>
          <w:bCs/>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bCs/>
          <w:color w:val="000000" w:themeColor="text1"/>
          <w:sz w:val="24"/>
          <w:highlight w:val="none"/>
          <w14:textFill>
            <w14:solidFill>
              <w14:schemeClr w14:val="tx1"/>
            </w14:solidFill>
          </w14:textFill>
        </w:rPr>
        <w:t>/a</w:t>
      </w:r>
      <w:r>
        <w:rPr>
          <w:rFonts w:hint="eastAsia" w:cs="Times New Roman"/>
          <w:bCs/>
          <w:color w:val="000000" w:themeColor="text1"/>
          <w:sz w:val="24"/>
          <w:highlight w:val="none"/>
          <w:lang w:eastAsia="zh-CN"/>
          <w14:textFill>
            <w14:solidFill>
              <w14:schemeClr w14:val="tx1"/>
            </w14:solidFill>
          </w14:textFill>
        </w:rPr>
        <w:t>。</w:t>
      </w:r>
    </w:p>
    <w:p w14:paraId="5DCFB382">
      <w:pPr>
        <w:snapToGrid w:val="0"/>
        <w:spacing w:line="360" w:lineRule="auto"/>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position w:val="-12"/>
          <w:sz w:val="24"/>
          <w:highlight w:val="none"/>
          <w14:textFill>
            <w14:solidFill>
              <w14:schemeClr w14:val="tx1"/>
            </w14:solidFill>
          </w14:textFill>
        </w:rPr>
        <w:object>
          <v:shape id="_x0000_i1053" o:spt="75" type="#_x0000_t75" style="height:18pt;width:13pt;" o:ole="t" filled="f" o:preferrelative="t" stroked="f" coordsize="21600,21600">
            <v:path/>
            <v:fill on="f" focussize="0,0"/>
            <v:stroke on="f"/>
            <v:imagedata r:id="rId93" o:title=""/>
            <o:lock v:ext="edit" aspectratio="t"/>
            <w10:wrap type="none"/>
            <w10:anchorlock/>
          </v:shape>
          <o:OLEObject Type="Embed" ProgID="Equation.KSEE3" ShapeID="_x0000_i1053" DrawAspect="Content" ObjectID="_1468075753" r:id="rId92">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--燃料总硫的质量浓度，mg/m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default" w:ascii="Times New Roman" w:hAnsi="Times New Roman" w:eastAsia="宋体" w:cs="Times New Roman"/>
          <w:color w:val="auto"/>
          <w:sz w:val="24"/>
          <w:highlight w:val="none"/>
        </w:rPr>
        <w:t>本次</w:t>
      </w:r>
      <w:r>
        <w:rPr>
          <w:rFonts w:hint="default" w:ascii="Times New Roman" w:hAnsi="Times New Roman" w:eastAsia="宋体" w:cs="Times New Roman"/>
          <w:bCs/>
          <w:color w:val="auto"/>
          <w:sz w:val="24"/>
          <w:highlight w:val="none"/>
        </w:rPr>
        <w:t>根据燃料分析报告中</w:t>
      </w:r>
      <w:r>
        <w:rPr>
          <w:rFonts w:hint="default" w:ascii="Times New Roman" w:hAnsi="Times New Roman" w:eastAsia="宋体" w:cs="Times New Roman"/>
          <w:bCs/>
          <w:color w:val="auto"/>
          <w:spacing w:val="17"/>
          <w:sz w:val="24"/>
          <w:highlight w:val="none"/>
        </w:rPr>
        <w:t>总硫量（以硫计）检测结果，S为1</w:t>
      </w:r>
      <w:r>
        <w:rPr>
          <w:rFonts w:hint="eastAsia" w:cs="Times New Roman"/>
          <w:bCs/>
          <w:color w:val="auto"/>
          <w:spacing w:val="17"/>
          <w:sz w:val="24"/>
          <w:highlight w:val="none"/>
          <w:lang w:val="en-US" w:eastAsia="zh-CN"/>
        </w:rPr>
        <w:t>.0</w:t>
      </w:r>
      <w:r>
        <w:rPr>
          <w:rFonts w:hint="default" w:ascii="Times New Roman" w:hAnsi="Times New Roman" w:eastAsia="宋体" w:cs="Times New Roman"/>
          <w:bCs/>
          <w:color w:val="auto"/>
          <w:spacing w:val="17"/>
          <w:sz w:val="24"/>
          <w:highlight w:val="none"/>
        </w:rPr>
        <w:t>mg/m</w:t>
      </w:r>
      <w:r>
        <w:rPr>
          <w:rFonts w:hint="default" w:ascii="Times New Roman" w:hAnsi="Times New Roman" w:eastAsia="宋体" w:cs="Times New Roman"/>
          <w:bCs/>
          <w:color w:val="auto"/>
          <w:spacing w:val="17"/>
          <w:sz w:val="24"/>
          <w:highlight w:val="none"/>
          <w:vertAlign w:val="superscript"/>
        </w:rPr>
        <w:t>3</w:t>
      </w:r>
      <w:r>
        <w:rPr>
          <w:rFonts w:hint="default" w:ascii="Times New Roman" w:hAnsi="Times New Roman" w:eastAsia="宋体" w:cs="Times New Roman"/>
          <w:bCs/>
          <w:color w:val="auto"/>
          <w:spacing w:val="17"/>
          <w:sz w:val="24"/>
          <w:highlight w:val="none"/>
        </w:rPr>
        <w:t>。</w:t>
      </w:r>
      <w:r>
        <w:rPr>
          <w:rFonts w:hint="eastAsia" w:cs="Times New Roman"/>
          <w:color w:val="000000" w:themeColor="text1"/>
          <w:sz w:val="24"/>
          <w:highlight w:val="none"/>
          <w:lang w:val="en-US" w:eastAsia="zh-CN"/>
          <w14:textFill>
            <w14:solidFill>
              <w14:schemeClr w14:val="tx1"/>
            </w14:solidFill>
          </w14:textFill>
        </w:rPr>
        <w:t xml:space="preserve"> </w:t>
      </w:r>
    </w:p>
    <w:p w14:paraId="145ECE59">
      <w:pPr>
        <w:snapToGrid w:val="0"/>
        <w:spacing w:line="360" w:lineRule="auto"/>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position w:val="-14"/>
          <w:sz w:val="24"/>
          <w:highlight w:val="none"/>
          <w14:textFill>
            <w14:solidFill>
              <w14:schemeClr w14:val="tx1"/>
            </w14:solidFill>
          </w14:textFill>
        </w:rPr>
        <w:object>
          <v:shape id="_x0000_i1054" o:spt="75" type="#_x0000_t75" style="height:19pt;width:22pt;" o:ole="t" filled="f" o:preferrelative="t" stroked="f" coordsize="21600,21600">
            <v:path/>
            <v:fill on="f" focussize="0,0"/>
            <v:stroke on="f"/>
            <v:imagedata r:id="rId95" o:title=""/>
            <o:lock v:ext="edit" aspectratio="t"/>
            <w10:wrap type="none"/>
            <w10:anchorlock/>
          </v:shape>
          <o:OLEObject Type="Embed" ProgID="Equation.KSEE3" ShapeID="_x0000_i1054" DrawAspect="Content" ObjectID="_1468075754" r:id="rId94">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--脱硫效率，%，本次取0；</w:t>
      </w:r>
    </w:p>
    <w:p w14:paraId="624DB64C">
      <w:pPr>
        <w:snapToGrid w:val="0"/>
        <w:spacing w:line="360" w:lineRule="auto"/>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K--燃料中的硫燃烧后氧化成二氧化硫的份额，量纲一的量，本次取1。</w:t>
      </w:r>
    </w:p>
    <w:p w14:paraId="6FA88CE9">
      <w:pPr>
        <w:pStyle w:val="85"/>
        <w:rPr>
          <w:color w:val="FF0000"/>
        </w:rPr>
      </w:pPr>
      <w:r>
        <w:rPr>
          <w:rFonts w:hint="default" w:ascii="Times New Roman" w:hAnsi="Times New Roman" w:eastAsia="宋体" w:cs="Times New Roman"/>
          <w:color w:val="000000" w:themeColor="text1"/>
          <w:sz w:val="24"/>
          <w:highlight w:val="none"/>
          <w14:textFill>
            <w14:solidFill>
              <w14:schemeClr w14:val="tx1"/>
            </w14:solidFill>
          </w14:textFill>
        </w:rPr>
        <w:t>经计算，本项目锅炉二氧化硫</w:t>
      </w:r>
      <w:r>
        <w:rPr>
          <w:rFonts w:hint="eastAsia" w:cs="Times New Roman"/>
          <w:color w:val="000000" w:themeColor="text1"/>
          <w:sz w:val="24"/>
          <w:highlight w:val="none"/>
          <w:lang w:val="en-US" w:eastAsia="zh-CN"/>
          <w14:textFill>
            <w14:solidFill>
              <w14:schemeClr w14:val="tx1"/>
            </w14:solidFill>
          </w14:textFill>
        </w:rPr>
        <w:t>最大小时</w:t>
      </w:r>
      <w:r>
        <w:rPr>
          <w:rFonts w:hint="default" w:ascii="Times New Roman" w:hAnsi="Times New Roman" w:eastAsia="宋体" w:cs="Times New Roman"/>
          <w:color w:val="000000" w:themeColor="text1"/>
          <w:sz w:val="24"/>
          <w:highlight w:val="none"/>
          <w14:textFill>
            <w14:solidFill>
              <w14:schemeClr w14:val="tx1"/>
            </w14:solidFill>
          </w14:textFill>
        </w:rPr>
        <w:t>产生量及排放量为</w:t>
      </w:r>
      <w:r>
        <w:rPr>
          <w:rFonts w:hint="eastAsia" w:cs="Times New Roman"/>
          <w:color w:val="000000" w:themeColor="text1"/>
          <w:sz w:val="24"/>
          <w:highlight w:val="none"/>
          <w:lang w:val="en-US" w:eastAsia="zh-CN"/>
          <w14:textFill>
            <w14:solidFill>
              <w14:schemeClr w14:val="tx1"/>
            </w14:solidFill>
          </w14:textFill>
        </w:rPr>
        <w:t>0.214</w:t>
      </w:r>
      <w:r>
        <w:rPr>
          <w:rFonts w:hint="default" w:ascii="Times New Roman" w:hAnsi="Times New Roman" w:eastAsia="宋体" w:cs="Times New Roman"/>
          <w:color w:val="000000" w:themeColor="text1"/>
          <w:sz w:val="24"/>
          <w:highlight w:val="none"/>
          <w14:textFill>
            <w14:solidFill>
              <w14:schemeClr w14:val="tx1"/>
            </w14:solidFill>
          </w14:textFill>
        </w:rPr>
        <w:t>kg/h</w:t>
      </w:r>
      <w:r>
        <w:rPr>
          <w:rFonts w:hint="eastAsia"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最大小时</w:t>
      </w:r>
      <w:r>
        <w:rPr>
          <w:rFonts w:hint="default" w:ascii="Times New Roman" w:hAnsi="Times New Roman" w:eastAsia="宋体" w:cs="Times New Roman"/>
          <w:color w:val="000000" w:themeColor="text1"/>
          <w:sz w:val="24"/>
          <w:highlight w:val="none"/>
          <w14:textFill>
            <w14:solidFill>
              <w14:schemeClr w14:val="tx1"/>
            </w14:solidFill>
          </w14:textFill>
        </w:rPr>
        <w:t>烟气量为</w:t>
      </w:r>
      <w:r>
        <w:rPr>
          <w:rFonts w:hint="eastAsia" w:cs="Times New Roman"/>
          <w:bCs/>
          <w:color w:val="auto"/>
          <w:kern w:val="0"/>
          <w:sz w:val="24"/>
          <w:highlight w:val="none"/>
          <w:lang w:val="en-US" w:eastAsia="zh-CN"/>
        </w:rPr>
        <w:t>11052.98</w:t>
      </w:r>
      <w:r>
        <w:rPr>
          <w:rFonts w:hint="default" w:ascii="Times New Roman" w:hAnsi="Times New Roman" w:eastAsia="宋体" w:cs="Times New Roman"/>
          <w:color w:val="000000" w:themeColor="text1"/>
          <w:sz w:val="24"/>
          <w:highlight w:val="none"/>
          <w14:textFill>
            <w14:solidFill>
              <w14:schemeClr w14:val="tx1"/>
            </w14:solidFill>
          </w14:textFill>
        </w:rPr>
        <w:t>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/h，计算锅炉烟气二氧化硫</w:t>
      </w:r>
      <w:r>
        <w:rPr>
          <w:rFonts w:hint="eastAsia" w:cs="Times New Roman"/>
          <w:color w:val="000000" w:themeColor="text1"/>
          <w:sz w:val="24"/>
          <w:highlight w:val="none"/>
          <w:lang w:val="en-US" w:eastAsia="zh-CN"/>
          <w14:textFill>
            <w14:solidFill>
              <w14:schemeClr w14:val="tx1"/>
            </w14:solidFill>
          </w14:textFill>
        </w:rPr>
        <w:t>最大小时</w:t>
      </w:r>
      <w:r>
        <w:rPr>
          <w:rFonts w:hint="default" w:ascii="Times New Roman" w:hAnsi="Times New Roman" w:eastAsia="宋体" w:cs="Times New Roman"/>
          <w:color w:val="000000" w:themeColor="text1"/>
          <w:sz w:val="24"/>
          <w:highlight w:val="none"/>
          <w14:textFill>
            <w14:solidFill>
              <w14:schemeClr w14:val="tx1"/>
            </w14:solidFill>
          </w14:textFill>
        </w:rPr>
        <w:t>产生浓度及排放浓度为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19.36</w:t>
      </w:r>
      <w:r>
        <w:rPr>
          <w:rFonts w:hint="default" w:ascii="Times New Roman" w:hAnsi="Times New Roman" w:eastAsia="宋体" w:cs="Times New Roman"/>
          <w:color w:val="000000" w:themeColor="text1"/>
          <w:sz w:val="24"/>
          <w:highlight w:val="none"/>
          <w14:textFill>
            <w14:solidFill>
              <w14:schemeClr w14:val="tx1"/>
            </w14:solidFill>
          </w14:textFill>
        </w:rPr>
        <w:t>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。二氧化硫</w:t>
      </w:r>
      <w:r>
        <w:rPr>
          <w:rFonts w:hint="eastAsia"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产生量及排放量为</w:t>
      </w:r>
      <w:r>
        <w:rPr>
          <w:rFonts w:hint="eastAsia" w:cs="Times New Roman"/>
          <w:color w:val="000000" w:themeColor="text1"/>
          <w:sz w:val="24"/>
          <w:highlight w:val="none"/>
          <w:lang w:val="en-US" w:eastAsia="zh-CN"/>
          <w14:textFill>
            <w14:solidFill>
              <w14:schemeClr w14:val="tx1"/>
            </w14:solidFill>
          </w14:textFill>
        </w:rPr>
        <w:t>1.54t/a</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7AC5C742">
      <w:pPr>
        <w:pStyle w:val="85"/>
        <w:rPr>
          <w:color w:val="auto"/>
        </w:rPr>
      </w:pPr>
      <w:r>
        <w:rPr>
          <w:rFonts w:hint="eastAsia"/>
          <w:color w:val="auto"/>
        </w:rPr>
        <w:t>③氮氧化物</w:t>
      </w:r>
    </w:p>
    <w:p w14:paraId="089B3C67">
      <w:pPr>
        <w:snapToGrid w:val="0"/>
        <w:spacing w:line="360" w:lineRule="auto"/>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highlight w:val="none"/>
          <w14:textFill>
            <w14:solidFill>
              <w14:schemeClr w14:val="tx1"/>
            </w14:solidFill>
          </w14:textFill>
        </w:rPr>
        <w:t>根据</w:t>
      </w:r>
      <w:r>
        <w:rPr>
          <w:rFonts w:hint="default" w:ascii="Times New Roman" w:hAnsi="Times New Roman" w:eastAsia="宋体" w:cs="Times New Roman"/>
          <w:color w:val="000000" w:themeColor="text1"/>
          <w:sz w:val="24"/>
          <w:highlight w:val="none"/>
          <w14:textFill>
            <w14:solidFill>
              <w14:schemeClr w14:val="tx1"/>
            </w14:solidFill>
          </w14:textFill>
        </w:rPr>
        <w:t>《污染源源强核算技术指南 锅炉》（HJ991-2018），燃气锅炉污染物氮氧化物</w:t>
      </w:r>
      <w:r>
        <w:rPr>
          <w:rFonts w:hint="default" w:ascii="Times New Roman" w:hAnsi="Times New Roman" w:eastAsia="宋体" w:cs="Times New Roman"/>
          <w:bCs/>
          <w:color w:val="000000" w:themeColor="text1"/>
          <w:kern w:val="0"/>
          <w:sz w:val="24"/>
          <w:highlight w:val="none"/>
          <w14:textFill>
            <w14:solidFill>
              <w14:schemeClr w14:val="tx1"/>
            </w14:solidFill>
          </w14:textFill>
        </w:rPr>
        <w:t>排放量采用“</w:t>
      </w:r>
      <w:r>
        <w:rPr>
          <w:rFonts w:hint="default" w:ascii="Times New Roman" w:hAnsi="Times New Roman" w:eastAsia="宋体" w:cs="Times New Roman"/>
          <w:color w:val="000000" w:themeColor="text1"/>
          <w:sz w:val="24"/>
          <w:highlight w:val="none"/>
          <w14:textFill>
            <w14:solidFill>
              <w14:schemeClr w14:val="tx1"/>
            </w14:solidFill>
          </w14:textFill>
        </w:rPr>
        <w:t>物料衡算法”进行核算，公式如下</w:t>
      </w:r>
    </w:p>
    <w:p w14:paraId="1FF5D780">
      <w:pPr>
        <w:snapToGrid w:val="0"/>
        <w:spacing w:line="360" w:lineRule="auto"/>
        <w:jc w:val="center"/>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position w:val="-32"/>
          <w:sz w:val="24"/>
          <w:highlight w:val="none"/>
          <w14:textFill>
            <w14:solidFill>
              <w14:schemeClr w14:val="tx1"/>
            </w14:solidFill>
          </w14:textFill>
        </w:rPr>
        <w:object>
          <v:shape id="_x0000_i1055" o:spt="75" type="#_x0000_t75" style="height:38pt;width:165pt;" o:ole="t" filled="f" o:preferrelative="t" stroked="f" coordsize="21600,21600">
            <v:path/>
            <v:fill on="f" focussize="0,0"/>
            <v:stroke on="f"/>
            <v:imagedata r:id="rId97" o:title=""/>
            <o:lock v:ext="edit" aspectratio="t"/>
            <w10:wrap type="none"/>
            <w10:anchorlock/>
          </v:shape>
          <o:OLEObject Type="Embed" ProgID="Equation.KSEE3" ShapeID="_x0000_i1055" DrawAspect="Content" ObjectID="_1468075755" r:id="rId96">
            <o:LockedField>false</o:LockedField>
          </o:OLEObject>
        </w:object>
      </w:r>
    </w:p>
    <w:p w14:paraId="00A3F97F">
      <w:pPr>
        <w:snapToGrid w:val="0"/>
        <w:spacing w:line="360" w:lineRule="auto"/>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式中：</w:t>
      </w:r>
      <w:r>
        <w:rPr>
          <w:rFonts w:hint="default" w:ascii="Times New Roman" w:hAnsi="Times New Roman" w:eastAsia="宋体" w:cs="Times New Roman"/>
          <w:color w:val="000000" w:themeColor="text1"/>
          <w:position w:val="-14"/>
          <w:sz w:val="24"/>
          <w:highlight w:val="none"/>
          <w14:textFill>
            <w14:solidFill>
              <w14:schemeClr w14:val="tx1"/>
            </w14:solidFill>
          </w14:textFill>
        </w:rPr>
        <w:object>
          <v:shape id="_x0000_i1056" o:spt="75" type="#_x0000_t75" style="height:19pt;width:27pt;" o:ole="t" filled="f" o:preferrelative="t" stroked="f" coordsize="21600,21600">
            <v:path/>
            <v:fill on="f" focussize="0,0"/>
            <v:stroke on="f"/>
            <v:imagedata r:id="rId99" o:title=""/>
            <o:lock v:ext="edit" aspectratio="t"/>
            <w10:wrap type="none"/>
            <w10:anchorlock/>
          </v:shape>
          <o:OLEObject Type="Embed" ProgID="Equation.KSEE3" ShapeID="_x0000_i1056" DrawAspect="Content" ObjectID="_1468075756" r:id="rId98">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--核算时段内氮氧化物排放量，t；</w:t>
      </w:r>
    </w:p>
    <w:p w14:paraId="61B9108D">
      <w:pPr>
        <w:snapToGrid w:val="0"/>
        <w:spacing w:line="360" w:lineRule="auto"/>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position w:val="-14"/>
          <w:sz w:val="24"/>
          <w:highlight w:val="none"/>
          <w14:textFill>
            <w14:solidFill>
              <w14:schemeClr w14:val="tx1"/>
            </w14:solidFill>
          </w14:textFill>
        </w:rPr>
        <w:object>
          <v:shape id="_x0000_i1057" o:spt="75" type="#_x0000_t75" style="height:19pt;width:27pt;" o:ole="t" filled="f" o:preferrelative="t" stroked="f" coordsize="21600,21600">
            <v:path/>
            <v:fill on="f" focussize="0,0"/>
            <v:stroke on="f"/>
            <v:imagedata r:id="rId101" o:title=""/>
            <o:lock v:ext="edit" aspectratio="t"/>
            <w10:wrap type="none"/>
            <w10:anchorlock/>
          </v:shape>
          <o:OLEObject Type="Embed" ProgID="Equation.KSEE3" ShapeID="_x0000_i1057" DrawAspect="Content" ObjectID="_1468075757" r:id="rId100">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--锅炉炉膛出口氮氧化物质量浓度，mg/m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default" w:ascii="Times New Roman" w:hAnsi="Times New Roman" w:cs="Times New Roman"/>
          <w:color w:val="000000" w:themeColor="text1"/>
          <w:sz w:val="24"/>
          <w14:textFill>
            <w14:solidFill>
              <w14:schemeClr w14:val="tx1"/>
            </w14:solidFill>
          </w14:textFill>
        </w:rPr>
        <w:t>（依据《污染源源强核算技术指南 锅炉》附录B4，生物质炉膛出口氮氧化物质量浓度范围100-600 mg/m</w:t>
      </w:r>
      <w:r>
        <w:rPr>
          <w:rFonts w:hint="default" w:ascii="Times New Roman" w:hAnsi="Times New Roman" w:cs="Times New Roman"/>
          <w:color w:val="000000" w:themeColor="text1"/>
          <w:sz w:val="24"/>
          <w:vertAlign w:val="superscript"/>
          <w14:textFill>
            <w14:solidFill>
              <w14:schemeClr w14:val="tx1"/>
            </w14:solidFill>
          </w14:textFill>
        </w:rPr>
        <w:t>3</w:t>
      </w:r>
      <w:r>
        <w:rPr>
          <w:rFonts w:hint="default" w:ascii="Times New Roman" w:hAnsi="Times New Roman" w:cs="Times New Roman"/>
          <w:color w:val="000000" w:themeColor="text1"/>
          <w:sz w:val="24"/>
          <w14:textFill>
            <w14:solidFill>
              <w14:schemeClr w14:val="tx1"/>
            </w14:solidFill>
          </w14:textFill>
        </w:rPr>
        <w:t>，本环评取</w:t>
      </w:r>
      <w:r>
        <w:rPr>
          <w:rFonts w:hint="default" w:ascii="Times New Roman" w:hAnsi="Times New Roman" w:cs="Times New Roman"/>
          <w:color w:val="000000" w:themeColor="text1"/>
          <w:sz w:val="24"/>
          <w:lang w:val="en-US" w:eastAsia="zh-CN"/>
          <w14:textFill>
            <w14:solidFill>
              <w14:schemeClr w14:val="tx1"/>
            </w14:solidFill>
          </w14:textFill>
        </w:rPr>
        <w:t>1</w:t>
      </w:r>
      <w:r>
        <w:rPr>
          <w:rFonts w:hint="default" w:ascii="Times New Roman" w:hAnsi="Times New Roman" w:cs="Times New Roman"/>
          <w:color w:val="000000" w:themeColor="text1"/>
          <w:sz w:val="24"/>
          <w14:textFill>
            <w14:solidFill>
              <w14:schemeClr w14:val="tx1"/>
            </w14:solidFill>
          </w14:textFill>
        </w:rPr>
        <w:t>60 mg/m</w:t>
      </w:r>
      <w:r>
        <w:rPr>
          <w:rFonts w:hint="default" w:ascii="Times New Roman" w:hAnsi="Times New Roman" w:cs="Times New Roman"/>
          <w:color w:val="000000" w:themeColor="text1"/>
          <w:sz w:val="24"/>
          <w:vertAlign w:val="superscript"/>
          <w14:textFill>
            <w14:solidFill>
              <w14:schemeClr w14:val="tx1"/>
            </w14:solidFill>
          </w14:textFill>
        </w:rPr>
        <w:t>3</w:t>
      </w:r>
      <w:r>
        <w:rPr>
          <w:rFonts w:hint="default" w:ascii="Times New Roman" w:hAnsi="Times New Roman" w:cs="Times New Roman"/>
          <w:color w:val="000000" w:themeColor="text1"/>
          <w:sz w:val="24"/>
          <w14:textFill>
            <w14:solidFill>
              <w14:schemeClr w14:val="tx1"/>
            </w14:solidFill>
          </w14:textFill>
        </w:rPr>
        <w:t>）</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本环评</w:t>
      </w:r>
      <w:r>
        <w:rPr>
          <w:rFonts w:hint="default" w:ascii="Times New Roman" w:hAnsi="Times New Roman" w:eastAsia="宋体" w:cs="Times New Roman"/>
          <w:color w:val="000000" w:themeColor="text1"/>
          <w:sz w:val="24"/>
          <w:highlight w:val="none"/>
          <w14:textFill>
            <w14:solidFill>
              <w14:schemeClr w14:val="tx1"/>
            </w14:solidFill>
          </w14:textFill>
        </w:rPr>
        <w:t>取</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180</w:t>
      </w:r>
      <w:r>
        <w:rPr>
          <w:rFonts w:hint="default" w:ascii="Times New Roman" w:hAnsi="Times New Roman" w:eastAsia="宋体" w:cs="Times New Roman"/>
          <w:color w:val="000000" w:themeColor="text1"/>
          <w:sz w:val="24"/>
          <w:highlight w:val="none"/>
          <w14:textFill>
            <w14:solidFill>
              <w14:schemeClr w14:val="tx1"/>
            </w14:solidFill>
          </w14:textFill>
        </w:rPr>
        <w:t>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721208E7">
      <w:pPr>
        <w:snapToGrid w:val="0"/>
        <w:spacing w:line="360" w:lineRule="auto"/>
        <w:ind w:firstLine="480" w:firstLineChars="200"/>
        <w:rPr>
          <w:rFonts w:hint="eastAsia" w:ascii="Times New Roman" w:hAnsi="Times New Roman" w:eastAsia="宋体" w:cs="Times New Roman"/>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Q--核算时段内标态干烟气排放量，m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最大小时</w:t>
      </w:r>
      <w:r>
        <w:rPr>
          <w:rFonts w:hint="default" w:ascii="Times New Roman" w:hAnsi="Times New Roman" w:eastAsia="宋体" w:cs="Times New Roman"/>
          <w:color w:val="000000" w:themeColor="text1"/>
          <w:sz w:val="24"/>
          <w:highlight w:val="none"/>
          <w14:textFill>
            <w14:solidFill>
              <w14:schemeClr w14:val="tx1"/>
            </w14:solidFill>
          </w14:textFill>
        </w:rPr>
        <w:t>烟气量为</w:t>
      </w:r>
      <w:r>
        <w:rPr>
          <w:rFonts w:hint="eastAsia" w:cs="Times New Roman"/>
          <w:bCs/>
          <w:color w:val="auto"/>
          <w:kern w:val="0"/>
          <w:sz w:val="24"/>
          <w:highlight w:val="none"/>
          <w:lang w:val="en-US" w:eastAsia="zh-CN"/>
        </w:rPr>
        <w:t>11052.98</w:t>
      </w:r>
      <w:r>
        <w:rPr>
          <w:rFonts w:hint="default" w:ascii="Times New Roman" w:hAnsi="Times New Roman" w:eastAsia="宋体" w:cs="Times New Roman"/>
          <w:color w:val="000000" w:themeColor="text1"/>
          <w:sz w:val="24"/>
          <w:highlight w:val="none"/>
          <w14:textFill>
            <w14:solidFill>
              <w14:schemeClr w14:val="tx1"/>
            </w14:solidFill>
          </w14:textFill>
        </w:rPr>
        <w:t>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/h</w:t>
      </w:r>
      <w:r>
        <w:rPr>
          <w:rFonts w:hint="eastAsia"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bCs/>
          <w:color w:val="000000" w:themeColor="text1"/>
          <w:kern w:val="0"/>
          <w:sz w:val="24"/>
          <w:highlight w:val="none"/>
          <w:lang w:val="en-US" w:eastAsia="zh-CN"/>
          <w14:textFill>
            <w14:solidFill>
              <w14:schemeClr w14:val="tx1"/>
            </w14:solidFill>
          </w14:textFill>
        </w:rPr>
        <w:t>锅炉干烟气</w:t>
      </w:r>
      <w:r>
        <w:rPr>
          <w:rFonts w:hint="eastAsia" w:cs="Times New Roman"/>
          <w:bCs/>
          <w:color w:val="000000" w:themeColor="text1"/>
          <w:kern w:val="0"/>
          <w:sz w:val="24"/>
          <w:highlight w:val="none"/>
          <w:lang w:val="en-US" w:eastAsia="zh-CN"/>
          <w14:textFill>
            <w14:solidFill>
              <w14:schemeClr w14:val="tx1"/>
            </w14:solidFill>
          </w14:textFill>
        </w:rPr>
        <w:t>年排放量</w:t>
      </w:r>
      <w:r>
        <w:rPr>
          <w:rFonts w:hint="default" w:ascii="Times New Roman" w:hAnsi="Times New Roman" w:eastAsia="宋体" w:cs="Times New Roman"/>
          <w:bCs/>
          <w:color w:val="auto"/>
          <w:kern w:val="0"/>
          <w:sz w:val="24"/>
          <w:highlight w:val="none"/>
        </w:rPr>
        <w:t>79581490.23</w:t>
      </w:r>
      <w:r>
        <w:rPr>
          <w:rFonts w:hint="eastAsia" w:ascii="Times New Roman" w:hAnsi="Times New Roman" w:eastAsia="宋体" w:cs="Times New Roman"/>
          <w:bCs/>
          <w:color w:val="000000" w:themeColor="text1"/>
          <w:kern w:val="0"/>
          <w:sz w:val="24"/>
          <w:highlight w:val="none"/>
          <w:lang w:val="en-US" w:eastAsia="zh-CN"/>
          <w14:textFill>
            <w14:solidFill>
              <w14:schemeClr w14:val="tx1"/>
            </w14:solidFill>
          </w14:textFill>
        </w:rPr>
        <w:t>m</w:t>
      </w:r>
      <w:r>
        <w:rPr>
          <w:rFonts w:hint="eastAsia" w:ascii="Times New Roman" w:hAnsi="Times New Roman" w:eastAsia="宋体" w:cs="Times New Roman"/>
          <w:bCs/>
          <w:color w:val="000000" w:themeColor="text1"/>
          <w:kern w:val="0"/>
          <w:sz w:val="24"/>
          <w:highlight w:val="none"/>
          <w:vertAlign w:val="superscript"/>
          <w:lang w:val="en-US" w:eastAsia="zh-CN"/>
          <w14:textFill>
            <w14:solidFill>
              <w14:schemeClr w14:val="tx1"/>
            </w14:solidFill>
          </w14:textFill>
        </w:rPr>
        <w:t>3</w:t>
      </w:r>
      <w:r>
        <w:rPr>
          <w:rFonts w:hint="eastAsia" w:ascii="Times New Roman" w:hAnsi="Times New Roman" w:eastAsia="宋体" w:cs="Times New Roman"/>
          <w:bCs/>
          <w:color w:val="000000" w:themeColor="text1"/>
          <w:kern w:val="0"/>
          <w:sz w:val="24"/>
          <w:highlight w:val="none"/>
          <w:lang w:val="en-US" w:eastAsia="zh-CN"/>
          <w14:textFill>
            <w14:solidFill>
              <w14:schemeClr w14:val="tx1"/>
            </w14:solidFill>
          </w14:textFill>
        </w:rPr>
        <w:t>/</w:t>
      </w:r>
      <w:r>
        <w:rPr>
          <w:rFonts w:hint="eastAsia" w:cs="Times New Roman"/>
          <w:bCs/>
          <w:color w:val="000000" w:themeColor="text1"/>
          <w:kern w:val="0"/>
          <w:sz w:val="24"/>
          <w:highlight w:val="none"/>
          <w:lang w:val="en-US" w:eastAsia="zh-CN"/>
          <w14:textFill>
            <w14:solidFill>
              <w14:schemeClr w14:val="tx1"/>
            </w14:solidFill>
          </w14:textFill>
        </w:rPr>
        <w:t>a。</w:t>
      </w:r>
    </w:p>
    <w:p w14:paraId="1430E726">
      <w:pPr>
        <w:snapToGrid w:val="0"/>
        <w:spacing w:line="360" w:lineRule="auto"/>
        <w:ind w:firstLine="480" w:firstLineChars="200"/>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position w:val="-14"/>
          <w:sz w:val="24"/>
          <w:highlight w:val="none"/>
          <w14:textFill>
            <w14:solidFill>
              <w14:schemeClr w14:val="tx1"/>
            </w14:solidFill>
          </w14:textFill>
        </w:rPr>
        <w:object>
          <v:shape id="_x0000_i1058" o:spt="75" type="#_x0000_t75" style="height:19pt;width:24.95pt;" o:ole="t" filled="f" o:preferrelative="t" stroked="f" coordsize="21600,21600">
            <v:path/>
            <v:fill on="f" focussize="0,0"/>
            <v:stroke on="f"/>
            <v:imagedata r:id="rId103" o:title=""/>
            <o:lock v:ext="edit" aspectratio="t"/>
            <w10:wrap type="none"/>
            <w10:anchorlock/>
          </v:shape>
          <o:OLEObject Type="Embed" ProgID="Equation.KSEE3" ShapeID="_x0000_i1058" DrawAspect="Content" ObjectID="_1468075758" r:id="rId102">
            <o:LockedField>false</o:LockedField>
          </o:OLEObject>
        </w:objec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低氮</w:t>
      </w:r>
      <w:r>
        <w:rPr>
          <w:rFonts w:hint="default" w:ascii="Times New Roman" w:hAnsi="Times New Roman" w:eastAsia="宋体" w:cs="Times New Roman"/>
          <w:color w:val="000000" w:themeColor="text1"/>
          <w:sz w:val="24"/>
          <w:highlight w:val="none"/>
          <w14:textFill>
            <w14:solidFill>
              <w14:schemeClr w14:val="tx1"/>
            </w14:solidFill>
          </w14:textFill>
        </w:rPr>
        <w:t>脱硝效率，%，</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本评价取30%</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177D2036">
      <w:pPr>
        <w:adjustRightInd w:val="0"/>
        <w:snapToGrid w:val="0"/>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经计算，氮氧化物</w:t>
      </w:r>
      <w:r>
        <w:rPr>
          <w:rFonts w:hint="eastAsia" w:cs="Times New Roman"/>
          <w:color w:val="000000" w:themeColor="text1"/>
          <w:sz w:val="24"/>
          <w:highlight w:val="none"/>
          <w:lang w:val="en-US" w:eastAsia="zh-CN"/>
          <w14:textFill>
            <w14:solidFill>
              <w14:schemeClr w14:val="tx1"/>
            </w14:solidFill>
          </w14:textFill>
        </w:rPr>
        <w:t>最大小时</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排放</w:t>
      </w:r>
      <w:r>
        <w:rPr>
          <w:rFonts w:hint="default" w:ascii="Times New Roman" w:hAnsi="Times New Roman" w:eastAsia="宋体" w:cs="Times New Roman"/>
          <w:color w:val="000000" w:themeColor="text1"/>
          <w:sz w:val="24"/>
          <w:highlight w:val="none"/>
          <w14:textFill>
            <w14:solidFill>
              <w14:schemeClr w14:val="tx1"/>
            </w14:solidFill>
          </w14:textFill>
        </w:rPr>
        <w:t>量为</w:t>
      </w:r>
      <w:r>
        <w:rPr>
          <w:rFonts w:hint="eastAsia" w:cs="Times New Roman"/>
          <w:color w:val="000000" w:themeColor="text1"/>
          <w:sz w:val="24"/>
          <w:highlight w:val="none"/>
          <w:lang w:val="en-US" w:eastAsia="zh-CN"/>
          <w14:textFill>
            <w14:solidFill>
              <w14:schemeClr w14:val="tx1"/>
            </w14:solidFill>
          </w14:textFill>
        </w:rPr>
        <w:t>1.39</w:t>
      </w:r>
      <w:r>
        <w:rPr>
          <w:rFonts w:hint="default" w:ascii="Times New Roman" w:hAnsi="Times New Roman" w:eastAsia="宋体" w:cs="Times New Roman"/>
          <w:color w:val="000000" w:themeColor="text1"/>
          <w:sz w:val="24"/>
          <w:highlight w:val="none"/>
          <w14:textFill>
            <w14:solidFill>
              <w14:schemeClr w14:val="tx1"/>
            </w14:solidFill>
          </w14:textFill>
        </w:rPr>
        <w:t>kg/h</w:t>
      </w:r>
      <w:r>
        <w:rPr>
          <w:rFonts w:hint="eastAsia"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最大小时</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排放</w:t>
      </w:r>
      <w:r>
        <w:rPr>
          <w:rFonts w:hint="default" w:ascii="Times New Roman" w:hAnsi="Times New Roman" w:eastAsia="宋体" w:cs="Times New Roman"/>
          <w:color w:val="000000" w:themeColor="text1"/>
          <w:sz w:val="24"/>
          <w:highlight w:val="none"/>
          <w14:textFill>
            <w14:solidFill>
              <w14:schemeClr w14:val="tx1"/>
            </w14:solidFill>
          </w14:textFill>
        </w:rPr>
        <w:t>浓度为</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126</w:t>
      </w:r>
      <w:r>
        <w:rPr>
          <w:rFonts w:hint="default" w:ascii="Times New Roman" w:hAnsi="Times New Roman" w:eastAsia="宋体" w:cs="Times New Roman"/>
          <w:color w:val="000000" w:themeColor="text1"/>
          <w:sz w:val="24"/>
          <w:highlight w:val="none"/>
          <w14:textFill>
            <w14:solidFill>
              <w14:schemeClr w14:val="tx1"/>
            </w14:solidFill>
          </w14:textFill>
        </w:rPr>
        <w:t>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。氮氧化物</w:t>
      </w:r>
      <w:r>
        <w:rPr>
          <w:rFonts w:hint="eastAsia"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排放量为</w:t>
      </w:r>
      <w:r>
        <w:rPr>
          <w:rFonts w:hint="eastAsia" w:cs="Times New Roman"/>
          <w:color w:val="000000" w:themeColor="text1"/>
          <w:sz w:val="24"/>
          <w:highlight w:val="none"/>
          <w:lang w:val="en-US" w:eastAsia="zh-CN"/>
          <w14:textFill>
            <w14:solidFill>
              <w14:schemeClr w14:val="tx1"/>
            </w14:solidFill>
          </w14:textFill>
        </w:rPr>
        <w:t>9.93t/a</w:t>
      </w:r>
      <w:r>
        <w:rPr>
          <w:rFonts w:hint="default" w:ascii="Times New Roman" w:hAnsi="Times New Roman" w:eastAsia="宋体" w:cs="Times New Roman"/>
          <w:color w:val="000000" w:themeColor="text1"/>
          <w:sz w:val="24"/>
          <w:highlight w:val="none"/>
          <w14:textFill>
            <w14:solidFill>
              <w14:schemeClr w14:val="tx1"/>
            </w14:solidFill>
          </w14:textFill>
        </w:rPr>
        <w:t>。</w:t>
      </w:r>
    </w:p>
    <w:p w14:paraId="51309D6A">
      <w:pPr>
        <w:pStyle w:val="503"/>
        <w:adjustRightInd w:val="0"/>
        <w:spacing w:line="336" w:lineRule="auto"/>
        <w:ind w:firstLine="480"/>
        <w:rPr>
          <w:rFonts w:hint="eastAsia" w:eastAsia="宋体" w:cs="Times New Roman"/>
          <w:color w:val="000000" w:themeColor="text1"/>
          <w:sz w:val="24"/>
          <w:highlight w:val="none"/>
          <w:lang w:eastAsia="zh-CN"/>
          <w14:textFill>
            <w14:solidFill>
              <w14:schemeClr w14:val="tx1"/>
            </w14:solidFill>
          </w14:textFill>
        </w:rPr>
      </w:pPr>
      <w:r>
        <w:rPr>
          <w:rFonts w:hint="eastAsia" w:ascii="Times New Roman" w:hAnsi="Times New Roman"/>
          <w:color w:val="000000" w:themeColor="text1"/>
          <w:lang w:bidi="ar"/>
          <w14:textFill>
            <w14:solidFill>
              <w14:schemeClr w14:val="tx1"/>
            </w14:solidFill>
          </w14:textFill>
        </w:rPr>
        <w:t>本项目</w:t>
      </w:r>
      <w:r>
        <w:rPr>
          <w:rFonts w:hint="eastAsia"/>
          <w:color w:val="000000" w:themeColor="text1"/>
          <w:lang w:val="en-US" w:eastAsia="zh-CN" w:bidi="ar"/>
          <w14:textFill>
            <w14:solidFill>
              <w14:schemeClr w14:val="tx1"/>
            </w14:solidFill>
          </w14:textFill>
        </w:rPr>
        <w:t>3台燃气锅炉</w:t>
      </w:r>
      <w:r>
        <w:rPr>
          <w:rFonts w:hint="default" w:ascii="Times New Roman" w:hAnsi="Times New Roman" w:eastAsia="宋体" w:cs="Times New Roman"/>
          <w:color w:val="000000" w:themeColor="text1"/>
          <w:sz w:val="24"/>
          <w:highlight w:val="none"/>
          <w14:textFill>
            <w14:solidFill>
              <w14:schemeClr w14:val="tx1"/>
            </w14:solidFill>
          </w14:textFill>
        </w:rPr>
        <w:t>产生的污染物</w:t>
      </w:r>
      <w:r>
        <w:rPr>
          <w:rFonts w:hint="eastAsia" w:eastAsia="宋体" w:cs="Times New Roman"/>
          <w:color w:val="000000" w:themeColor="text1"/>
          <w:sz w:val="24"/>
          <w:highlight w:val="none"/>
          <w:lang w:val="en-US" w:eastAsia="zh-CN"/>
          <w14:textFill>
            <w14:solidFill>
              <w14:schemeClr w14:val="tx1"/>
            </w14:solidFill>
          </w14:textFill>
        </w:rPr>
        <w:t>经低氮燃烧装置处理后，</w:t>
      </w:r>
      <w:r>
        <w:rPr>
          <w:rFonts w:hint="default" w:ascii="Times New Roman" w:hAnsi="Times New Roman" w:eastAsia="宋体" w:cs="Times New Roman"/>
          <w:color w:val="000000" w:themeColor="text1"/>
          <w:sz w:val="24"/>
          <w:highlight w:val="none"/>
          <w14:textFill>
            <w14:solidFill>
              <w14:schemeClr w14:val="tx1"/>
            </w14:solidFill>
          </w14:textFill>
        </w:rPr>
        <w:t>通过</w:t>
      </w:r>
      <w:r>
        <w:rPr>
          <w:rFonts w:hint="eastAsia" w:eastAsia="宋体" w:cs="Times New Roman"/>
          <w:color w:val="000000" w:themeColor="text1"/>
          <w:sz w:val="24"/>
          <w:highlight w:val="none"/>
          <w:lang w:val="en-US" w:eastAsia="zh-CN"/>
          <w14:textFill>
            <w14:solidFill>
              <w14:schemeClr w14:val="tx1"/>
            </w14:solidFill>
          </w14:textFill>
        </w:rPr>
        <w:t>1根</w:t>
      </w:r>
      <w:r>
        <w:rPr>
          <w:rFonts w:hint="eastAsia" w:cs="Times New Roman"/>
          <w:color w:val="000000" w:themeColor="text1"/>
          <w:sz w:val="24"/>
          <w:highlight w:val="none"/>
          <w:lang w:val="en-US" w:eastAsia="zh-CN"/>
          <w14:textFill>
            <w14:solidFill>
              <w14:schemeClr w14:val="tx1"/>
            </w14:solidFill>
          </w14:textFill>
        </w:rPr>
        <w:t>25</w:t>
      </w:r>
      <w:r>
        <w:rPr>
          <w:rFonts w:hint="eastAsia" w:eastAsia="宋体" w:cs="Times New Roman"/>
          <w:color w:val="000000" w:themeColor="text1"/>
          <w:sz w:val="24"/>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z w:val="24"/>
          <w:highlight w:val="none"/>
          <w14:textFill>
            <w14:solidFill>
              <w14:schemeClr w14:val="tx1"/>
            </w14:solidFill>
          </w14:textFill>
        </w:rPr>
        <w:t>高排气筒</w:t>
      </w:r>
      <w:r>
        <w:rPr>
          <w:rFonts w:hint="eastAsia" w:eastAsia="宋体" w:cs="Times New Roman"/>
          <w:color w:val="000000" w:themeColor="text1"/>
          <w:sz w:val="24"/>
          <w:highlight w:val="none"/>
          <w:lang w:eastAsia="zh-CN"/>
          <w14:textFill>
            <w14:solidFill>
              <w14:schemeClr w14:val="tx1"/>
            </w14:solidFill>
          </w14:textFill>
        </w:rPr>
        <w:t>（</w:t>
      </w:r>
      <w:r>
        <w:rPr>
          <w:rFonts w:hint="eastAsia" w:eastAsia="宋体" w:cs="Times New Roman"/>
          <w:color w:val="000000" w:themeColor="text1"/>
          <w:sz w:val="24"/>
          <w:highlight w:val="none"/>
          <w:lang w:val="en-US" w:eastAsia="zh-CN"/>
          <w14:textFill>
            <w14:solidFill>
              <w14:schemeClr w14:val="tx1"/>
            </w14:solidFill>
          </w14:textFill>
        </w:rPr>
        <w:t>DA00</w:t>
      </w:r>
      <w:r>
        <w:rPr>
          <w:rFonts w:hint="eastAsia" w:cs="Times New Roman"/>
          <w:color w:val="000000" w:themeColor="text1"/>
          <w:sz w:val="24"/>
          <w:highlight w:val="none"/>
          <w:lang w:val="en-US" w:eastAsia="zh-CN"/>
          <w14:textFill>
            <w14:solidFill>
              <w14:schemeClr w14:val="tx1"/>
            </w14:solidFill>
          </w14:textFill>
        </w:rPr>
        <w:t>2</w:t>
      </w:r>
      <w:r>
        <w:rPr>
          <w:rFonts w:hint="eastAsia" w:eastAsia="宋体" w:cs="Times New Roman"/>
          <w:color w:val="000000" w:themeColor="text1"/>
          <w:sz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高空排放，污染物排放浓度符合</w:t>
      </w:r>
      <w:r>
        <w:rPr>
          <w:rFonts w:hint="default" w:ascii="Times New Roman" w:hAnsi="Times New Roman" w:eastAsia="宋体" w:cs="Times New Roman"/>
          <w:color w:val="000000" w:themeColor="text1"/>
          <w:kern w:val="0"/>
          <w:sz w:val="24"/>
          <w:szCs w:val="21"/>
          <w:highlight w:val="none"/>
          <w14:textFill>
            <w14:solidFill>
              <w14:schemeClr w14:val="tx1"/>
            </w14:solidFill>
          </w14:textFill>
        </w:rPr>
        <w:t>《锅炉大气污染物排放标准》（GB13271-2014）表</w:t>
      </w:r>
      <w:r>
        <w:rPr>
          <w:rFonts w:hint="eastAsia" w:ascii="Times New Roman" w:hAnsi="Times New Roman" w:eastAsia="宋体" w:cs="Times New Roman"/>
          <w:color w:val="000000" w:themeColor="text1"/>
          <w:kern w:val="0"/>
          <w:sz w:val="24"/>
          <w:szCs w:val="21"/>
          <w:highlight w:val="none"/>
          <w:lang w:val="en-US" w:eastAsia="zh-CN"/>
          <w14:textFill>
            <w14:solidFill>
              <w14:schemeClr w14:val="tx1"/>
            </w14:solidFill>
          </w14:textFill>
        </w:rPr>
        <w:t>2新建</w:t>
      </w:r>
      <w:r>
        <w:rPr>
          <w:rFonts w:hint="default" w:ascii="Times New Roman" w:hAnsi="Times New Roman" w:eastAsia="宋体" w:cs="Times New Roman"/>
          <w:color w:val="000000" w:themeColor="text1"/>
          <w:kern w:val="0"/>
          <w:sz w:val="24"/>
          <w:szCs w:val="21"/>
          <w:highlight w:val="none"/>
          <w14:textFill>
            <w14:solidFill>
              <w14:schemeClr w14:val="tx1"/>
            </w14:solidFill>
          </w14:textFill>
        </w:rPr>
        <w:t>燃气锅炉大气污染物排放限值</w:t>
      </w:r>
      <w:r>
        <w:rPr>
          <w:rFonts w:hint="default" w:ascii="Times New Roman" w:hAnsi="Times New Roman" w:eastAsia="宋体" w:cs="Times New Roman"/>
          <w:color w:val="000000" w:themeColor="text1"/>
          <w:sz w:val="24"/>
          <w:highlight w:val="none"/>
          <w14:textFill>
            <w14:solidFill>
              <w14:schemeClr w14:val="tx1"/>
            </w14:solidFill>
          </w14:textFill>
        </w:rPr>
        <w:t>（颗粒物浓度≤20mg/m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，SO</w:t>
      </w:r>
      <w:r>
        <w:rPr>
          <w:rFonts w:hint="default" w:ascii="Times New Roman" w:hAnsi="Times New Roman" w:eastAsia="宋体" w:cs="Times New Roman"/>
          <w:color w:val="000000" w:themeColor="text1"/>
          <w:sz w:val="24"/>
          <w:highlight w:val="none"/>
          <w:vertAlign w:val="subscript"/>
          <w14:textFill>
            <w14:solidFill>
              <w14:schemeClr w14:val="tx1"/>
            </w14:solidFill>
          </w14:textFill>
        </w:rPr>
        <w:t>2</w:t>
      </w:r>
      <w:r>
        <w:rPr>
          <w:rFonts w:hint="default" w:ascii="Times New Roman" w:hAnsi="Times New Roman" w:eastAsia="宋体" w:cs="Times New Roman"/>
          <w:color w:val="000000" w:themeColor="text1"/>
          <w:sz w:val="24"/>
          <w:highlight w:val="none"/>
          <w14:textFill>
            <w14:solidFill>
              <w14:schemeClr w14:val="tx1"/>
            </w14:solidFill>
          </w14:textFill>
        </w:rPr>
        <w:t>浓度≤50mg/m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，NOx浓度≤</w:t>
      </w:r>
      <w:r>
        <w:rPr>
          <w:rFonts w:hint="eastAsia" w:eastAsia="宋体" w:cs="Times New Roman"/>
          <w:color w:val="000000" w:themeColor="text1"/>
          <w:sz w:val="24"/>
          <w:highlight w:val="none"/>
          <w:lang w:val="en-US" w:eastAsia="zh-CN"/>
          <w14:textFill>
            <w14:solidFill>
              <w14:schemeClr w14:val="tx1"/>
            </w14:solidFill>
          </w14:textFill>
        </w:rPr>
        <w:t>200</w:t>
      </w:r>
      <w:r>
        <w:rPr>
          <w:rFonts w:hint="default" w:ascii="Times New Roman" w:hAnsi="Times New Roman" w:eastAsia="宋体" w:cs="Times New Roman"/>
          <w:color w:val="000000" w:themeColor="text1"/>
          <w:sz w:val="24"/>
          <w:highlight w:val="none"/>
          <w14:textFill>
            <w14:solidFill>
              <w14:schemeClr w14:val="tx1"/>
            </w14:solidFill>
          </w14:textFill>
        </w:rPr>
        <w:t>mg/m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）要求</w:t>
      </w:r>
      <w:r>
        <w:rPr>
          <w:rFonts w:hint="eastAsia" w:eastAsia="宋体" w:cs="Times New Roman"/>
          <w:color w:val="000000" w:themeColor="text1"/>
          <w:sz w:val="24"/>
          <w:highlight w:val="none"/>
          <w:lang w:eastAsia="zh-CN"/>
          <w14:textFill>
            <w14:solidFill>
              <w14:schemeClr w14:val="tx1"/>
            </w14:solidFill>
          </w14:textFill>
        </w:rPr>
        <w:t>。</w:t>
      </w:r>
    </w:p>
    <w:p w14:paraId="5E77B06D">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4、原料处理粉尘</w:t>
      </w:r>
    </w:p>
    <w:p w14:paraId="00BEBD17">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本项目</w:t>
      </w:r>
      <w:r>
        <w:rPr>
          <w:rFonts w:hint="eastAsia"/>
          <w:color w:val="000000" w:themeColor="text1"/>
          <w:lang w:val="en-US" w:eastAsia="zh-CN"/>
          <w14:textFill>
            <w14:solidFill>
              <w14:schemeClr w14:val="tx1"/>
            </w14:solidFill>
          </w14:textFill>
        </w:rPr>
        <w:t>麦芽及大米在</w:t>
      </w:r>
      <w:r>
        <w:rPr>
          <w:rFonts w:hint="eastAsia"/>
          <w:color w:val="000000" w:themeColor="text1"/>
          <w14:textFill>
            <w14:solidFill>
              <w14:schemeClr w14:val="tx1"/>
            </w14:solidFill>
          </w14:textFill>
        </w:rPr>
        <w:t>原料处理间</w:t>
      </w:r>
      <w:r>
        <w:rPr>
          <w:rFonts w:hint="eastAsia"/>
          <w:color w:val="000000" w:themeColor="text1"/>
          <w:lang w:val="en-US" w:eastAsia="zh-CN"/>
          <w14:textFill>
            <w14:solidFill>
              <w14:schemeClr w14:val="tx1"/>
            </w14:solidFill>
          </w14:textFill>
        </w:rPr>
        <w:t>内进行拆包、</w:t>
      </w:r>
      <w:r>
        <w:rPr>
          <w:rFonts w:hint="eastAsia"/>
          <w:color w:val="000000" w:themeColor="text1"/>
          <w14:textFill>
            <w14:solidFill>
              <w14:schemeClr w14:val="tx1"/>
            </w14:solidFill>
          </w14:textFill>
        </w:rPr>
        <w:t>投料、</w:t>
      </w:r>
      <w:r>
        <w:rPr>
          <w:rFonts w:hint="eastAsia"/>
          <w:color w:val="000000" w:themeColor="text1"/>
          <w:lang w:val="en-US" w:eastAsia="zh-CN"/>
          <w14:textFill>
            <w14:solidFill>
              <w14:schemeClr w14:val="tx1"/>
            </w14:solidFill>
          </w14:textFill>
        </w:rPr>
        <w:t>湿粉碎、</w:t>
      </w:r>
      <w:r>
        <w:rPr>
          <w:rFonts w:hint="eastAsia"/>
          <w:color w:val="000000" w:themeColor="text1"/>
          <w14:textFill>
            <w14:solidFill>
              <w14:schemeClr w14:val="tx1"/>
            </w14:solidFill>
          </w14:textFill>
        </w:rPr>
        <w:t>输送</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输送过程全密闭，粉碎过程采用加水湿粉碎，</w:t>
      </w:r>
      <w:r>
        <w:rPr>
          <w:rFonts w:hint="eastAsia"/>
          <w:color w:val="000000" w:themeColor="text1"/>
          <w14:textFill>
            <w14:solidFill>
              <w14:schemeClr w14:val="tx1"/>
            </w14:solidFill>
          </w14:textFill>
        </w:rPr>
        <w:t>原料处理</w:t>
      </w:r>
      <w:r>
        <w:rPr>
          <w:rFonts w:hint="eastAsia"/>
          <w:color w:val="000000" w:themeColor="text1"/>
          <w:lang w:val="en-US" w:eastAsia="zh-CN"/>
          <w14:textFill>
            <w14:solidFill>
              <w14:schemeClr w14:val="tx1"/>
            </w14:solidFill>
          </w14:textFill>
        </w:rPr>
        <w:t>和粉碎</w:t>
      </w:r>
      <w:r>
        <w:rPr>
          <w:rFonts w:hint="eastAsia"/>
          <w:color w:val="000000" w:themeColor="text1"/>
          <w14:textFill>
            <w14:solidFill>
              <w14:schemeClr w14:val="tx1"/>
            </w14:solidFill>
          </w14:textFill>
        </w:rPr>
        <w:t>间中产生</w:t>
      </w:r>
      <w:r>
        <w:rPr>
          <w:rFonts w:hint="eastAsia"/>
          <w:color w:val="000000" w:themeColor="text1"/>
          <w:lang w:val="en-US" w:eastAsia="zh-CN"/>
          <w14:textFill>
            <w14:solidFill>
              <w14:schemeClr w14:val="tx1"/>
            </w14:solidFill>
          </w14:textFill>
        </w:rPr>
        <w:t>的</w:t>
      </w:r>
      <w:r>
        <w:rPr>
          <w:rFonts w:hint="eastAsia"/>
          <w:color w:val="000000" w:themeColor="text1"/>
          <w14:textFill>
            <w14:solidFill>
              <w14:schemeClr w14:val="tx1"/>
            </w14:solidFill>
          </w14:textFill>
        </w:rPr>
        <w:t>粉尘</w:t>
      </w:r>
      <w:r>
        <w:rPr>
          <w:rFonts w:hint="eastAsia"/>
          <w:color w:val="000000" w:themeColor="text1"/>
          <w:lang w:val="en-US" w:eastAsia="zh-CN"/>
          <w14:textFill>
            <w14:solidFill>
              <w14:schemeClr w14:val="tx1"/>
            </w14:solidFill>
          </w14:textFill>
        </w:rPr>
        <w:t>主要为拆包、投料、原料预处理粉尘</w:t>
      </w:r>
      <w:r>
        <w:rPr>
          <w:rFonts w:hint="eastAsia"/>
          <w:color w:val="000000" w:themeColor="text1"/>
          <w14:textFill>
            <w14:solidFill>
              <w14:schemeClr w14:val="tx1"/>
            </w14:solidFill>
          </w14:textFill>
        </w:rPr>
        <w:t>。</w:t>
      </w:r>
    </w:p>
    <w:p w14:paraId="26605A4F">
      <w:pPr>
        <w:pStyle w:val="85"/>
        <w:rPr>
          <w:rFonts w:hint="default"/>
          <w:color w:val="000000" w:themeColor="text1"/>
          <w:lang w:val="en-US"/>
          <w14:textFill>
            <w14:solidFill>
              <w14:schemeClr w14:val="tx1"/>
            </w14:solidFill>
          </w14:textFill>
        </w:rPr>
      </w:pPr>
      <w:r>
        <w:rPr>
          <w:rFonts w:hint="eastAsia" w:ascii="宋体" w:hAnsi="宋体" w:eastAsia="宋体" w:cs="宋体"/>
          <w:color w:val="auto"/>
          <w:sz w:val="24"/>
          <w:lang w:eastAsia="zh-CN"/>
        </w:rPr>
        <w:t>①</w:t>
      </w:r>
      <w:r>
        <w:rPr>
          <w:rFonts w:hint="eastAsia"/>
          <w:color w:val="000000" w:themeColor="text1"/>
          <w:lang w:val="en-US" w:eastAsia="zh-CN"/>
          <w14:textFill>
            <w14:solidFill>
              <w14:schemeClr w14:val="tx1"/>
            </w14:solidFill>
          </w14:textFill>
        </w:rPr>
        <w:t>拆包、投料粉尘</w:t>
      </w:r>
    </w:p>
    <w:p w14:paraId="79E7CA32">
      <w:pPr>
        <w:pStyle w:val="85"/>
        <w:rPr>
          <w:rFonts w:hint="eastAsia"/>
          <w:color w:val="auto"/>
          <w:sz w:val="24"/>
          <w:lang w:eastAsia="zh-CN"/>
        </w:rPr>
      </w:pPr>
      <w:r>
        <w:rPr>
          <w:rFonts w:hint="eastAsia"/>
          <w:color w:val="auto"/>
          <w:sz w:val="24"/>
          <w:lang w:val="en-US" w:eastAsia="zh-CN"/>
        </w:rPr>
        <w:t>麦芽和大米在拆包和投料过程会产生少量的粉尘，拆包、投料颗粒物产生量参考《逸散性工业粉尘控制技术》谷物贮仓的排放因子中投料及入仓颗粒物产污系数0.16~1.75kg/t，本项目采用优质麦芽计大米，洁净程度较高，本次评价产尘系数按0.16kg/t 考虑。项目麦芽用量为 7200t/a，大米用量为 3090t/a，即麦芽及大米投料入仓粉尘产生量为1.65</w:t>
      </w:r>
      <w:r>
        <w:rPr>
          <w:rFonts w:hint="eastAsia"/>
          <w:color w:val="auto"/>
          <w:sz w:val="24"/>
          <w:highlight w:val="none"/>
          <w:lang w:val="en-US" w:eastAsia="zh-CN"/>
        </w:rPr>
        <w:t>t/a。</w:t>
      </w:r>
    </w:p>
    <w:p w14:paraId="7E3A09C2">
      <w:pPr>
        <w:pStyle w:val="85"/>
        <w:spacing w:line="360" w:lineRule="auto"/>
        <w:rPr>
          <w:rFonts w:hint="default"/>
          <w:color w:val="auto"/>
          <w:sz w:val="24"/>
          <w:lang w:val="en-US" w:eastAsia="zh-CN"/>
        </w:rPr>
      </w:pPr>
      <w:r>
        <w:rPr>
          <w:rFonts w:hint="eastAsia" w:ascii="宋体" w:hAnsi="宋体" w:eastAsia="宋体" w:cs="宋体"/>
          <w:color w:val="auto"/>
          <w:sz w:val="24"/>
          <w:lang w:eastAsia="zh-CN"/>
        </w:rPr>
        <w:t>②</w:t>
      </w:r>
      <w:r>
        <w:rPr>
          <w:rFonts w:hint="eastAsia"/>
          <w:color w:val="auto"/>
          <w:sz w:val="24"/>
          <w:lang w:val="en-US" w:eastAsia="zh-CN"/>
        </w:rPr>
        <w:t>预处理粉尘</w:t>
      </w:r>
    </w:p>
    <w:p w14:paraId="15F13EEE">
      <w:pPr>
        <w:pStyle w:val="85"/>
        <w:spacing w:line="360" w:lineRule="auto"/>
        <w:rPr>
          <w:rFonts w:hint="eastAsia"/>
          <w:color w:val="auto"/>
          <w:sz w:val="24"/>
          <w:lang w:eastAsia="zh-CN"/>
        </w:rPr>
      </w:pPr>
      <w:r>
        <w:rPr>
          <w:rFonts w:hint="eastAsia"/>
          <w:color w:val="auto"/>
          <w:sz w:val="24"/>
          <w:lang w:val="en-US" w:eastAsia="zh-CN"/>
        </w:rPr>
        <w:t>麦芽、大米去石除杂、粉碎等预处理工艺会产生粉尘，根据设备及工艺参数，预处理工艺均在密闭设备中进行。本项目所使用的麦芽及大米均为优质品类，颗粒较大，粉尘含量较低，除杂过程粉尘产生量较小。同时，本项目粉碎主要是为了将麦芽及大米外壳破坏，提高发酵效率，并不会将麦芽及大米粉碎至粉末状，因此粉碎粉尘产生量较小。</w:t>
      </w:r>
    </w:p>
    <w:p w14:paraId="3145CF15">
      <w:pPr>
        <w:pStyle w:val="85"/>
        <w:spacing w:line="360" w:lineRule="auto"/>
        <w:rPr>
          <w:rFonts w:hint="default"/>
          <w:color w:val="auto"/>
          <w:sz w:val="24"/>
          <w:lang w:val="en-US" w:eastAsia="zh-CN"/>
        </w:rPr>
      </w:pPr>
      <w:r>
        <w:rPr>
          <w:rFonts w:hint="eastAsia"/>
          <w:color w:val="auto"/>
          <w:sz w:val="24"/>
          <w:lang w:val="en-US" w:eastAsia="zh-CN"/>
        </w:rPr>
        <w:t>根据《排放源统计调查产排污核算方法和系数手册》131 谷物磨制行业系数手册中对小麦进行清理、磨制、除尘的工艺废气颗粒物产污系数为 0.085kg/t 原料，对大米进行清理、磨制、除尘的工艺废气颗粒物产污系数为 0.015kg/t 原料。经计算，预处理粉尘产生量为0.658t/a。</w:t>
      </w:r>
    </w:p>
    <w:p w14:paraId="60A68104">
      <w:pPr>
        <w:keepNext w:val="0"/>
        <w:keepLines w:val="0"/>
        <w:widowControl/>
        <w:suppressLineNumbers w:val="0"/>
        <w:spacing w:line="360" w:lineRule="auto"/>
        <w:jc w:val="both"/>
      </w:pPr>
      <w:r>
        <w:rPr>
          <w:rFonts w:hint="eastAsia"/>
          <w:color w:val="000000" w:themeColor="text1"/>
          <w:lang w:val="en-US" w:eastAsia="zh-CN"/>
          <w14:textFill>
            <w14:solidFill>
              <w14:schemeClr w14:val="tx1"/>
            </w14:solidFill>
          </w14:textFill>
        </w:rPr>
        <w:t>本项目</w:t>
      </w:r>
      <w:r>
        <w:rPr>
          <w:rFonts w:hint="eastAsia"/>
          <w:color w:val="000000" w:themeColor="text1"/>
          <w14:textFill>
            <w14:solidFill>
              <w14:schemeClr w14:val="tx1"/>
            </w14:solidFill>
          </w14:textFill>
        </w:rPr>
        <w:t>原料处理粉尘</w:t>
      </w:r>
      <w:r>
        <w:rPr>
          <w:rFonts w:hint="eastAsia"/>
          <w:color w:val="000000" w:themeColor="text1"/>
          <w:lang w:val="en-US" w:eastAsia="zh-CN"/>
          <w14:textFill>
            <w14:solidFill>
              <w14:schemeClr w14:val="tx1"/>
            </w14:solidFill>
          </w14:textFill>
        </w:rPr>
        <w:t>总产生量为2.308</w:t>
      </w:r>
      <w:r>
        <w:rPr>
          <w:rFonts w:hint="eastAsia"/>
          <w:color w:val="auto"/>
          <w:sz w:val="24"/>
          <w:lang w:val="en-US" w:eastAsia="zh-CN"/>
        </w:rPr>
        <w:t>t/a</w:t>
      </w:r>
      <w:r>
        <w:rPr>
          <w:rFonts w:hint="eastAsia"/>
          <w:color w:val="000000" w:themeColor="text1"/>
          <w:lang w:val="en-US" w:eastAsia="zh-CN"/>
          <w14:textFill>
            <w14:solidFill>
              <w14:schemeClr w14:val="tx1"/>
            </w14:solidFill>
          </w14:textFill>
        </w:rPr>
        <w:t>，</w:t>
      </w:r>
      <w:r>
        <w:rPr>
          <w:rFonts w:hint="eastAsia" w:ascii="宋体" w:hAnsi="宋体" w:eastAsia="宋体" w:cs="宋体"/>
          <w:color w:val="000000"/>
          <w:kern w:val="0"/>
          <w:sz w:val="24"/>
          <w:szCs w:val="24"/>
          <w:lang w:val="en-US" w:eastAsia="zh-CN" w:bidi="ar"/>
        </w:rPr>
        <w:t>本项目拟在原料预处理车间的设置一套收集除尘设备，</w:t>
      </w:r>
      <w:r>
        <w:rPr>
          <w:rFonts w:hint="eastAsia"/>
          <w:color w:val="000000" w:themeColor="text1"/>
          <w14:textFill>
            <w14:solidFill>
              <w14:schemeClr w14:val="tx1"/>
            </w14:solidFill>
          </w14:textFill>
        </w:rPr>
        <w:t>原料处理间封闭</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收集效率按90%计，收集后的粉尘经布袋除尘器</w:t>
      </w:r>
      <w:r>
        <w:rPr>
          <w:rFonts w:hint="eastAsia" w:ascii="宋体" w:hAnsi="宋体" w:eastAsia="宋体" w:cs="宋体"/>
          <w:color w:val="000000"/>
          <w:kern w:val="0"/>
          <w:sz w:val="24"/>
          <w:szCs w:val="24"/>
          <w:lang w:val="en-US" w:eastAsia="zh-CN" w:bidi="ar"/>
        </w:rPr>
        <w:t xml:space="preserve">处理后，通过 </w:t>
      </w:r>
      <w:r>
        <w:rPr>
          <w:rFonts w:hint="default" w:ascii="Times New Roman" w:hAnsi="Times New Roman" w:eastAsia="宋体" w:cs="Times New Roman"/>
          <w:color w:val="000000"/>
          <w:kern w:val="0"/>
          <w:sz w:val="24"/>
          <w:szCs w:val="24"/>
          <w:lang w:val="en-US" w:eastAsia="zh-CN" w:bidi="ar"/>
        </w:rPr>
        <w:t xml:space="preserve">1 </w:t>
      </w:r>
      <w:r>
        <w:rPr>
          <w:rFonts w:hint="eastAsia" w:ascii="宋体" w:hAnsi="宋体" w:eastAsia="宋体" w:cs="宋体"/>
          <w:color w:val="000000"/>
          <w:kern w:val="0"/>
          <w:sz w:val="24"/>
          <w:szCs w:val="24"/>
          <w:lang w:val="en-US" w:eastAsia="zh-CN" w:bidi="ar"/>
        </w:rPr>
        <w:t xml:space="preserve">根 </w:t>
      </w:r>
      <w:r>
        <w:rPr>
          <w:rFonts w:hint="eastAsia" w:cs="Times New Roman"/>
          <w:color w:val="000000"/>
          <w:kern w:val="0"/>
          <w:sz w:val="24"/>
          <w:szCs w:val="24"/>
          <w:lang w:val="en-US" w:eastAsia="zh-CN" w:bidi="ar"/>
        </w:rPr>
        <w:t>15</w:t>
      </w:r>
      <w:r>
        <w:rPr>
          <w:rFonts w:hint="default" w:ascii="Times New Roman" w:hAnsi="Times New Roman" w:eastAsia="宋体" w:cs="Times New Roman"/>
          <w:color w:val="000000"/>
          <w:kern w:val="0"/>
          <w:sz w:val="24"/>
          <w:szCs w:val="24"/>
          <w:lang w:val="en-US" w:eastAsia="zh-CN" w:bidi="ar"/>
        </w:rPr>
        <w:t xml:space="preserve">m </w:t>
      </w:r>
      <w:r>
        <w:rPr>
          <w:rFonts w:hint="eastAsia" w:ascii="宋体" w:hAnsi="宋体" w:eastAsia="宋体" w:cs="宋体"/>
          <w:color w:val="000000"/>
          <w:kern w:val="0"/>
          <w:sz w:val="24"/>
          <w:szCs w:val="24"/>
          <w:lang w:val="en-US" w:eastAsia="zh-CN" w:bidi="ar"/>
        </w:rPr>
        <w:t>高排气筒（</w:t>
      </w:r>
      <w:r>
        <w:rPr>
          <w:rFonts w:hint="default" w:ascii="Times New Roman" w:hAnsi="Times New Roman" w:eastAsia="宋体" w:cs="Times New Roman"/>
          <w:color w:val="000000"/>
          <w:kern w:val="0"/>
          <w:sz w:val="24"/>
          <w:szCs w:val="24"/>
          <w:lang w:val="en-US" w:eastAsia="zh-CN" w:bidi="ar"/>
        </w:rPr>
        <w:t>DA00</w:t>
      </w:r>
      <w:r>
        <w:rPr>
          <w:rFonts w:hint="eastAsia" w:ascii="Times New Roman" w:hAnsi="Times New Roman" w:eastAsia="宋体" w:cs="Times New Roman"/>
          <w:color w:val="000000"/>
          <w:kern w:val="0"/>
          <w:sz w:val="24"/>
          <w:szCs w:val="24"/>
          <w:lang w:val="en-US" w:eastAsia="zh-CN" w:bidi="ar"/>
        </w:rPr>
        <w:t>3</w:t>
      </w:r>
      <w:r>
        <w:rPr>
          <w:rFonts w:hint="eastAsia" w:ascii="宋体" w:hAnsi="宋体" w:eastAsia="宋体" w:cs="宋体"/>
          <w:color w:val="000000"/>
          <w:kern w:val="0"/>
          <w:sz w:val="24"/>
          <w:szCs w:val="24"/>
          <w:lang w:val="en-US" w:eastAsia="zh-CN" w:bidi="ar"/>
        </w:rPr>
        <w:t>）排放，</w:t>
      </w:r>
      <w:r>
        <w:rPr>
          <w:rFonts w:hint="eastAsia"/>
          <w:color w:val="000000" w:themeColor="text1"/>
          <w14:textFill>
            <w14:solidFill>
              <w14:schemeClr w14:val="tx1"/>
            </w14:solidFill>
          </w14:textFill>
        </w:rPr>
        <w:t>原料处理间</w:t>
      </w:r>
      <w:r>
        <w:rPr>
          <w:rFonts w:hint="eastAsia" w:ascii="宋体" w:hAnsi="宋体" w:eastAsia="宋体" w:cs="宋体"/>
          <w:color w:val="000000"/>
          <w:kern w:val="0"/>
          <w:sz w:val="24"/>
          <w:szCs w:val="24"/>
          <w:lang w:val="en-US" w:eastAsia="zh-CN" w:bidi="ar"/>
        </w:rPr>
        <w:t>年工作时间</w:t>
      </w:r>
      <w:r>
        <w:rPr>
          <w:rFonts w:hint="default" w:ascii="Times New Roman" w:hAnsi="Times New Roman" w:eastAsia="宋体" w:cs="Times New Roman"/>
          <w:color w:val="000000"/>
          <w:kern w:val="0"/>
          <w:sz w:val="24"/>
          <w:szCs w:val="24"/>
          <w:lang w:val="en-US" w:eastAsia="zh-CN" w:bidi="ar"/>
        </w:rPr>
        <w:t>7200h，</w:t>
      </w:r>
      <w:r>
        <w:rPr>
          <w:rFonts w:hint="eastAsia" w:ascii="宋体" w:hAnsi="宋体" w:eastAsia="宋体" w:cs="宋体"/>
          <w:color w:val="000000"/>
          <w:kern w:val="0"/>
          <w:sz w:val="24"/>
          <w:szCs w:val="24"/>
          <w:lang w:val="en-US" w:eastAsia="zh-CN" w:bidi="ar"/>
        </w:rPr>
        <w:t xml:space="preserve">则有组织颗粒物产生量为 </w:t>
      </w:r>
      <w:r>
        <w:rPr>
          <w:rFonts w:hint="eastAsia" w:ascii="Times New Roman" w:hAnsi="Times New Roman" w:eastAsia="宋体" w:cs="Times New Roman"/>
          <w:color w:val="000000"/>
          <w:kern w:val="0"/>
          <w:sz w:val="24"/>
          <w:szCs w:val="24"/>
          <w:lang w:val="en-US" w:eastAsia="zh-CN" w:bidi="ar"/>
        </w:rPr>
        <w:t>2.08</w:t>
      </w:r>
      <w:r>
        <w:rPr>
          <w:rFonts w:hint="default" w:ascii="Times New Roman" w:hAnsi="Times New Roman" w:eastAsia="宋体" w:cs="Times New Roman"/>
          <w:color w:val="000000"/>
          <w:kern w:val="0"/>
          <w:sz w:val="24"/>
          <w:szCs w:val="24"/>
          <w:lang w:val="en-US" w:eastAsia="zh-CN" w:bidi="ar"/>
        </w:rPr>
        <w:t>t/a</w:t>
      </w:r>
      <w:r>
        <w:rPr>
          <w:rFonts w:hint="eastAsia" w:ascii="宋体" w:hAnsi="宋体" w:eastAsia="宋体" w:cs="宋体"/>
          <w:color w:val="000000"/>
          <w:kern w:val="0"/>
          <w:sz w:val="24"/>
          <w:szCs w:val="24"/>
          <w:lang w:val="en-US" w:eastAsia="zh-CN" w:bidi="ar"/>
        </w:rPr>
        <w:t>，产生速率为</w:t>
      </w:r>
      <w:r>
        <w:rPr>
          <w:rFonts w:hint="eastAsia" w:ascii="Times New Roman" w:hAnsi="Times New Roman" w:eastAsia="宋体" w:cs="Times New Roman"/>
          <w:color w:val="000000"/>
          <w:kern w:val="0"/>
          <w:sz w:val="24"/>
          <w:szCs w:val="24"/>
          <w:lang w:val="en-US" w:eastAsia="zh-CN" w:bidi="ar"/>
        </w:rPr>
        <w:t>0.29</w:t>
      </w:r>
      <w:r>
        <w:rPr>
          <w:rFonts w:hint="default" w:ascii="Times New Roman" w:hAnsi="Times New Roman" w:eastAsia="宋体" w:cs="Times New Roman"/>
          <w:color w:val="000000"/>
          <w:kern w:val="0"/>
          <w:sz w:val="24"/>
          <w:szCs w:val="24"/>
          <w:lang w:val="en-US" w:eastAsia="zh-CN" w:bidi="ar"/>
        </w:rPr>
        <w:t>kg/h</w:t>
      </w:r>
      <w:r>
        <w:rPr>
          <w:rFonts w:hint="eastAsia" w:ascii="宋体" w:hAnsi="宋体" w:eastAsia="宋体" w:cs="宋体"/>
          <w:color w:val="000000"/>
          <w:kern w:val="0"/>
          <w:sz w:val="24"/>
          <w:szCs w:val="24"/>
          <w:lang w:val="en-US" w:eastAsia="zh-CN" w:bidi="ar"/>
        </w:rPr>
        <w:t xml:space="preserve">，风机风量 </w:t>
      </w:r>
      <w:r>
        <w:rPr>
          <w:rFonts w:hint="eastAsia" w:ascii="Times New Roman" w:hAnsi="Times New Roman" w:eastAsia="宋体" w:cs="Times New Roman"/>
          <w:color w:val="000000"/>
          <w:kern w:val="0"/>
          <w:sz w:val="24"/>
          <w:szCs w:val="24"/>
          <w:lang w:val="en-US" w:eastAsia="zh-CN" w:bidi="ar"/>
        </w:rPr>
        <w:t>5</w:t>
      </w:r>
      <w:r>
        <w:rPr>
          <w:rFonts w:hint="default" w:ascii="Times New Roman" w:hAnsi="Times New Roman" w:eastAsia="宋体" w:cs="Times New Roman"/>
          <w:color w:val="000000"/>
          <w:kern w:val="0"/>
          <w:sz w:val="24"/>
          <w:szCs w:val="24"/>
          <w:lang w:val="en-US" w:eastAsia="zh-CN" w:bidi="ar"/>
        </w:rPr>
        <w:t>000m</w:t>
      </w:r>
      <w:r>
        <w:rPr>
          <w:rFonts w:hint="eastAsia" w:ascii="Times New Roman" w:hAnsi="Times New Roman" w:eastAsia="宋体" w:cs="Times New Roman"/>
          <w:color w:val="000000"/>
          <w:kern w:val="0"/>
          <w:sz w:val="24"/>
          <w:szCs w:val="24"/>
          <w:vertAlign w:val="superscript"/>
          <w:lang w:val="en-US" w:eastAsia="zh-CN" w:bidi="ar"/>
        </w:rPr>
        <w:t>3</w:t>
      </w:r>
      <w:r>
        <w:rPr>
          <w:rFonts w:hint="default" w:ascii="Times New Roman" w:hAnsi="Times New Roman" w:eastAsia="宋体" w:cs="Times New Roman"/>
          <w:color w:val="000000"/>
          <w:kern w:val="0"/>
          <w:sz w:val="24"/>
          <w:szCs w:val="24"/>
          <w:lang w:val="en-US" w:eastAsia="zh-CN" w:bidi="ar"/>
        </w:rPr>
        <w:t>/h</w:t>
      </w:r>
      <w:r>
        <w:rPr>
          <w:rFonts w:hint="eastAsia" w:ascii="宋体" w:hAnsi="宋体" w:eastAsia="宋体" w:cs="宋体"/>
          <w:color w:val="000000"/>
          <w:kern w:val="0"/>
          <w:sz w:val="24"/>
          <w:szCs w:val="24"/>
          <w:lang w:val="en-US" w:eastAsia="zh-CN" w:bidi="ar"/>
        </w:rPr>
        <w:t xml:space="preserve">；处理效率以 </w:t>
      </w:r>
      <w:r>
        <w:rPr>
          <w:rFonts w:hint="default" w:ascii="Times New Roman" w:hAnsi="Times New Roman" w:eastAsia="宋体" w:cs="Times New Roman"/>
          <w:color w:val="000000"/>
          <w:kern w:val="0"/>
          <w:sz w:val="24"/>
          <w:szCs w:val="24"/>
          <w:lang w:val="en-US" w:eastAsia="zh-CN" w:bidi="ar"/>
        </w:rPr>
        <w:t>99%</w:t>
      </w:r>
      <w:r>
        <w:rPr>
          <w:rFonts w:hint="eastAsia" w:ascii="宋体" w:hAnsi="宋体" w:eastAsia="宋体" w:cs="宋体"/>
          <w:color w:val="000000"/>
          <w:kern w:val="0"/>
          <w:sz w:val="24"/>
          <w:szCs w:val="24"/>
          <w:lang w:val="en-US" w:eastAsia="zh-CN" w:bidi="ar"/>
        </w:rPr>
        <w:t>计，则有组织的排放量为</w:t>
      </w:r>
      <w:r>
        <w:rPr>
          <w:rFonts w:hint="default" w:ascii="Times New Roman" w:hAnsi="Times New Roman" w:eastAsia="宋体" w:cs="Times New Roman"/>
          <w:color w:val="000000"/>
          <w:kern w:val="0"/>
          <w:sz w:val="24"/>
          <w:szCs w:val="24"/>
          <w:lang w:val="en-US" w:eastAsia="zh-CN" w:bidi="ar"/>
        </w:rPr>
        <w:t>0.0</w:t>
      </w:r>
      <w:r>
        <w:rPr>
          <w:rFonts w:hint="eastAsia" w:ascii="Times New Roman" w:hAnsi="Times New Roman" w:eastAsia="宋体" w:cs="Times New Roman"/>
          <w:color w:val="000000"/>
          <w:kern w:val="0"/>
          <w:sz w:val="24"/>
          <w:szCs w:val="24"/>
          <w:lang w:val="en-US" w:eastAsia="zh-CN" w:bidi="ar"/>
        </w:rPr>
        <w:t>21</w:t>
      </w:r>
      <w:r>
        <w:rPr>
          <w:rFonts w:hint="default" w:ascii="Times New Roman" w:hAnsi="Times New Roman" w:eastAsia="宋体" w:cs="Times New Roman"/>
          <w:color w:val="000000"/>
          <w:kern w:val="0"/>
          <w:sz w:val="24"/>
          <w:szCs w:val="24"/>
          <w:lang w:val="en-US" w:eastAsia="zh-CN" w:bidi="ar"/>
        </w:rPr>
        <w:t>t/a</w:t>
      </w:r>
      <w:r>
        <w:rPr>
          <w:rFonts w:hint="eastAsia" w:ascii="宋体" w:hAnsi="宋体" w:eastAsia="宋体" w:cs="宋体"/>
          <w:color w:val="000000"/>
          <w:kern w:val="0"/>
          <w:sz w:val="24"/>
          <w:szCs w:val="24"/>
          <w:lang w:val="en-US" w:eastAsia="zh-CN" w:bidi="ar"/>
        </w:rPr>
        <w:t xml:space="preserve">，排放速率为 </w:t>
      </w:r>
      <w:r>
        <w:rPr>
          <w:rFonts w:hint="default" w:ascii="Times New Roman" w:hAnsi="Times New Roman" w:eastAsia="宋体" w:cs="Times New Roman"/>
          <w:color w:val="000000"/>
          <w:kern w:val="0"/>
          <w:sz w:val="24"/>
          <w:szCs w:val="24"/>
          <w:lang w:val="en-US" w:eastAsia="zh-CN" w:bidi="ar"/>
        </w:rPr>
        <w:t>0.00</w:t>
      </w:r>
      <w:r>
        <w:rPr>
          <w:rFonts w:hint="eastAsia" w:ascii="Times New Roman" w:hAnsi="Times New Roman" w:eastAsia="宋体" w:cs="Times New Roman"/>
          <w:color w:val="000000"/>
          <w:kern w:val="0"/>
          <w:sz w:val="24"/>
          <w:szCs w:val="24"/>
          <w:lang w:val="en-US" w:eastAsia="zh-CN" w:bidi="ar"/>
        </w:rPr>
        <w:t>29</w:t>
      </w:r>
      <w:r>
        <w:rPr>
          <w:rFonts w:hint="default" w:ascii="Times New Roman" w:hAnsi="Times New Roman" w:eastAsia="宋体" w:cs="Times New Roman"/>
          <w:color w:val="000000"/>
          <w:kern w:val="0"/>
          <w:sz w:val="24"/>
          <w:szCs w:val="24"/>
          <w:lang w:val="en-US" w:eastAsia="zh-CN" w:bidi="ar"/>
        </w:rPr>
        <w:t>kg/h</w:t>
      </w:r>
      <w:r>
        <w:rPr>
          <w:rFonts w:hint="eastAsia" w:ascii="宋体" w:hAnsi="宋体" w:eastAsia="宋体" w:cs="宋体"/>
          <w:color w:val="000000"/>
          <w:kern w:val="0"/>
          <w:sz w:val="24"/>
          <w:szCs w:val="24"/>
          <w:lang w:val="en-US" w:eastAsia="zh-CN" w:bidi="ar"/>
        </w:rPr>
        <w:t xml:space="preserve">，排放浓度为 </w:t>
      </w:r>
      <w:r>
        <w:rPr>
          <w:rFonts w:hint="eastAsia" w:ascii="Times New Roman" w:hAnsi="Times New Roman" w:eastAsia="宋体" w:cs="Times New Roman"/>
          <w:color w:val="000000"/>
          <w:kern w:val="0"/>
          <w:sz w:val="24"/>
          <w:szCs w:val="24"/>
          <w:lang w:val="en-US" w:eastAsia="zh-CN" w:bidi="ar"/>
        </w:rPr>
        <w:t>0.58</w:t>
      </w:r>
      <w:r>
        <w:rPr>
          <w:rFonts w:hint="default" w:ascii="Times New Roman" w:hAnsi="Times New Roman" w:eastAsia="宋体" w:cs="Times New Roman"/>
          <w:color w:val="000000"/>
          <w:kern w:val="0"/>
          <w:sz w:val="24"/>
          <w:szCs w:val="24"/>
          <w:lang w:val="en-US" w:eastAsia="zh-CN" w:bidi="ar"/>
        </w:rPr>
        <w:t>mg/m</w:t>
      </w:r>
      <w:r>
        <w:rPr>
          <w:rFonts w:hint="eastAsia" w:ascii="Times New Roman" w:hAnsi="Times New Roman" w:eastAsia="宋体" w:cs="Times New Roman"/>
          <w:color w:val="000000"/>
          <w:kern w:val="0"/>
          <w:sz w:val="24"/>
          <w:szCs w:val="24"/>
          <w:vertAlign w:val="superscript"/>
          <w:lang w:val="en-US" w:eastAsia="zh-CN" w:bidi="ar"/>
        </w:rPr>
        <w:t>3</w:t>
      </w:r>
      <w:r>
        <w:rPr>
          <w:rFonts w:hint="eastAsia" w:ascii="宋体" w:hAnsi="宋体" w:eastAsia="宋体" w:cs="宋体"/>
          <w:color w:val="000000"/>
          <w:kern w:val="0"/>
          <w:sz w:val="24"/>
          <w:szCs w:val="24"/>
          <w:lang w:val="en-US" w:eastAsia="zh-CN" w:bidi="ar"/>
        </w:rPr>
        <w:t>。则无组织排放量为</w:t>
      </w:r>
      <w:r>
        <w:rPr>
          <w:rFonts w:hint="default" w:ascii="Times New Roman" w:hAnsi="Times New Roman" w:eastAsia="宋体" w:cs="Times New Roman"/>
          <w:color w:val="000000"/>
          <w:kern w:val="0"/>
          <w:sz w:val="24"/>
          <w:szCs w:val="24"/>
          <w:lang w:val="en-US" w:eastAsia="zh-CN" w:bidi="ar"/>
        </w:rPr>
        <w:t>0.</w:t>
      </w:r>
      <w:r>
        <w:rPr>
          <w:rFonts w:hint="eastAsia" w:ascii="Times New Roman" w:hAnsi="Times New Roman" w:eastAsia="宋体" w:cs="Times New Roman"/>
          <w:color w:val="000000"/>
          <w:kern w:val="0"/>
          <w:sz w:val="24"/>
          <w:szCs w:val="24"/>
          <w:lang w:val="en-US" w:eastAsia="zh-CN" w:bidi="ar"/>
        </w:rPr>
        <w:t>228</w:t>
      </w:r>
      <w:r>
        <w:rPr>
          <w:rFonts w:hint="default" w:ascii="Times New Roman" w:hAnsi="Times New Roman" w:eastAsia="宋体" w:cs="Times New Roman"/>
          <w:color w:val="000000"/>
          <w:kern w:val="0"/>
          <w:sz w:val="24"/>
          <w:szCs w:val="24"/>
          <w:lang w:val="en-US" w:eastAsia="zh-CN" w:bidi="ar"/>
        </w:rPr>
        <w:t>t/a</w:t>
      </w:r>
      <w:r>
        <w:rPr>
          <w:rFonts w:hint="eastAsia" w:ascii="宋体" w:hAnsi="宋体" w:eastAsia="宋体" w:cs="宋体"/>
          <w:color w:val="000000"/>
          <w:kern w:val="0"/>
          <w:sz w:val="24"/>
          <w:szCs w:val="24"/>
          <w:lang w:val="en-US" w:eastAsia="zh-CN" w:bidi="ar"/>
        </w:rPr>
        <w:t xml:space="preserve">，排放速率为 </w:t>
      </w:r>
      <w:r>
        <w:rPr>
          <w:rFonts w:hint="eastAsia" w:ascii="Times New Roman" w:hAnsi="Times New Roman" w:eastAsia="宋体" w:cs="Times New Roman"/>
          <w:color w:val="000000"/>
          <w:kern w:val="0"/>
          <w:sz w:val="24"/>
          <w:szCs w:val="24"/>
          <w:lang w:val="en-US" w:eastAsia="zh-CN" w:bidi="ar"/>
        </w:rPr>
        <w:t>0.032</w:t>
      </w:r>
      <w:r>
        <w:rPr>
          <w:rFonts w:hint="default" w:ascii="Times New Roman" w:hAnsi="Times New Roman" w:eastAsia="宋体" w:cs="Times New Roman"/>
          <w:color w:val="000000"/>
          <w:kern w:val="0"/>
          <w:sz w:val="24"/>
          <w:szCs w:val="24"/>
          <w:lang w:val="en-US" w:eastAsia="zh-CN" w:bidi="ar"/>
        </w:rPr>
        <w:t>kg/h</w:t>
      </w:r>
      <w:r>
        <w:rPr>
          <w:rFonts w:hint="eastAsia" w:ascii="宋体" w:hAnsi="宋体" w:eastAsia="宋体" w:cs="宋体"/>
          <w:color w:val="000000"/>
          <w:kern w:val="0"/>
          <w:sz w:val="24"/>
          <w:szCs w:val="24"/>
          <w:lang w:val="en-US" w:eastAsia="zh-CN" w:bidi="ar"/>
        </w:rPr>
        <w:t>。</w:t>
      </w:r>
    </w:p>
    <w:p w14:paraId="5CEFA41E">
      <w:pPr>
        <w:pStyle w:val="85"/>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5、沼气燃烧废气</w:t>
      </w:r>
    </w:p>
    <w:p w14:paraId="58F3E48F">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本项目污水处理站设置U</w:t>
      </w:r>
      <w:r>
        <w:rPr>
          <w:color w:val="000000" w:themeColor="text1"/>
          <w14:textFill>
            <w14:solidFill>
              <w14:schemeClr w14:val="tx1"/>
            </w14:solidFill>
          </w14:textFill>
        </w:rPr>
        <w:t>ASB</w:t>
      </w:r>
      <w:r>
        <w:rPr>
          <w:rFonts w:hint="eastAsia"/>
          <w:color w:val="000000" w:themeColor="text1"/>
          <w14:textFill>
            <w14:solidFill>
              <w14:schemeClr w14:val="tx1"/>
            </w14:solidFill>
          </w14:textFill>
        </w:rPr>
        <w:t>厌氧池，厌氧发酵过程中会产生沼气，根据《升流式厌氧污泥床反应器污水处理工程技术规范》（H</w:t>
      </w:r>
      <w:r>
        <w:rPr>
          <w:color w:val="000000" w:themeColor="text1"/>
          <w14:textFill>
            <w14:solidFill>
              <w14:schemeClr w14:val="tx1"/>
            </w14:solidFill>
          </w14:textFill>
        </w:rPr>
        <w:t>J 2013-2012</w:t>
      </w:r>
      <w:r>
        <w:rPr>
          <w:rFonts w:hint="eastAsia"/>
          <w:color w:val="000000" w:themeColor="text1"/>
          <w14:textFill>
            <w14:solidFill>
              <w14:schemeClr w14:val="tx1"/>
            </w14:solidFill>
          </w14:textFill>
        </w:rPr>
        <w:t>），U</w:t>
      </w:r>
      <w:r>
        <w:rPr>
          <w:color w:val="000000" w:themeColor="text1"/>
          <w14:textFill>
            <w14:solidFill>
              <w14:schemeClr w14:val="tx1"/>
            </w14:solidFill>
          </w14:textFill>
        </w:rPr>
        <w:t>ASB</w:t>
      </w:r>
      <w:r>
        <w:rPr>
          <w:rFonts w:hint="eastAsia"/>
          <w:color w:val="000000" w:themeColor="text1"/>
          <w14:textFill>
            <w14:solidFill>
              <w14:schemeClr w14:val="tx1"/>
            </w14:solidFill>
          </w14:textFill>
        </w:rPr>
        <w:t>反应器的沼气产率为0</w:t>
      </w:r>
      <w:r>
        <w:rPr>
          <w:color w:val="000000" w:themeColor="text1"/>
          <w14:textFill>
            <w14:solidFill>
              <w14:schemeClr w14:val="tx1"/>
            </w14:solidFill>
          </w14:textFill>
        </w:rPr>
        <w:t>.45</w:t>
      </w:r>
      <w:r>
        <w:rPr>
          <w:rFonts w:cs="Times New Roman"/>
          <w:color w:val="000000" w:themeColor="text1"/>
          <w14:textFill>
            <w14:solidFill>
              <w14:schemeClr w14:val="tx1"/>
            </w14:solidFill>
          </w14:textFill>
        </w:rPr>
        <w:t>N</w:t>
      </w:r>
      <w:r>
        <w:rPr>
          <w:rFonts w:hint="eastAsia"/>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kgCOD</w:t>
      </w:r>
      <w:r>
        <w:rPr>
          <w:color w:val="000000" w:themeColor="text1"/>
          <w:vertAlign w:val="subscript"/>
          <w14:textFill>
            <w14:solidFill>
              <w14:schemeClr w14:val="tx1"/>
            </w14:solidFill>
          </w14:textFill>
        </w:rPr>
        <w:t>cr</w:t>
      </w:r>
      <w:r>
        <w:rPr>
          <w:color w:val="000000" w:themeColor="text1"/>
          <w14:textFill>
            <w14:solidFill>
              <w14:schemeClr w14:val="tx1"/>
            </w14:solidFill>
          </w14:textFill>
        </w:rPr>
        <w:t>~0.50N</w:t>
      </w:r>
      <w:r>
        <w:rPr>
          <w:rFonts w:hint="eastAsia"/>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kgCOD</w:t>
      </w:r>
      <w:r>
        <w:rPr>
          <w:color w:val="000000" w:themeColor="text1"/>
          <w:vertAlign w:val="subscript"/>
          <w14:textFill>
            <w14:solidFill>
              <w14:schemeClr w14:val="tx1"/>
            </w14:solidFill>
          </w14:textFill>
        </w:rPr>
        <w:t>cr</w:t>
      </w:r>
      <w:r>
        <w:rPr>
          <w:rFonts w:hint="eastAsia"/>
          <w:color w:val="000000" w:themeColor="text1"/>
          <w14:textFill>
            <w14:solidFill>
              <w14:schemeClr w14:val="tx1"/>
            </w14:solidFill>
          </w14:textFill>
        </w:rPr>
        <w:t>，本项目U</w:t>
      </w:r>
      <w:r>
        <w:rPr>
          <w:color w:val="000000" w:themeColor="text1"/>
          <w14:textFill>
            <w14:solidFill>
              <w14:schemeClr w14:val="tx1"/>
            </w14:solidFill>
          </w14:textFill>
        </w:rPr>
        <w:t>ASB</w:t>
      </w:r>
      <w:r>
        <w:rPr>
          <w:rFonts w:hint="eastAsia"/>
          <w:color w:val="000000" w:themeColor="text1"/>
          <w14:textFill>
            <w14:solidFill>
              <w14:schemeClr w14:val="tx1"/>
            </w14:solidFill>
          </w14:textFill>
        </w:rPr>
        <w:t>反应器的沼气产率按0</w:t>
      </w:r>
      <w:r>
        <w:rPr>
          <w:color w:val="000000" w:themeColor="text1"/>
          <w14:textFill>
            <w14:solidFill>
              <w14:schemeClr w14:val="tx1"/>
            </w14:solidFill>
          </w14:textFill>
        </w:rPr>
        <w:t>.5N</w:t>
      </w:r>
      <w:r>
        <w:rPr>
          <w:rFonts w:hint="eastAsia"/>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kgCOD</w:t>
      </w:r>
      <w:r>
        <w:rPr>
          <w:color w:val="000000" w:themeColor="text1"/>
          <w:vertAlign w:val="subscript"/>
          <w14:textFill>
            <w14:solidFill>
              <w14:schemeClr w14:val="tx1"/>
            </w14:solidFill>
          </w14:textFill>
        </w:rPr>
        <w:t>cr</w:t>
      </w:r>
      <w:r>
        <w:rPr>
          <w:rFonts w:hint="eastAsia"/>
          <w:color w:val="000000" w:themeColor="text1"/>
          <w14:textFill>
            <w14:solidFill>
              <w14:schemeClr w14:val="tx1"/>
            </w14:solidFill>
          </w14:textFill>
        </w:rPr>
        <w:t>计，沼气产量按下式计算。</w:t>
      </w:r>
    </w:p>
    <w:p w14:paraId="103D0315">
      <w:pPr>
        <w:pStyle w:val="143"/>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821815" cy="630555"/>
            <wp:effectExtent l="0" t="0" r="6985" 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9"/>
                    <pic:cNvPicPr>
                      <a:picLocks noChangeAspect="1"/>
                    </pic:cNvPicPr>
                  </pic:nvPicPr>
                  <pic:blipFill>
                    <a:blip r:embed="rId104"/>
                    <a:stretch>
                      <a:fillRect/>
                    </a:stretch>
                  </pic:blipFill>
                  <pic:spPr>
                    <a:xfrm>
                      <a:off x="0" y="0"/>
                      <a:ext cx="1837117" cy="635925"/>
                    </a:xfrm>
                    <a:prstGeom prst="rect">
                      <a:avLst/>
                    </a:prstGeom>
                  </pic:spPr>
                </pic:pic>
              </a:graphicData>
            </a:graphic>
          </wp:inline>
        </w:drawing>
      </w:r>
    </w:p>
    <w:p w14:paraId="5520CB35">
      <w:pPr>
        <w:pStyle w:val="85"/>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式中：</w:t>
      </w:r>
      <w:r>
        <w:rPr>
          <w:rFonts w:cs="Times New Roman"/>
          <w:i/>
          <w:iCs/>
          <w:color w:val="000000" w:themeColor="text1"/>
          <w14:textFill>
            <w14:solidFill>
              <w14:schemeClr w14:val="tx1"/>
            </w14:solidFill>
          </w14:textFill>
        </w:rPr>
        <w:t>Q</w:t>
      </w:r>
      <w:r>
        <w:rPr>
          <w:rFonts w:cs="Times New Roman"/>
          <w:i/>
          <w:iCs/>
          <w:color w:val="000000" w:themeColor="text1"/>
          <w:vertAlign w:val="subscript"/>
          <w14:textFill>
            <w14:solidFill>
              <w14:schemeClr w14:val="tx1"/>
            </w14:solidFill>
          </w14:textFill>
        </w:rPr>
        <w:t>a</w:t>
      </w:r>
      <w:r>
        <w:rPr>
          <w:rFonts w:cs="Times New Roman"/>
          <w:color w:val="000000" w:themeColor="text1"/>
          <w14:textFill>
            <w14:solidFill>
              <w14:schemeClr w14:val="tx1"/>
            </w14:solidFill>
          </w14:textFill>
        </w:rPr>
        <w:t>—沼气产量，Nm</w:t>
      </w:r>
      <w:r>
        <w:rPr>
          <w:rFonts w:cs="Times New Roman"/>
          <w:color w:val="000000" w:themeColor="text1"/>
          <w:vertAlign w:val="superscript"/>
          <w14:textFill>
            <w14:solidFill>
              <w14:schemeClr w14:val="tx1"/>
            </w14:solidFill>
          </w14:textFill>
        </w:rPr>
        <w:t>3</w:t>
      </w:r>
      <w:r>
        <w:rPr>
          <w:rFonts w:cs="Times New Roman"/>
          <w:color w:val="000000" w:themeColor="text1"/>
          <w14:textFill>
            <w14:solidFill>
              <w14:schemeClr w14:val="tx1"/>
            </w14:solidFill>
          </w14:textFill>
        </w:rPr>
        <w:t>/d；</w:t>
      </w:r>
    </w:p>
    <w:p w14:paraId="26BC27B6">
      <w:pPr>
        <w:pStyle w:val="85"/>
        <w:ind w:firstLine="1200" w:firstLineChars="500"/>
        <w:rPr>
          <w:rFonts w:cs="Times New Roman"/>
          <w:color w:val="000000" w:themeColor="text1"/>
          <w14:textFill>
            <w14:solidFill>
              <w14:schemeClr w14:val="tx1"/>
            </w14:solidFill>
          </w14:textFill>
        </w:rPr>
      </w:pPr>
      <w:r>
        <w:rPr>
          <w:rFonts w:cs="Times New Roman"/>
          <w:i/>
          <w:iCs/>
          <w:color w:val="000000" w:themeColor="text1"/>
          <w14:textFill>
            <w14:solidFill>
              <w14:schemeClr w14:val="tx1"/>
            </w14:solidFill>
          </w14:textFill>
        </w:rPr>
        <w:t>Q</w:t>
      </w:r>
      <w:r>
        <w:rPr>
          <w:rFonts w:cs="Times New Roman"/>
          <w:color w:val="000000" w:themeColor="text1"/>
          <w14:textFill>
            <w14:solidFill>
              <w14:schemeClr w14:val="tx1"/>
            </w14:solidFill>
          </w14:textFill>
        </w:rPr>
        <w:t>—设计流量，m</w:t>
      </w:r>
      <w:r>
        <w:rPr>
          <w:rFonts w:cs="Times New Roman"/>
          <w:color w:val="000000" w:themeColor="text1"/>
          <w:vertAlign w:val="superscript"/>
          <w14:textFill>
            <w14:solidFill>
              <w14:schemeClr w14:val="tx1"/>
            </w14:solidFill>
          </w14:textFill>
        </w:rPr>
        <w:t>3</w:t>
      </w:r>
      <w:r>
        <w:rPr>
          <w:rFonts w:cs="Times New Roman"/>
          <w:color w:val="000000" w:themeColor="text1"/>
          <w14:textFill>
            <w14:solidFill>
              <w14:schemeClr w14:val="tx1"/>
            </w14:solidFill>
          </w14:textFill>
        </w:rPr>
        <w:t>/d；</w:t>
      </w:r>
    </w:p>
    <w:p w14:paraId="55B12F88">
      <w:pPr>
        <w:pStyle w:val="85"/>
        <w:ind w:firstLine="1200" w:firstLineChars="500"/>
        <w:rPr>
          <w:rFonts w:cs="Times New Roman"/>
          <w:color w:val="000000" w:themeColor="text1"/>
          <w14:textFill>
            <w14:solidFill>
              <w14:schemeClr w14:val="tx1"/>
            </w14:solidFill>
          </w14:textFill>
        </w:rPr>
      </w:pPr>
      <w:r>
        <w:rPr>
          <w:rFonts w:cs="Times New Roman"/>
          <w:i/>
          <w:iCs/>
          <w:color w:val="000000" w:themeColor="text1"/>
          <w14:textFill>
            <w14:solidFill>
              <w14:schemeClr w14:val="tx1"/>
            </w14:solidFill>
          </w14:textFill>
        </w:rPr>
        <w:t>η</w:t>
      </w:r>
      <w:r>
        <w:rPr>
          <w:rFonts w:cs="Times New Roman"/>
          <w:color w:val="000000" w:themeColor="text1"/>
          <w14:textFill>
            <w14:solidFill>
              <w14:schemeClr w14:val="tx1"/>
            </w14:solidFill>
          </w14:textFill>
        </w:rPr>
        <w:t>—沼气产率，m</w:t>
      </w:r>
      <w:r>
        <w:rPr>
          <w:rFonts w:cs="Times New Roman"/>
          <w:color w:val="000000" w:themeColor="text1"/>
          <w:vertAlign w:val="superscript"/>
          <w14:textFill>
            <w14:solidFill>
              <w14:schemeClr w14:val="tx1"/>
            </w14:solidFill>
          </w14:textFill>
        </w:rPr>
        <w:t>3</w:t>
      </w:r>
      <w:r>
        <w:rPr>
          <w:rFonts w:cs="Times New Roman"/>
          <w:color w:val="000000" w:themeColor="text1"/>
          <w14:textFill>
            <w14:solidFill>
              <w14:schemeClr w14:val="tx1"/>
            </w14:solidFill>
          </w14:textFill>
        </w:rPr>
        <w:t>/kgCOD</w:t>
      </w:r>
      <w:r>
        <w:rPr>
          <w:rFonts w:cs="Times New Roman"/>
          <w:color w:val="000000" w:themeColor="text1"/>
          <w:vertAlign w:val="subscript"/>
          <w14:textFill>
            <w14:solidFill>
              <w14:schemeClr w14:val="tx1"/>
            </w14:solidFill>
          </w14:textFill>
        </w:rPr>
        <w:t>cr</w:t>
      </w:r>
    </w:p>
    <w:p w14:paraId="1133D09A">
      <w:pPr>
        <w:pStyle w:val="85"/>
        <w:ind w:firstLine="1200" w:firstLineChars="500"/>
        <w:rPr>
          <w:rFonts w:cs="Times New Roman"/>
          <w:color w:val="000000" w:themeColor="text1"/>
          <w14:textFill>
            <w14:solidFill>
              <w14:schemeClr w14:val="tx1"/>
            </w14:solidFill>
          </w14:textFill>
        </w:rPr>
      </w:pPr>
      <w:r>
        <w:rPr>
          <w:rFonts w:cs="Times New Roman"/>
          <w:i/>
          <w:iCs/>
          <w:color w:val="000000" w:themeColor="text1"/>
          <w14:textFill>
            <w14:solidFill>
              <w14:schemeClr w14:val="tx1"/>
            </w14:solidFill>
          </w14:textFill>
        </w:rPr>
        <w:t>S</w:t>
      </w:r>
      <w:r>
        <w:rPr>
          <w:rFonts w:cs="Times New Roman"/>
          <w:i/>
          <w:iCs/>
          <w:color w:val="000000" w:themeColor="text1"/>
          <w:vertAlign w:val="subscript"/>
          <w14:textFill>
            <w14:solidFill>
              <w14:schemeClr w14:val="tx1"/>
            </w14:solidFill>
          </w14:textFill>
        </w:rPr>
        <w:t>0</w:t>
      </w:r>
      <w:r>
        <w:rPr>
          <w:rFonts w:cs="Times New Roman"/>
          <w:color w:val="000000" w:themeColor="text1"/>
          <w14:textFill>
            <w14:solidFill>
              <w14:schemeClr w14:val="tx1"/>
            </w14:solidFill>
          </w14:textFill>
        </w:rPr>
        <w:t>—</w:t>
      </w:r>
      <w:r>
        <w:rPr>
          <w:rFonts w:hint="eastAsia" w:cs="Times New Roman"/>
          <w:color w:val="000000" w:themeColor="text1"/>
          <w14:textFill>
            <w14:solidFill>
              <w14:schemeClr w14:val="tx1"/>
            </w14:solidFill>
          </w14:textFill>
        </w:rPr>
        <w:t>进水有机物浓度，mg</w:t>
      </w:r>
      <w:r>
        <w:rPr>
          <w:rFonts w:cs="Times New Roman"/>
          <w:color w:val="000000" w:themeColor="text1"/>
          <w14:textFill>
            <w14:solidFill>
              <w14:schemeClr w14:val="tx1"/>
            </w14:solidFill>
          </w14:textFill>
        </w:rPr>
        <w:t>COD</w:t>
      </w:r>
      <w:r>
        <w:rPr>
          <w:rFonts w:hint="eastAsia" w:cs="Times New Roman"/>
          <w:color w:val="000000" w:themeColor="text1"/>
          <w:vertAlign w:val="subscript"/>
          <w14:textFill>
            <w14:solidFill>
              <w14:schemeClr w14:val="tx1"/>
            </w14:solidFill>
          </w14:textFill>
        </w:rPr>
        <w:t>cr</w:t>
      </w:r>
      <w:r>
        <w:rPr>
          <w:rFonts w:cs="Times New Roman"/>
          <w:color w:val="000000" w:themeColor="text1"/>
          <w14:textFill>
            <w14:solidFill>
              <w14:schemeClr w14:val="tx1"/>
            </w14:solidFill>
          </w14:textFill>
        </w:rPr>
        <w:t>/L</w:t>
      </w:r>
      <w:r>
        <w:rPr>
          <w:rFonts w:hint="eastAsia" w:cs="Times New Roman"/>
          <w:color w:val="000000" w:themeColor="text1"/>
          <w14:textFill>
            <w14:solidFill>
              <w14:schemeClr w14:val="tx1"/>
            </w14:solidFill>
          </w14:textFill>
        </w:rPr>
        <w:t>；</w:t>
      </w:r>
    </w:p>
    <w:p w14:paraId="37B6C97C">
      <w:pPr>
        <w:pStyle w:val="85"/>
        <w:ind w:firstLine="1200" w:firstLineChars="500"/>
        <w:rPr>
          <w:rFonts w:cs="Times New Roman"/>
          <w:color w:val="000000" w:themeColor="text1"/>
          <w14:textFill>
            <w14:solidFill>
              <w14:schemeClr w14:val="tx1"/>
            </w14:solidFill>
          </w14:textFill>
        </w:rPr>
      </w:pPr>
      <w:r>
        <w:rPr>
          <w:rFonts w:cs="Times New Roman"/>
          <w:i/>
          <w:iCs/>
          <w:color w:val="000000" w:themeColor="text1"/>
          <w14:textFill>
            <w14:solidFill>
              <w14:schemeClr w14:val="tx1"/>
            </w14:solidFill>
          </w14:textFill>
        </w:rPr>
        <w:t>S</w:t>
      </w:r>
      <w:r>
        <w:rPr>
          <w:rFonts w:cs="Times New Roman"/>
          <w:i/>
          <w:iCs/>
          <w:color w:val="000000" w:themeColor="text1"/>
          <w:vertAlign w:val="subscript"/>
          <w14:textFill>
            <w14:solidFill>
              <w14:schemeClr w14:val="tx1"/>
            </w14:solidFill>
          </w14:textFill>
        </w:rPr>
        <w:t>e</w:t>
      </w:r>
      <w:r>
        <w:rPr>
          <w:rFonts w:cs="Times New Roman"/>
          <w:color w:val="000000" w:themeColor="text1"/>
          <w14:textFill>
            <w14:solidFill>
              <w14:schemeClr w14:val="tx1"/>
            </w14:solidFill>
          </w14:textFill>
        </w:rPr>
        <w:t>—</w:t>
      </w:r>
      <w:r>
        <w:rPr>
          <w:rFonts w:hint="eastAsia" w:cs="Times New Roman"/>
          <w:color w:val="000000" w:themeColor="text1"/>
          <w14:textFill>
            <w14:solidFill>
              <w14:schemeClr w14:val="tx1"/>
            </w14:solidFill>
          </w14:textFill>
        </w:rPr>
        <w:t>出</w:t>
      </w:r>
      <w:r>
        <w:rPr>
          <w:rFonts w:cs="Times New Roman"/>
          <w:color w:val="000000" w:themeColor="text1"/>
          <w14:textFill>
            <w14:solidFill>
              <w14:schemeClr w14:val="tx1"/>
            </w14:solidFill>
          </w14:textFill>
        </w:rPr>
        <w:t>水有机物浓度</w:t>
      </w:r>
      <w:r>
        <w:rPr>
          <w:rFonts w:hint="eastAsia" w:cs="Times New Roman"/>
          <w:color w:val="000000" w:themeColor="text1"/>
          <w14:textFill>
            <w14:solidFill>
              <w14:schemeClr w14:val="tx1"/>
            </w14:solidFill>
          </w14:textFill>
        </w:rPr>
        <w:t>，mg</w:t>
      </w:r>
      <w:r>
        <w:rPr>
          <w:rFonts w:cs="Times New Roman"/>
          <w:color w:val="000000" w:themeColor="text1"/>
          <w14:textFill>
            <w14:solidFill>
              <w14:schemeClr w14:val="tx1"/>
            </w14:solidFill>
          </w14:textFill>
        </w:rPr>
        <w:t>COD</w:t>
      </w:r>
      <w:r>
        <w:rPr>
          <w:rFonts w:cs="Times New Roman"/>
          <w:color w:val="000000" w:themeColor="text1"/>
          <w:vertAlign w:val="subscript"/>
          <w14:textFill>
            <w14:solidFill>
              <w14:schemeClr w14:val="tx1"/>
            </w14:solidFill>
          </w14:textFill>
        </w:rPr>
        <w:t>cr</w:t>
      </w:r>
      <w:r>
        <w:rPr>
          <w:rFonts w:cs="Times New Roman"/>
          <w:color w:val="000000" w:themeColor="text1"/>
          <w14:textFill>
            <w14:solidFill>
              <w14:schemeClr w14:val="tx1"/>
            </w14:solidFill>
          </w14:textFill>
        </w:rPr>
        <w:t>/L；</w:t>
      </w:r>
    </w:p>
    <w:p w14:paraId="118C4FB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经计算，本项目沼气产量为</w:t>
      </w:r>
      <w:r>
        <w:rPr>
          <w:rFonts w:hint="eastAsia"/>
          <w:color w:val="000000" w:themeColor="text1"/>
          <w:lang w:val="en-US" w:eastAsia="zh-CN"/>
          <w14:textFill>
            <w14:solidFill>
              <w14:schemeClr w14:val="tx1"/>
            </w14:solidFill>
          </w14:textFill>
        </w:rPr>
        <w:t>146.73</w:t>
      </w:r>
      <w:r>
        <w:rPr>
          <w:rFonts w:hint="eastAsia"/>
          <w:color w:val="000000" w:themeColor="text1"/>
          <w14:textFill>
            <w14:solidFill>
              <w14:schemeClr w14:val="tx1"/>
            </w14:solidFill>
          </w14:textFill>
        </w:rPr>
        <w:t>N</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r>
        <w:rPr>
          <w:rFonts w:hint="eastAsia"/>
          <w:color w:val="000000" w:themeColor="text1"/>
          <w14:textFill>
            <w14:solidFill>
              <w14:schemeClr w14:val="tx1"/>
            </w14:solidFill>
          </w14:textFill>
        </w:rPr>
        <w:t>，本项目U</w:t>
      </w:r>
      <w:r>
        <w:rPr>
          <w:color w:val="000000" w:themeColor="text1"/>
          <w14:textFill>
            <w14:solidFill>
              <w14:schemeClr w14:val="tx1"/>
            </w14:solidFill>
          </w14:textFill>
        </w:rPr>
        <w:t>ASB</w:t>
      </w:r>
      <w:r>
        <w:rPr>
          <w:rFonts w:hint="eastAsia"/>
          <w:color w:val="000000" w:themeColor="text1"/>
          <w14:textFill>
            <w14:solidFill>
              <w14:schemeClr w14:val="tx1"/>
            </w14:solidFill>
          </w14:textFill>
        </w:rPr>
        <w:t>反应器设置</w:t>
      </w:r>
      <w:r>
        <w:rPr>
          <w:color w:val="000000" w:themeColor="text1"/>
          <w14:textFill>
            <w14:solidFill>
              <w14:schemeClr w14:val="tx1"/>
            </w14:solidFill>
          </w14:textFill>
        </w:rPr>
        <w:t>沼气气室</w:t>
      </w:r>
      <w:r>
        <w:rPr>
          <w:rFonts w:hint="eastAsia"/>
          <w:color w:val="000000" w:themeColor="text1"/>
          <w14:textFill>
            <w14:solidFill>
              <w14:schemeClr w14:val="tx1"/>
            </w14:solidFill>
          </w14:textFill>
        </w:rPr>
        <w:t>1座，</w:t>
      </w:r>
      <w:r>
        <w:rPr>
          <w:color w:val="000000" w:themeColor="text1"/>
          <w14:textFill>
            <w14:solidFill>
              <w14:schemeClr w14:val="tx1"/>
            </w14:solidFill>
          </w14:textFill>
        </w:rPr>
        <w:t>沼气气室</w:t>
      </w:r>
      <w:r>
        <w:rPr>
          <w:rFonts w:hint="eastAsia"/>
          <w:color w:val="000000" w:themeColor="text1"/>
          <w14:textFill>
            <w14:solidFill>
              <w14:schemeClr w14:val="tx1"/>
            </w14:solidFill>
          </w14:textFill>
        </w:rPr>
        <w:t>储存能力为</w:t>
      </w:r>
      <w:r>
        <w:rPr>
          <w:rFonts w:hint="eastAsia"/>
          <w:color w:val="000000" w:themeColor="text1"/>
          <w:lang w:val="en-US" w:eastAsia="zh-CN"/>
          <w14:textFill>
            <w14:solidFill>
              <w14:schemeClr w14:val="tx1"/>
            </w14:solidFill>
          </w14:textFill>
        </w:rPr>
        <w:t>30</w:t>
      </w:r>
      <w:r>
        <w:rPr>
          <w:rFonts w:hint="eastAsia"/>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，理论上沼气中</w:t>
      </w:r>
      <w:r>
        <w:rPr>
          <w:color w:val="000000" w:themeColor="text1"/>
          <w14:textFill>
            <w14:solidFill>
              <w14:schemeClr w14:val="tx1"/>
            </w14:solidFill>
          </w14:textFill>
        </w:rPr>
        <w:t>CH</w:t>
      </w:r>
      <w:r>
        <w:rPr>
          <w:color w:val="000000" w:themeColor="text1"/>
          <w:vertAlign w:val="subscript"/>
          <w14:textFill>
            <w14:solidFill>
              <w14:schemeClr w14:val="tx1"/>
            </w14:solidFill>
          </w14:textFill>
        </w:rPr>
        <w:t>4</w:t>
      </w:r>
      <w:r>
        <w:rPr>
          <w:rFonts w:hint="eastAsia"/>
          <w:color w:val="000000" w:themeColor="text1"/>
          <w14:textFill>
            <w14:solidFill>
              <w14:schemeClr w14:val="tx1"/>
            </w14:solidFill>
          </w14:textFill>
        </w:rPr>
        <w:t>含量为</w:t>
      </w:r>
      <w:r>
        <w:rPr>
          <w:color w:val="000000" w:themeColor="text1"/>
          <w14:textFill>
            <w14:solidFill>
              <w14:schemeClr w14:val="tx1"/>
            </w14:solidFill>
          </w14:textFill>
        </w:rPr>
        <w:t>69%</w:t>
      </w:r>
      <w:r>
        <w:rPr>
          <w:rFonts w:hint="eastAsia"/>
          <w:color w:val="000000" w:themeColor="text1"/>
          <w14:textFill>
            <w14:solidFill>
              <w14:schemeClr w14:val="tx1"/>
            </w14:solidFill>
          </w14:textFill>
        </w:rPr>
        <w:t>。</w:t>
      </w:r>
    </w:p>
    <w:p w14:paraId="4EDB6690">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本项目沼气产生量为</w:t>
      </w:r>
      <w:r>
        <w:rPr>
          <w:rFonts w:hint="eastAsia"/>
          <w:color w:val="000000" w:themeColor="text1"/>
          <w:lang w:val="en-US" w:eastAsia="zh-CN"/>
          <w14:textFill>
            <w14:solidFill>
              <w14:schemeClr w14:val="tx1"/>
            </w14:solidFill>
          </w14:textFill>
        </w:rPr>
        <w:t>146.73</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r>
        <w:rPr>
          <w:rFonts w:hint="eastAsia"/>
          <w:color w:val="000000" w:themeColor="text1"/>
          <w:lang w:val="en-US" w:eastAsia="zh-CN"/>
          <w14:textFill>
            <w14:solidFill>
              <w14:schemeClr w14:val="tx1"/>
            </w14:solidFill>
          </w14:textFill>
        </w:rPr>
        <w:t>44019</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r>
        <w:rPr>
          <w:rFonts w:hint="eastAsia"/>
          <w:color w:val="000000" w:themeColor="text1"/>
          <w14:textFill>
            <w14:solidFill>
              <w14:schemeClr w14:val="tx1"/>
            </w14:solidFill>
          </w14:textFill>
        </w:rPr>
        <w:t>，其中C</w:t>
      </w:r>
      <w:r>
        <w:rPr>
          <w:color w:val="000000" w:themeColor="text1"/>
          <w14:textFill>
            <w14:solidFill>
              <w14:schemeClr w14:val="tx1"/>
            </w14:solidFill>
          </w14:textFill>
        </w:rPr>
        <w:t>H</w:t>
      </w:r>
      <w:r>
        <w:rPr>
          <w:color w:val="000000" w:themeColor="text1"/>
          <w:vertAlign w:val="subscript"/>
          <w14:textFill>
            <w14:solidFill>
              <w14:schemeClr w14:val="tx1"/>
            </w14:solidFill>
          </w14:textFill>
        </w:rPr>
        <w:t>4</w:t>
      </w:r>
      <w:r>
        <w:rPr>
          <w:rFonts w:hint="eastAsia"/>
          <w:color w:val="000000" w:themeColor="text1"/>
          <w14:textFill>
            <w14:solidFill>
              <w14:schemeClr w14:val="tx1"/>
            </w14:solidFill>
          </w14:textFill>
        </w:rPr>
        <w:t>的含量为</w:t>
      </w:r>
      <w:r>
        <w:rPr>
          <w:rFonts w:hint="eastAsia"/>
          <w:color w:val="000000" w:themeColor="text1"/>
          <w:lang w:val="en-US" w:eastAsia="zh-CN"/>
          <w14:textFill>
            <w14:solidFill>
              <w14:schemeClr w14:val="tx1"/>
            </w14:solidFill>
          </w14:textFill>
        </w:rPr>
        <w:t>30373.11</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3.037</w:t>
      </w:r>
      <w:r>
        <w:rPr>
          <w:rFonts w:hint="eastAsia"/>
          <w:color w:val="000000" w:themeColor="text1"/>
          <w14:textFill>
            <w14:solidFill>
              <w14:schemeClr w14:val="tx1"/>
            </w14:solidFill>
          </w14:textFill>
        </w:rPr>
        <w:t>万</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r>
        <w:rPr>
          <w:rFonts w:hint="eastAsia"/>
          <w:color w:val="000000" w:themeColor="text1"/>
          <w14:textFill>
            <w14:solidFill>
              <w14:schemeClr w14:val="tx1"/>
            </w14:solidFill>
          </w14:textFill>
        </w:rPr>
        <w:t>），</w:t>
      </w:r>
      <w:r>
        <w:rPr>
          <w:color w:val="000000" w:themeColor="text1"/>
          <w:highlight w:val="none"/>
          <w14:textFill>
            <w14:solidFill>
              <w14:schemeClr w14:val="tx1"/>
            </w14:solidFill>
          </w14:textFill>
        </w:rPr>
        <w:t>全部</w:t>
      </w:r>
      <w:r>
        <w:rPr>
          <w:rFonts w:hint="eastAsia"/>
          <w:color w:val="000000" w:themeColor="text1"/>
          <w:highlight w:val="none"/>
          <w14:textFill>
            <w14:solidFill>
              <w14:schemeClr w14:val="tx1"/>
            </w14:solidFill>
          </w14:textFill>
        </w:rPr>
        <w:t>经沼气自动燃烧器</w:t>
      </w:r>
      <w:r>
        <w:rPr>
          <w:color w:val="000000" w:themeColor="text1"/>
          <w:highlight w:val="none"/>
          <w14:textFill>
            <w14:solidFill>
              <w14:schemeClr w14:val="tx1"/>
            </w14:solidFill>
          </w14:textFill>
        </w:rPr>
        <w:t>燃烧</w:t>
      </w:r>
      <w:r>
        <w:rPr>
          <w:rFonts w:hint="eastAsia"/>
          <w:color w:val="000000" w:themeColor="text1"/>
          <w:highlight w:val="none"/>
          <w14:textFill>
            <w14:solidFill>
              <w14:schemeClr w14:val="tx1"/>
            </w14:solidFill>
          </w14:textFill>
        </w:rPr>
        <w:t>，排放污染物主要为颗粒物、</w:t>
      </w:r>
      <w:r>
        <w:rPr>
          <w:color w:val="000000" w:themeColor="text1"/>
          <w:highlight w:val="none"/>
          <w14:textFill>
            <w14:solidFill>
              <w14:schemeClr w14:val="tx1"/>
            </w14:solidFill>
          </w14:textFill>
        </w:rPr>
        <w:t>SO</w:t>
      </w:r>
      <w:r>
        <w:rPr>
          <w:color w:val="000000" w:themeColor="text1"/>
          <w:highlight w:val="none"/>
          <w:vertAlign w:val="subscript"/>
          <w14:textFill>
            <w14:solidFill>
              <w14:schemeClr w14:val="tx1"/>
            </w14:solidFill>
          </w14:textFill>
        </w:rPr>
        <w:t>2</w:t>
      </w:r>
      <w:r>
        <w:rPr>
          <w:rFonts w:hint="eastAsia"/>
          <w:color w:val="000000" w:themeColor="text1"/>
          <w:highlight w:val="none"/>
          <w14:textFill>
            <w14:solidFill>
              <w14:schemeClr w14:val="tx1"/>
            </w14:solidFill>
          </w14:textFill>
        </w:rPr>
        <w:t>和</w:t>
      </w:r>
      <w:r>
        <w:rPr>
          <w:color w:val="000000" w:themeColor="text1"/>
          <w:highlight w:val="none"/>
          <w14:textFill>
            <w14:solidFill>
              <w14:schemeClr w14:val="tx1"/>
            </w14:solidFill>
          </w14:textFill>
        </w:rPr>
        <w:t>NOx</w:t>
      </w:r>
      <w:r>
        <w:rPr>
          <w:rFonts w:hint="eastAsia"/>
          <w:color w:val="000000" w:themeColor="text1"/>
          <w:highlight w:val="none"/>
          <w14:textFill>
            <w14:solidFill>
              <w14:schemeClr w14:val="tx1"/>
            </w14:solidFill>
          </w14:textFill>
        </w:rPr>
        <w:t>。</w:t>
      </w:r>
      <w:r>
        <w:rPr>
          <w:rFonts w:hint="eastAsia"/>
          <w:color w:val="000000" w:themeColor="text1"/>
          <w14:textFill>
            <w14:solidFill>
              <w14:schemeClr w14:val="tx1"/>
            </w14:solidFill>
          </w14:textFill>
        </w:rPr>
        <w:t>计算方法参考燃气工业锅炉计算方法，其中</w:t>
      </w:r>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NOx</w:t>
      </w:r>
      <w:r>
        <w:rPr>
          <w:rFonts w:hint="eastAsia"/>
          <w:color w:val="000000" w:themeColor="text1"/>
          <w14:textFill>
            <w14:solidFill>
              <w14:schemeClr w14:val="tx1"/>
            </w14:solidFill>
          </w14:textFill>
        </w:rPr>
        <w:t>参照《排放源统计调查产排污核算方法和系数手册》中“锅炉产排污量核算系数手册”进行计算，颗粒物根据《煤、天然气燃烧的污染物产生系数》指出，每万</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天然气燃烧产生颗粒物量约为</w:t>
      </w:r>
      <w:r>
        <w:rPr>
          <w:color w:val="000000" w:themeColor="text1"/>
          <w14:textFill>
            <w14:solidFill>
              <w14:schemeClr w14:val="tx1"/>
            </w14:solidFill>
          </w14:textFill>
        </w:rPr>
        <w:t>2.4kg</w:t>
      </w:r>
      <w:r>
        <w:rPr>
          <w:rFonts w:hint="eastAsia"/>
          <w:color w:val="000000" w:themeColor="text1"/>
          <w14:textFill>
            <w14:solidFill>
              <w14:schemeClr w14:val="tx1"/>
            </w14:solidFill>
          </w14:textFill>
        </w:rPr>
        <w:t>。本项目沼气燃烧污染物产排系数见表</w:t>
      </w:r>
      <w:r>
        <w:rPr>
          <w:color w:val="000000" w:themeColor="text1"/>
          <w14:textFill>
            <w14:solidFill>
              <w14:schemeClr w14:val="tx1"/>
            </w14:solidFill>
          </w14:textFill>
        </w:rPr>
        <w:t>3-6-</w:t>
      </w: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w:t>
      </w:r>
    </w:p>
    <w:p w14:paraId="51FA93E7">
      <w:pPr>
        <w:pStyle w:val="206"/>
        <w:rPr>
          <w:color w:val="000000" w:themeColor="text1"/>
          <w14:textFill>
            <w14:solidFill>
              <w14:schemeClr w14:val="tx1"/>
            </w14:solidFill>
          </w14:textFill>
        </w:rPr>
      </w:pPr>
      <w:r>
        <w:rPr>
          <w:rFonts w:hint="eastAsia"/>
          <w:color w:val="000000" w:themeColor="text1"/>
          <w14:textFill>
            <w14:solidFill>
              <w14:schemeClr w14:val="tx1"/>
            </w14:solidFill>
          </w14:textFill>
        </w:rPr>
        <w:t>表3-</w:t>
      </w:r>
      <w:r>
        <w:rPr>
          <w:color w:val="000000" w:themeColor="text1"/>
          <w14:textFill>
            <w14:solidFill>
              <w14:schemeClr w14:val="tx1"/>
            </w14:solidFill>
          </w14:textFill>
        </w:rPr>
        <w:t>6-</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本项目沼气燃烧废气污染物产排系数表</w:t>
      </w:r>
    </w:p>
    <w:tbl>
      <w:tblPr>
        <w:tblStyle w:val="49"/>
        <w:tblW w:w="830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44"/>
        <w:gridCol w:w="2038"/>
        <w:gridCol w:w="1872"/>
        <w:gridCol w:w="2352"/>
      </w:tblGrid>
      <w:tr w14:paraId="4B520B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044" w:type="dxa"/>
            <w:vMerge w:val="restart"/>
            <w:shd w:val="clear" w:color="auto" w:fill="auto"/>
            <w:vAlign w:val="center"/>
          </w:tcPr>
          <w:p w14:paraId="1508ECD9">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污染物指标</w:t>
            </w:r>
          </w:p>
        </w:tc>
        <w:tc>
          <w:tcPr>
            <w:tcW w:w="3910" w:type="dxa"/>
            <w:gridSpan w:val="2"/>
            <w:shd w:val="clear" w:color="auto" w:fill="auto"/>
            <w:vAlign w:val="center"/>
          </w:tcPr>
          <w:p w14:paraId="1272F1D7">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产污系数</w:t>
            </w:r>
          </w:p>
        </w:tc>
        <w:tc>
          <w:tcPr>
            <w:tcW w:w="2352" w:type="dxa"/>
            <w:vMerge w:val="restart"/>
            <w:shd w:val="clear" w:color="auto" w:fill="auto"/>
            <w:vAlign w:val="center"/>
          </w:tcPr>
          <w:p w14:paraId="5EB470A3">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产生量</w:t>
            </w:r>
            <w:r>
              <w:rPr>
                <w:color w:val="000000" w:themeColor="text1"/>
                <w:lang w:val="en-US"/>
                <w14:textFill>
                  <w14:solidFill>
                    <w14:schemeClr w14:val="tx1"/>
                  </w14:solidFill>
                </w14:textFill>
              </w:rPr>
              <w:t>t/a</w:t>
            </w:r>
          </w:p>
        </w:tc>
      </w:tr>
      <w:tr w14:paraId="783D4E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 w:hRule="atLeast"/>
        </w:trPr>
        <w:tc>
          <w:tcPr>
            <w:tcW w:w="2044" w:type="dxa"/>
            <w:vMerge w:val="continue"/>
            <w:shd w:val="clear" w:color="auto" w:fill="auto"/>
            <w:vAlign w:val="center"/>
          </w:tcPr>
          <w:p w14:paraId="25906274">
            <w:pPr>
              <w:pStyle w:val="143"/>
              <w:rPr>
                <w:color w:val="000000" w:themeColor="text1"/>
                <w14:textFill>
                  <w14:solidFill>
                    <w14:schemeClr w14:val="tx1"/>
                  </w14:solidFill>
                </w14:textFill>
              </w:rPr>
            </w:pPr>
          </w:p>
        </w:tc>
        <w:tc>
          <w:tcPr>
            <w:tcW w:w="2038" w:type="dxa"/>
            <w:shd w:val="clear" w:color="auto" w:fill="auto"/>
            <w:vAlign w:val="center"/>
          </w:tcPr>
          <w:p w14:paraId="2F1DC905">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单位</w:t>
            </w:r>
          </w:p>
        </w:tc>
        <w:tc>
          <w:tcPr>
            <w:tcW w:w="1872" w:type="dxa"/>
            <w:shd w:val="clear" w:color="auto" w:fill="auto"/>
            <w:vAlign w:val="center"/>
          </w:tcPr>
          <w:p w14:paraId="24B5863B">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产污系数</w:t>
            </w:r>
          </w:p>
        </w:tc>
        <w:tc>
          <w:tcPr>
            <w:tcW w:w="2352" w:type="dxa"/>
            <w:vMerge w:val="continue"/>
            <w:shd w:val="clear" w:color="auto" w:fill="auto"/>
            <w:vAlign w:val="center"/>
          </w:tcPr>
          <w:p w14:paraId="62EB4EDD">
            <w:pPr>
              <w:pStyle w:val="143"/>
              <w:rPr>
                <w:color w:val="000000" w:themeColor="text1"/>
                <w14:textFill>
                  <w14:solidFill>
                    <w14:schemeClr w14:val="tx1"/>
                  </w14:solidFill>
                </w14:textFill>
              </w:rPr>
            </w:pPr>
          </w:p>
        </w:tc>
      </w:tr>
      <w:tr w14:paraId="156E74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2044" w:type="dxa"/>
            <w:shd w:val="clear" w:color="auto" w:fill="auto"/>
            <w:vAlign w:val="center"/>
          </w:tcPr>
          <w:p w14:paraId="62F672C7">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烟气量</w:t>
            </w:r>
          </w:p>
        </w:tc>
        <w:tc>
          <w:tcPr>
            <w:tcW w:w="2038" w:type="dxa"/>
            <w:shd w:val="clear" w:color="auto" w:fill="auto"/>
            <w:vAlign w:val="center"/>
          </w:tcPr>
          <w:p w14:paraId="239E2BB7">
            <w:pPr>
              <w:pStyle w:val="143"/>
              <w:rPr>
                <w:color w:val="000000" w:themeColor="text1"/>
                <w14:textFill>
                  <w14:solidFill>
                    <w14:schemeClr w14:val="tx1"/>
                  </w14:solidFill>
                </w14:textFill>
              </w:rPr>
            </w:pP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万</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p>
        </w:tc>
        <w:tc>
          <w:tcPr>
            <w:tcW w:w="1872" w:type="dxa"/>
            <w:shd w:val="clear" w:color="auto" w:fill="auto"/>
            <w:vAlign w:val="center"/>
          </w:tcPr>
          <w:p w14:paraId="05FFC2C8">
            <w:pPr>
              <w:pStyle w:val="143"/>
              <w:rPr>
                <w:color w:val="000000" w:themeColor="text1"/>
                <w14:textFill>
                  <w14:solidFill>
                    <w14:schemeClr w14:val="tx1"/>
                  </w14:solidFill>
                </w14:textFill>
              </w:rPr>
            </w:pPr>
            <w:r>
              <w:rPr>
                <w:color w:val="000000" w:themeColor="text1"/>
                <w14:textFill>
                  <w14:solidFill>
                    <w14:schemeClr w14:val="tx1"/>
                  </w14:solidFill>
                </w14:textFill>
              </w:rPr>
              <w:t>107753</w:t>
            </w:r>
          </w:p>
        </w:tc>
        <w:tc>
          <w:tcPr>
            <w:tcW w:w="2352" w:type="dxa"/>
            <w:shd w:val="clear" w:color="auto" w:fill="auto"/>
            <w:vAlign w:val="center"/>
          </w:tcPr>
          <w:p w14:paraId="3FE02815">
            <w:pPr>
              <w:pStyle w:val="143"/>
              <w:rPr>
                <w:color w:val="000000" w:themeColor="text1"/>
                <w14:textFill>
                  <w14:solidFill>
                    <w14:schemeClr w14:val="tx1"/>
                  </w14:solidFill>
                </w14:textFill>
              </w:rPr>
            </w:pPr>
            <w:r>
              <w:rPr>
                <w:color w:val="000000" w:themeColor="text1"/>
                <w14:textFill>
                  <w14:solidFill>
                    <w14:schemeClr w14:val="tx1"/>
                  </w14:solidFill>
                </w14:textFill>
              </w:rPr>
              <w:t>327245.86m</w:t>
            </w:r>
            <w:r>
              <w:rPr>
                <w:color w:val="000000" w:themeColor="text1"/>
                <w:vertAlign w:val="superscript"/>
                <w14:textFill>
                  <w14:solidFill>
                    <w14:schemeClr w14:val="tx1"/>
                  </w14:solidFill>
                </w14:textFill>
              </w:rPr>
              <w:t>3</w:t>
            </w:r>
          </w:p>
        </w:tc>
      </w:tr>
      <w:tr w14:paraId="62DBF0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2044" w:type="dxa"/>
            <w:shd w:val="clear" w:color="auto" w:fill="auto"/>
            <w:vAlign w:val="center"/>
          </w:tcPr>
          <w:p w14:paraId="3883E853">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颗粒物</w:t>
            </w:r>
          </w:p>
        </w:tc>
        <w:tc>
          <w:tcPr>
            <w:tcW w:w="2038" w:type="dxa"/>
            <w:shd w:val="clear" w:color="auto" w:fill="auto"/>
            <w:vAlign w:val="center"/>
          </w:tcPr>
          <w:p w14:paraId="37748A33">
            <w:pPr>
              <w:pStyle w:val="143"/>
              <w:rPr>
                <w:color w:val="000000" w:themeColor="text1"/>
                <w14:textFill>
                  <w14:solidFill>
                    <w14:schemeClr w14:val="tx1"/>
                  </w14:solidFill>
                </w14:textFill>
              </w:rPr>
            </w:pPr>
            <w:r>
              <w:rPr>
                <w:color w:val="000000" w:themeColor="text1"/>
                <w14:textFill>
                  <w14:solidFill>
                    <w14:schemeClr w14:val="tx1"/>
                  </w14:solidFill>
                </w14:textFill>
              </w:rPr>
              <w:t>kg/</w:t>
            </w:r>
            <w:r>
              <w:rPr>
                <w:rFonts w:hint="eastAsia"/>
                <w:color w:val="000000" w:themeColor="text1"/>
                <w14:textFill>
                  <w14:solidFill>
                    <w14:schemeClr w14:val="tx1"/>
                  </w14:solidFill>
                </w14:textFill>
              </w:rPr>
              <w:t>万</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p>
        </w:tc>
        <w:tc>
          <w:tcPr>
            <w:tcW w:w="1872" w:type="dxa"/>
            <w:shd w:val="clear" w:color="auto" w:fill="auto"/>
            <w:vAlign w:val="center"/>
          </w:tcPr>
          <w:p w14:paraId="0CE69C66">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.4</w:t>
            </w:r>
          </w:p>
        </w:tc>
        <w:tc>
          <w:tcPr>
            <w:tcW w:w="2352" w:type="dxa"/>
            <w:shd w:val="clear" w:color="auto" w:fill="auto"/>
            <w:vAlign w:val="center"/>
          </w:tcPr>
          <w:p w14:paraId="060AAEAE">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0.0073</w:t>
            </w:r>
            <w:r>
              <w:rPr>
                <w:color w:val="000000" w:themeColor="text1"/>
                <w:lang w:val="en-US"/>
                <w14:textFill>
                  <w14:solidFill>
                    <w14:schemeClr w14:val="tx1"/>
                  </w14:solidFill>
                </w14:textFill>
              </w:rPr>
              <w:t>t/a</w:t>
            </w:r>
          </w:p>
        </w:tc>
      </w:tr>
      <w:tr w14:paraId="6F77E5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 w:hRule="atLeast"/>
        </w:trPr>
        <w:tc>
          <w:tcPr>
            <w:tcW w:w="2044" w:type="dxa"/>
            <w:shd w:val="clear" w:color="auto" w:fill="auto"/>
            <w:vAlign w:val="center"/>
          </w:tcPr>
          <w:p w14:paraId="497E58BA">
            <w:pPr>
              <w:pStyle w:val="143"/>
              <w:rPr>
                <w:color w:val="000000" w:themeColor="text1"/>
                <w14:textFill>
                  <w14:solidFill>
                    <w14:schemeClr w14:val="tx1"/>
                  </w14:solidFill>
                </w14:textFill>
              </w:rPr>
            </w:pPr>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2</w:t>
            </w:r>
          </w:p>
        </w:tc>
        <w:tc>
          <w:tcPr>
            <w:tcW w:w="2038" w:type="dxa"/>
            <w:shd w:val="clear" w:color="auto" w:fill="auto"/>
            <w:vAlign w:val="center"/>
          </w:tcPr>
          <w:p w14:paraId="0F1EAF8A">
            <w:pPr>
              <w:pStyle w:val="143"/>
              <w:rPr>
                <w:color w:val="000000" w:themeColor="text1"/>
                <w14:textFill>
                  <w14:solidFill>
                    <w14:schemeClr w14:val="tx1"/>
                  </w14:solidFill>
                </w14:textFill>
              </w:rPr>
            </w:pPr>
            <w:r>
              <w:rPr>
                <w:color w:val="000000" w:themeColor="text1"/>
                <w14:textFill>
                  <w14:solidFill>
                    <w14:schemeClr w14:val="tx1"/>
                  </w14:solidFill>
                </w14:textFill>
              </w:rPr>
              <w:t>kg/</w:t>
            </w:r>
            <w:r>
              <w:rPr>
                <w:rFonts w:hint="eastAsia"/>
                <w:color w:val="000000" w:themeColor="text1"/>
                <w14:textFill>
                  <w14:solidFill>
                    <w14:schemeClr w14:val="tx1"/>
                  </w14:solidFill>
                </w14:textFill>
              </w:rPr>
              <w:t>万</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p>
        </w:tc>
        <w:tc>
          <w:tcPr>
            <w:tcW w:w="1872" w:type="dxa"/>
            <w:shd w:val="clear" w:color="auto" w:fill="auto"/>
            <w:vAlign w:val="center"/>
          </w:tcPr>
          <w:p w14:paraId="2740FE0D">
            <w:pPr>
              <w:pStyle w:val="143"/>
              <w:rPr>
                <w:color w:val="000000" w:themeColor="text1"/>
                <w14:textFill>
                  <w14:solidFill>
                    <w14:schemeClr w14:val="tx1"/>
                  </w14:solidFill>
                </w14:textFill>
              </w:rPr>
            </w:pPr>
            <w:r>
              <w:rPr>
                <w:color w:val="000000" w:themeColor="text1"/>
                <w14:textFill>
                  <w14:solidFill>
                    <w14:schemeClr w14:val="tx1"/>
                  </w14:solidFill>
                </w14:textFill>
              </w:rPr>
              <w:t>0.02S</w:t>
            </w:r>
          </w:p>
        </w:tc>
        <w:tc>
          <w:tcPr>
            <w:tcW w:w="2352" w:type="dxa"/>
            <w:shd w:val="clear" w:color="auto" w:fill="auto"/>
            <w:vAlign w:val="center"/>
          </w:tcPr>
          <w:p w14:paraId="035F060D">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0.0012</w:t>
            </w:r>
            <w:r>
              <w:rPr>
                <w:color w:val="000000" w:themeColor="text1"/>
                <w:lang w:val="en-US"/>
                <w14:textFill>
                  <w14:solidFill>
                    <w14:schemeClr w14:val="tx1"/>
                  </w14:solidFill>
                </w14:textFill>
              </w:rPr>
              <w:t>t/a</w:t>
            </w:r>
          </w:p>
        </w:tc>
      </w:tr>
      <w:tr w14:paraId="60101E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2044" w:type="dxa"/>
            <w:shd w:val="clear" w:color="auto" w:fill="auto"/>
            <w:vAlign w:val="center"/>
          </w:tcPr>
          <w:p w14:paraId="65AF5C32">
            <w:pPr>
              <w:pStyle w:val="143"/>
              <w:rPr>
                <w:color w:val="000000" w:themeColor="text1"/>
                <w14:textFill>
                  <w14:solidFill>
                    <w14:schemeClr w14:val="tx1"/>
                  </w14:solidFill>
                </w14:textFill>
              </w:rPr>
            </w:pPr>
            <w:r>
              <w:rPr>
                <w:color w:val="000000" w:themeColor="text1"/>
                <w14:textFill>
                  <w14:solidFill>
                    <w14:schemeClr w14:val="tx1"/>
                  </w14:solidFill>
                </w14:textFill>
              </w:rPr>
              <w:t>NO</w:t>
            </w:r>
            <w:r>
              <w:rPr>
                <w:color w:val="000000" w:themeColor="text1"/>
                <w:vertAlign w:val="subscript"/>
                <w14:textFill>
                  <w14:solidFill>
                    <w14:schemeClr w14:val="tx1"/>
                  </w14:solidFill>
                </w14:textFill>
              </w:rPr>
              <w:t>x</w:t>
            </w:r>
          </w:p>
        </w:tc>
        <w:tc>
          <w:tcPr>
            <w:tcW w:w="2038" w:type="dxa"/>
            <w:shd w:val="clear" w:color="auto" w:fill="auto"/>
            <w:vAlign w:val="center"/>
          </w:tcPr>
          <w:p w14:paraId="1370C6B4">
            <w:pPr>
              <w:pStyle w:val="143"/>
              <w:rPr>
                <w:color w:val="000000" w:themeColor="text1"/>
                <w14:textFill>
                  <w14:solidFill>
                    <w14:schemeClr w14:val="tx1"/>
                  </w14:solidFill>
                </w14:textFill>
              </w:rPr>
            </w:pPr>
            <w:r>
              <w:rPr>
                <w:color w:val="000000" w:themeColor="text1"/>
                <w14:textFill>
                  <w14:solidFill>
                    <w14:schemeClr w14:val="tx1"/>
                  </w14:solidFill>
                </w14:textFill>
              </w:rPr>
              <w:t>kg/</w:t>
            </w:r>
            <w:r>
              <w:rPr>
                <w:rFonts w:hint="eastAsia"/>
                <w:color w:val="000000" w:themeColor="text1"/>
                <w14:textFill>
                  <w14:solidFill>
                    <w14:schemeClr w14:val="tx1"/>
                  </w14:solidFill>
                </w14:textFill>
              </w:rPr>
              <w:t>万</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p>
        </w:tc>
        <w:tc>
          <w:tcPr>
            <w:tcW w:w="1872" w:type="dxa"/>
            <w:shd w:val="clear" w:color="auto" w:fill="auto"/>
            <w:vAlign w:val="center"/>
          </w:tcPr>
          <w:p w14:paraId="6883A761">
            <w:pPr>
              <w:pStyle w:val="143"/>
              <w:rPr>
                <w:color w:val="000000" w:themeColor="text1"/>
                <w14:textFill>
                  <w14:solidFill>
                    <w14:schemeClr w14:val="tx1"/>
                  </w14:solidFill>
                </w14:textFill>
              </w:rPr>
            </w:pPr>
            <w:r>
              <w:rPr>
                <w:color w:val="000000" w:themeColor="text1"/>
                <w14:textFill>
                  <w14:solidFill>
                    <w14:schemeClr w14:val="tx1"/>
                  </w14:solidFill>
                </w14:textFill>
              </w:rPr>
              <w:t>15.87</w:t>
            </w:r>
          </w:p>
        </w:tc>
        <w:tc>
          <w:tcPr>
            <w:tcW w:w="2352" w:type="dxa"/>
            <w:shd w:val="clear" w:color="auto" w:fill="auto"/>
            <w:vAlign w:val="center"/>
          </w:tcPr>
          <w:p w14:paraId="1DB912BA">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0.0482</w:t>
            </w:r>
            <w:r>
              <w:rPr>
                <w:color w:val="000000" w:themeColor="text1"/>
                <w:lang w:val="en-US"/>
                <w14:textFill>
                  <w14:solidFill>
                    <w14:schemeClr w14:val="tx1"/>
                  </w14:solidFill>
                </w14:textFill>
              </w:rPr>
              <w:t>t/a</w:t>
            </w:r>
          </w:p>
        </w:tc>
      </w:tr>
    </w:tbl>
    <w:p w14:paraId="5142625A">
      <w:pPr>
        <w:pStyle w:val="143"/>
        <w:jc w:val="both"/>
        <w:rPr>
          <w:color w:val="000000" w:themeColor="text1"/>
          <w:highlight w:val="none"/>
          <w14:textFill>
            <w14:solidFill>
              <w14:schemeClr w14:val="tx1"/>
            </w14:solidFill>
          </w14:textFill>
        </w:rPr>
      </w:pPr>
      <w:r>
        <w:rPr>
          <w:rFonts w:hint="eastAsia"/>
          <w:color w:val="000000" w:themeColor="text1"/>
          <w14:textFill>
            <w14:solidFill>
              <w14:schemeClr w14:val="tx1"/>
            </w14:solidFill>
          </w14:textFill>
        </w:rPr>
        <w:t>注：产排污系数表中二氧化硫的产排污系数是以含硫量（</w:t>
      </w:r>
      <w:r>
        <w:rPr>
          <w:color w:val="000000" w:themeColor="text1"/>
          <w14:textFill>
            <w14:solidFill>
              <w14:schemeClr w14:val="tx1"/>
            </w14:solidFill>
          </w14:textFill>
        </w:rPr>
        <w:t>S</w:t>
      </w:r>
      <w:r>
        <w:rPr>
          <w:rFonts w:hint="eastAsia"/>
          <w:color w:val="000000" w:themeColor="text1"/>
          <w14:textFill>
            <w14:solidFill>
              <w14:schemeClr w14:val="tx1"/>
            </w14:solidFill>
          </w14:textFill>
        </w:rPr>
        <w:t>）的形式表示的，其中含硫量（</w:t>
      </w:r>
      <w:r>
        <w:rPr>
          <w:color w:val="000000" w:themeColor="text1"/>
          <w14:textFill>
            <w14:solidFill>
              <w14:schemeClr w14:val="tx1"/>
            </w14:solidFill>
          </w14:textFill>
        </w:rPr>
        <w:t>S</w:t>
      </w:r>
      <w:r>
        <w:rPr>
          <w:rFonts w:hint="eastAsia"/>
          <w:color w:val="000000" w:themeColor="text1"/>
          <w14:textFill>
            <w14:solidFill>
              <w14:schemeClr w14:val="tx1"/>
            </w14:solidFill>
          </w14:textFill>
        </w:rPr>
        <w:t>）是指燃气收到基硫分含量，单位为毫克</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立方米</w:t>
      </w:r>
      <w:r>
        <w:rPr>
          <w:rFonts w:hint="eastAsia"/>
          <w:color w:val="000000" w:themeColor="text1"/>
          <w:highlight w:val="none"/>
          <w14:textFill>
            <w14:solidFill>
              <w14:schemeClr w14:val="tx1"/>
            </w14:solidFill>
          </w14:textFill>
        </w:rPr>
        <w:t>。例如燃料中含硫量（</w:t>
      </w:r>
      <w:r>
        <w:rPr>
          <w:color w:val="000000" w:themeColor="text1"/>
          <w:highlight w:val="none"/>
          <w14:textFill>
            <w14:solidFill>
              <w14:schemeClr w14:val="tx1"/>
            </w14:solidFill>
          </w14:textFill>
        </w:rPr>
        <w:t>S</w:t>
      </w:r>
      <w:r>
        <w:rPr>
          <w:rFonts w:hint="eastAsia"/>
          <w:color w:val="000000" w:themeColor="text1"/>
          <w:highlight w:val="none"/>
          <w14:textFill>
            <w14:solidFill>
              <w14:schemeClr w14:val="tx1"/>
            </w14:solidFill>
          </w14:textFill>
        </w:rPr>
        <w:t>）为</w:t>
      </w:r>
      <w:r>
        <w:rPr>
          <w:color w:val="000000" w:themeColor="text1"/>
          <w:highlight w:val="none"/>
          <w14:textFill>
            <w14:solidFill>
              <w14:schemeClr w14:val="tx1"/>
            </w14:solidFill>
          </w14:textFill>
        </w:rPr>
        <w:t>200</w:t>
      </w:r>
      <w:r>
        <w:rPr>
          <w:rFonts w:hint="eastAsia"/>
          <w:color w:val="000000" w:themeColor="text1"/>
          <w:highlight w:val="none"/>
          <w14:textFill>
            <w14:solidFill>
              <w14:schemeClr w14:val="tx1"/>
            </w14:solidFill>
          </w14:textFill>
        </w:rPr>
        <w:t>毫克</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立方米，则</w:t>
      </w:r>
      <w:r>
        <w:rPr>
          <w:color w:val="000000" w:themeColor="text1"/>
          <w:highlight w:val="none"/>
          <w14:textFill>
            <w14:solidFill>
              <w14:schemeClr w14:val="tx1"/>
            </w14:solidFill>
          </w14:textFill>
        </w:rPr>
        <w:t>S=200</w:t>
      </w:r>
      <w:r>
        <w:rPr>
          <w:rFonts w:hint="eastAsia"/>
          <w:color w:val="000000" w:themeColor="text1"/>
          <w:highlight w:val="none"/>
          <w14:textFill>
            <w14:solidFill>
              <w14:schemeClr w14:val="tx1"/>
            </w14:solidFill>
          </w14:textFill>
        </w:rPr>
        <w:t>。</w:t>
      </w:r>
    </w:p>
    <w:p w14:paraId="7AC40669">
      <w:pPr>
        <w:pStyle w:val="85"/>
        <w:rPr>
          <w:color w:val="000000" w:themeColor="text1"/>
          <w:highlight w:val="green"/>
          <w14:textFill>
            <w14:solidFill>
              <w14:schemeClr w14:val="tx1"/>
            </w14:solidFill>
          </w14:textFill>
        </w:rPr>
      </w:pPr>
      <w:r>
        <w:rPr>
          <w:rFonts w:hint="eastAsia"/>
          <w:color w:val="000000" w:themeColor="text1"/>
          <w:highlight w:val="none"/>
          <w14:textFill>
            <w14:solidFill>
              <w14:schemeClr w14:val="tx1"/>
            </w14:solidFill>
          </w14:textFill>
        </w:rPr>
        <w:t>本项目</w:t>
      </w:r>
      <w:r>
        <w:rPr>
          <w:color w:val="000000" w:themeColor="text1"/>
          <w:highlight w:val="none"/>
          <w14:textFill>
            <w14:solidFill>
              <w14:schemeClr w14:val="tx1"/>
            </w14:solidFill>
          </w14:textFill>
        </w:rPr>
        <w:t>沼气干法脱硫</w:t>
      </w:r>
      <w:r>
        <w:rPr>
          <w:rFonts w:hint="eastAsia"/>
          <w:color w:val="000000" w:themeColor="text1"/>
          <w:highlight w:val="none"/>
          <w14:textFill>
            <w14:solidFill>
              <w14:schemeClr w14:val="tx1"/>
            </w14:solidFill>
          </w14:textFill>
        </w:rPr>
        <w:t>后</w:t>
      </w:r>
      <w:r>
        <w:rPr>
          <w:color w:val="000000" w:themeColor="text1"/>
          <w:highlight w:val="none"/>
          <w14:textFill>
            <w14:solidFill>
              <w14:schemeClr w14:val="tx1"/>
            </w14:solidFill>
          </w14:textFill>
        </w:rPr>
        <w:t>硫化氢含量小于</w:t>
      </w:r>
      <w:r>
        <w:rPr>
          <w:rFonts w:hint="eastAsia"/>
          <w:color w:val="000000" w:themeColor="text1"/>
          <w:highlight w:val="none"/>
          <w:lang w:val="en-US" w:eastAsia="zh-CN"/>
          <w14:textFill>
            <w14:solidFill>
              <w14:schemeClr w14:val="tx1"/>
            </w14:solidFill>
          </w14:textFill>
        </w:rPr>
        <w:t>50</w:t>
      </w:r>
      <w:r>
        <w:rPr>
          <w:color w:val="000000" w:themeColor="text1"/>
          <w:highlight w:val="none"/>
          <w14:textFill>
            <w14:solidFill>
              <w14:schemeClr w14:val="tx1"/>
            </w14:solidFill>
          </w14:textFill>
        </w:rPr>
        <w:t>mg/m</w:t>
      </w:r>
      <w:r>
        <w:rPr>
          <w:color w:val="000000" w:themeColor="text1"/>
          <w:highlight w:val="none"/>
          <w:vertAlign w:val="superscript"/>
          <w14:textFill>
            <w14:solidFill>
              <w14:schemeClr w14:val="tx1"/>
            </w14:solidFill>
          </w14:textFill>
        </w:rPr>
        <w:t>3</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本项目</w:t>
      </w:r>
      <w:r>
        <w:rPr>
          <w:rFonts w:hint="eastAsia"/>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以</w:t>
      </w:r>
      <w:r>
        <w:rPr>
          <w:rFonts w:hint="eastAsia"/>
          <w:color w:val="000000" w:themeColor="text1"/>
          <w:highlight w:val="none"/>
          <w:lang w:val="en-US" w:eastAsia="zh-CN"/>
          <w14:textFill>
            <w14:solidFill>
              <w14:schemeClr w14:val="tx1"/>
            </w14:solidFill>
          </w14:textFill>
        </w:rPr>
        <w:t>20</w:t>
      </w:r>
      <w:r>
        <w:rPr>
          <w:color w:val="000000" w:themeColor="text1"/>
          <w:highlight w:val="none"/>
          <w14:textFill>
            <w14:solidFill>
              <w14:schemeClr w14:val="tx1"/>
            </w14:solidFill>
          </w14:textFill>
        </w:rPr>
        <w:t>mg/m</w:t>
      </w:r>
      <w:r>
        <w:rPr>
          <w:color w:val="000000" w:themeColor="text1"/>
          <w:highlight w:val="none"/>
          <w:vertAlign w:val="superscript"/>
          <w14:textFill>
            <w14:solidFill>
              <w14:schemeClr w14:val="tx1"/>
            </w14:solidFill>
          </w14:textFill>
        </w:rPr>
        <w:t>3</w:t>
      </w:r>
      <w:r>
        <w:rPr>
          <w:rFonts w:hint="eastAsia"/>
          <w:color w:val="000000" w:themeColor="text1"/>
          <w:highlight w:val="none"/>
          <w14:textFill>
            <w14:solidFill>
              <w14:schemeClr w14:val="tx1"/>
            </w14:solidFill>
          </w14:textFill>
        </w:rPr>
        <w:t>计。</w:t>
      </w:r>
    </w:p>
    <w:p w14:paraId="4D36E3A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经计算得出颗粒物产生量</w:t>
      </w:r>
      <w:r>
        <w:rPr>
          <w:rFonts w:hint="eastAsia"/>
          <w:color w:val="000000" w:themeColor="text1"/>
          <w:lang w:val="en-US" w:eastAsia="zh-CN"/>
          <w14:textFill>
            <w14:solidFill>
              <w14:schemeClr w14:val="tx1"/>
            </w14:solidFill>
          </w14:textFill>
        </w:rPr>
        <w:t>0.0073</w:t>
      </w:r>
      <w:r>
        <w:rPr>
          <w:color w:val="000000" w:themeColor="text1"/>
          <w14:textFill>
            <w14:solidFill>
              <w14:schemeClr w14:val="tx1"/>
            </w14:solidFill>
          </w14:textFill>
        </w:rPr>
        <w:t>t/a</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SO</w:t>
      </w:r>
      <w:r>
        <w:rPr>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产生量</w:t>
      </w:r>
      <w:r>
        <w:rPr>
          <w:rFonts w:hint="eastAsia"/>
          <w:color w:val="000000" w:themeColor="text1"/>
          <w:lang w:val="en-US" w:eastAsia="zh-CN"/>
          <w14:textFill>
            <w14:solidFill>
              <w14:schemeClr w14:val="tx1"/>
            </w14:solidFill>
          </w14:textFill>
        </w:rPr>
        <w:t>0.0012</w:t>
      </w:r>
      <w:r>
        <w:rPr>
          <w:color w:val="000000" w:themeColor="text1"/>
          <w14:textFill>
            <w14:solidFill>
              <w14:schemeClr w14:val="tx1"/>
            </w14:solidFill>
          </w14:textFill>
        </w:rPr>
        <w:t>t/a</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NO</w:t>
      </w:r>
      <w:r>
        <w:rPr>
          <w:color w:val="000000" w:themeColor="text1"/>
          <w:vertAlign w:val="subscript"/>
          <w14:textFill>
            <w14:solidFill>
              <w14:schemeClr w14:val="tx1"/>
            </w14:solidFill>
          </w14:textFill>
        </w:rPr>
        <w:t>x</w:t>
      </w:r>
      <w:r>
        <w:rPr>
          <w:rFonts w:hint="eastAsia"/>
          <w:color w:val="000000" w:themeColor="text1"/>
          <w14:textFill>
            <w14:solidFill>
              <w14:schemeClr w14:val="tx1"/>
            </w14:solidFill>
          </w14:textFill>
        </w:rPr>
        <w:t>产生量</w:t>
      </w:r>
      <w:r>
        <w:rPr>
          <w:rFonts w:hint="eastAsia"/>
          <w:color w:val="000000" w:themeColor="text1"/>
          <w:lang w:val="en-US" w:eastAsia="zh-CN"/>
          <w14:textFill>
            <w14:solidFill>
              <w14:schemeClr w14:val="tx1"/>
            </w14:solidFill>
          </w14:textFill>
        </w:rPr>
        <w:t>0.0482</w:t>
      </w:r>
      <w:r>
        <w:rPr>
          <w:color w:val="000000" w:themeColor="text1"/>
          <w14:textFill>
            <w14:solidFill>
              <w14:schemeClr w14:val="tx1"/>
            </w14:solidFill>
          </w14:textFill>
        </w:rPr>
        <w:t>t/a</w:t>
      </w:r>
      <w:r>
        <w:rPr>
          <w:rFonts w:hint="eastAsia"/>
          <w:color w:val="000000" w:themeColor="text1"/>
          <w14:textFill>
            <w14:solidFill>
              <w14:schemeClr w14:val="tx1"/>
            </w14:solidFill>
          </w14:textFill>
        </w:rPr>
        <w:t>。</w:t>
      </w:r>
    </w:p>
    <w:p w14:paraId="46F51B79">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沼气自动燃烧器燃烧排放的废气无组织排放，沼气主要成分为甲烷，为清洁能源，沼气燃烧产生污染物排放量较少，对环境影响很小，可以被环境接受。沼气燃烧排放的颗粒物</w:t>
      </w:r>
      <w:r>
        <w:rPr>
          <w:color w:val="000000" w:themeColor="text1"/>
          <w14:textFill>
            <w14:solidFill>
              <w14:schemeClr w14:val="tx1"/>
            </w14:solidFill>
          </w14:textFill>
        </w:rPr>
        <w:t>、NOx、SO</w:t>
      </w:r>
      <w:r>
        <w:rPr>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无组织排放浓度满足</w:t>
      </w:r>
      <w:r>
        <w:rPr>
          <w:color w:val="000000" w:themeColor="text1"/>
          <w14:textFill>
            <w14:solidFill>
              <w14:schemeClr w14:val="tx1"/>
            </w14:solidFill>
          </w14:textFill>
        </w:rPr>
        <w:t>《大气污染物综合排放标准》（GB16297-1996）表2中无组织排放浓度监控限值要求。</w:t>
      </w:r>
    </w:p>
    <w:p w14:paraId="52DC22A3">
      <w:pPr>
        <w:pStyle w:val="22"/>
        <w:snapToGrid/>
        <w:spacing w:before="0" w:after="0" w:line="360" w:lineRule="auto"/>
        <w:ind w:right="0" w:firstLine="480" w:firstLineChars="200"/>
        <w:rPr>
          <w:b/>
          <w:bCs/>
          <w:color w:val="000000" w:themeColor="text1"/>
          <w:sz w:val="24"/>
          <w:szCs w:val="24"/>
          <w14:textFill>
            <w14:solidFill>
              <w14:schemeClr w14:val="tx1"/>
            </w14:solidFill>
          </w14:textFill>
        </w:rPr>
      </w:pPr>
      <w:r>
        <w:rPr>
          <w:rFonts w:hint="eastAsia"/>
          <w:color w:val="000000" w:themeColor="text1"/>
          <w:lang w:val="en-US" w:eastAsia="zh-CN"/>
          <w14:textFill>
            <w14:solidFill>
              <w14:schemeClr w14:val="tx1"/>
            </w14:solidFill>
          </w14:textFill>
        </w:rPr>
        <w:t>6、</w:t>
      </w:r>
      <w:r>
        <w:rPr>
          <w:rFonts w:hint="eastAsia"/>
          <w:b w:val="0"/>
          <w:bCs w:val="0"/>
          <w:color w:val="000000" w:themeColor="text1"/>
          <w:sz w:val="24"/>
          <w:szCs w:val="24"/>
          <w14:textFill>
            <w14:solidFill>
              <w14:schemeClr w14:val="tx1"/>
            </w14:solidFill>
          </w14:textFill>
        </w:rPr>
        <w:t>食堂油烟</w:t>
      </w:r>
    </w:p>
    <w:p w14:paraId="6229AF10">
      <w:pPr>
        <w:pStyle w:val="9"/>
        <w:spacing w:line="360" w:lineRule="auto"/>
        <w:ind w:firstLine="480"/>
        <w:rPr>
          <w:rFonts w:hint="eastAsia"/>
          <w:color w:val="000000" w:themeColor="text1"/>
          <w:sz w:val="24"/>
          <w:szCs w:val="24"/>
          <w:lang w:bidi="ar"/>
          <w14:textFill>
            <w14:solidFill>
              <w14:schemeClr w14:val="tx1"/>
            </w14:solidFill>
          </w14:textFill>
        </w:rPr>
      </w:pPr>
      <w:r>
        <w:rPr>
          <w:rFonts w:hint="eastAsia"/>
          <w:color w:val="000000" w:themeColor="text1"/>
          <w:sz w:val="24"/>
          <w:szCs w:val="24"/>
          <w:lang w:bidi="ar"/>
          <w14:textFill>
            <w14:solidFill>
              <w14:schemeClr w14:val="tx1"/>
            </w14:solidFill>
          </w14:textFill>
        </w:rPr>
        <w:t>厂区内设置一个食堂，食堂设置</w:t>
      </w:r>
      <w:r>
        <w:rPr>
          <w:rFonts w:hint="eastAsia"/>
          <w:color w:val="000000" w:themeColor="text1"/>
          <w:sz w:val="24"/>
          <w:szCs w:val="24"/>
          <w:lang w:val="en-US" w:eastAsia="zh-CN" w:bidi="ar"/>
          <w14:textFill>
            <w14:solidFill>
              <w14:schemeClr w14:val="tx1"/>
            </w14:solidFill>
          </w14:textFill>
        </w:rPr>
        <w:t>10</w:t>
      </w:r>
      <w:r>
        <w:rPr>
          <w:rFonts w:hint="eastAsia"/>
          <w:color w:val="000000" w:themeColor="text1"/>
          <w:sz w:val="24"/>
          <w:szCs w:val="24"/>
          <w:lang w:bidi="ar"/>
          <w14:textFill>
            <w14:solidFill>
              <w14:schemeClr w14:val="tx1"/>
            </w14:solidFill>
          </w14:textFill>
        </w:rPr>
        <w:t>个基准灶头平均每天就餐人数</w:t>
      </w:r>
      <w:r>
        <w:rPr>
          <w:rFonts w:hint="eastAsia"/>
          <w:color w:val="000000" w:themeColor="text1"/>
          <w:sz w:val="24"/>
          <w:szCs w:val="24"/>
          <w:lang w:val="en-US" w:eastAsia="zh-CN" w:bidi="ar"/>
          <w14:textFill>
            <w14:solidFill>
              <w14:schemeClr w14:val="tx1"/>
            </w14:solidFill>
          </w14:textFill>
        </w:rPr>
        <w:t>110</w:t>
      </w:r>
      <w:r>
        <w:rPr>
          <w:rFonts w:hint="eastAsia"/>
          <w:color w:val="000000" w:themeColor="text1"/>
          <w:sz w:val="24"/>
          <w:szCs w:val="24"/>
          <w:lang w:bidi="ar"/>
          <w14:textFill>
            <w14:solidFill>
              <w14:schemeClr w14:val="tx1"/>
            </w14:solidFill>
          </w14:textFill>
        </w:rPr>
        <w:t>人。食堂每天烹饪时间约5小时。根据类比同类企业食堂可知，每人每天烹调用油量平均约为0.02kg，则食堂年用油量约为0.</w:t>
      </w:r>
      <w:r>
        <w:rPr>
          <w:rFonts w:hint="eastAsia"/>
          <w:color w:val="000000" w:themeColor="text1"/>
          <w:sz w:val="24"/>
          <w:szCs w:val="24"/>
          <w:lang w:val="en-US" w:eastAsia="zh-CN" w:bidi="ar"/>
          <w14:textFill>
            <w14:solidFill>
              <w14:schemeClr w14:val="tx1"/>
            </w14:solidFill>
          </w14:textFill>
        </w:rPr>
        <w:t>66</w:t>
      </w:r>
      <w:r>
        <w:rPr>
          <w:rFonts w:hint="eastAsia"/>
          <w:color w:val="000000" w:themeColor="text1"/>
          <w:sz w:val="24"/>
          <w:szCs w:val="24"/>
          <w:lang w:bidi="ar"/>
          <w14:textFill>
            <w14:solidFill>
              <w14:schemeClr w14:val="tx1"/>
            </w14:solidFill>
          </w14:textFill>
        </w:rPr>
        <w:t>t/a，一般油烟挥发量占耗油量为2%~4%，平均为3%，则油烟产生量</w:t>
      </w:r>
      <w:r>
        <w:rPr>
          <w:rFonts w:hint="eastAsia"/>
          <w:color w:val="000000" w:themeColor="text1"/>
          <w:sz w:val="24"/>
          <w:szCs w:val="24"/>
          <w:lang w:val="en-US" w:eastAsia="zh-CN" w:bidi="ar"/>
          <w14:textFill>
            <w14:solidFill>
              <w14:schemeClr w14:val="tx1"/>
            </w14:solidFill>
          </w14:textFill>
        </w:rPr>
        <w:t>19.8</w:t>
      </w:r>
      <w:r>
        <w:rPr>
          <w:rFonts w:hint="eastAsia"/>
          <w:color w:val="000000" w:themeColor="text1"/>
          <w:sz w:val="24"/>
          <w:szCs w:val="24"/>
          <w:lang w:bidi="ar"/>
          <w14:textFill>
            <w14:solidFill>
              <w14:schemeClr w14:val="tx1"/>
            </w14:solidFill>
          </w14:textFill>
        </w:rPr>
        <w:t>kg/a。</w:t>
      </w:r>
      <w:r>
        <w:rPr>
          <w:rFonts w:hint="eastAsia"/>
          <w:color w:val="000000" w:themeColor="text1"/>
          <w:sz w:val="24"/>
          <w:szCs w:val="24"/>
          <w:lang w:val="en-US" w:eastAsia="zh-CN" w:bidi="ar"/>
          <w14:textFill>
            <w14:solidFill>
              <w14:schemeClr w14:val="tx1"/>
            </w14:solidFill>
          </w14:textFill>
        </w:rPr>
        <w:t>根据</w:t>
      </w:r>
      <w:r>
        <w:rPr>
          <w:rFonts w:hint="eastAsia"/>
          <w:color w:val="000000" w:themeColor="text1"/>
          <w:sz w:val="24"/>
          <w:szCs w:val="24"/>
          <w14:textFill>
            <w14:solidFill>
              <w14:schemeClr w14:val="tx1"/>
            </w14:solidFill>
          </w14:textFill>
        </w:rPr>
        <w:t>《饮食业油烟排放标准（试行）》</w:t>
      </w:r>
      <w:r>
        <w:rPr>
          <w:rFonts w:hint="eastAsia"/>
          <w:color w:val="000000" w:themeColor="text1"/>
          <w:sz w:val="24"/>
          <w:szCs w:val="24"/>
          <w:lang w:bidi="ar"/>
          <w14:textFill>
            <w14:solidFill>
              <w14:schemeClr w14:val="tx1"/>
            </w14:solidFill>
          </w14:textFill>
        </w:rPr>
        <w:t>（GB18483-2001）</w:t>
      </w:r>
      <w:r>
        <w:rPr>
          <w:rFonts w:hint="eastAsia"/>
          <w:color w:val="000000" w:themeColor="text1"/>
          <w:sz w:val="24"/>
          <w:szCs w:val="24"/>
          <w:lang w:val="en-US" w:eastAsia="zh-CN" w:bidi="ar"/>
          <w14:textFill>
            <w14:solidFill>
              <w14:schemeClr w14:val="tx1"/>
            </w14:solidFill>
          </w14:textFill>
        </w:rPr>
        <w:t>中要求，小型规模</w:t>
      </w:r>
      <w:r>
        <w:rPr>
          <w:rFonts w:hint="eastAsia"/>
          <w:color w:val="000000" w:themeColor="text1"/>
          <w:sz w:val="24"/>
          <w:szCs w:val="24"/>
          <w:lang w:bidi="ar"/>
          <w14:textFill>
            <w14:solidFill>
              <w14:schemeClr w14:val="tx1"/>
            </w14:solidFill>
          </w14:textFill>
        </w:rPr>
        <w:t>厨房安装净化效率</w:t>
      </w:r>
      <w:r>
        <w:rPr>
          <w:rFonts w:hint="eastAsia"/>
          <w:color w:val="000000" w:themeColor="text1"/>
          <w:sz w:val="24"/>
          <w:szCs w:val="24"/>
          <w:lang w:val="en-US" w:eastAsia="zh-CN" w:bidi="ar"/>
          <w14:textFill>
            <w14:solidFill>
              <w14:schemeClr w14:val="tx1"/>
            </w14:solidFill>
          </w14:textFill>
        </w:rPr>
        <w:t>应</w:t>
      </w:r>
      <w:r>
        <w:rPr>
          <w:rFonts w:hint="eastAsia"/>
          <w:color w:val="000000" w:themeColor="text1"/>
          <w:sz w:val="24"/>
          <w:szCs w:val="24"/>
          <w:lang w:bidi="ar"/>
          <w14:textFill>
            <w14:solidFill>
              <w14:schemeClr w14:val="tx1"/>
            </w14:solidFill>
          </w14:textFill>
        </w:rPr>
        <w:t>不低于</w:t>
      </w:r>
      <w:r>
        <w:rPr>
          <w:rFonts w:hint="eastAsia"/>
          <w:color w:val="000000" w:themeColor="text1"/>
          <w:sz w:val="24"/>
          <w:szCs w:val="24"/>
          <w:lang w:val="en-US" w:eastAsia="zh-CN" w:bidi="ar"/>
          <w14:textFill>
            <w14:solidFill>
              <w14:schemeClr w14:val="tx1"/>
            </w14:solidFill>
          </w14:textFill>
        </w:rPr>
        <w:t>85</w:t>
      </w:r>
      <w:r>
        <w:rPr>
          <w:rFonts w:hint="eastAsia"/>
          <w:color w:val="000000" w:themeColor="text1"/>
          <w:sz w:val="24"/>
          <w:szCs w:val="24"/>
          <w:lang w:bidi="ar"/>
          <w14:textFill>
            <w14:solidFill>
              <w14:schemeClr w14:val="tx1"/>
            </w14:solidFill>
          </w14:textFill>
        </w:rPr>
        <w:t>%</w:t>
      </w:r>
      <w:r>
        <w:rPr>
          <w:rFonts w:hint="eastAsia"/>
          <w:color w:val="000000" w:themeColor="text1"/>
          <w:sz w:val="24"/>
          <w:szCs w:val="24"/>
          <w:lang w:eastAsia="zh-CN" w:bidi="ar"/>
          <w14:textFill>
            <w14:solidFill>
              <w14:schemeClr w14:val="tx1"/>
            </w14:solidFill>
          </w14:textFill>
        </w:rPr>
        <w:t>。</w:t>
      </w:r>
      <w:r>
        <w:rPr>
          <w:rFonts w:hint="eastAsia"/>
          <w:color w:val="000000" w:themeColor="text1"/>
          <w:sz w:val="24"/>
          <w:szCs w:val="24"/>
          <w:lang w:val="en-US" w:eastAsia="zh-CN" w:bidi="ar"/>
          <w14:textFill>
            <w14:solidFill>
              <w14:schemeClr w14:val="tx1"/>
            </w14:solidFill>
          </w14:textFill>
        </w:rPr>
        <w:t>本项目食堂设置</w:t>
      </w:r>
      <w:r>
        <w:rPr>
          <w:rFonts w:hint="eastAsia"/>
          <w:color w:val="000000" w:themeColor="text1"/>
          <w:sz w:val="24"/>
          <w:szCs w:val="24"/>
          <w:lang w:bidi="ar"/>
          <w14:textFill>
            <w14:solidFill>
              <w14:schemeClr w14:val="tx1"/>
            </w14:solidFill>
          </w14:textFill>
        </w:rPr>
        <w:t>净化效率</w:t>
      </w:r>
      <w:r>
        <w:rPr>
          <w:rFonts w:hint="eastAsia"/>
          <w:color w:val="000000" w:themeColor="text1"/>
          <w:sz w:val="24"/>
          <w:szCs w:val="24"/>
          <w:lang w:val="en-US" w:eastAsia="zh-CN" w:bidi="ar"/>
          <w14:textFill>
            <w14:solidFill>
              <w14:schemeClr w14:val="tx1"/>
            </w14:solidFill>
          </w14:textFill>
        </w:rPr>
        <w:t>为85%</w:t>
      </w:r>
      <w:r>
        <w:rPr>
          <w:rFonts w:hint="eastAsia"/>
          <w:color w:val="000000" w:themeColor="text1"/>
          <w:sz w:val="24"/>
          <w:szCs w:val="24"/>
          <w:lang w:bidi="ar"/>
          <w14:textFill>
            <w14:solidFill>
              <w14:schemeClr w14:val="tx1"/>
            </w14:solidFill>
          </w14:textFill>
        </w:rPr>
        <w:t>、风机风量为</w:t>
      </w:r>
      <w:r>
        <w:rPr>
          <w:rFonts w:hint="eastAsia"/>
          <w:color w:val="000000" w:themeColor="text1"/>
          <w:sz w:val="24"/>
          <w:szCs w:val="24"/>
          <w:lang w:val="en-US" w:eastAsia="zh-CN" w:bidi="ar"/>
          <w14:textFill>
            <w14:solidFill>
              <w14:schemeClr w14:val="tx1"/>
            </w14:solidFill>
          </w14:textFill>
        </w:rPr>
        <w:t>2</w:t>
      </w:r>
      <w:r>
        <w:rPr>
          <w:color w:val="000000" w:themeColor="text1"/>
          <w:sz w:val="24"/>
          <w:szCs w:val="24"/>
          <w:lang w:bidi="ar"/>
          <w14:textFill>
            <w14:solidFill>
              <w14:schemeClr w14:val="tx1"/>
            </w14:solidFill>
          </w14:textFill>
        </w:rPr>
        <w:t>000</w:t>
      </w:r>
      <w:r>
        <w:rPr>
          <w:rFonts w:hint="eastAsia"/>
          <w:color w:val="000000" w:themeColor="text1"/>
          <w:sz w:val="24"/>
          <w:szCs w:val="24"/>
          <w:lang w:bidi="ar"/>
          <w14:textFill>
            <w14:solidFill>
              <w14:schemeClr w14:val="tx1"/>
            </w14:solidFill>
          </w14:textFill>
        </w:rPr>
        <w:t>m</w:t>
      </w:r>
      <w:r>
        <w:rPr>
          <w:rFonts w:hint="eastAsia"/>
          <w:color w:val="000000" w:themeColor="text1"/>
          <w:sz w:val="24"/>
          <w:szCs w:val="24"/>
          <w:vertAlign w:val="superscript"/>
          <w:lang w:bidi="ar"/>
          <w14:textFill>
            <w14:solidFill>
              <w14:schemeClr w14:val="tx1"/>
            </w14:solidFill>
          </w14:textFill>
        </w:rPr>
        <w:t>3</w:t>
      </w:r>
      <w:r>
        <w:rPr>
          <w:rFonts w:hint="eastAsia"/>
          <w:color w:val="000000" w:themeColor="text1"/>
          <w:sz w:val="24"/>
          <w:szCs w:val="24"/>
          <w:lang w:bidi="ar"/>
          <w14:textFill>
            <w14:solidFill>
              <w14:schemeClr w14:val="tx1"/>
            </w14:solidFill>
          </w14:textFill>
        </w:rPr>
        <w:t>/h的油烟净化设施，经油烟净化设施处理后引至屋顶排放，油烟排放量为</w:t>
      </w:r>
      <w:r>
        <w:rPr>
          <w:rFonts w:hint="eastAsia"/>
          <w:color w:val="000000" w:themeColor="text1"/>
          <w:sz w:val="24"/>
          <w:szCs w:val="24"/>
          <w:lang w:val="en-US" w:eastAsia="zh-CN" w:bidi="ar"/>
          <w14:textFill>
            <w14:solidFill>
              <w14:schemeClr w14:val="tx1"/>
            </w14:solidFill>
          </w14:textFill>
        </w:rPr>
        <w:t>2.97</w:t>
      </w:r>
      <w:r>
        <w:rPr>
          <w:rFonts w:hint="eastAsia"/>
          <w:color w:val="000000" w:themeColor="text1"/>
          <w:sz w:val="24"/>
          <w:szCs w:val="24"/>
          <w:lang w:bidi="ar"/>
          <w14:textFill>
            <w14:solidFill>
              <w14:schemeClr w14:val="tx1"/>
            </w14:solidFill>
          </w14:textFill>
        </w:rPr>
        <w:t>kg/a，油烟排放浓度为</w:t>
      </w:r>
      <w:r>
        <w:rPr>
          <w:rFonts w:hint="eastAsia"/>
          <w:color w:val="000000" w:themeColor="text1"/>
          <w:sz w:val="24"/>
          <w:szCs w:val="24"/>
          <w:lang w:val="en-US" w:eastAsia="zh-CN" w:bidi="ar"/>
          <w14:textFill>
            <w14:solidFill>
              <w14:schemeClr w14:val="tx1"/>
            </w14:solidFill>
          </w14:textFill>
        </w:rPr>
        <w:t>0.99</w:t>
      </w:r>
      <w:r>
        <w:rPr>
          <w:rFonts w:hint="eastAsia"/>
          <w:color w:val="000000" w:themeColor="text1"/>
          <w:sz w:val="24"/>
          <w:szCs w:val="24"/>
          <w:lang w:bidi="ar"/>
          <w14:textFill>
            <w14:solidFill>
              <w14:schemeClr w14:val="tx1"/>
            </w14:solidFill>
          </w14:textFill>
        </w:rPr>
        <w:t>mg/m</w:t>
      </w:r>
      <w:r>
        <w:rPr>
          <w:rFonts w:hint="eastAsia"/>
          <w:color w:val="000000" w:themeColor="text1"/>
          <w:sz w:val="24"/>
          <w:szCs w:val="24"/>
          <w:vertAlign w:val="superscript"/>
          <w:lang w:bidi="ar"/>
          <w14:textFill>
            <w14:solidFill>
              <w14:schemeClr w14:val="tx1"/>
            </w14:solidFill>
          </w14:textFill>
        </w:rPr>
        <w:t>3</w:t>
      </w:r>
      <w:r>
        <w:rPr>
          <w:rFonts w:hint="eastAsia"/>
          <w:color w:val="000000" w:themeColor="text1"/>
          <w:sz w:val="24"/>
          <w:szCs w:val="24"/>
          <w:lang w:bidi="ar"/>
          <w14:textFill>
            <w14:solidFill>
              <w14:schemeClr w14:val="tx1"/>
            </w14:solidFill>
          </w14:textFill>
        </w:rPr>
        <w:t>，满足《饮食业油烟排放标准》（GB18483-2001）</w:t>
      </w:r>
      <w:r>
        <w:rPr>
          <w:rFonts w:hint="eastAsia"/>
          <w:color w:val="000000" w:themeColor="text1"/>
          <w:sz w:val="24"/>
          <w:szCs w:val="24"/>
          <w:lang w:val="en-US" w:eastAsia="zh-CN" w:bidi="ar"/>
          <w14:textFill>
            <w14:solidFill>
              <w14:schemeClr w14:val="tx1"/>
            </w14:solidFill>
          </w14:textFill>
        </w:rPr>
        <w:t>中最高允许</w:t>
      </w:r>
      <w:r>
        <w:rPr>
          <w:rFonts w:hint="eastAsia"/>
          <w:color w:val="000000" w:themeColor="text1"/>
          <w:sz w:val="24"/>
          <w:szCs w:val="24"/>
          <w:lang w:bidi="ar"/>
          <w14:textFill>
            <w14:solidFill>
              <w14:schemeClr w14:val="tx1"/>
            </w14:solidFill>
          </w14:textFill>
        </w:rPr>
        <w:t>排放浓度</w:t>
      </w:r>
      <w:r>
        <w:rPr>
          <w:rFonts w:hint="eastAsia"/>
          <w:color w:val="000000" w:themeColor="text1"/>
          <w:sz w:val="24"/>
          <w:szCs w:val="24"/>
          <w:lang w:val="en-US" w:eastAsia="zh-CN" w:bidi="ar"/>
          <w14:textFill>
            <w14:solidFill>
              <w14:schemeClr w14:val="tx1"/>
            </w14:solidFill>
          </w14:textFill>
        </w:rPr>
        <w:t>2.0</w:t>
      </w:r>
      <w:r>
        <w:rPr>
          <w:rFonts w:hint="eastAsia"/>
          <w:color w:val="000000" w:themeColor="text1"/>
          <w:sz w:val="24"/>
          <w:szCs w:val="24"/>
          <w:lang w:bidi="ar"/>
          <w14:textFill>
            <w14:solidFill>
              <w14:schemeClr w14:val="tx1"/>
            </w14:solidFill>
          </w14:textFill>
        </w:rPr>
        <w:t>mg/m</w:t>
      </w:r>
      <w:r>
        <w:rPr>
          <w:rFonts w:hint="eastAsia"/>
          <w:color w:val="000000" w:themeColor="text1"/>
          <w:sz w:val="24"/>
          <w:szCs w:val="24"/>
          <w:vertAlign w:val="superscript"/>
          <w:lang w:bidi="ar"/>
          <w14:textFill>
            <w14:solidFill>
              <w14:schemeClr w14:val="tx1"/>
            </w14:solidFill>
          </w14:textFill>
        </w:rPr>
        <w:t>3</w:t>
      </w:r>
      <w:r>
        <w:rPr>
          <w:rFonts w:hint="eastAsia"/>
          <w:color w:val="000000" w:themeColor="text1"/>
          <w:sz w:val="24"/>
          <w:szCs w:val="24"/>
          <w:lang w:bidi="ar"/>
          <w14:textFill>
            <w14:solidFill>
              <w14:schemeClr w14:val="tx1"/>
            </w14:solidFill>
          </w14:textFill>
        </w:rPr>
        <w:t>的标准要求，经处理后的油烟废气</w:t>
      </w:r>
      <w:r>
        <w:rPr>
          <w:rFonts w:hint="eastAsia"/>
          <w:color w:val="000000" w:themeColor="text1"/>
          <w:sz w:val="24"/>
          <w:szCs w:val="28"/>
          <w14:textFill>
            <w14:solidFill>
              <w14:schemeClr w14:val="tx1"/>
            </w14:solidFill>
          </w14:textFill>
        </w:rPr>
        <w:t>经专用烟道引至楼顶排放</w:t>
      </w:r>
      <w:r>
        <w:rPr>
          <w:rFonts w:hint="eastAsia"/>
          <w:color w:val="000000" w:themeColor="text1"/>
          <w:sz w:val="24"/>
          <w:szCs w:val="24"/>
          <w:lang w:bidi="ar"/>
          <w14:textFill>
            <w14:solidFill>
              <w14:schemeClr w14:val="tx1"/>
            </w14:solidFill>
          </w14:textFill>
        </w:rPr>
        <w:t>。</w:t>
      </w:r>
    </w:p>
    <w:p w14:paraId="20E42766">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7、柴油发电机废气</w:t>
      </w:r>
    </w:p>
    <w:p w14:paraId="4C48288E">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本项目在发酵车间内设置柴油发电机房一座，内设1台800kW备用发电机，为防止停电期间造成工作机械停运带来不利影响，开启柴油发电机进行发电。目前桦南县按时供电较为正常，故发电机组使用的频率较为有限，使用频率为0~6次/年，每次不超过10h，全年工作时间不超过60h。项目发电期间燃烧柴油有少量SO</w:t>
      </w:r>
      <w:r>
        <w:rPr>
          <w:rFonts w:hint="eastAsia"/>
          <w:color w:val="000000" w:themeColor="text1"/>
          <w:sz w:val="24"/>
          <w:szCs w:val="24"/>
          <w:vertAlign w:val="subscript"/>
          <w:lang w:val="en-US" w:eastAsia="zh-CN" w:bidi="ar"/>
          <w14:textFill>
            <w14:solidFill>
              <w14:schemeClr w14:val="tx1"/>
            </w14:solidFill>
          </w14:textFill>
        </w:rPr>
        <w:t>2</w:t>
      </w:r>
      <w:r>
        <w:rPr>
          <w:rFonts w:hint="eastAsia"/>
          <w:color w:val="000000" w:themeColor="text1"/>
          <w:sz w:val="24"/>
          <w:szCs w:val="24"/>
          <w:lang w:val="en-US" w:eastAsia="zh-CN" w:bidi="ar"/>
          <w14:textFill>
            <w14:solidFill>
              <w14:schemeClr w14:val="tx1"/>
            </w14:solidFill>
          </w14:textFill>
        </w:rPr>
        <w:t>、NO</w:t>
      </w:r>
      <w:r>
        <w:rPr>
          <w:rFonts w:hint="eastAsia"/>
          <w:color w:val="000000" w:themeColor="text1"/>
          <w:sz w:val="24"/>
          <w:szCs w:val="24"/>
          <w:vertAlign w:val="subscript"/>
          <w:lang w:val="en-US" w:eastAsia="zh-CN" w:bidi="ar"/>
          <w14:textFill>
            <w14:solidFill>
              <w14:schemeClr w14:val="tx1"/>
            </w14:solidFill>
          </w14:textFill>
        </w:rPr>
        <w:t>x</w:t>
      </w:r>
      <w:r>
        <w:rPr>
          <w:rFonts w:hint="eastAsia"/>
          <w:color w:val="000000" w:themeColor="text1"/>
          <w:sz w:val="24"/>
          <w:szCs w:val="24"/>
          <w:lang w:val="en-US" w:eastAsia="zh-CN" w:bidi="ar"/>
          <w14:textFill>
            <w14:solidFill>
              <w14:schemeClr w14:val="tx1"/>
            </w14:solidFill>
          </w14:textFill>
        </w:rPr>
        <w:t>、颗粒物产生。柴油发电机功率为800kW，耗油量0.22L/h·kW计，耗油量为176L/h（10560L/a），柴油密度按0.8t/m</w:t>
      </w:r>
      <w:r>
        <w:rPr>
          <w:rFonts w:hint="eastAsia"/>
          <w:color w:val="000000" w:themeColor="text1"/>
          <w:sz w:val="24"/>
          <w:szCs w:val="24"/>
          <w:vertAlign w:val="superscript"/>
          <w:lang w:val="en-US" w:eastAsia="zh-CN" w:bidi="ar"/>
          <w14:textFill>
            <w14:solidFill>
              <w14:schemeClr w14:val="tx1"/>
            </w14:solidFill>
          </w14:textFill>
        </w:rPr>
        <w:t>3</w:t>
      </w:r>
      <w:r>
        <w:rPr>
          <w:rFonts w:hint="eastAsia"/>
          <w:color w:val="000000" w:themeColor="text1"/>
          <w:sz w:val="24"/>
          <w:szCs w:val="24"/>
          <w:lang w:val="en-US" w:eastAsia="zh-CN" w:bidi="ar"/>
          <w14:textFill>
            <w14:solidFill>
              <w14:schemeClr w14:val="tx1"/>
            </w14:solidFill>
          </w14:textFill>
        </w:rPr>
        <w:t>计，则发电机耗油量为0.1408t/h（8.448t/a）。发电机所购柴油为0#柴油（含硫率≤0.2%）。根据《大气污染工程师手册》，柴油发电机空气过剩系数取1.8，1kg柴油产生的烟气量约为11m</w:t>
      </w:r>
      <w:r>
        <w:rPr>
          <w:rFonts w:hint="eastAsia"/>
          <w:color w:val="000000" w:themeColor="text1"/>
          <w:sz w:val="24"/>
          <w:szCs w:val="24"/>
          <w:vertAlign w:val="superscript"/>
          <w:lang w:val="en-US" w:eastAsia="zh-CN" w:bidi="ar"/>
          <w14:textFill>
            <w14:solidFill>
              <w14:schemeClr w14:val="tx1"/>
            </w14:solidFill>
          </w14:textFill>
        </w:rPr>
        <w:t>3</w:t>
      </w:r>
      <w:r>
        <w:rPr>
          <w:rFonts w:hint="eastAsia"/>
          <w:color w:val="000000" w:themeColor="text1"/>
          <w:sz w:val="24"/>
          <w:szCs w:val="24"/>
          <w:lang w:val="en-US" w:eastAsia="zh-CN" w:bidi="ar"/>
          <w14:textFill>
            <w14:solidFill>
              <w14:schemeClr w14:val="tx1"/>
            </w14:solidFill>
          </w14:textFill>
        </w:rPr>
        <w:t>，则烟气量为19.8m</w:t>
      </w:r>
      <w:r>
        <w:rPr>
          <w:rFonts w:hint="eastAsia"/>
          <w:color w:val="000000" w:themeColor="text1"/>
          <w:sz w:val="24"/>
          <w:szCs w:val="24"/>
          <w:vertAlign w:val="superscript"/>
          <w:lang w:val="en-US" w:eastAsia="zh-CN" w:bidi="ar"/>
          <w14:textFill>
            <w14:solidFill>
              <w14:schemeClr w14:val="tx1"/>
            </w14:solidFill>
          </w14:textFill>
        </w:rPr>
        <w:t>3</w:t>
      </w:r>
      <w:r>
        <w:rPr>
          <w:rFonts w:hint="eastAsia"/>
          <w:color w:val="000000" w:themeColor="text1"/>
          <w:sz w:val="24"/>
          <w:szCs w:val="24"/>
          <w:lang w:val="en-US" w:eastAsia="zh-CN" w:bidi="ar"/>
          <w14:textFill>
            <w14:solidFill>
              <w14:schemeClr w14:val="tx1"/>
            </w14:solidFill>
          </w14:textFill>
        </w:rPr>
        <w:t>/kg。</w:t>
      </w:r>
    </w:p>
    <w:p w14:paraId="4DDF4271">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项目发电机设置在柴油发电机房内，使用时间极少，因此产生的污染物也较少，只要严格按要求操作，控制好燃烧状况，燃烧废气中的主要污染物烟尘、NO</w:t>
      </w:r>
      <w:r>
        <w:rPr>
          <w:rFonts w:hint="eastAsia"/>
          <w:color w:val="000000" w:themeColor="text1"/>
          <w:sz w:val="24"/>
          <w:szCs w:val="24"/>
          <w:vertAlign w:val="subscript"/>
          <w:lang w:val="en-US" w:eastAsia="zh-CN" w:bidi="ar"/>
          <w14:textFill>
            <w14:solidFill>
              <w14:schemeClr w14:val="tx1"/>
            </w14:solidFill>
          </w14:textFill>
        </w:rPr>
        <w:t>X</w:t>
      </w:r>
      <w:r>
        <w:rPr>
          <w:rFonts w:hint="eastAsia"/>
          <w:color w:val="000000" w:themeColor="text1"/>
          <w:sz w:val="24"/>
          <w:szCs w:val="24"/>
          <w:lang w:val="en-US" w:eastAsia="zh-CN" w:bidi="ar"/>
          <w14:textFill>
            <w14:solidFill>
              <w14:schemeClr w14:val="tx1"/>
            </w14:solidFill>
          </w14:textFill>
        </w:rPr>
        <w:t>、SO</w:t>
      </w:r>
      <w:r>
        <w:rPr>
          <w:rFonts w:hint="eastAsia"/>
          <w:color w:val="000000" w:themeColor="text1"/>
          <w:sz w:val="24"/>
          <w:szCs w:val="24"/>
          <w:vertAlign w:val="subscript"/>
          <w:lang w:val="en-US" w:eastAsia="zh-CN" w:bidi="ar"/>
          <w14:textFill>
            <w14:solidFill>
              <w14:schemeClr w14:val="tx1"/>
            </w14:solidFill>
          </w14:textFill>
        </w:rPr>
        <w:t>2</w:t>
      </w:r>
      <w:r>
        <w:rPr>
          <w:rFonts w:hint="eastAsia"/>
          <w:color w:val="000000" w:themeColor="text1"/>
          <w:sz w:val="24"/>
          <w:szCs w:val="24"/>
          <w:lang w:val="en-US" w:eastAsia="zh-CN" w:bidi="ar"/>
          <w14:textFill>
            <w14:solidFill>
              <w14:schemeClr w14:val="tx1"/>
            </w14:solidFill>
          </w14:textFill>
        </w:rPr>
        <w:t>均可做到达标排放，废气通过发电机排气系统引至柴油发电机房的排烟管道无组织排放，经大气稀释、植被吸收后对周围环境空气质量影响较小，排放浓度能满足《大气污染物综合排放标准》（GB16297-1996）表2无组织排放浓度限值要求。</w:t>
      </w:r>
    </w:p>
    <w:p w14:paraId="24673881">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参考燃料燃烧排放污染物物料衡算办法计算，SO</w:t>
      </w:r>
      <w:r>
        <w:rPr>
          <w:rFonts w:hint="eastAsia"/>
          <w:color w:val="000000" w:themeColor="text1"/>
          <w:sz w:val="24"/>
          <w:szCs w:val="24"/>
          <w:vertAlign w:val="subscript"/>
          <w:lang w:val="en-US" w:eastAsia="zh-CN" w:bidi="ar"/>
          <w14:textFill>
            <w14:solidFill>
              <w14:schemeClr w14:val="tx1"/>
            </w14:solidFill>
          </w14:textFill>
        </w:rPr>
        <w:t>2</w:t>
      </w:r>
      <w:r>
        <w:rPr>
          <w:rFonts w:hint="eastAsia"/>
          <w:color w:val="000000" w:themeColor="text1"/>
          <w:sz w:val="24"/>
          <w:szCs w:val="24"/>
          <w:lang w:val="en-US" w:eastAsia="zh-CN" w:bidi="ar"/>
          <w14:textFill>
            <w14:solidFill>
              <w14:schemeClr w14:val="tx1"/>
            </w14:solidFill>
          </w14:textFill>
        </w:rPr>
        <w:t>、NO</w:t>
      </w:r>
      <w:r>
        <w:rPr>
          <w:rFonts w:hint="eastAsia"/>
          <w:color w:val="000000" w:themeColor="text1"/>
          <w:sz w:val="24"/>
          <w:szCs w:val="24"/>
          <w:vertAlign w:val="subscript"/>
          <w:lang w:val="en-US" w:eastAsia="zh-CN" w:bidi="ar"/>
          <w14:textFill>
            <w14:solidFill>
              <w14:schemeClr w14:val="tx1"/>
            </w14:solidFill>
          </w14:textFill>
        </w:rPr>
        <w:t>x</w:t>
      </w:r>
      <w:r>
        <w:rPr>
          <w:rFonts w:hint="eastAsia"/>
          <w:color w:val="000000" w:themeColor="text1"/>
          <w:sz w:val="24"/>
          <w:szCs w:val="24"/>
          <w:lang w:val="en-US" w:eastAsia="zh-CN" w:bidi="ar"/>
          <w14:textFill>
            <w14:solidFill>
              <w14:schemeClr w14:val="tx1"/>
            </w14:solidFill>
          </w14:textFill>
        </w:rPr>
        <w:t xml:space="preserve">排放量计算如下： </w:t>
      </w:r>
    </w:p>
    <w:p w14:paraId="1664BD6B">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QSO</w:t>
      </w:r>
      <w:r>
        <w:rPr>
          <w:rFonts w:hint="eastAsia"/>
          <w:color w:val="000000" w:themeColor="text1"/>
          <w:sz w:val="24"/>
          <w:szCs w:val="24"/>
          <w:vertAlign w:val="subscript"/>
          <w:lang w:val="en-US" w:eastAsia="zh-CN" w:bidi="ar"/>
          <w14:textFill>
            <w14:solidFill>
              <w14:schemeClr w14:val="tx1"/>
            </w14:solidFill>
          </w14:textFill>
        </w:rPr>
        <w:t>2</w:t>
      </w:r>
      <w:r>
        <w:rPr>
          <w:rFonts w:hint="eastAsia"/>
          <w:color w:val="000000" w:themeColor="text1"/>
          <w:sz w:val="24"/>
          <w:szCs w:val="24"/>
          <w:lang w:val="en-US" w:eastAsia="zh-CN" w:bidi="ar"/>
          <w14:textFill>
            <w14:solidFill>
              <w14:schemeClr w14:val="tx1"/>
            </w14:solidFill>
          </w14:textFill>
        </w:rPr>
        <w:t xml:space="preserve">=2×B×S; </w:t>
      </w:r>
    </w:p>
    <w:p w14:paraId="7B9C2223">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QNO</w:t>
      </w:r>
      <w:r>
        <w:rPr>
          <w:rFonts w:hint="eastAsia"/>
          <w:color w:val="000000" w:themeColor="text1"/>
          <w:sz w:val="24"/>
          <w:szCs w:val="24"/>
          <w:vertAlign w:val="subscript"/>
          <w:lang w:val="en-US" w:eastAsia="zh-CN" w:bidi="ar"/>
          <w14:textFill>
            <w14:solidFill>
              <w14:schemeClr w14:val="tx1"/>
            </w14:solidFill>
          </w14:textFill>
        </w:rPr>
        <w:t>x</w:t>
      </w:r>
      <w:r>
        <w:rPr>
          <w:rFonts w:hint="eastAsia"/>
          <w:color w:val="000000" w:themeColor="text1"/>
          <w:sz w:val="24"/>
          <w:szCs w:val="24"/>
          <w:lang w:val="en-US" w:eastAsia="zh-CN" w:bidi="ar"/>
          <w14:textFill>
            <w14:solidFill>
              <w14:schemeClr w14:val="tx1"/>
            </w14:solidFill>
          </w14:textFill>
        </w:rPr>
        <w:t>=1.63×B×(N×η+0.000938) ;</w:t>
      </w:r>
    </w:p>
    <w:p w14:paraId="4ED0FD9A">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式中：Q——污染物排放量，kg；B——耗油量，kg；S——含硫率，取0.03%；N——含氮率，取0.02%；η——燃烧时氮的转化率，取40%；A——灰分含量，取0.01%。</w:t>
      </w:r>
    </w:p>
    <w:p w14:paraId="6AE55C76">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根据环评工程师注册培训教材《社会区域区环境影响评价》给出的计算参数：柴油发电机运行烟尘的排放数为：0.714g/L。由此算得本项目单台柴油发电机烟尘的排放量为2.24kg/a。</w:t>
      </w:r>
    </w:p>
    <w:p w14:paraId="5CA4866A">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本项目柴油发电机废气及其污染物排放情况见表3-6-3所示。</w:t>
      </w:r>
    </w:p>
    <w:p w14:paraId="5FA4C901">
      <w:pPr>
        <w:pStyle w:val="206"/>
        <w:rPr>
          <w:rFonts w:hint="eastAsia" w:ascii="Times New Roman" w:hAnsi="Times New Roman"/>
          <w:color w:val="000000" w:themeColor="text1"/>
          <w:lang w:val="en-US" w:eastAsia="zh-CN"/>
          <w14:textFill>
            <w14:solidFill>
              <w14:schemeClr w14:val="tx1"/>
            </w14:solidFill>
          </w14:textFill>
        </w:rPr>
      </w:pPr>
      <w:r>
        <w:rPr>
          <w:rFonts w:hint="eastAsia" w:ascii="Times New Roman" w:hAnsi="Times New Roman"/>
          <w:color w:val="000000" w:themeColor="text1"/>
          <w:lang w:val="en-US" w:eastAsia="zh-CN"/>
          <w14:textFill>
            <w14:solidFill>
              <w14:schemeClr w14:val="tx1"/>
            </w14:solidFill>
          </w14:textFill>
        </w:rPr>
        <w:t>表3-</w:t>
      </w:r>
      <w:r>
        <w:rPr>
          <w:rFonts w:hint="eastAsia"/>
          <w:color w:val="000000" w:themeColor="text1"/>
          <w:lang w:val="en-US" w:eastAsia="zh-CN"/>
          <w14:textFill>
            <w14:solidFill>
              <w14:schemeClr w14:val="tx1"/>
            </w14:solidFill>
          </w14:textFill>
        </w:rPr>
        <w:t>6-3</w:t>
      </w:r>
      <w:r>
        <w:rPr>
          <w:rFonts w:hint="eastAsia" w:ascii="Times New Roman" w:hAnsi="Times New Roman"/>
          <w:color w:val="000000" w:themeColor="text1"/>
          <w:lang w:val="en-US" w:eastAsia="zh-CN"/>
          <w14:textFill>
            <w14:solidFill>
              <w14:schemeClr w14:val="tx1"/>
            </w14:solidFill>
          </w14:textFill>
        </w:rPr>
        <w:t xml:space="preserve">  柴油发电机废气及污染物产排放情况一览表</w:t>
      </w:r>
    </w:p>
    <w:tbl>
      <w:tblPr>
        <w:tblStyle w:val="49"/>
        <w:tblW w:w="843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66"/>
        <w:gridCol w:w="1714"/>
        <w:gridCol w:w="1530"/>
        <w:gridCol w:w="1530"/>
        <w:gridCol w:w="1797"/>
      </w:tblGrid>
      <w:tr w14:paraId="248BB7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66" w:type="dxa"/>
            <w:noWrap w:val="0"/>
            <w:vAlign w:val="center"/>
          </w:tcPr>
          <w:p w14:paraId="53DC9BA2">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污染源</w:t>
            </w:r>
          </w:p>
        </w:tc>
        <w:tc>
          <w:tcPr>
            <w:tcW w:w="1714" w:type="dxa"/>
            <w:noWrap w:val="0"/>
            <w:vAlign w:val="center"/>
          </w:tcPr>
          <w:p w14:paraId="4EB1276E">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污染物</w:t>
            </w:r>
          </w:p>
        </w:tc>
        <w:tc>
          <w:tcPr>
            <w:tcW w:w="1530" w:type="dxa"/>
            <w:noWrap w:val="0"/>
            <w:vAlign w:val="center"/>
          </w:tcPr>
          <w:p w14:paraId="64B15703">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产生量（kg/a）</w:t>
            </w:r>
          </w:p>
        </w:tc>
        <w:tc>
          <w:tcPr>
            <w:tcW w:w="1530" w:type="dxa"/>
            <w:noWrap w:val="0"/>
            <w:vAlign w:val="center"/>
          </w:tcPr>
          <w:p w14:paraId="67A2FA75">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排放量（kg/a）</w:t>
            </w:r>
          </w:p>
        </w:tc>
        <w:tc>
          <w:tcPr>
            <w:tcW w:w="1797" w:type="dxa"/>
            <w:noWrap w:val="0"/>
            <w:vAlign w:val="center"/>
          </w:tcPr>
          <w:p w14:paraId="6CE5B3D9">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排放浓度（mg/m</w:t>
            </w:r>
            <w:r>
              <w:rPr>
                <w:rFonts w:hint="eastAsia"/>
                <w:color w:val="000000" w:themeColor="text1"/>
                <w:sz w:val="21"/>
                <w:szCs w:val="21"/>
                <w:vertAlign w:val="superscript"/>
                <w:lang w:val="en-US" w:eastAsia="zh-CN" w:bidi="ar"/>
                <w14:textFill>
                  <w14:solidFill>
                    <w14:schemeClr w14:val="tx1"/>
                  </w14:solidFill>
                </w14:textFill>
              </w:rPr>
              <w:t>3</w:t>
            </w:r>
            <w:r>
              <w:rPr>
                <w:rFonts w:hint="eastAsia"/>
                <w:color w:val="000000" w:themeColor="text1"/>
                <w:sz w:val="21"/>
                <w:szCs w:val="21"/>
                <w:lang w:val="en-US" w:eastAsia="zh-CN" w:bidi="ar"/>
                <w14:textFill>
                  <w14:solidFill>
                    <w14:schemeClr w14:val="tx1"/>
                  </w14:solidFill>
                </w14:textFill>
              </w:rPr>
              <w:t>）</w:t>
            </w:r>
          </w:p>
        </w:tc>
      </w:tr>
      <w:tr w14:paraId="49B779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66" w:type="dxa"/>
            <w:vMerge w:val="restart"/>
            <w:noWrap w:val="0"/>
            <w:vAlign w:val="center"/>
          </w:tcPr>
          <w:p w14:paraId="300D24DE">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柴油发电机尾气</w:t>
            </w:r>
          </w:p>
        </w:tc>
        <w:tc>
          <w:tcPr>
            <w:tcW w:w="1714" w:type="dxa"/>
            <w:noWrap w:val="0"/>
            <w:vAlign w:val="center"/>
          </w:tcPr>
          <w:p w14:paraId="470E0D76">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烟尘</w:t>
            </w:r>
          </w:p>
        </w:tc>
        <w:tc>
          <w:tcPr>
            <w:tcW w:w="1530" w:type="dxa"/>
            <w:noWrap w:val="0"/>
            <w:vAlign w:val="center"/>
          </w:tcPr>
          <w:p w14:paraId="0470F1A0">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7.54</w:t>
            </w:r>
          </w:p>
        </w:tc>
        <w:tc>
          <w:tcPr>
            <w:tcW w:w="1530" w:type="dxa"/>
            <w:noWrap w:val="0"/>
            <w:vAlign w:val="center"/>
          </w:tcPr>
          <w:p w14:paraId="73E978F3">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7.54</w:t>
            </w:r>
          </w:p>
        </w:tc>
        <w:tc>
          <w:tcPr>
            <w:tcW w:w="1797" w:type="dxa"/>
            <w:noWrap w:val="0"/>
            <w:vAlign w:val="center"/>
          </w:tcPr>
          <w:p w14:paraId="62093E70">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45.1</w:t>
            </w:r>
          </w:p>
        </w:tc>
      </w:tr>
      <w:tr w14:paraId="084DC5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66" w:type="dxa"/>
            <w:vMerge w:val="continue"/>
            <w:noWrap w:val="0"/>
            <w:vAlign w:val="center"/>
          </w:tcPr>
          <w:p w14:paraId="4717F984">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p>
        </w:tc>
        <w:tc>
          <w:tcPr>
            <w:tcW w:w="1714" w:type="dxa"/>
            <w:noWrap w:val="0"/>
            <w:vAlign w:val="center"/>
          </w:tcPr>
          <w:p w14:paraId="081058B3">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SO</w:t>
            </w:r>
            <w:r>
              <w:rPr>
                <w:rFonts w:hint="eastAsia"/>
                <w:color w:val="000000" w:themeColor="text1"/>
                <w:sz w:val="21"/>
                <w:szCs w:val="21"/>
                <w:vertAlign w:val="subscript"/>
                <w:lang w:val="en-US" w:eastAsia="zh-CN" w:bidi="ar"/>
                <w14:textFill>
                  <w14:solidFill>
                    <w14:schemeClr w14:val="tx1"/>
                  </w14:solidFill>
                </w14:textFill>
              </w:rPr>
              <w:t>2</w:t>
            </w:r>
          </w:p>
        </w:tc>
        <w:tc>
          <w:tcPr>
            <w:tcW w:w="1530" w:type="dxa"/>
            <w:noWrap w:val="0"/>
            <w:vAlign w:val="center"/>
          </w:tcPr>
          <w:p w14:paraId="3EBA9256">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5.07</w:t>
            </w:r>
          </w:p>
        </w:tc>
        <w:tc>
          <w:tcPr>
            <w:tcW w:w="1530" w:type="dxa"/>
            <w:noWrap w:val="0"/>
            <w:vAlign w:val="center"/>
          </w:tcPr>
          <w:p w14:paraId="2D1089A5">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5.07</w:t>
            </w:r>
          </w:p>
        </w:tc>
        <w:tc>
          <w:tcPr>
            <w:tcW w:w="1797" w:type="dxa"/>
            <w:noWrap w:val="0"/>
            <w:vAlign w:val="center"/>
          </w:tcPr>
          <w:p w14:paraId="644A37A7">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30.3</w:t>
            </w:r>
          </w:p>
        </w:tc>
      </w:tr>
      <w:tr w14:paraId="3E9228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66" w:type="dxa"/>
            <w:vMerge w:val="continue"/>
            <w:noWrap w:val="0"/>
            <w:vAlign w:val="center"/>
          </w:tcPr>
          <w:p w14:paraId="0E762358">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p>
        </w:tc>
        <w:tc>
          <w:tcPr>
            <w:tcW w:w="1714" w:type="dxa"/>
            <w:noWrap w:val="0"/>
            <w:vAlign w:val="center"/>
          </w:tcPr>
          <w:p w14:paraId="42AAADE0">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NO</w:t>
            </w:r>
            <w:r>
              <w:rPr>
                <w:rFonts w:hint="eastAsia"/>
                <w:color w:val="000000" w:themeColor="text1"/>
                <w:sz w:val="21"/>
                <w:szCs w:val="21"/>
                <w:vertAlign w:val="subscript"/>
                <w:lang w:val="en-US" w:eastAsia="zh-CN" w:bidi="ar"/>
                <w14:textFill>
                  <w14:solidFill>
                    <w14:schemeClr w14:val="tx1"/>
                  </w14:solidFill>
                </w14:textFill>
              </w:rPr>
              <w:t>x</w:t>
            </w:r>
          </w:p>
        </w:tc>
        <w:tc>
          <w:tcPr>
            <w:tcW w:w="1530" w:type="dxa"/>
            <w:noWrap w:val="0"/>
            <w:vAlign w:val="center"/>
          </w:tcPr>
          <w:p w14:paraId="6BC563C9">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14.02</w:t>
            </w:r>
          </w:p>
        </w:tc>
        <w:tc>
          <w:tcPr>
            <w:tcW w:w="1530" w:type="dxa"/>
            <w:noWrap w:val="0"/>
            <w:vAlign w:val="center"/>
          </w:tcPr>
          <w:p w14:paraId="48D0F7B2">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14.02</w:t>
            </w:r>
          </w:p>
        </w:tc>
        <w:tc>
          <w:tcPr>
            <w:tcW w:w="1797" w:type="dxa"/>
            <w:noWrap w:val="0"/>
            <w:vAlign w:val="center"/>
          </w:tcPr>
          <w:p w14:paraId="7D53FBF4">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83.8</w:t>
            </w:r>
          </w:p>
        </w:tc>
      </w:tr>
    </w:tbl>
    <w:p w14:paraId="319A43E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综上所述，本项目废气污染源产生情况详见下表。</w:t>
      </w:r>
    </w:p>
    <w:p w14:paraId="296D5674">
      <w:pPr>
        <w:pStyle w:val="85"/>
        <w:rPr>
          <w:color w:val="000000" w:themeColor="text1"/>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14:paraId="11FB9EC5">
      <w:pPr>
        <w:pStyle w:val="206"/>
        <w:rPr>
          <w:color w:val="000000" w:themeColor="text1"/>
          <w:szCs w:val="24"/>
          <w:highlight w:val="none"/>
          <w14:textFill>
            <w14:solidFill>
              <w14:schemeClr w14:val="tx1"/>
            </w14:solidFill>
          </w14:textFill>
        </w:rPr>
      </w:pPr>
      <w:bookmarkStart w:id="135" w:name="_Hlk514165465"/>
      <w:r>
        <w:rPr>
          <w:color w:val="000000" w:themeColor="text1"/>
          <w:highlight w:val="none"/>
          <w14:textFill>
            <w14:solidFill>
              <w14:schemeClr w14:val="tx1"/>
            </w14:solidFill>
          </w14:textFill>
        </w:rPr>
        <w:t>表3-6-</w:t>
      </w:r>
      <w:r>
        <w:rPr>
          <w:rFonts w:hint="eastAsia"/>
          <w:color w:val="000000" w:themeColor="text1"/>
          <w:highlight w:val="none"/>
          <w:lang w:val="en-US" w:eastAsia="zh-CN"/>
          <w14:textFill>
            <w14:solidFill>
              <w14:schemeClr w14:val="tx1"/>
            </w14:solidFill>
          </w14:textFill>
        </w:rPr>
        <w:t>4</w:t>
      </w:r>
      <w:r>
        <w:rPr>
          <w:color w:val="000000" w:themeColor="text1"/>
          <w:highlight w:val="none"/>
          <w14:textFill>
            <w14:solidFill>
              <w14:schemeClr w14:val="tx1"/>
            </w14:solidFill>
          </w14:textFill>
        </w:rPr>
        <w:t xml:space="preserve"> </w:t>
      </w:r>
      <w:r>
        <w:rPr>
          <w:rFonts w:hint="eastAsia"/>
          <w:color w:val="000000" w:themeColor="text1"/>
          <w:highlight w:val="none"/>
          <w:lang w:eastAsia="zh-CN"/>
          <w14:textFill>
            <w14:solidFill>
              <w14:schemeClr w14:val="tx1"/>
            </w14:solidFill>
          </w14:textFill>
        </w:rPr>
        <w:t>本项目废气</w:t>
      </w:r>
      <w:r>
        <w:rPr>
          <w:rFonts w:hint="eastAsia"/>
          <w:color w:val="000000" w:themeColor="text1"/>
          <w:highlight w:val="none"/>
          <w14:textFill>
            <w14:solidFill>
              <w14:schemeClr w14:val="tx1"/>
            </w14:solidFill>
          </w14:textFill>
        </w:rPr>
        <w:t>污染物</w:t>
      </w:r>
      <w:r>
        <w:rPr>
          <w:rFonts w:hint="eastAsia"/>
          <w:color w:val="000000" w:themeColor="text1"/>
          <w:highlight w:val="none"/>
          <w:lang w:eastAsia="zh-CN"/>
          <w14:textFill>
            <w14:solidFill>
              <w14:schemeClr w14:val="tx1"/>
            </w14:solidFill>
          </w14:textFill>
        </w:rPr>
        <w:t>产生及排放</w:t>
      </w:r>
      <w:r>
        <w:rPr>
          <w:color w:val="000000" w:themeColor="text1"/>
          <w:highlight w:val="none"/>
          <w14:textFill>
            <w14:solidFill>
              <w14:schemeClr w14:val="tx1"/>
            </w14:solidFill>
          </w14:textFill>
        </w:rPr>
        <w:t>情况</w:t>
      </w:r>
    </w:p>
    <w:bookmarkEnd w:id="135"/>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80"/>
        <w:gridCol w:w="687"/>
        <w:gridCol w:w="1228"/>
        <w:gridCol w:w="851"/>
        <w:gridCol w:w="851"/>
        <w:gridCol w:w="901"/>
        <w:gridCol w:w="1000"/>
        <w:gridCol w:w="1150"/>
        <w:gridCol w:w="1625"/>
        <w:gridCol w:w="709"/>
        <w:gridCol w:w="790"/>
        <w:gridCol w:w="713"/>
        <w:gridCol w:w="1075"/>
        <w:gridCol w:w="964"/>
        <w:gridCol w:w="634"/>
      </w:tblGrid>
      <w:tr w14:paraId="76F98A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restart"/>
            <w:vAlign w:val="center"/>
          </w:tcPr>
          <w:p w14:paraId="2C1659B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工序/生产线</w:t>
            </w:r>
          </w:p>
        </w:tc>
        <w:tc>
          <w:tcPr>
            <w:tcW w:w="246" w:type="pct"/>
            <w:vMerge w:val="restart"/>
            <w:vAlign w:val="center"/>
          </w:tcPr>
          <w:p w14:paraId="707D2C4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污染源</w:t>
            </w:r>
          </w:p>
        </w:tc>
        <w:tc>
          <w:tcPr>
            <w:tcW w:w="439" w:type="pct"/>
            <w:vMerge w:val="restart"/>
            <w:vAlign w:val="center"/>
          </w:tcPr>
          <w:p w14:paraId="0D19903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w:t>
            </w:r>
          </w:p>
        </w:tc>
        <w:tc>
          <w:tcPr>
            <w:tcW w:w="1702" w:type="pct"/>
            <w:gridSpan w:val="5"/>
            <w:vAlign w:val="center"/>
          </w:tcPr>
          <w:p w14:paraId="28BE6CC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污染物产生</w:t>
            </w:r>
          </w:p>
        </w:tc>
        <w:tc>
          <w:tcPr>
            <w:tcW w:w="836" w:type="pct"/>
            <w:gridSpan w:val="2"/>
            <w:vAlign w:val="center"/>
          </w:tcPr>
          <w:p w14:paraId="2C5F6C6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治理措施</w:t>
            </w:r>
          </w:p>
        </w:tc>
        <w:tc>
          <w:tcPr>
            <w:tcW w:w="1268" w:type="pct"/>
            <w:gridSpan w:val="4"/>
            <w:vAlign w:val="center"/>
          </w:tcPr>
          <w:p w14:paraId="63CF678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污染物排放</w:t>
            </w:r>
          </w:p>
        </w:tc>
        <w:tc>
          <w:tcPr>
            <w:tcW w:w="227" w:type="pct"/>
            <w:vMerge w:val="restart"/>
            <w:vAlign w:val="center"/>
          </w:tcPr>
          <w:p w14:paraId="4844157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排放时间/h</w:t>
            </w:r>
          </w:p>
        </w:tc>
      </w:tr>
      <w:tr w14:paraId="123F1B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5E3955F2">
            <w:pPr>
              <w:pStyle w:val="143"/>
              <w:rPr>
                <w:snapToGrid w:val="0"/>
                <w:color w:val="000000" w:themeColor="text1"/>
                <w14:textFill>
                  <w14:solidFill>
                    <w14:schemeClr w14:val="tx1"/>
                  </w14:solidFill>
                </w14:textFill>
              </w:rPr>
            </w:pPr>
          </w:p>
        </w:tc>
        <w:tc>
          <w:tcPr>
            <w:tcW w:w="246" w:type="pct"/>
            <w:vMerge w:val="continue"/>
            <w:vAlign w:val="center"/>
          </w:tcPr>
          <w:p w14:paraId="58A314A2">
            <w:pPr>
              <w:pStyle w:val="143"/>
              <w:rPr>
                <w:snapToGrid w:val="0"/>
                <w:color w:val="000000" w:themeColor="text1"/>
                <w14:textFill>
                  <w14:solidFill>
                    <w14:schemeClr w14:val="tx1"/>
                  </w14:solidFill>
                </w14:textFill>
              </w:rPr>
            </w:pPr>
          </w:p>
        </w:tc>
        <w:tc>
          <w:tcPr>
            <w:tcW w:w="439" w:type="pct"/>
            <w:vMerge w:val="continue"/>
            <w:vAlign w:val="center"/>
          </w:tcPr>
          <w:p w14:paraId="035B5E07">
            <w:pPr>
              <w:pStyle w:val="143"/>
              <w:rPr>
                <w:snapToGrid w:val="0"/>
                <w:color w:val="000000" w:themeColor="text1"/>
                <w14:textFill>
                  <w14:solidFill>
                    <w14:schemeClr w14:val="tx1"/>
                  </w14:solidFill>
                </w14:textFill>
              </w:rPr>
            </w:pPr>
          </w:p>
        </w:tc>
        <w:tc>
          <w:tcPr>
            <w:tcW w:w="304" w:type="pct"/>
            <w:vAlign w:val="center"/>
          </w:tcPr>
          <w:p w14:paraId="6332D77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核算</w:t>
            </w:r>
          </w:p>
          <w:p w14:paraId="3081789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方法</w:t>
            </w:r>
          </w:p>
        </w:tc>
        <w:tc>
          <w:tcPr>
            <w:tcW w:w="304" w:type="pct"/>
            <w:vAlign w:val="center"/>
          </w:tcPr>
          <w:p w14:paraId="1B249C30">
            <w:pPr>
              <w:pStyle w:val="143"/>
              <w:rPr>
                <w:snapToGrid w:val="0"/>
                <w:color w:val="000000" w:themeColor="text1"/>
                <w:vertAlign w:val="subscript"/>
                <w14:textFill>
                  <w14:solidFill>
                    <w14:schemeClr w14:val="tx1"/>
                  </w14:solidFill>
                </w14:textFill>
              </w:rPr>
            </w:pPr>
            <w:r>
              <w:rPr>
                <w:rFonts w:hint="eastAsia"/>
                <w:snapToGrid w:val="0"/>
                <w:color w:val="000000" w:themeColor="text1"/>
                <w:lang w:eastAsia="zh-CN"/>
                <w14:textFill>
                  <w14:solidFill>
                    <w14:schemeClr w14:val="tx1"/>
                  </w14:solidFill>
                </w14:textFill>
              </w:rPr>
              <w:t>烟气量Nm</w:t>
            </w:r>
            <w:r>
              <w:rPr>
                <w:snapToGrid w:val="0"/>
                <w:color w:val="000000" w:themeColor="text1"/>
                <w:vertAlign w:val="superscript"/>
                <w:lang w:eastAsia="zh-CN"/>
                <w14:textFill>
                  <w14:solidFill>
                    <w14:schemeClr w14:val="tx1"/>
                  </w14:solidFill>
                </w14:textFill>
              </w:rPr>
              <w:t>3</w:t>
            </w:r>
            <w:r>
              <w:rPr>
                <w:snapToGrid w:val="0"/>
                <w:color w:val="000000" w:themeColor="text1"/>
                <w:lang w:eastAsia="zh-CN"/>
                <w14:textFill>
                  <w14:solidFill>
                    <w14:schemeClr w14:val="tx1"/>
                  </w14:solidFill>
                </w14:textFill>
              </w:rPr>
              <w:t>/</w:t>
            </w:r>
            <w:r>
              <w:rPr>
                <w:rFonts w:hint="eastAsia"/>
                <w:snapToGrid w:val="0"/>
                <w:color w:val="000000" w:themeColor="text1"/>
                <w:lang w:eastAsia="zh-CN"/>
                <w14:textFill>
                  <w14:solidFill>
                    <w14:schemeClr w14:val="tx1"/>
                  </w14:solidFill>
                </w14:textFill>
              </w:rPr>
              <w:t>h</w:t>
            </w:r>
          </w:p>
        </w:tc>
        <w:tc>
          <w:tcPr>
            <w:tcW w:w="322" w:type="pct"/>
            <w:vAlign w:val="center"/>
          </w:tcPr>
          <w:p w14:paraId="650F2CFD">
            <w:pPr>
              <w:pStyle w:val="143"/>
              <w:rPr>
                <w:snapToGrid w:val="0"/>
                <w:color w:val="000000" w:themeColor="text1"/>
                <w:vertAlign w:val="superscript"/>
                <w14:textFill>
                  <w14:solidFill>
                    <w14:schemeClr w14:val="tx1"/>
                  </w14:solidFill>
                </w14:textFill>
              </w:rPr>
            </w:pPr>
            <w:r>
              <w:rPr>
                <w:rFonts w:hint="eastAsia"/>
                <w:snapToGrid w:val="0"/>
                <w:color w:val="000000" w:themeColor="text1"/>
                <w:lang w:eastAsia="zh-CN"/>
                <w14:textFill>
                  <w14:solidFill>
                    <w14:schemeClr w14:val="tx1"/>
                  </w14:solidFill>
                </w14:textFill>
              </w:rPr>
              <w:t>产生浓度mg</w:t>
            </w:r>
            <w:r>
              <w:rPr>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m</w:t>
            </w:r>
            <w:r>
              <w:rPr>
                <w:snapToGrid w:val="0"/>
                <w:color w:val="000000" w:themeColor="text1"/>
                <w:vertAlign w:val="superscript"/>
                <w14:textFill>
                  <w14:solidFill>
                    <w14:schemeClr w14:val="tx1"/>
                  </w14:solidFill>
                </w14:textFill>
              </w:rPr>
              <w:t>3</w:t>
            </w:r>
          </w:p>
        </w:tc>
        <w:tc>
          <w:tcPr>
            <w:tcW w:w="358" w:type="pct"/>
            <w:vAlign w:val="center"/>
          </w:tcPr>
          <w:p w14:paraId="71FB990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废气产生量t/a</w:t>
            </w:r>
          </w:p>
        </w:tc>
        <w:tc>
          <w:tcPr>
            <w:tcW w:w="411" w:type="pct"/>
            <w:vAlign w:val="center"/>
          </w:tcPr>
          <w:p w14:paraId="5C29DA5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废气产生量kg/h</w:t>
            </w:r>
          </w:p>
        </w:tc>
        <w:tc>
          <w:tcPr>
            <w:tcW w:w="582" w:type="pct"/>
            <w:vAlign w:val="center"/>
          </w:tcPr>
          <w:p w14:paraId="4CAAE65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工艺</w:t>
            </w:r>
          </w:p>
        </w:tc>
        <w:tc>
          <w:tcPr>
            <w:tcW w:w="253" w:type="pct"/>
            <w:vAlign w:val="center"/>
          </w:tcPr>
          <w:p w14:paraId="53539F86">
            <w:pPr>
              <w:pStyle w:val="143"/>
              <w:rPr>
                <w:snapToGrid w:val="0"/>
                <w:color w:val="000000" w:themeColor="text1"/>
                <w:lang w:eastAsia="zh-CN"/>
                <w14:textFill>
                  <w14:solidFill>
                    <w14:schemeClr w14:val="tx1"/>
                  </w14:solidFill>
                </w14:textFill>
              </w:rPr>
            </w:pPr>
            <w:r>
              <w:rPr>
                <w:snapToGrid w:val="0"/>
                <w:color w:val="000000" w:themeColor="text1"/>
                <w14:textFill>
                  <w14:solidFill>
                    <w14:schemeClr w14:val="tx1"/>
                  </w14:solidFill>
                </w14:textFill>
              </w:rPr>
              <w:t>效率</w:t>
            </w:r>
            <w:r>
              <w:rPr>
                <w:rFonts w:hint="eastAsia"/>
                <w:snapToGrid w:val="0"/>
                <w:color w:val="000000" w:themeColor="text1"/>
                <w:lang w:eastAsia="zh-CN"/>
                <w14:textFill>
                  <w14:solidFill>
                    <w14:schemeClr w14:val="tx1"/>
                  </w14:solidFill>
                </w14:textFill>
              </w:rPr>
              <w:t>%</w:t>
            </w:r>
          </w:p>
        </w:tc>
        <w:tc>
          <w:tcPr>
            <w:tcW w:w="282" w:type="pct"/>
            <w:vAlign w:val="center"/>
          </w:tcPr>
          <w:p w14:paraId="4A1BC48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核算方法</w:t>
            </w:r>
          </w:p>
        </w:tc>
        <w:tc>
          <w:tcPr>
            <w:tcW w:w="255" w:type="pct"/>
            <w:vAlign w:val="center"/>
          </w:tcPr>
          <w:p w14:paraId="52EB93DF">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排放</w:t>
            </w:r>
            <w:r>
              <w:rPr>
                <w:snapToGrid w:val="0"/>
                <w:color w:val="000000" w:themeColor="text1"/>
                <w:lang w:val="en-US"/>
                <w14:textFill>
                  <w14:solidFill>
                    <w14:schemeClr w14:val="tx1"/>
                  </w14:solidFill>
                </w14:textFill>
              </w:rPr>
              <w:t>浓度mg/m</w:t>
            </w:r>
            <w:r>
              <w:rPr>
                <w:snapToGrid w:val="0"/>
                <w:color w:val="000000" w:themeColor="text1"/>
                <w:vertAlign w:val="superscript"/>
                <w:lang w:val="en-US"/>
                <w14:textFill>
                  <w14:solidFill>
                    <w14:schemeClr w14:val="tx1"/>
                  </w14:solidFill>
                </w14:textFill>
              </w:rPr>
              <w:t>3</w:t>
            </w:r>
          </w:p>
        </w:tc>
        <w:tc>
          <w:tcPr>
            <w:tcW w:w="385" w:type="pct"/>
            <w:vAlign w:val="center"/>
          </w:tcPr>
          <w:p w14:paraId="26502C2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排放量t/a</w:t>
            </w:r>
          </w:p>
        </w:tc>
        <w:tc>
          <w:tcPr>
            <w:tcW w:w="345" w:type="pct"/>
            <w:vAlign w:val="center"/>
          </w:tcPr>
          <w:p w14:paraId="6CBA2F8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排放量</w:t>
            </w:r>
          </w:p>
          <w:p w14:paraId="3DBE2EB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kg/h</w:t>
            </w:r>
          </w:p>
        </w:tc>
        <w:tc>
          <w:tcPr>
            <w:tcW w:w="227" w:type="pct"/>
            <w:vMerge w:val="continue"/>
            <w:vAlign w:val="center"/>
          </w:tcPr>
          <w:p w14:paraId="44126F28">
            <w:pPr>
              <w:pStyle w:val="143"/>
              <w:rPr>
                <w:snapToGrid w:val="0"/>
                <w:color w:val="000000" w:themeColor="text1"/>
                <w14:textFill>
                  <w14:solidFill>
                    <w14:schemeClr w14:val="tx1"/>
                  </w14:solidFill>
                </w14:textFill>
              </w:rPr>
            </w:pPr>
          </w:p>
        </w:tc>
      </w:tr>
      <w:tr w14:paraId="6DB1F2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restart"/>
            <w:vAlign w:val="center"/>
          </w:tcPr>
          <w:p w14:paraId="2D7C41C9">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污水处理</w:t>
            </w:r>
          </w:p>
        </w:tc>
        <w:tc>
          <w:tcPr>
            <w:tcW w:w="246" w:type="pct"/>
            <w:vMerge w:val="restart"/>
            <w:vAlign w:val="center"/>
          </w:tcPr>
          <w:p w14:paraId="12F48CDF">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污水处理站</w:t>
            </w:r>
          </w:p>
        </w:tc>
        <w:tc>
          <w:tcPr>
            <w:tcW w:w="439" w:type="pct"/>
            <w:vAlign w:val="center"/>
          </w:tcPr>
          <w:p w14:paraId="4ACCFA1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p>
        </w:tc>
        <w:tc>
          <w:tcPr>
            <w:tcW w:w="304" w:type="pct"/>
            <w:vMerge w:val="restart"/>
            <w:vAlign w:val="center"/>
          </w:tcPr>
          <w:p w14:paraId="34A3FFBB">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产污系数法</w:t>
            </w:r>
          </w:p>
        </w:tc>
        <w:tc>
          <w:tcPr>
            <w:tcW w:w="304" w:type="pct"/>
            <w:vMerge w:val="restart"/>
            <w:vAlign w:val="center"/>
          </w:tcPr>
          <w:p w14:paraId="07D71560">
            <w:pPr>
              <w:pStyle w:val="143"/>
              <w:rPr>
                <w:rFonts w:hint="default"/>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8000</w:t>
            </w:r>
          </w:p>
        </w:tc>
        <w:tc>
          <w:tcPr>
            <w:tcW w:w="322" w:type="pct"/>
            <w:vAlign w:val="center"/>
          </w:tcPr>
          <w:p w14:paraId="09F5328C">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2.37</w:t>
            </w:r>
          </w:p>
        </w:tc>
        <w:tc>
          <w:tcPr>
            <w:tcW w:w="358" w:type="pct"/>
            <w:vAlign w:val="center"/>
          </w:tcPr>
          <w:p w14:paraId="12967091">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0.15</w:t>
            </w:r>
          </w:p>
        </w:tc>
        <w:tc>
          <w:tcPr>
            <w:tcW w:w="411" w:type="pct"/>
            <w:vAlign w:val="center"/>
          </w:tcPr>
          <w:p w14:paraId="30693707">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0.019</w:t>
            </w:r>
          </w:p>
        </w:tc>
        <w:tc>
          <w:tcPr>
            <w:tcW w:w="582" w:type="pct"/>
            <w:vMerge w:val="restart"/>
            <w:vAlign w:val="center"/>
          </w:tcPr>
          <w:p w14:paraId="4F70E4E7">
            <w:pPr>
              <w:pStyle w:val="143"/>
              <w:rPr>
                <w:snapToGrid w:val="0"/>
                <w:color w:val="000000" w:themeColor="text1"/>
                <w:lang w:val="en-US"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负压收集+</w:t>
            </w:r>
            <w:r>
              <w:rPr>
                <w:rFonts w:hint="eastAsia"/>
                <w:snapToGrid w:val="0"/>
                <w:color w:val="000000" w:themeColor="text1"/>
                <w:lang w:val="en-US" w:eastAsia="zh-CN"/>
                <w14:textFill>
                  <w14:solidFill>
                    <w14:schemeClr w14:val="tx1"/>
                  </w14:solidFill>
                </w14:textFill>
              </w:rPr>
              <w:t>活性炭吸附+</w:t>
            </w:r>
            <w:r>
              <w:rPr>
                <w:snapToGrid w:val="0"/>
                <w:color w:val="000000" w:themeColor="text1"/>
                <w:lang w:val="en-US" w:eastAsia="zh-CN"/>
                <w14:textFill>
                  <w14:solidFill>
                    <w14:schemeClr w14:val="tx1"/>
                  </w14:solidFill>
                </w14:textFill>
              </w:rPr>
              <w:t>15</w:t>
            </w:r>
            <w:r>
              <w:rPr>
                <w:rFonts w:hint="eastAsia"/>
                <w:snapToGrid w:val="0"/>
                <w:color w:val="000000" w:themeColor="text1"/>
                <w:lang w:val="en-US" w:eastAsia="zh-CN"/>
                <w14:textFill>
                  <w14:solidFill>
                    <w14:schemeClr w14:val="tx1"/>
                  </w14:solidFill>
                </w14:textFill>
              </w:rPr>
              <w:t>m排气筒D</w:t>
            </w:r>
            <w:r>
              <w:rPr>
                <w:snapToGrid w:val="0"/>
                <w:color w:val="000000" w:themeColor="text1"/>
                <w:lang w:val="en-US" w:eastAsia="zh-CN"/>
                <w14:textFill>
                  <w14:solidFill>
                    <w14:schemeClr w14:val="tx1"/>
                  </w14:solidFill>
                </w14:textFill>
              </w:rPr>
              <w:t>A00</w:t>
            </w:r>
            <w:r>
              <w:rPr>
                <w:rFonts w:hint="eastAsia"/>
                <w:snapToGrid w:val="0"/>
                <w:color w:val="000000" w:themeColor="text1"/>
                <w:lang w:val="en-US" w:eastAsia="zh-CN"/>
                <w14:textFill>
                  <w14:solidFill>
                    <w14:schemeClr w14:val="tx1"/>
                  </w14:solidFill>
                </w14:textFill>
              </w:rPr>
              <w:t>1</w:t>
            </w:r>
          </w:p>
        </w:tc>
        <w:tc>
          <w:tcPr>
            <w:tcW w:w="253" w:type="pct"/>
            <w:vMerge w:val="restart"/>
            <w:vAlign w:val="center"/>
          </w:tcPr>
          <w:p w14:paraId="220E5CF6">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收集效率90%，处理效率80%</w:t>
            </w:r>
          </w:p>
        </w:tc>
        <w:tc>
          <w:tcPr>
            <w:tcW w:w="282" w:type="pct"/>
            <w:vMerge w:val="restart"/>
            <w:vAlign w:val="center"/>
          </w:tcPr>
          <w:p w14:paraId="5CE64DAE">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产污系数法</w:t>
            </w:r>
          </w:p>
        </w:tc>
        <w:tc>
          <w:tcPr>
            <w:tcW w:w="255" w:type="pct"/>
            <w:vAlign w:val="center"/>
          </w:tcPr>
          <w:p w14:paraId="4B2F8B0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0.47</w:t>
            </w:r>
          </w:p>
        </w:tc>
        <w:tc>
          <w:tcPr>
            <w:tcW w:w="385" w:type="pct"/>
            <w:vAlign w:val="center"/>
          </w:tcPr>
          <w:p w14:paraId="0A3EEC0C">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0.03</w:t>
            </w:r>
          </w:p>
        </w:tc>
        <w:tc>
          <w:tcPr>
            <w:tcW w:w="345" w:type="pct"/>
            <w:vAlign w:val="center"/>
          </w:tcPr>
          <w:p w14:paraId="2AF2480D">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3.8</w:t>
            </w:r>
            <w:r>
              <w:rPr>
                <w:rFonts w:cs="Times New Roman"/>
                <w:color w:val="000000" w:themeColor="text1"/>
                <w14:textFill>
                  <w14:solidFill>
                    <w14:schemeClr w14:val="tx1"/>
                  </w14:solidFill>
                </w14:textFill>
              </w:rPr>
              <w:t>×10</w:t>
            </w:r>
            <w:r>
              <w:rPr>
                <w:rFonts w:cs="Times New Roman"/>
                <w:color w:val="000000" w:themeColor="text1"/>
                <w:vertAlign w:val="superscript"/>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3</w:t>
            </w:r>
          </w:p>
        </w:tc>
        <w:tc>
          <w:tcPr>
            <w:tcW w:w="227" w:type="pct"/>
            <w:vMerge w:val="restart"/>
            <w:vAlign w:val="center"/>
          </w:tcPr>
          <w:p w14:paraId="2BC2DD56">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7920</w:t>
            </w:r>
          </w:p>
        </w:tc>
      </w:tr>
      <w:tr w14:paraId="0F6356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5EA0A7D4">
            <w:pPr>
              <w:pStyle w:val="143"/>
              <w:rPr>
                <w:snapToGrid w:val="0"/>
                <w:color w:val="000000" w:themeColor="text1"/>
                <w14:textFill>
                  <w14:solidFill>
                    <w14:schemeClr w14:val="tx1"/>
                  </w14:solidFill>
                </w14:textFill>
              </w:rPr>
            </w:pPr>
          </w:p>
        </w:tc>
        <w:tc>
          <w:tcPr>
            <w:tcW w:w="246" w:type="pct"/>
            <w:vMerge w:val="continue"/>
            <w:vAlign w:val="center"/>
          </w:tcPr>
          <w:p w14:paraId="545363A1">
            <w:pPr>
              <w:pStyle w:val="143"/>
              <w:rPr>
                <w:snapToGrid w:val="0"/>
                <w:color w:val="000000" w:themeColor="text1"/>
                <w14:textFill>
                  <w14:solidFill>
                    <w14:schemeClr w14:val="tx1"/>
                  </w14:solidFill>
                </w14:textFill>
              </w:rPr>
            </w:pPr>
          </w:p>
        </w:tc>
        <w:tc>
          <w:tcPr>
            <w:tcW w:w="439" w:type="pct"/>
            <w:vAlign w:val="center"/>
          </w:tcPr>
          <w:p w14:paraId="1E21FBB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p>
        </w:tc>
        <w:tc>
          <w:tcPr>
            <w:tcW w:w="304" w:type="pct"/>
            <w:vMerge w:val="continue"/>
            <w:vAlign w:val="center"/>
          </w:tcPr>
          <w:p w14:paraId="18C38337">
            <w:pPr>
              <w:pStyle w:val="143"/>
              <w:rPr>
                <w:snapToGrid w:val="0"/>
                <w:color w:val="000000" w:themeColor="text1"/>
                <w14:textFill>
                  <w14:solidFill>
                    <w14:schemeClr w14:val="tx1"/>
                  </w14:solidFill>
                </w14:textFill>
              </w:rPr>
            </w:pPr>
          </w:p>
        </w:tc>
        <w:tc>
          <w:tcPr>
            <w:tcW w:w="304" w:type="pct"/>
            <w:vMerge w:val="continue"/>
            <w:vAlign w:val="center"/>
          </w:tcPr>
          <w:p w14:paraId="1622CE8B">
            <w:pPr>
              <w:pStyle w:val="143"/>
              <w:rPr>
                <w:bCs/>
                <w:snapToGrid w:val="0"/>
                <w:color w:val="000000" w:themeColor="text1"/>
                <w14:textFill>
                  <w14:solidFill>
                    <w14:schemeClr w14:val="tx1"/>
                  </w14:solidFill>
                </w14:textFill>
              </w:rPr>
            </w:pPr>
          </w:p>
        </w:tc>
        <w:tc>
          <w:tcPr>
            <w:tcW w:w="322" w:type="pct"/>
            <w:vAlign w:val="center"/>
          </w:tcPr>
          <w:p w14:paraId="1BE2E98E">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0.09</w:t>
            </w:r>
          </w:p>
        </w:tc>
        <w:tc>
          <w:tcPr>
            <w:tcW w:w="358" w:type="pct"/>
            <w:vAlign w:val="center"/>
          </w:tcPr>
          <w:p w14:paraId="1F8D8AA2">
            <w:pPr>
              <w:pStyle w:val="143"/>
              <w:rPr>
                <w:rFonts w:hint="eastAsia"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5.54</w:t>
            </w:r>
            <w:r>
              <w:rPr>
                <w:rFonts w:cs="Times New Roman"/>
                <w:color w:val="000000" w:themeColor="text1"/>
                <w14:textFill>
                  <w14:solidFill>
                    <w14:schemeClr w14:val="tx1"/>
                  </w14:solidFill>
                </w14:textFill>
              </w:rPr>
              <w:t>×10</w:t>
            </w:r>
            <w:r>
              <w:rPr>
                <w:rFonts w:cs="Times New Roman"/>
                <w:color w:val="000000" w:themeColor="text1"/>
                <w:vertAlign w:val="superscript"/>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4</w:t>
            </w:r>
          </w:p>
        </w:tc>
        <w:tc>
          <w:tcPr>
            <w:tcW w:w="411" w:type="pct"/>
            <w:vAlign w:val="center"/>
          </w:tcPr>
          <w:p w14:paraId="140C1E6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0.0007</w:t>
            </w:r>
          </w:p>
        </w:tc>
        <w:tc>
          <w:tcPr>
            <w:tcW w:w="582" w:type="pct"/>
            <w:vMerge w:val="continue"/>
            <w:vAlign w:val="center"/>
          </w:tcPr>
          <w:p w14:paraId="2FF81091">
            <w:pPr>
              <w:pStyle w:val="143"/>
              <w:rPr>
                <w:snapToGrid w:val="0"/>
                <w:color w:val="000000" w:themeColor="text1"/>
                <w14:textFill>
                  <w14:solidFill>
                    <w14:schemeClr w14:val="tx1"/>
                  </w14:solidFill>
                </w14:textFill>
              </w:rPr>
            </w:pPr>
          </w:p>
        </w:tc>
        <w:tc>
          <w:tcPr>
            <w:tcW w:w="253" w:type="pct"/>
            <w:vMerge w:val="continue"/>
            <w:vAlign w:val="center"/>
          </w:tcPr>
          <w:p w14:paraId="5AA063C4">
            <w:pPr>
              <w:pStyle w:val="143"/>
              <w:rPr>
                <w:snapToGrid w:val="0"/>
                <w:color w:val="000000" w:themeColor="text1"/>
                <w14:textFill>
                  <w14:solidFill>
                    <w14:schemeClr w14:val="tx1"/>
                  </w14:solidFill>
                </w14:textFill>
              </w:rPr>
            </w:pPr>
          </w:p>
        </w:tc>
        <w:tc>
          <w:tcPr>
            <w:tcW w:w="282" w:type="pct"/>
            <w:vMerge w:val="continue"/>
            <w:vAlign w:val="center"/>
          </w:tcPr>
          <w:p w14:paraId="56202EEB">
            <w:pPr>
              <w:pStyle w:val="143"/>
              <w:rPr>
                <w:snapToGrid w:val="0"/>
                <w:color w:val="000000" w:themeColor="text1"/>
                <w14:textFill>
                  <w14:solidFill>
                    <w14:schemeClr w14:val="tx1"/>
                  </w14:solidFill>
                </w14:textFill>
              </w:rPr>
            </w:pPr>
          </w:p>
        </w:tc>
        <w:tc>
          <w:tcPr>
            <w:tcW w:w="255" w:type="pct"/>
            <w:vAlign w:val="center"/>
          </w:tcPr>
          <w:p w14:paraId="7EBC9FEC">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0.019</w:t>
            </w:r>
          </w:p>
        </w:tc>
        <w:tc>
          <w:tcPr>
            <w:tcW w:w="385" w:type="pct"/>
            <w:vAlign w:val="center"/>
          </w:tcPr>
          <w:p w14:paraId="2BB4C99C">
            <w:pPr>
              <w:pStyle w:val="143"/>
              <w:rPr>
                <w:snapToGrid w:val="0"/>
                <w:color w:val="000000" w:themeColor="text1"/>
                <w14:textFill>
                  <w14:solidFill>
                    <w14:schemeClr w14:val="tx1"/>
                  </w14:solidFill>
                </w14:textFill>
              </w:rPr>
            </w:pPr>
            <w:r>
              <w:rPr>
                <w:rFonts w:cs="Times New Roman"/>
                <w:color w:val="000000" w:themeColor="text1"/>
                <w14:textFill>
                  <w14:solidFill>
                    <w14:schemeClr w14:val="tx1"/>
                  </w14:solidFill>
                </w14:textFill>
              </w:rPr>
              <w:t>4.93×10</w:t>
            </w:r>
            <w:r>
              <w:rPr>
                <w:rFonts w:cs="Times New Roman"/>
                <w:color w:val="000000" w:themeColor="text1"/>
                <w:vertAlign w:val="superscript"/>
                <w14:textFill>
                  <w14:solidFill>
                    <w14:schemeClr w14:val="tx1"/>
                  </w14:solidFill>
                </w14:textFill>
              </w:rPr>
              <w:t>-5</w:t>
            </w:r>
          </w:p>
        </w:tc>
        <w:tc>
          <w:tcPr>
            <w:tcW w:w="345" w:type="pct"/>
            <w:vAlign w:val="center"/>
          </w:tcPr>
          <w:p w14:paraId="51A73026">
            <w:pPr>
              <w:pStyle w:val="143"/>
              <w:rPr>
                <w:snapToGrid w:val="0"/>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1.5</w:t>
            </w:r>
            <w:r>
              <w:rPr>
                <w:rFonts w:cs="Times New Roman"/>
                <w:color w:val="000000" w:themeColor="text1"/>
                <w14:textFill>
                  <w14:solidFill>
                    <w14:schemeClr w14:val="tx1"/>
                  </w14:solidFill>
                </w14:textFill>
              </w:rPr>
              <w:t>×10</w:t>
            </w:r>
            <w:r>
              <w:rPr>
                <w:rFonts w:cs="Times New Roman"/>
                <w:color w:val="000000" w:themeColor="text1"/>
                <w:vertAlign w:val="superscript"/>
                <w14:textFill>
                  <w14:solidFill>
                    <w14:schemeClr w14:val="tx1"/>
                  </w14:solidFill>
                </w14:textFill>
              </w:rPr>
              <w:t>-4</w:t>
            </w:r>
          </w:p>
        </w:tc>
        <w:tc>
          <w:tcPr>
            <w:tcW w:w="227" w:type="pct"/>
            <w:vMerge w:val="continue"/>
            <w:vAlign w:val="center"/>
          </w:tcPr>
          <w:p w14:paraId="15EF10C7">
            <w:pPr>
              <w:pStyle w:val="143"/>
              <w:rPr>
                <w:snapToGrid w:val="0"/>
                <w:color w:val="000000" w:themeColor="text1"/>
                <w14:textFill>
                  <w14:solidFill>
                    <w14:schemeClr w14:val="tx1"/>
                  </w14:solidFill>
                </w14:textFill>
              </w:rPr>
            </w:pPr>
          </w:p>
        </w:tc>
      </w:tr>
      <w:tr w14:paraId="6E33DB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76261D79">
            <w:pPr>
              <w:pStyle w:val="143"/>
              <w:rPr>
                <w:snapToGrid w:val="0"/>
                <w:color w:val="000000" w:themeColor="text1"/>
                <w14:textFill>
                  <w14:solidFill>
                    <w14:schemeClr w14:val="tx1"/>
                  </w14:solidFill>
                </w14:textFill>
              </w:rPr>
            </w:pPr>
          </w:p>
        </w:tc>
        <w:tc>
          <w:tcPr>
            <w:tcW w:w="246" w:type="pct"/>
            <w:vMerge w:val="continue"/>
            <w:vAlign w:val="center"/>
          </w:tcPr>
          <w:p w14:paraId="2F45955B">
            <w:pPr>
              <w:pStyle w:val="143"/>
              <w:rPr>
                <w:snapToGrid w:val="0"/>
                <w:color w:val="000000" w:themeColor="text1"/>
                <w14:textFill>
                  <w14:solidFill>
                    <w14:schemeClr w14:val="tx1"/>
                  </w14:solidFill>
                </w14:textFill>
              </w:rPr>
            </w:pPr>
          </w:p>
        </w:tc>
        <w:tc>
          <w:tcPr>
            <w:tcW w:w="439" w:type="pct"/>
            <w:vAlign w:val="center"/>
          </w:tcPr>
          <w:p w14:paraId="1B7F9B34">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臭气浓度</w:t>
            </w:r>
          </w:p>
        </w:tc>
        <w:tc>
          <w:tcPr>
            <w:tcW w:w="304" w:type="pct"/>
            <w:vMerge w:val="continue"/>
            <w:vAlign w:val="center"/>
          </w:tcPr>
          <w:p w14:paraId="0971D6E3">
            <w:pPr>
              <w:pStyle w:val="143"/>
              <w:rPr>
                <w:snapToGrid w:val="0"/>
                <w:color w:val="000000" w:themeColor="text1"/>
                <w14:textFill>
                  <w14:solidFill>
                    <w14:schemeClr w14:val="tx1"/>
                  </w14:solidFill>
                </w14:textFill>
              </w:rPr>
            </w:pPr>
          </w:p>
        </w:tc>
        <w:tc>
          <w:tcPr>
            <w:tcW w:w="304" w:type="pct"/>
            <w:vMerge w:val="continue"/>
            <w:vAlign w:val="center"/>
          </w:tcPr>
          <w:p w14:paraId="37779840">
            <w:pPr>
              <w:pStyle w:val="143"/>
              <w:rPr>
                <w:bCs/>
                <w:snapToGrid w:val="0"/>
                <w:color w:val="000000" w:themeColor="text1"/>
                <w14:textFill>
                  <w14:solidFill>
                    <w14:schemeClr w14:val="tx1"/>
                  </w14:solidFill>
                </w14:textFill>
              </w:rPr>
            </w:pPr>
          </w:p>
        </w:tc>
        <w:tc>
          <w:tcPr>
            <w:tcW w:w="322" w:type="pct"/>
            <w:vAlign w:val="center"/>
          </w:tcPr>
          <w:p w14:paraId="08DDB9CC">
            <w:pPr>
              <w:pStyle w:val="143"/>
              <w:rPr>
                <w:bCs/>
                <w:snapToGrid w:val="0"/>
                <w:color w:val="000000" w:themeColor="text1"/>
                <w14:textFill>
                  <w14:solidFill>
                    <w14:schemeClr w14:val="tx1"/>
                  </w14:solidFill>
                </w14:textFill>
              </w:rPr>
            </w:pPr>
            <w:r>
              <w:rPr>
                <w:bCs/>
                <w:snapToGrid w:val="0"/>
                <w:color w:val="000000" w:themeColor="text1"/>
                <w14:textFill>
                  <w14:solidFill>
                    <w14:schemeClr w14:val="tx1"/>
                  </w14:solidFill>
                </w14:textFill>
              </w:rPr>
              <w:t>＞2000（无量纲）</w:t>
            </w:r>
          </w:p>
        </w:tc>
        <w:tc>
          <w:tcPr>
            <w:tcW w:w="358" w:type="pct"/>
            <w:vAlign w:val="center"/>
          </w:tcPr>
          <w:p w14:paraId="4C0EA28D">
            <w:pPr>
              <w:pStyle w:val="143"/>
              <w:rPr>
                <w:rFonts w:hint="eastAsia"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p>
        </w:tc>
        <w:tc>
          <w:tcPr>
            <w:tcW w:w="411" w:type="pct"/>
            <w:vAlign w:val="center"/>
          </w:tcPr>
          <w:p w14:paraId="7A0C5893">
            <w:pPr>
              <w:pStyle w:val="143"/>
              <w:rPr>
                <w:rFonts w:hint="eastAsia"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p>
        </w:tc>
        <w:tc>
          <w:tcPr>
            <w:tcW w:w="582" w:type="pct"/>
            <w:vMerge w:val="continue"/>
            <w:vAlign w:val="center"/>
          </w:tcPr>
          <w:p w14:paraId="1014AD7D">
            <w:pPr>
              <w:pStyle w:val="143"/>
              <w:rPr>
                <w:snapToGrid w:val="0"/>
                <w:color w:val="000000" w:themeColor="text1"/>
                <w14:textFill>
                  <w14:solidFill>
                    <w14:schemeClr w14:val="tx1"/>
                  </w14:solidFill>
                </w14:textFill>
              </w:rPr>
            </w:pPr>
          </w:p>
        </w:tc>
        <w:tc>
          <w:tcPr>
            <w:tcW w:w="253" w:type="pct"/>
            <w:vMerge w:val="continue"/>
            <w:vAlign w:val="center"/>
          </w:tcPr>
          <w:p w14:paraId="1468A24E">
            <w:pPr>
              <w:pStyle w:val="143"/>
              <w:rPr>
                <w:snapToGrid w:val="0"/>
                <w:color w:val="000000" w:themeColor="text1"/>
                <w:lang w:eastAsia="zh-CN"/>
                <w14:textFill>
                  <w14:solidFill>
                    <w14:schemeClr w14:val="tx1"/>
                  </w14:solidFill>
                </w14:textFill>
              </w:rPr>
            </w:pPr>
          </w:p>
        </w:tc>
        <w:tc>
          <w:tcPr>
            <w:tcW w:w="282" w:type="pct"/>
            <w:vMerge w:val="continue"/>
            <w:vAlign w:val="center"/>
          </w:tcPr>
          <w:p w14:paraId="0D274E26">
            <w:pPr>
              <w:pStyle w:val="143"/>
              <w:rPr>
                <w:snapToGrid w:val="0"/>
                <w:color w:val="000000" w:themeColor="text1"/>
                <w14:textFill>
                  <w14:solidFill>
                    <w14:schemeClr w14:val="tx1"/>
                  </w14:solidFill>
                </w14:textFill>
              </w:rPr>
            </w:pPr>
          </w:p>
        </w:tc>
        <w:tc>
          <w:tcPr>
            <w:tcW w:w="255" w:type="pct"/>
            <w:vAlign w:val="center"/>
          </w:tcPr>
          <w:p w14:paraId="386CD15A">
            <w:pPr>
              <w:pStyle w:val="143"/>
              <w:rPr>
                <w:bCs/>
                <w:snapToGrid w:val="0"/>
                <w:color w:val="000000" w:themeColor="text1"/>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r>
              <w:rPr>
                <w:bCs/>
                <w:snapToGrid w:val="0"/>
                <w:color w:val="000000" w:themeColor="text1"/>
                <w14:textFill>
                  <w14:solidFill>
                    <w14:schemeClr w14:val="tx1"/>
                  </w14:solidFill>
                </w14:textFill>
              </w:rPr>
              <w:t>2000（无量纲）</w:t>
            </w:r>
          </w:p>
        </w:tc>
        <w:tc>
          <w:tcPr>
            <w:tcW w:w="385" w:type="pct"/>
            <w:vAlign w:val="center"/>
          </w:tcPr>
          <w:p w14:paraId="3DE03599">
            <w:pPr>
              <w:pStyle w:val="143"/>
              <w:rPr>
                <w:rFonts w:hint="eastAsia"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p>
        </w:tc>
        <w:tc>
          <w:tcPr>
            <w:tcW w:w="345" w:type="pct"/>
            <w:vAlign w:val="center"/>
          </w:tcPr>
          <w:p w14:paraId="24C04C02">
            <w:pPr>
              <w:pStyle w:val="143"/>
              <w:rPr>
                <w:rFonts w:hint="eastAsia"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p>
        </w:tc>
        <w:tc>
          <w:tcPr>
            <w:tcW w:w="227" w:type="pct"/>
            <w:vMerge w:val="continue"/>
            <w:vAlign w:val="center"/>
          </w:tcPr>
          <w:p w14:paraId="227B3E9C">
            <w:pPr>
              <w:pStyle w:val="143"/>
              <w:rPr>
                <w:snapToGrid w:val="0"/>
                <w:color w:val="000000" w:themeColor="text1"/>
                <w14:textFill>
                  <w14:solidFill>
                    <w14:schemeClr w14:val="tx1"/>
                  </w14:solidFill>
                </w14:textFill>
              </w:rPr>
            </w:pPr>
          </w:p>
        </w:tc>
      </w:tr>
      <w:tr w14:paraId="460641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7D72F802">
            <w:pPr>
              <w:pStyle w:val="143"/>
              <w:rPr>
                <w:snapToGrid w:val="0"/>
                <w:color w:val="000000" w:themeColor="text1"/>
                <w14:textFill>
                  <w14:solidFill>
                    <w14:schemeClr w14:val="tx1"/>
                  </w14:solidFill>
                </w14:textFill>
              </w:rPr>
            </w:pPr>
          </w:p>
        </w:tc>
        <w:tc>
          <w:tcPr>
            <w:tcW w:w="246" w:type="pct"/>
            <w:vMerge w:val="restart"/>
            <w:vAlign w:val="center"/>
          </w:tcPr>
          <w:p w14:paraId="3EA14E73">
            <w:pPr>
              <w:pStyle w:val="143"/>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无组织排放</w:t>
            </w:r>
          </w:p>
        </w:tc>
        <w:tc>
          <w:tcPr>
            <w:tcW w:w="439" w:type="pct"/>
            <w:vAlign w:val="center"/>
          </w:tcPr>
          <w:p w14:paraId="4D4B770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p>
        </w:tc>
        <w:tc>
          <w:tcPr>
            <w:tcW w:w="304" w:type="pct"/>
            <w:vMerge w:val="continue"/>
            <w:vAlign w:val="center"/>
          </w:tcPr>
          <w:p w14:paraId="63214A69">
            <w:pPr>
              <w:pStyle w:val="143"/>
              <w:rPr>
                <w:snapToGrid w:val="0"/>
                <w:color w:val="000000" w:themeColor="text1"/>
                <w14:textFill>
                  <w14:solidFill>
                    <w14:schemeClr w14:val="tx1"/>
                  </w14:solidFill>
                </w14:textFill>
              </w:rPr>
            </w:pPr>
          </w:p>
        </w:tc>
        <w:tc>
          <w:tcPr>
            <w:tcW w:w="304" w:type="pct"/>
            <w:vMerge w:val="restart"/>
            <w:vAlign w:val="center"/>
          </w:tcPr>
          <w:p w14:paraId="031C5712">
            <w:pPr>
              <w:pStyle w:val="143"/>
              <w:rPr>
                <w:bCs/>
                <w:snapToGrid w:val="0"/>
                <w:color w:val="000000" w:themeColor="text1"/>
                <w:lang w:eastAsia="zh-CN"/>
                <w14:textFill>
                  <w14:solidFill>
                    <w14:schemeClr w14:val="tx1"/>
                  </w14:solidFill>
                </w14:textFill>
              </w:rPr>
            </w:pPr>
            <w:r>
              <w:rPr>
                <w:rFonts w:hint="eastAsia"/>
                <w:bCs/>
                <w:snapToGrid w:val="0"/>
                <w:color w:val="000000" w:themeColor="text1"/>
                <w:lang w:eastAsia="zh-CN"/>
                <w14:textFill>
                  <w14:solidFill>
                    <w14:schemeClr w14:val="tx1"/>
                  </w14:solidFill>
                </w14:textFill>
              </w:rPr>
              <w:t>/</w:t>
            </w:r>
          </w:p>
        </w:tc>
        <w:tc>
          <w:tcPr>
            <w:tcW w:w="322" w:type="pct"/>
            <w:vMerge w:val="restart"/>
            <w:vAlign w:val="center"/>
          </w:tcPr>
          <w:p w14:paraId="11FFEFEF">
            <w:pPr>
              <w:pStyle w:val="143"/>
              <w:rPr>
                <w:bCs/>
                <w:snapToGrid w:val="0"/>
                <w:color w:val="000000" w:themeColor="text1"/>
                <w:lang w:eastAsia="zh-CN"/>
                <w14:textFill>
                  <w14:solidFill>
                    <w14:schemeClr w14:val="tx1"/>
                  </w14:solidFill>
                </w14:textFill>
              </w:rPr>
            </w:pPr>
            <w:r>
              <w:rPr>
                <w:rFonts w:hint="eastAsia"/>
                <w:bCs/>
                <w:snapToGrid w:val="0"/>
                <w:color w:val="000000" w:themeColor="text1"/>
                <w:lang w:eastAsia="zh-CN"/>
                <w14:textFill>
                  <w14:solidFill>
                    <w14:schemeClr w14:val="tx1"/>
                  </w14:solidFill>
                </w14:textFill>
              </w:rPr>
              <w:t>/</w:t>
            </w:r>
          </w:p>
        </w:tc>
        <w:tc>
          <w:tcPr>
            <w:tcW w:w="358" w:type="pct"/>
            <w:vAlign w:val="center"/>
          </w:tcPr>
          <w:p w14:paraId="0F309150">
            <w:pPr>
              <w:pStyle w:val="143"/>
              <w:rPr>
                <w:rFonts w:hint="eastAsia"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1.69</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2</w:t>
            </w:r>
          </w:p>
        </w:tc>
        <w:tc>
          <w:tcPr>
            <w:tcW w:w="411" w:type="pct"/>
            <w:vAlign w:val="center"/>
          </w:tcPr>
          <w:p w14:paraId="55436481">
            <w:pPr>
              <w:pStyle w:val="143"/>
              <w:rPr>
                <w:rFonts w:hint="eastAsia" w:eastAsia="宋体"/>
                <w:bCs/>
                <w:snapToGrid w:val="0"/>
                <w:color w:val="000000" w:themeColor="text1"/>
                <w:lang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2.1</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3</w:t>
            </w:r>
          </w:p>
        </w:tc>
        <w:tc>
          <w:tcPr>
            <w:tcW w:w="836" w:type="pct"/>
            <w:gridSpan w:val="2"/>
            <w:vMerge w:val="restart"/>
            <w:vAlign w:val="center"/>
          </w:tcPr>
          <w:p w14:paraId="0F52580F">
            <w:pPr>
              <w:pStyle w:val="143"/>
              <w:rPr>
                <w:snapToGrid w:val="0"/>
                <w:color w:val="000000" w:themeColor="text1"/>
                <w:lang w:eastAsia="zh-CN"/>
                <w14:textFill>
                  <w14:solidFill>
                    <w14:schemeClr w14:val="tx1"/>
                  </w14:solidFill>
                </w14:textFill>
              </w:rPr>
            </w:pPr>
            <w:r>
              <w:rPr>
                <w:rFonts w:hint="eastAsia" w:ascii="Times New Roman"/>
                <w:color w:val="000000"/>
                <w:szCs w:val="24"/>
              </w:rPr>
              <w:t>污水处理站产生恶臭气体的单元加盖密闭，定期喷洒除臭剂</w:t>
            </w:r>
          </w:p>
        </w:tc>
        <w:tc>
          <w:tcPr>
            <w:tcW w:w="282" w:type="pct"/>
            <w:vMerge w:val="continue"/>
            <w:vAlign w:val="center"/>
          </w:tcPr>
          <w:p w14:paraId="65090227">
            <w:pPr>
              <w:pStyle w:val="143"/>
              <w:rPr>
                <w:snapToGrid w:val="0"/>
                <w:color w:val="000000" w:themeColor="text1"/>
                <w14:textFill>
                  <w14:solidFill>
                    <w14:schemeClr w14:val="tx1"/>
                  </w14:solidFill>
                </w14:textFill>
              </w:rPr>
            </w:pPr>
          </w:p>
        </w:tc>
        <w:tc>
          <w:tcPr>
            <w:tcW w:w="255" w:type="pct"/>
            <w:vMerge w:val="restart"/>
            <w:vAlign w:val="center"/>
          </w:tcPr>
          <w:p w14:paraId="0553A340">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385" w:type="pct"/>
            <w:vAlign w:val="center"/>
          </w:tcPr>
          <w:p w14:paraId="25A46FAE">
            <w:pPr>
              <w:pStyle w:val="143"/>
              <w:ind w:firstLine="0" w:firstLineChars="0"/>
              <w:rPr>
                <w:snapToGrid w:val="0"/>
                <w:color w:val="000000" w:themeColor="text1"/>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1.69</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2</w:t>
            </w:r>
          </w:p>
        </w:tc>
        <w:tc>
          <w:tcPr>
            <w:tcW w:w="345" w:type="pct"/>
            <w:vAlign w:val="center"/>
          </w:tcPr>
          <w:p w14:paraId="305D3410">
            <w:pPr>
              <w:pStyle w:val="143"/>
              <w:ind w:firstLine="0" w:firstLineChars="0"/>
              <w:rPr>
                <w:bCs/>
                <w:snapToGrid w:val="0"/>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2.1</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3</w:t>
            </w:r>
          </w:p>
        </w:tc>
        <w:tc>
          <w:tcPr>
            <w:tcW w:w="227" w:type="pct"/>
            <w:vMerge w:val="continue"/>
            <w:vAlign w:val="center"/>
          </w:tcPr>
          <w:p w14:paraId="02A31917">
            <w:pPr>
              <w:pStyle w:val="143"/>
              <w:rPr>
                <w:snapToGrid w:val="0"/>
                <w:color w:val="000000" w:themeColor="text1"/>
                <w14:textFill>
                  <w14:solidFill>
                    <w14:schemeClr w14:val="tx1"/>
                  </w14:solidFill>
                </w14:textFill>
              </w:rPr>
            </w:pPr>
          </w:p>
        </w:tc>
      </w:tr>
      <w:tr w14:paraId="5AF92B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35DB33EE">
            <w:pPr>
              <w:pStyle w:val="143"/>
              <w:rPr>
                <w:snapToGrid w:val="0"/>
                <w:color w:val="000000" w:themeColor="text1"/>
                <w14:textFill>
                  <w14:solidFill>
                    <w14:schemeClr w14:val="tx1"/>
                  </w14:solidFill>
                </w14:textFill>
              </w:rPr>
            </w:pPr>
          </w:p>
        </w:tc>
        <w:tc>
          <w:tcPr>
            <w:tcW w:w="246" w:type="pct"/>
            <w:vMerge w:val="continue"/>
            <w:vAlign w:val="center"/>
          </w:tcPr>
          <w:p w14:paraId="3564096D">
            <w:pPr>
              <w:pStyle w:val="143"/>
              <w:rPr>
                <w:snapToGrid w:val="0"/>
                <w:color w:val="000000" w:themeColor="text1"/>
                <w:lang w:val="en-US"/>
                <w14:textFill>
                  <w14:solidFill>
                    <w14:schemeClr w14:val="tx1"/>
                  </w14:solidFill>
                </w14:textFill>
              </w:rPr>
            </w:pPr>
          </w:p>
        </w:tc>
        <w:tc>
          <w:tcPr>
            <w:tcW w:w="439" w:type="pct"/>
            <w:vAlign w:val="center"/>
          </w:tcPr>
          <w:p w14:paraId="59CA7DE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p>
        </w:tc>
        <w:tc>
          <w:tcPr>
            <w:tcW w:w="304" w:type="pct"/>
            <w:vMerge w:val="continue"/>
            <w:vAlign w:val="center"/>
          </w:tcPr>
          <w:p w14:paraId="484BEE10">
            <w:pPr>
              <w:pStyle w:val="143"/>
              <w:rPr>
                <w:snapToGrid w:val="0"/>
                <w:color w:val="000000" w:themeColor="text1"/>
                <w14:textFill>
                  <w14:solidFill>
                    <w14:schemeClr w14:val="tx1"/>
                  </w14:solidFill>
                </w14:textFill>
              </w:rPr>
            </w:pPr>
          </w:p>
        </w:tc>
        <w:tc>
          <w:tcPr>
            <w:tcW w:w="304" w:type="pct"/>
            <w:vMerge w:val="continue"/>
            <w:vAlign w:val="center"/>
          </w:tcPr>
          <w:p w14:paraId="00980FDE">
            <w:pPr>
              <w:pStyle w:val="143"/>
              <w:rPr>
                <w:bCs/>
                <w:snapToGrid w:val="0"/>
                <w:color w:val="000000" w:themeColor="text1"/>
                <w14:textFill>
                  <w14:solidFill>
                    <w14:schemeClr w14:val="tx1"/>
                  </w14:solidFill>
                </w14:textFill>
              </w:rPr>
            </w:pPr>
          </w:p>
        </w:tc>
        <w:tc>
          <w:tcPr>
            <w:tcW w:w="322" w:type="pct"/>
            <w:vMerge w:val="continue"/>
            <w:vAlign w:val="center"/>
          </w:tcPr>
          <w:p w14:paraId="1714A6DF">
            <w:pPr>
              <w:pStyle w:val="143"/>
              <w:rPr>
                <w:bCs/>
                <w:snapToGrid w:val="0"/>
                <w:color w:val="000000" w:themeColor="text1"/>
                <w14:textFill>
                  <w14:solidFill>
                    <w14:schemeClr w14:val="tx1"/>
                  </w14:solidFill>
                </w14:textFill>
              </w:rPr>
            </w:pPr>
          </w:p>
        </w:tc>
        <w:tc>
          <w:tcPr>
            <w:tcW w:w="358" w:type="pct"/>
            <w:vAlign w:val="center"/>
          </w:tcPr>
          <w:p w14:paraId="23F8C709">
            <w:pPr>
              <w:pStyle w:val="143"/>
              <w:rPr>
                <w:rFonts w:hint="eastAsia"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6.5</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4</w:t>
            </w:r>
          </w:p>
        </w:tc>
        <w:tc>
          <w:tcPr>
            <w:tcW w:w="411" w:type="pct"/>
            <w:vAlign w:val="center"/>
          </w:tcPr>
          <w:p w14:paraId="19F87B57">
            <w:pPr>
              <w:pStyle w:val="143"/>
              <w:rPr>
                <w:bCs/>
                <w:snapToGrid w:val="0"/>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8.3</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cs="Times New Roman"/>
                <w:color w:val="000000" w:themeColor="text1"/>
                <w:vertAlign w:val="superscript"/>
                <w14:textFill>
                  <w14:solidFill>
                    <w14:schemeClr w14:val="tx1"/>
                  </w14:solidFill>
                </w14:textFill>
              </w:rPr>
              <w:t>5</w:t>
            </w:r>
          </w:p>
        </w:tc>
        <w:tc>
          <w:tcPr>
            <w:tcW w:w="836" w:type="pct"/>
            <w:gridSpan w:val="2"/>
            <w:vMerge w:val="continue"/>
            <w:vAlign w:val="center"/>
          </w:tcPr>
          <w:p w14:paraId="61C0EEE7">
            <w:pPr>
              <w:pStyle w:val="143"/>
              <w:rPr>
                <w:snapToGrid w:val="0"/>
                <w:color w:val="000000" w:themeColor="text1"/>
                <w14:textFill>
                  <w14:solidFill>
                    <w14:schemeClr w14:val="tx1"/>
                  </w14:solidFill>
                </w14:textFill>
              </w:rPr>
            </w:pPr>
          </w:p>
        </w:tc>
        <w:tc>
          <w:tcPr>
            <w:tcW w:w="282" w:type="pct"/>
            <w:vMerge w:val="continue"/>
            <w:vAlign w:val="center"/>
          </w:tcPr>
          <w:p w14:paraId="4199FAA5">
            <w:pPr>
              <w:pStyle w:val="143"/>
              <w:rPr>
                <w:snapToGrid w:val="0"/>
                <w:color w:val="000000" w:themeColor="text1"/>
                <w14:textFill>
                  <w14:solidFill>
                    <w14:schemeClr w14:val="tx1"/>
                  </w14:solidFill>
                </w14:textFill>
              </w:rPr>
            </w:pPr>
          </w:p>
        </w:tc>
        <w:tc>
          <w:tcPr>
            <w:tcW w:w="255" w:type="pct"/>
            <w:vMerge w:val="continue"/>
            <w:vAlign w:val="center"/>
          </w:tcPr>
          <w:p w14:paraId="4DC95C86">
            <w:pPr>
              <w:pStyle w:val="143"/>
              <w:rPr>
                <w:snapToGrid w:val="0"/>
                <w:color w:val="000000" w:themeColor="text1"/>
                <w14:textFill>
                  <w14:solidFill>
                    <w14:schemeClr w14:val="tx1"/>
                  </w14:solidFill>
                </w14:textFill>
              </w:rPr>
            </w:pPr>
          </w:p>
        </w:tc>
        <w:tc>
          <w:tcPr>
            <w:tcW w:w="385" w:type="pct"/>
            <w:vAlign w:val="center"/>
          </w:tcPr>
          <w:p w14:paraId="4B3166E7">
            <w:pPr>
              <w:pStyle w:val="143"/>
              <w:ind w:firstLine="0" w:firstLineChars="0"/>
              <w:rPr>
                <w:snapToGrid w:val="0"/>
                <w:color w:val="000000" w:themeColor="text1"/>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6.5</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4</w:t>
            </w:r>
          </w:p>
        </w:tc>
        <w:tc>
          <w:tcPr>
            <w:tcW w:w="345" w:type="pct"/>
            <w:vAlign w:val="center"/>
          </w:tcPr>
          <w:p w14:paraId="41459963">
            <w:pPr>
              <w:pStyle w:val="143"/>
              <w:ind w:firstLine="0" w:firstLineChars="0"/>
              <w:rPr>
                <w:bCs/>
                <w:snapToGrid w:val="0"/>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8.3</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cs="Times New Roman"/>
                <w:color w:val="000000" w:themeColor="text1"/>
                <w:vertAlign w:val="superscript"/>
                <w14:textFill>
                  <w14:solidFill>
                    <w14:schemeClr w14:val="tx1"/>
                  </w14:solidFill>
                </w14:textFill>
              </w:rPr>
              <w:t>5</w:t>
            </w:r>
          </w:p>
        </w:tc>
        <w:tc>
          <w:tcPr>
            <w:tcW w:w="227" w:type="pct"/>
            <w:vMerge w:val="continue"/>
            <w:vAlign w:val="center"/>
          </w:tcPr>
          <w:p w14:paraId="261A5344">
            <w:pPr>
              <w:pStyle w:val="143"/>
              <w:rPr>
                <w:snapToGrid w:val="0"/>
                <w:color w:val="000000" w:themeColor="text1"/>
                <w14:textFill>
                  <w14:solidFill>
                    <w14:schemeClr w14:val="tx1"/>
                  </w14:solidFill>
                </w14:textFill>
              </w:rPr>
            </w:pPr>
          </w:p>
        </w:tc>
      </w:tr>
      <w:tr w14:paraId="0AA460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59CF0649">
            <w:pPr>
              <w:pStyle w:val="143"/>
              <w:rPr>
                <w:snapToGrid w:val="0"/>
                <w:color w:val="000000" w:themeColor="text1"/>
                <w14:textFill>
                  <w14:solidFill>
                    <w14:schemeClr w14:val="tx1"/>
                  </w14:solidFill>
                </w14:textFill>
              </w:rPr>
            </w:pPr>
          </w:p>
        </w:tc>
        <w:tc>
          <w:tcPr>
            <w:tcW w:w="246" w:type="pct"/>
            <w:vMerge w:val="continue"/>
            <w:vAlign w:val="center"/>
          </w:tcPr>
          <w:p w14:paraId="76311607">
            <w:pPr>
              <w:pStyle w:val="143"/>
              <w:rPr>
                <w:snapToGrid w:val="0"/>
                <w:color w:val="000000" w:themeColor="text1"/>
                <w14:textFill>
                  <w14:solidFill>
                    <w14:schemeClr w14:val="tx1"/>
                  </w14:solidFill>
                </w14:textFill>
              </w:rPr>
            </w:pPr>
          </w:p>
        </w:tc>
        <w:tc>
          <w:tcPr>
            <w:tcW w:w="439" w:type="pct"/>
            <w:vAlign w:val="center"/>
          </w:tcPr>
          <w:p w14:paraId="5426FFE1">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臭气浓度</w:t>
            </w:r>
          </w:p>
        </w:tc>
        <w:tc>
          <w:tcPr>
            <w:tcW w:w="304" w:type="pct"/>
            <w:vMerge w:val="continue"/>
            <w:vAlign w:val="center"/>
          </w:tcPr>
          <w:p w14:paraId="773345F5">
            <w:pPr>
              <w:pStyle w:val="143"/>
              <w:rPr>
                <w:snapToGrid w:val="0"/>
                <w:color w:val="000000" w:themeColor="text1"/>
                <w14:textFill>
                  <w14:solidFill>
                    <w14:schemeClr w14:val="tx1"/>
                  </w14:solidFill>
                </w14:textFill>
              </w:rPr>
            </w:pPr>
          </w:p>
        </w:tc>
        <w:tc>
          <w:tcPr>
            <w:tcW w:w="304" w:type="pct"/>
            <w:vMerge w:val="continue"/>
            <w:vAlign w:val="center"/>
          </w:tcPr>
          <w:p w14:paraId="38594451">
            <w:pPr>
              <w:pStyle w:val="143"/>
              <w:rPr>
                <w:bCs/>
                <w:snapToGrid w:val="0"/>
                <w:color w:val="000000" w:themeColor="text1"/>
                <w14:textFill>
                  <w14:solidFill>
                    <w14:schemeClr w14:val="tx1"/>
                  </w14:solidFill>
                </w14:textFill>
              </w:rPr>
            </w:pPr>
          </w:p>
        </w:tc>
        <w:tc>
          <w:tcPr>
            <w:tcW w:w="322" w:type="pct"/>
            <w:vAlign w:val="center"/>
          </w:tcPr>
          <w:p w14:paraId="49160FDC">
            <w:pPr>
              <w:pStyle w:val="143"/>
              <w:rPr>
                <w:bCs/>
                <w:snapToGrid w:val="0"/>
                <w:color w:val="000000" w:themeColor="text1"/>
                <w:lang w:eastAsia="zh-CN"/>
                <w14:textFill>
                  <w14:solidFill>
                    <w14:schemeClr w14:val="tx1"/>
                  </w14:solidFill>
                </w14:textFill>
              </w:rPr>
            </w:pPr>
            <w:r>
              <w:rPr>
                <w:rFonts w:ascii="Times New Roman"/>
                <w:color w:val="000000"/>
                <w:sz w:val="21"/>
                <w:szCs w:val="21"/>
              </w:rPr>
              <w:t>＞20（无量纲）</w:t>
            </w:r>
          </w:p>
        </w:tc>
        <w:tc>
          <w:tcPr>
            <w:tcW w:w="358" w:type="pct"/>
            <w:vAlign w:val="center"/>
          </w:tcPr>
          <w:p w14:paraId="3856FC7A">
            <w:pPr>
              <w:pStyle w:val="143"/>
              <w:rPr>
                <w:rFonts w:hint="default"/>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p>
        </w:tc>
        <w:tc>
          <w:tcPr>
            <w:tcW w:w="411" w:type="pct"/>
            <w:vAlign w:val="center"/>
          </w:tcPr>
          <w:p w14:paraId="411CC286">
            <w:pPr>
              <w:pStyle w:val="143"/>
              <w:rPr>
                <w:rFonts w:hint="default"/>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p>
        </w:tc>
        <w:tc>
          <w:tcPr>
            <w:tcW w:w="836" w:type="pct"/>
            <w:gridSpan w:val="2"/>
            <w:vMerge w:val="continue"/>
            <w:vAlign w:val="center"/>
          </w:tcPr>
          <w:p w14:paraId="7C369E9C">
            <w:pPr>
              <w:pStyle w:val="143"/>
              <w:rPr>
                <w:snapToGrid w:val="0"/>
                <w:color w:val="000000" w:themeColor="text1"/>
                <w14:textFill>
                  <w14:solidFill>
                    <w14:schemeClr w14:val="tx1"/>
                  </w14:solidFill>
                </w14:textFill>
              </w:rPr>
            </w:pPr>
          </w:p>
        </w:tc>
        <w:tc>
          <w:tcPr>
            <w:tcW w:w="282" w:type="pct"/>
            <w:vMerge w:val="continue"/>
            <w:vAlign w:val="center"/>
          </w:tcPr>
          <w:p w14:paraId="463D94CB">
            <w:pPr>
              <w:pStyle w:val="143"/>
              <w:rPr>
                <w:snapToGrid w:val="0"/>
                <w:color w:val="000000" w:themeColor="text1"/>
                <w14:textFill>
                  <w14:solidFill>
                    <w14:schemeClr w14:val="tx1"/>
                  </w14:solidFill>
                </w14:textFill>
              </w:rPr>
            </w:pPr>
          </w:p>
        </w:tc>
        <w:tc>
          <w:tcPr>
            <w:tcW w:w="255" w:type="pct"/>
            <w:vAlign w:val="center"/>
          </w:tcPr>
          <w:p w14:paraId="71A4CF68">
            <w:pPr>
              <w:pStyle w:val="143"/>
              <w:rPr>
                <w:bCs/>
                <w:snapToGrid w:val="0"/>
                <w:color w:val="000000" w:themeColor="text1"/>
                <w:lang w:eastAsia="zh-CN"/>
                <w14:textFill>
                  <w14:solidFill>
                    <w14:schemeClr w14:val="tx1"/>
                  </w14:solidFill>
                </w14:textFill>
              </w:rPr>
            </w:pPr>
            <w:r>
              <w:rPr>
                <w:rFonts w:hint="eastAsia"/>
                <w:bCs/>
                <w:snapToGrid w:val="0"/>
                <w:color w:val="000000" w:themeColor="text1"/>
                <w:sz w:val="21"/>
                <w:szCs w:val="21"/>
                <w:lang w:val="en-US" w:eastAsia="zh-CN"/>
                <w14:textFill>
                  <w14:solidFill>
                    <w14:schemeClr w14:val="tx1"/>
                  </w14:solidFill>
                </w14:textFill>
              </w:rPr>
              <w:t>＜</w:t>
            </w:r>
            <w:r>
              <w:rPr>
                <w:rFonts w:ascii="Times New Roman"/>
                <w:color w:val="000000"/>
                <w:sz w:val="21"/>
                <w:szCs w:val="21"/>
              </w:rPr>
              <w:t>20（无量纲）</w:t>
            </w:r>
          </w:p>
        </w:tc>
        <w:tc>
          <w:tcPr>
            <w:tcW w:w="385" w:type="pct"/>
            <w:vAlign w:val="center"/>
          </w:tcPr>
          <w:p w14:paraId="30B990C7">
            <w:pPr>
              <w:pStyle w:val="143"/>
              <w:rPr>
                <w:rFonts w:hint="default"/>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p>
        </w:tc>
        <w:tc>
          <w:tcPr>
            <w:tcW w:w="345" w:type="pct"/>
            <w:vAlign w:val="center"/>
          </w:tcPr>
          <w:p w14:paraId="3EDFAFDE">
            <w:pPr>
              <w:pStyle w:val="143"/>
              <w:rPr>
                <w:rFonts w:hint="eastAsia"/>
                <w:bCs/>
                <w:snapToGrid w:val="0"/>
                <w:color w:val="000000" w:themeColor="text1"/>
                <w:lang w:eastAsia="zh-CN"/>
                <w14:textFill>
                  <w14:solidFill>
                    <w14:schemeClr w14:val="tx1"/>
                  </w14:solidFill>
                </w14:textFill>
              </w:rPr>
            </w:pPr>
          </w:p>
        </w:tc>
        <w:tc>
          <w:tcPr>
            <w:tcW w:w="227" w:type="pct"/>
            <w:vMerge w:val="continue"/>
            <w:vAlign w:val="center"/>
          </w:tcPr>
          <w:p w14:paraId="33E4FAA5">
            <w:pPr>
              <w:pStyle w:val="143"/>
              <w:rPr>
                <w:snapToGrid w:val="0"/>
                <w:color w:val="000000" w:themeColor="text1"/>
                <w14:textFill>
                  <w14:solidFill>
                    <w14:schemeClr w14:val="tx1"/>
                  </w14:solidFill>
                </w14:textFill>
              </w:rPr>
            </w:pPr>
          </w:p>
        </w:tc>
      </w:tr>
      <w:tr w14:paraId="4A211E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restart"/>
            <w:vAlign w:val="center"/>
          </w:tcPr>
          <w:p w14:paraId="70EC9797">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发酵</w:t>
            </w:r>
          </w:p>
        </w:tc>
        <w:tc>
          <w:tcPr>
            <w:tcW w:w="246" w:type="pct"/>
            <w:vMerge w:val="restart"/>
            <w:vAlign w:val="center"/>
          </w:tcPr>
          <w:p w14:paraId="3F806701">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发酵车间</w:t>
            </w:r>
          </w:p>
        </w:tc>
        <w:tc>
          <w:tcPr>
            <w:tcW w:w="439" w:type="pct"/>
            <w:vAlign w:val="center"/>
          </w:tcPr>
          <w:p w14:paraId="3BFC619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CO</w:t>
            </w:r>
            <w:r>
              <w:rPr>
                <w:snapToGrid w:val="0"/>
                <w:color w:val="000000" w:themeColor="text1"/>
                <w:vertAlign w:val="subscript"/>
                <w14:textFill>
                  <w14:solidFill>
                    <w14:schemeClr w14:val="tx1"/>
                  </w14:solidFill>
                </w14:textFill>
              </w:rPr>
              <w:t>2</w:t>
            </w:r>
          </w:p>
        </w:tc>
        <w:tc>
          <w:tcPr>
            <w:tcW w:w="304" w:type="pct"/>
            <w:vMerge w:val="continue"/>
            <w:vAlign w:val="center"/>
          </w:tcPr>
          <w:p w14:paraId="5C398C1D">
            <w:pPr>
              <w:pStyle w:val="143"/>
              <w:rPr>
                <w:snapToGrid w:val="0"/>
                <w:color w:val="000000" w:themeColor="text1"/>
                <w14:textFill>
                  <w14:solidFill>
                    <w14:schemeClr w14:val="tx1"/>
                  </w14:solidFill>
                </w14:textFill>
              </w:rPr>
            </w:pPr>
          </w:p>
        </w:tc>
        <w:tc>
          <w:tcPr>
            <w:tcW w:w="304" w:type="pct"/>
            <w:vMerge w:val="continue"/>
            <w:vAlign w:val="center"/>
          </w:tcPr>
          <w:p w14:paraId="09B5B2DF">
            <w:pPr>
              <w:pStyle w:val="143"/>
              <w:rPr>
                <w:bCs/>
                <w:snapToGrid w:val="0"/>
                <w:color w:val="000000" w:themeColor="text1"/>
                <w14:textFill>
                  <w14:solidFill>
                    <w14:schemeClr w14:val="tx1"/>
                  </w14:solidFill>
                </w14:textFill>
              </w:rPr>
            </w:pPr>
          </w:p>
        </w:tc>
        <w:tc>
          <w:tcPr>
            <w:tcW w:w="322" w:type="pct"/>
            <w:vAlign w:val="center"/>
          </w:tcPr>
          <w:p w14:paraId="03AF35E1">
            <w:pPr>
              <w:pStyle w:val="143"/>
              <w:rPr>
                <w:bCs/>
                <w:snapToGrid w:val="0"/>
                <w:color w:val="000000" w:themeColor="text1"/>
                <w:lang w:eastAsia="zh-CN"/>
                <w14:textFill>
                  <w14:solidFill>
                    <w14:schemeClr w14:val="tx1"/>
                  </w14:solidFill>
                </w14:textFill>
              </w:rPr>
            </w:pPr>
            <w:r>
              <w:rPr>
                <w:rFonts w:hint="eastAsia"/>
                <w:bCs/>
                <w:snapToGrid w:val="0"/>
                <w:color w:val="000000" w:themeColor="text1"/>
                <w:lang w:eastAsia="zh-CN"/>
                <w14:textFill>
                  <w14:solidFill>
                    <w14:schemeClr w14:val="tx1"/>
                  </w14:solidFill>
                </w14:textFill>
              </w:rPr>
              <w:t>/</w:t>
            </w:r>
          </w:p>
        </w:tc>
        <w:tc>
          <w:tcPr>
            <w:tcW w:w="358" w:type="pct"/>
            <w:vAlign w:val="center"/>
          </w:tcPr>
          <w:p w14:paraId="26C12AB3">
            <w:pPr>
              <w:pStyle w:val="143"/>
              <w:rPr>
                <w:rFonts w:hint="default"/>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768.6</w:t>
            </w:r>
          </w:p>
        </w:tc>
        <w:tc>
          <w:tcPr>
            <w:tcW w:w="411" w:type="pct"/>
            <w:vAlign w:val="center"/>
          </w:tcPr>
          <w:p w14:paraId="5B8FD9A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97.05</w:t>
            </w:r>
          </w:p>
        </w:tc>
        <w:tc>
          <w:tcPr>
            <w:tcW w:w="582" w:type="pct"/>
            <w:vAlign w:val="center"/>
          </w:tcPr>
          <w:p w14:paraId="389E10EC">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C</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2</w:t>
            </w:r>
            <w:r>
              <w:rPr>
                <w:rFonts w:hint="eastAsia"/>
                <w:snapToGrid w:val="0"/>
                <w:color w:val="000000" w:themeColor="text1"/>
                <w:lang w:eastAsia="zh-CN"/>
                <w14:textFill>
                  <w14:solidFill>
                    <w14:schemeClr w14:val="tx1"/>
                  </w14:solidFill>
                </w14:textFill>
              </w:rPr>
              <w:t>回收装置</w:t>
            </w:r>
          </w:p>
        </w:tc>
        <w:tc>
          <w:tcPr>
            <w:tcW w:w="253" w:type="pct"/>
            <w:vAlign w:val="center"/>
          </w:tcPr>
          <w:p w14:paraId="22FBF01F">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85</w:t>
            </w:r>
          </w:p>
        </w:tc>
        <w:tc>
          <w:tcPr>
            <w:tcW w:w="282" w:type="pct"/>
            <w:vMerge w:val="continue"/>
            <w:vAlign w:val="center"/>
          </w:tcPr>
          <w:p w14:paraId="3637AC8E">
            <w:pPr>
              <w:pStyle w:val="143"/>
              <w:rPr>
                <w:snapToGrid w:val="0"/>
                <w:color w:val="000000" w:themeColor="text1"/>
                <w14:textFill>
                  <w14:solidFill>
                    <w14:schemeClr w14:val="tx1"/>
                  </w14:solidFill>
                </w14:textFill>
              </w:rPr>
            </w:pPr>
          </w:p>
        </w:tc>
        <w:tc>
          <w:tcPr>
            <w:tcW w:w="255" w:type="pct"/>
            <w:vAlign w:val="center"/>
          </w:tcPr>
          <w:p w14:paraId="3EECC496">
            <w:pPr>
              <w:pStyle w:val="143"/>
              <w:rPr>
                <w:bCs/>
                <w:snapToGrid w:val="0"/>
                <w:color w:val="000000" w:themeColor="text1"/>
                <w:lang w:eastAsia="zh-CN"/>
                <w14:textFill>
                  <w14:solidFill>
                    <w14:schemeClr w14:val="tx1"/>
                  </w14:solidFill>
                </w14:textFill>
              </w:rPr>
            </w:pPr>
            <w:r>
              <w:rPr>
                <w:rFonts w:hint="eastAsia"/>
                <w:bCs/>
                <w:snapToGrid w:val="0"/>
                <w:color w:val="000000" w:themeColor="text1"/>
                <w:lang w:eastAsia="zh-CN"/>
                <w14:textFill>
                  <w14:solidFill>
                    <w14:schemeClr w14:val="tx1"/>
                  </w14:solidFill>
                </w14:textFill>
              </w:rPr>
              <w:t>/</w:t>
            </w:r>
          </w:p>
        </w:tc>
        <w:tc>
          <w:tcPr>
            <w:tcW w:w="385" w:type="pct"/>
            <w:vAlign w:val="center"/>
          </w:tcPr>
          <w:p w14:paraId="10E38E84">
            <w:pPr>
              <w:pStyle w:val="143"/>
              <w:rPr>
                <w:rFonts w:hint="default" w:eastAsia="宋体"/>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115.29</w:t>
            </w:r>
          </w:p>
        </w:tc>
        <w:tc>
          <w:tcPr>
            <w:tcW w:w="345" w:type="pct"/>
            <w:vAlign w:val="center"/>
          </w:tcPr>
          <w:p w14:paraId="04DF2A02">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 xml:space="preserve">16.01 </w:t>
            </w:r>
          </w:p>
        </w:tc>
        <w:tc>
          <w:tcPr>
            <w:tcW w:w="227" w:type="pct"/>
            <w:vMerge w:val="restart"/>
            <w:vAlign w:val="center"/>
          </w:tcPr>
          <w:p w14:paraId="005B503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7200</w:t>
            </w:r>
          </w:p>
        </w:tc>
      </w:tr>
      <w:tr w14:paraId="2D6C96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73974541">
            <w:pPr>
              <w:pStyle w:val="143"/>
              <w:rPr>
                <w:snapToGrid w:val="0"/>
                <w:color w:val="000000" w:themeColor="text1"/>
                <w14:textFill>
                  <w14:solidFill>
                    <w14:schemeClr w14:val="tx1"/>
                  </w14:solidFill>
                </w14:textFill>
              </w:rPr>
            </w:pPr>
          </w:p>
        </w:tc>
        <w:tc>
          <w:tcPr>
            <w:tcW w:w="246" w:type="pct"/>
            <w:vMerge w:val="continue"/>
            <w:vAlign w:val="center"/>
          </w:tcPr>
          <w:p w14:paraId="0D48CAEC">
            <w:pPr>
              <w:pStyle w:val="143"/>
              <w:rPr>
                <w:snapToGrid w:val="0"/>
                <w:color w:val="000000" w:themeColor="text1"/>
                <w14:textFill>
                  <w14:solidFill>
                    <w14:schemeClr w14:val="tx1"/>
                  </w14:solidFill>
                </w14:textFill>
              </w:rPr>
            </w:pPr>
          </w:p>
        </w:tc>
        <w:tc>
          <w:tcPr>
            <w:tcW w:w="439" w:type="pct"/>
            <w:vAlign w:val="center"/>
          </w:tcPr>
          <w:p w14:paraId="3C9D8066">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异味</w:t>
            </w:r>
          </w:p>
        </w:tc>
        <w:tc>
          <w:tcPr>
            <w:tcW w:w="304" w:type="pct"/>
            <w:vMerge w:val="continue"/>
            <w:vAlign w:val="center"/>
          </w:tcPr>
          <w:p w14:paraId="01539988">
            <w:pPr>
              <w:pStyle w:val="143"/>
              <w:rPr>
                <w:snapToGrid w:val="0"/>
                <w:color w:val="000000" w:themeColor="text1"/>
                <w14:textFill>
                  <w14:solidFill>
                    <w14:schemeClr w14:val="tx1"/>
                  </w14:solidFill>
                </w14:textFill>
              </w:rPr>
            </w:pPr>
          </w:p>
        </w:tc>
        <w:tc>
          <w:tcPr>
            <w:tcW w:w="304" w:type="pct"/>
            <w:vMerge w:val="continue"/>
            <w:vAlign w:val="center"/>
          </w:tcPr>
          <w:p w14:paraId="64C35C74">
            <w:pPr>
              <w:pStyle w:val="143"/>
              <w:rPr>
                <w:bCs/>
                <w:snapToGrid w:val="0"/>
                <w:color w:val="000000" w:themeColor="text1"/>
                <w14:textFill>
                  <w14:solidFill>
                    <w14:schemeClr w14:val="tx1"/>
                  </w14:solidFill>
                </w14:textFill>
              </w:rPr>
            </w:pPr>
          </w:p>
        </w:tc>
        <w:tc>
          <w:tcPr>
            <w:tcW w:w="1092" w:type="pct"/>
            <w:gridSpan w:val="3"/>
            <w:vAlign w:val="center"/>
          </w:tcPr>
          <w:p w14:paraId="493BCF58">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582" w:type="pct"/>
            <w:vAlign w:val="center"/>
          </w:tcPr>
          <w:p w14:paraId="168E3445">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活性炭吸附装置</w:t>
            </w:r>
          </w:p>
        </w:tc>
        <w:tc>
          <w:tcPr>
            <w:tcW w:w="253" w:type="pct"/>
            <w:vAlign w:val="center"/>
          </w:tcPr>
          <w:p w14:paraId="6877F19D">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82" w:type="pct"/>
            <w:vMerge w:val="continue"/>
            <w:vAlign w:val="center"/>
          </w:tcPr>
          <w:p w14:paraId="5C7CF6DD">
            <w:pPr>
              <w:pStyle w:val="143"/>
              <w:rPr>
                <w:snapToGrid w:val="0"/>
                <w:color w:val="000000" w:themeColor="text1"/>
                <w14:textFill>
                  <w14:solidFill>
                    <w14:schemeClr w14:val="tx1"/>
                  </w14:solidFill>
                </w14:textFill>
              </w:rPr>
            </w:pPr>
          </w:p>
        </w:tc>
        <w:tc>
          <w:tcPr>
            <w:tcW w:w="985" w:type="pct"/>
            <w:gridSpan w:val="3"/>
            <w:vAlign w:val="center"/>
          </w:tcPr>
          <w:p w14:paraId="3AAB54A1">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27" w:type="pct"/>
            <w:vMerge w:val="continue"/>
            <w:vAlign w:val="center"/>
          </w:tcPr>
          <w:p w14:paraId="59DA794E">
            <w:pPr>
              <w:pStyle w:val="143"/>
              <w:rPr>
                <w:snapToGrid w:val="0"/>
                <w:color w:val="000000" w:themeColor="text1"/>
                <w14:textFill>
                  <w14:solidFill>
                    <w14:schemeClr w14:val="tx1"/>
                  </w14:solidFill>
                </w14:textFill>
              </w:rPr>
            </w:pPr>
          </w:p>
        </w:tc>
      </w:tr>
      <w:tr w14:paraId="529934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restart"/>
            <w:vAlign w:val="center"/>
          </w:tcPr>
          <w:p w14:paraId="39E40A27">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U</w:t>
            </w:r>
            <w:r>
              <w:rPr>
                <w:snapToGrid w:val="0"/>
                <w:color w:val="000000" w:themeColor="text1"/>
                <w:lang w:eastAsia="zh-CN"/>
                <w14:textFill>
                  <w14:solidFill>
                    <w14:schemeClr w14:val="tx1"/>
                  </w14:solidFill>
                </w14:textFill>
              </w:rPr>
              <w:t>ASB</w:t>
            </w:r>
          </w:p>
        </w:tc>
        <w:tc>
          <w:tcPr>
            <w:tcW w:w="246" w:type="pct"/>
            <w:vMerge w:val="restart"/>
            <w:vAlign w:val="center"/>
          </w:tcPr>
          <w:p w14:paraId="7C6655A7">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沼气</w:t>
            </w:r>
          </w:p>
        </w:tc>
        <w:tc>
          <w:tcPr>
            <w:tcW w:w="439" w:type="pct"/>
            <w:vAlign w:val="center"/>
          </w:tcPr>
          <w:p w14:paraId="7CF0DF8D">
            <w:pPr>
              <w:pStyle w:val="143"/>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颗粒物</w:t>
            </w:r>
          </w:p>
        </w:tc>
        <w:tc>
          <w:tcPr>
            <w:tcW w:w="304" w:type="pct"/>
            <w:vMerge w:val="restart"/>
            <w:vAlign w:val="center"/>
          </w:tcPr>
          <w:p w14:paraId="3FBD160A">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产污系数法</w:t>
            </w:r>
          </w:p>
        </w:tc>
        <w:tc>
          <w:tcPr>
            <w:tcW w:w="304" w:type="pct"/>
            <w:vMerge w:val="continue"/>
            <w:vAlign w:val="center"/>
          </w:tcPr>
          <w:p w14:paraId="6EE2F27B">
            <w:pPr>
              <w:pStyle w:val="143"/>
              <w:rPr>
                <w:bCs/>
                <w:snapToGrid w:val="0"/>
                <w:color w:val="000000" w:themeColor="text1"/>
                <w14:textFill>
                  <w14:solidFill>
                    <w14:schemeClr w14:val="tx1"/>
                  </w14:solidFill>
                </w14:textFill>
              </w:rPr>
            </w:pPr>
          </w:p>
        </w:tc>
        <w:tc>
          <w:tcPr>
            <w:tcW w:w="322" w:type="pct"/>
            <w:vMerge w:val="restart"/>
            <w:vAlign w:val="center"/>
          </w:tcPr>
          <w:p w14:paraId="2206DF04">
            <w:pPr>
              <w:pStyle w:val="143"/>
              <w:rPr>
                <w:bCs/>
                <w:snapToGrid w:val="0"/>
                <w:color w:val="000000" w:themeColor="text1"/>
                <w:lang w:eastAsia="zh-CN"/>
                <w14:textFill>
                  <w14:solidFill>
                    <w14:schemeClr w14:val="tx1"/>
                  </w14:solidFill>
                </w14:textFill>
              </w:rPr>
            </w:pPr>
            <w:r>
              <w:rPr>
                <w:rFonts w:hint="eastAsia"/>
                <w:bCs/>
                <w:snapToGrid w:val="0"/>
                <w:color w:val="000000" w:themeColor="text1"/>
                <w:lang w:eastAsia="zh-CN"/>
                <w14:textFill>
                  <w14:solidFill>
                    <w14:schemeClr w14:val="tx1"/>
                  </w14:solidFill>
                </w14:textFill>
              </w:rPr>
              <w:t>/</w:t>
            </w:r>
          </w:p>
        </w:tc>
        <w:tc>
          <w:tcPr>
            <w:tcW w:w="358" w:type="pct"/>
            <w:vAlign w:val="center"/>
          </w:tcPr>
          <w:p w14:paraId="5403542D">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0.0073</w:t>
            </w:r>
          </w:p>
        </w:tc>
        <w:tc>
          <w:tcPr>
            <w:tcW w:w="411" w:type="pct"/>
            <w:vAlign w:val="center"/>
          </w:tcPr>
          <w:p w14:paraId="1EC11452">
            <w:pPr>
              <w:pStyle w:val="143"/>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9.22</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4</w:t>
            </w:r>
          </w:p>
        </w:tc>
        <w:tc>
          <w:tcPr>
            <w:tcW w:w="582" w:type="pct"/>
            <w:vMerge w:val="restart"/>
            <w:vAlign w:val="center"/>
          </w:tcPr>
          <w:p w14:paraId="70355CB0">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沼气自动燃烧器</w:t>
            </w:r>
            <w:r>
              <w:rPr>
                <w:rFonts w:hint="eastAsia"/>
                <w:snapToGrid w:val="0"/>
                <w:color w:val="000000" w:themeColor="text1"/>
                <w14:textFill>
                  <w14:solidFill>
                    <w14:schemeClr w14:val="tx1"/>
                  </w14:solidFill>
                </w14:textFill>
              </w:rPr>
              <w:t>燃烧</w:t>
            </w:r>
          </w:p>
        </w:tc>
        <w:tc>
          <w:tcPr>
            <w:tcW w:w="253" w:type="pct"/>
            <w:vMerge w:val="restart"/>
            <w:vAlign w:val="center"/>
          </w:tcPr>
          <w:p w14:paraId="4A31B00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p>
        </w:tc>
        <w:tc>
          <w:tcPr>
            <w:tcW w:w="282" w:type="pct"/>
            <w:vMerge w:val="restart"/>
            <w:vAlign w:val="center"/>
          </w:tcPr>
          <w:p w14:paraId="6F3B633F">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产污系数法</w:t>
            </w:r>
          </w:p>
        </w:tc>
        <w:tc>
          <w:tcPr>
            <w:tcW w:w="255" w:type="pct"/>
            <w:vMerge w:val="restart"/>
            <w:vAlign w:val="center"/>
          </w:tcPr>
          <w:p w14:paraId="2694368D">
            <w:pPr>
              <w:pStyle w:val="143"/>
              <w:rPr>
                <w:bCs/>
                <w:snapToGrid w:val="0"/>
                <w:color w:val="000000" w:themeColor="text1"/>
                <w:lang w:eastAsia="zh-CN"/>
                <w14:textFill>
                  <w14:solidFill>
                    <w14:schemeClr w14:val="tx1"/>
                  </w14:solidFill>
                </w14:textFill>
              </w:rPr>
            </w:pPr>
            <w:r>
              <w:rPr>
                <w:rFonts w:hint="eastAsia"/>
                <w:bCs/>
                <w:snapToGrid w:val="0"/>
                <w:color w:val="000000" w:themeColor="text1"/>
                <w:lang w:eastAsia="zh-CN"/>
                <w14:textFill>
                  <w14:solidFill>
                    <w14:schemeClr w14:val="tx1"/>
                  </w14:solidFill>
                </w14:textFill>
              </w:rPr>
              <w:t>/</w:t>
            </w:r>
          </w:p>
        </w:tc>
        <w:tc>
          <w:tcPr>
            <w:tcW w:w="385" w:type="pct"/>
            <w:vAlign w:val="center"/>
          </w:tcPr>
          <w:p w14:paraId="545B4C24">
            <w:pPr>
              <w:pStyle w:val="143"/>
              <w:ind w:firstLine="0" w:firstLineChars="0"/>
              <w:rPr>
                <w:color w:val="000000" w:themeColor="text1"/>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0.0073</w:t>
            </w:r>
          </w:p>
        </w:tc>
        <w:tc>
          <w:tcPr>
            <w:tcW w:w="345" w:type="pct"/>
            <w:vAlign w:val="center"/>
          </w:tcPr>
          <w:p w14:paraId="4D84DC6A">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9.22</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4</w:t>
            </w:r>
          </w:p>
        </w:tc>
        <w:tc>
          <w:tcPr>
            <w:tcW w:w="227" w:type="pct"/>
            <w:vMerge w:val="restart"/>
            <w:vAlign w:val="center"/>
          </w:tcPr>
          <w:p w14:paraId="7D08B874">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7920</w:t>
            </w:r>
          </w:p>
        </w:tc>
      </w:tr>
      <w:tr w14:paraId="30CE1C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5A745E52">
            <w:pPr>
              <w:pStyle w:val="143"/>
              <w:rPr>
                <w:snapToGrid w:val="0"/>
                <w:color w:val="000000" w:themeColor="text1"/>
                <w14:textFill>
                  <w14:solidFill>
                    <w14:schemeClr w14:val="tx1"/>
                  </w14:solidFill>
                </w14:textFill>
              </w:rPr>
            </w:pPr>
          </w:p>
        </w:tc>
        <w:tc>
          <w:tcPr>
            <w:tcW w:w="246" w:type="pct"/>
            <w:vMerge w:val="continue"/>
            <w:vAlign w:val="center"/>
          </w:tcPr>
          <w:p w14:paraId="3D5348CE">
            <w:pPr>
              <w:pStyle w:val="143"/>
              <w:rPr>
                <w:snapToGrid w:val="0"/>
                <w:color w:val="000000" w:themeColor="text1"/>
                <w14:textFill>
                  <w14:solidFill>
                    <w14:schemeClr w14:val="tx1"/>
                  </w14:solidFill>
                </w14:textFill>
              </w:rPr>
            </w:pPr>
          </w:p>
        </w:tc>
        <w:tc>
          <w:tcPr>
            <w:tcW w:w="439" w:type="pct"/>
            <w:vAlign w:val="center"/>
          </w:tcPr>
          <w:p w14:paraId="3F1CD895">
            <w:pPr>
              <w:pStyle w:val="143"/>
              <w:rPr>
                <w:snapToGrid w:val="0"/>
                <w:color w:val="000000" w:themeColor="text1"/>
                <w:vertAlign w:val="subscript"/>
                <w14:textFill>
                  <w14:solidFill>
                    <w14:schemeClr w14:val="tx1"/>
                  </w14:solidFill>
                </w14:textFill>
              </w:rPr>
            </w:pPr>
            <w:r>
              <w:rPr>
                <w:rFonts w:hint="eastAsia"/>
                <w:snapToGrid w:val="0"/>
                <w:color w:val="000000" w:themeColor="text1"/>
                <w14:textFill>
                  <w14:solidFill>
                    <w14:schemeClr w14:val="tx1"/>
                  </w14:solidFill>
                </w14:textFill>
              </w:rPr>
              <w:t>S</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2</w:t>
            </w:r>
          </w:p>
        </w:tc>
        <w:tc>
          <w:tcPr>
            <w:tcW w:w="304" w:type="pct"/>
            <w:vMerge w:val="continue"/>
            <w:vAlign w:val="center"/>
          </w:tcPr>
          <w:p w14:paraId="50ADAC7C">
            <w:pPr>
              <w:pStyle w:val="143"/>
              <w:rPr>
                <w:snapToGrid w:val="0"/>
                <w:color w:val="000000" w:themeColor="text1"/>
                <w14:textFill>
                  <w14:solidFill>
                    <w14:schemeClr w14:val="tx1"/>
                  </w14:solidFill>
                </w14:textFill>
              </w:rPr>
            </w:pPr>
          </w:p>
        </w:tc>
        <w:tc>
          <w:tcPr>
            <w:tcW w:w="304" w:type="pct"/>
            <w:vMerge w:val="continue"/>
            <w:vAlign w:val="center"/>
          </w:tcPr>
          <w:p w14:paraId="4A017736">
            <w:pPr>
              <w:pStyle w:val="143"/>
              <w:rPr>
                <w:bCs/>
                <w:snapToGrid w:val="0"/>
                <w:color w:val="000000" w:themeColor="text1"/>
                <w14:textFill>
                  <w14:solidFill>
                    <w14:schemeClr w14:val="tx1"/>
                  </w14:solidFill>
                </w14:textFill>
              </w:rPr>
            </w:pPr>
          </w:p>
        </w:tc>
        <w:tc>
          <w:tcPr>
            <w:tcW w:w="322" w:type="pct"/>
            <w:vMerge w:val="continue"/>
            <w:vAlign w:val="center"/>
          </w:tcPr>
          <w:p w14:paraId="17FB3998">
            <w:pPr>
              <w:pStyle w:val="143"/>
              <w:rPr>
                <w:bCs/>
                <w:snapToGrid w:val="0"/>
                <w:color w:val="000000" w:themeColor="text1"/>
                <w14:textFill>
                  <w14:solidFill>
                    <w14:schemeClr w14:val="tx1"/>
                  </w14:solidFill>
                </w14:textFill>
              </w:rPr>
            </w:pPr>
          </w:p>
        </w:tc>
        <w:tc>
          <w:tcPr>
            <w:tcW w:w="358" w:type="pct"/>
            <w:vAlign w:val="center"/>
          </w:tcPr>
          <w:p w14:paraId="31BF0184">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0.0012</w:t>
            </w:r>
          </w:p>
        </w:tc>
        <w:tc>
          <w:tcPr>
            <w:tcW w:w="411" w:type="pct"/>
            <w:vAlign w:val="center"/>
          </w:tcPr>
          <w:p w14:paraId="07A9F116">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1.52</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4</w:t>
            </w:r>
          </w:p>
        </w:tc>
        <w:tc>
          <w:tcPr>
            <w:tcW w:w="582" w:type="pct"/>
            <w:vMerge w:val="continue"/>
            <w:vAlign w:val="center"/>
          </w:tcPr>
          <w:p w14:paraId="1D927B16">
            <w:pPr>
              <w:pStyle w:val="143"/>
              <w:rPr>
                <w:snapToGrid w:val="0"/>
                <w:color w:val="000000" w:themeColor="text1"/>
                <w14:textFill>
                  <w14:solidFill>
                    <w14:schemeClr w14:val="tx1"/>
                  </w14:solidFill>
                </w14:textFill>
              </w:rPr>
            </w:pPr>
          </w:p>
        </w:tc>
        <w:tc>
          <w:tcPr>
            <w:tcW w:w="253" w:type="pct"/>
            <w:vMerge w:val="continue"/>
            <w:vAlign w:val="center"/>
          </w:tcPr>
          <w:p w14:paraId="1788C746">
            <w:pPr>
              <w:pStyle w:val="143"/>
              <w:rPr>
                <w:snapToGrid w:val="0"/>
                <w:color w:val="000000" w:themeColor="text1"/>
                <w14:textFill>
                  <w14:solidFill>
                    <w14:schemeClr w14:val="tx1"/>
                  </w14:solidFill>
                </w14:textFill>
              </w:rPr>
            </w:pPr>
          </w:p>
        </w:tc>
        <w:tc>
          <w:tcPr>
            <w:tcW w:w="282" w:type="pct"/>
            <w:vMerge w:val="continue"/>
            <w:vAlign w:val="center"/>
          </w:tcPr>
          <w:p w14:paraId="75517875">
            <w:pPr>
              <w:pStyle w:val="143"/>
              <w:rPr>
                <w:snapToGrid w:val="0"/>
                <w:color w:val="000000" w:themeColor="text1"/>
                <w14:textFill>
                  <w14:solidFill>
                    <w14:schemeClr w14:val="tx1"/>
                  </w14:solidFill>
                </w14:textFill>
              </w:rPr>
            </w:pPr>
          </w:p>
        </w:tc>
        <w:tc>
          <w:tcPr>
            <w:tcW w:w="255" w:type="pct"/>
            <w:vMerge w:val="continue"/>
            <w:vAlign w:val="center"/>
          </w:tcPr>
          <w:p w14:paraId="0167522E">
            <w:pPr>
              <w:pStyle w:val="143"/>
              <w:rPr>
                <w:bCs/>
                <w:snapToGrid w:val="0"/>
                <w:color w:val="000000" w:themeColor="text1"/>
                <w14:textFill>
                  <w14:solidFill>
                    <w14:schemeClr w14:val="tx1"/>
                  </w14:solidFill>
                </w14:textFill>
              </w:rPr>
            </w:pPr>
          </w:p>
        </w:tc>
        <w:tc>
          <w:tcPr>
            <w:tcW w:w="385" w:type="pct"/>
            <w:vAlign w:val="center"/>
          </w:tcPr>
          <w:p w14:paraId="51870AE7">
            <w:pPr>
              <w:pStyle w:val="143"/>
              <w:ind w:firstLine="0" w:firstLineChars="0"/>
              <w:rPr>
                <w:color w:val="000000" w:themeColor="text1"/>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0.0012</w:t>
            </w:r>
          </w:p>
        </w:tc>
        <w:tc>
          <w:tcPr>
            <w:tcW w:w="345" w:type="pct"/>
            <w:vAlign w:val="center"/>
          </w:tcPr>
          <w:p w14:paraId="44BA170F">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1.52</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4</w:t>
            </w:r>
          </w:p>
        </w:tc>
        <w:tc>
          <w:tcPr>
            <w:tcW w:w="227" w:type="pct"/>
            <w:vMerge w:val="continue"/>
            <w:vAlign w:val="center"/>
          </w:tcPr>
          <w:p w14:paraId="32137DCE">
            <w:pPr>
              <w:pStyle w:val="143"/>
              <w:rPr>
                <w:snapToGrid w:val="0"/>
                <w:color w:val="000000" w:themeColor="text1"/>
                <w14:textFill>
                  <w14:solidFill>
                    <w14:schemeClr w14:val="tx1"/>
                  </w14:solidFill>
                </w14:textFill>
              </w:rPr>
            </w:pPr>
          </w:p>
        </w:tc>
      </w:tr>
      <w:tr w14:paraId="711A3D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6E1A0516">
            <w:pPr>
              <w:pStyle w:val="143"/>
              <w:rPr>
                <w:snapToGrid w:val="0"/>
                <w:color w:val="000000" w:themeColor="text1"/>
                <w14:textFill>
                  <w14:solidFill>
                    <w14:schemeClr w14:val="tx1"/>
                  </w14:solidFill>
                </w14:textFill>
              </w:rPr>
            </w:pPr>
          </w:p>
        </w:tc>
        <w:tc>
          <w:tcPr>
            <w:tcW w:w="246" w:type="pct"/>
            <w:vMerge w:val="continue"/>
            <w:vAlign w:val="center"/>
          </w:tcPr>
          <w:p w14:paraId="77421ACB">
            <w:pPr>
              <w:pStyle w:val="143"/>
              <w:rPr>
                <w:snapToGrid w:val="0"/>
                <w:color w:val="000000" w:themeColor="text1"/>
                <w14:textFill>
                  <w14:solidFill>
                    <w14:schemeClr w14:val="tx1"/>
                  </w14:solidFill>
                </w14:textFill>
              </w:rPr>
            </w:pPr>
          </w:p>
        </w:tc>
        <w:tc>
          <w:tcPr>
            <w:tcW w:w="439" w:type="pct"/>
            <w:vAlign w:val="center"/>
          </w:tcPr>
          <w:p w14:paraId="3E0ADD0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N</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X</w:t>
            </w:r>
          </w:p>
        </w:tc>
        <w:tc>
          <w:tcPr>
            <w:tcW w:w="304" w:type="pct"/>
            <w:vMerge w:val="continue"/>
            <w:vAlign w:val="center"/>
          </w:tcPr>
          <w:p w14:paraId="41CF0694">
            <w:pPr>
              <w:pStyle w:val="143"/>
              <w:rPr>
                <w:snapToGrid w:val="0"/>
                <w:color w:val="000000" w:themeColor="text1"/>
                <w14:textFill>
                  <w14:solidFill>
                    <w14:schemeClr w14:val="tx1"/>
                  </w14:solidFill>
                </w14:textFill>
              </w:rPr>
            </w:pPr>
          </w:p>
        </w:tc>
        <w:tc>
          <w:tcPr>
            <w:tcW w:w="304" w:type="pct"/>
            <w:vMerge w:val="continue"/>
            <w:vAlign w:val="center"/>
          </w:tcPr>
          <w:p w14:paraId="052585D4">
            <w:pPr>
              <w:pStyle w:val="143"/>
              <w:rPr>
                <w:bCs/>
                <w:snapToGrid w:val="0"/>
                <w:color w:val="000000" w:themeColor="text1"/>
                <w14:textFill>
                  <w14:solidFill>
                    <w14:schemeClr w14:val="tx1"/>
                  </w14:solidFill>
                </w14:textFill>
              </w:rPr>
            </w:pPr>
          </w:p>
        </w:tc>
        <w:tc>
          <w:tcPr>
            <w:tcW w:w="322" w:type="pct"/>
            <w:vMerge w:val="continue"/>
            <w:vAlign w:val="center"/>
          </w:tcPr>
          <w:p w14:paraId="12726F32">
            <w:pPr>
              <w:pStyle w:val="143"/>
              <w:rPr>
                <w:bCs/>
                <w:snapToGrid w:val="0"/>
                <w:color w:val="000000" w:themeColor="text1"/>
                <w14:textFill>
                  <w14:solidFill>
                    <w14:schemeClr w14:val="tx1"/>
                  </w14:solidFill>
                </w14:textFill>
              </w:rPr>
            </w:pPr>
          </w:p>
        </w:tc>
        <w:tc>
          <w:tcPr>
            <w:tcW w:w="358" w:type="pct"/>
            <w:vAlign w:val="center"/>
          </w:tcPr>
          <w:p w14:paraId="3E3C20DA">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0.0482</w:t>
            </w:r>
          </w:p>
        </w:tc>
        <w:tc>
          <w:tcPr>
            <w:tcW w:w="411" w:type="pct"/>
            <w:vAlign w:val="center"/>
          </w:tcPr>
          <w:p w14:paraId="23C510CE">
            <w:pPr>
              <w:pStyle w:val="143"/>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6.09</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3</w:t>
            </w:r>
          </w:p>
        </w:tc>
        <w:tc>
          <w:tcPr>
            <w:tcW w:w="582" w:type="pct"/>
            <w:vMerge w:val="continue"/>
            <w:vAlign w:val="center"/>
          </w:tcPr>
          <w:p w14:paraId="5A227EDC">
            <w:pPr>
              <w:pStyle w:val="143"/>
              <w:rPr>
                <w:snapToGrid w:val="0"/>
                <w:color w:val="000000" w:themeColor="text1"/>
                <w14:textFill>
                  <w14:solidFill>
                    <w14:schemeClr w14:val="tx1"/>
                  </w14:solidFill>
                </w14:textFill>
              </w:rPr>
            </w:pPr>
          </w:p>
        </w:tc>
        <w:tc>
          <w:tcPr>
            <w:tcW w:w="253" w:type="pct"/>
            <w:vMerge w:val="continue"/>
            <w:vAlign w:val="center"/>
          </w:tcPr>
          <w:p w14:paraId="78699775">
            <w:pPr>
              <w:pStyle w:val="143"/>
              <w:rPr>
                <w:snapToGrid w:val="0"/>
                <w:color w:val="000000" w:themeColor="text1"/>
                <w14:textFill>
                  <w14:solidFill>
                    <w14:schemeClr w14:val="tx1"/>
                  </w14:solidFill>
                </w14:textFill>
              </w:rPr>
            </w:pPr>
          </w:p>
        </w:tc>
        <w:tc>
          <w:tcPr>
            <w:tcW w:w="282" w:type="pct"/>
            <w:vMerge w:val="continue"/>
            <w:vAlign w:val="center"/>
          </w:tcPr>
          <w:p w14:paraId="05E46608">
            <w:pPr>
              <w:pStyle w:val="143"/>
              <w:rPr>
                <w:snapToGrid w:val="0"/>
                <w:color w:val="000000" w:themeColor="text1"/>
                <w14:textFill>
                  <w14:solidFill>
                    <w14:schemeClr w14:val="tx1"/>
                  </w14:solidFill>
                </w14:textFill>
              </w:rPr>
            </w:pPr>
          </w:p>
        </w:tc>
        <w:tc>
          <w:tcPr>
            <w:tcW w:w="255" w:type="pct"/>
            <w:vMerge w:val="continue"/>
            <w:vAlign w:val="center"/>
          </w:tcPr>
          <w:p w14:paraId="67C7EFFD">
            <w:pPr>
              <w:pStyle w:val="143"/>
              <w:rPr>
                <w:bCs/>
                <w:snapToGrid w:val="0"/>
                <w:color w:val="000000" w:themeColor="text1"/>
                <w14:textFill>
                  <w14:solidFill>
                    <w14:schemeClr w14:val="tx1"/>
                  </w14:solidFill>
                </w14:textFill>
              </w:rPr>
            </w:pPr>
          </w:p>
        </w:tc>
        <w:tc>
          <w:tcPr>
            <w:tcW w:w="385" w:type="pct"/>
            <w:vAlign w:val="center"/>
          </w:tcPr>
          <w:p w14:paraId="262B0492">
            <w:pPr>
              <w:pStyle w:val="143"/>
              <w:ind w:firstLine="0" w:firstLineChars="0"/>
              <w:rPr>
                <w:color w:val="000000" w:themeColor="text1"/>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0.0482</w:t>
            </w:r>
          </w:p>
        </w:tc>
        <w:tc>
          <w:tcPr>
            <w:tcW w:w="345" w:type="pct"/>
            <w:vAlign w:val="center"/>
          </w:tcPr>
          <w:p w14:paraId="5B5B0956">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6.09</w:t>
            </w:r>
            <w:r>
              <w:rPr>
                <w:rFonts w:cs="Times New Roman"/>
                <w:color w:val="000000" w:themeColor="text1"/>
                <w:lang w:val="en-US"/>
                <w14:textFill>
                  <w14:solidFill>
                    <w14:schemeClr w14:val="tx1"/>
                  </w14:solidFill>
                </w14:textFill>
              </w:rPr>
              <w:t>×10</w:t>
            </w:r>
            <w:r>
              <w:rPr>
                <w:rFonts w:cs="Times New Roman"/>
                <w:color w:val="000000" w:themeColor="text1"/>
                <w:vertAlign w:val="superscript"/>
                <w:lang w:val="en-US"/>
                <w14:textFill>
                  <w14:solidFill>
                    <w14:schemeClr w14:val="tx1"/>
                  </w14:solidFill>
                </w14:textFill>
              </w:rPr>
              <w:t>-</w:t>
            </w:r>
            <w:r>
              <w:rPr>
                <w:rFonts w:hint="eastAsia" w:cs="Times New Roman"/>
                <w:color w:val="000000" w:themeColor="text1"/>
                <w:vertAlign w:val="superscript"/>
                <w:lang w:val="en-US" w:eastAsia="zh-CN"/>
                <w14:textFill>
                  <w14:solidFill>
                    <w14:schemeClr w14:val="tx1"/>
                  </w14:solidFill>
                </w14:textFill>
              </w:rPr>
              <w:t>3</w:t>
            </w:r>
          </w:p>
        </w:tc>
        <w:tc>
          <w:tcPr>
            <w:tcW w:w="227" w:type="pct"/>
            <w:vMerge w:val="continue"/>
            <w:vAlign w:val="center"/>
          </w:tcPr>
          <w:p w14:paraId="4E822034">
            <w:pPr>
              <w:pStyle w:val="143"/>
              <w:rPr>
                <w:snapToGrid w:val="0"/>
                <w:color w:val="000000" w:themeColor="text1"/>
                <w14:textFill>
                  <w14:solidFill>
                    <w14:schemeClr w14:val="tx1"/>
                  </w14:solidFill>
                </w14:textFill>
              </w:rPr>
            </w:pPr>
          </w:p>
        </w:tc>
      </w:tr>
      <w:tr w14:paraId="5202B9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restart"/>
            <w:vAlign w:val="center"/>
          </w:tcPr>
          <w:p w14:paraId="20543F2F">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生产供热</w:t>
            </w:r>
          </w:p>
        </w:tc>
        <w:tc>
          <w:tcPr>
            <w:tcW w:w="246" w:type="pct"/>
            <w:vMerge w:val="restart"/>
            <w:vAlign w:val="center"/>
          </w:tcPr>
          <w:p w14:paraId="5B089E8D">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燃气锅炉</w:t>
            </w:r>
          </w:p>
        </w:tc>
        <w:tc>
          <w:tcPr>
            <w:tcW w:w="439" w:type="pct"/>
            <w:vAlign w:val="center"/>
          </w:tcPr>
          <w:p w14:paraId="74B77511">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颗粒物</w:t>
            </w:r>
          </w:p>
        </w:tc>
        <w:tc>
          <w:tcPr>
            <w:tcW w:w="304" w:type="pct"/>
            <w:vAlign w:val="center"/>
          </w:tcPr>
          <w:p w14:paraId="3D12F1F4">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产污系数法</w:t>
            </w:r>
          </w:p>
        </w:tc>
        <w:tc>
          <w:tcPr>
            <w:tcW w:w="304" w:type="pct"/>
            <w:vMerge w:val="restart"/>
            <w:vAlign w:val="center"/>
          </w:tcPr>
          <w:p w14:paraId="1AD90352">
            <w:pPr>
              <w:pStyle w:val="143"/>
              <w:rPr>
                <w:bCs/>
                <w:snapToGrid w:val="0"/>
                <w:color w:val="000000" w:themeColor="text1"/>
                <w14:textFill>
                  <w14:solidFill>
                    <w14:schemeClr w14:val="tx1"/>
                  </w14:solidFill>
                </w14:textFill>
              </w:rPr>
            </w:pPr>
            <w:r>
              <w:rPr>
                <w:rFonts w:hint="eastAsia"/>
                <w:bCs/>
                <w:snapToGrid w:val="0"/>
                <w:color w:val="000000" w:themeColor="text1"/>
                <w:lang w:val="en-US"/>
                <w14:textFill>
                  <w14:solidFill>
                    <w14:schemeClr w14:val="tx1"/>
                  </w14:solidFill>
                </w14:textFill>
              </w:rPr>
              <w:t>4993.60</w:t>
            </w:r>
          </w:p>
        </w:tc>
        <w:tc>
          <w:tcPr>
            <w:tcW w:w="322" w:type="pct"/>
            <w:vAlign w:val="center"/>
          </w:tcPr>
          <w:p w14:paraId="126126ED">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9.95</w:t>
            </w:r>
          </w:p>
        </w:tc>
        <w:tc>
          <w:tcPr>
            <w:tcW w:w="358" w:type="pct"/>
            <w:vAlign w:val="center"/>
          </w:tcPr>
          <w:p w14:paraId="341F062D">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0.11</w:t>
            </w:r>
          </w:p>
        </w:tc>
        <w:tc>
          <w:tcPr>
            <w:tcW w:w="411" w:type="pct"/>
            <w:vAlign w:val="center"/>
          </w:tcPr>
          <w:p w14:paraId="253CA90B">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0.8015</w:t>
            </w:r>
          </w:p>
        </w:tc>
        <w:tc>
          <w:tcPr>
            <w:tcW w:w="582" w:type="pct"/>
            <w:vMerge w:val="restart"/>
            <w:vAlign w:val="center"/>
          </w:tcPr>
          <w:p w14:paraId="232DC36B">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53" w:type="pct"/>
            <w:vMerge w:val="restart"/>
            <w:vAlign w:val="center"/>
          </w:tcPr>
          <w:p w14:paraId="2DAEB118">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82" w:type="pct"/>
            <w:vAlign w:val="center"/>
          </w:tcPr>
          <w:p w14:paraId="21CCBBAA">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产污系数法</w:t>
            </w:r>
          </w:p>
        </w:tc>
        <w:tc>
          <w:tcPr>
            <w:tcW w:w="255" w:type="pct"/>
            <w:vAlign w:val="center"/>
          </w:tcPr>
          <w:p w14:paraId="46482959">
            <w:pPr>
              <w:pStyle w:val="143"/>
              <w:ind w:firstLine="0" w:firstLineChars="0"/>
              <w:rPr>
                <w:bCs/>
                <w:snapToGrid w:val="0"/>
                <w:color w:val="000000" w:themeColor="text1"/>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9.95</w:t>
            </w:r>
          </w:p>
        </w:tc>
        <w:tc>
          <w:tcPr>
            <w:tcW w:w="385" w:type="pct"/>
            <w:vAlign w:val="center"/>
          </w:tcPr>
          <w:p w14:paraId="596704D6">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0.11</w:t>
            </w:r>
          </w:p>
        </w:tc>
        <w:tc>
          <w:tcPr>
            <w:tcW w:w="345" w:type="pct"/>
            <w:vAlign w:val="center"/>
          </w:tcPr>
          <w:p w14:paraId="603166D9">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0.8015</w:t>
            </w:r>
          </w:p>
        </w:tc>
        <w:tc>
          <w:tcPr>
            <w:tcW w:w="227" w:type="pct"/>
            <w:vMerge w:val="restart"/>
            <w:vAlign w:val="center"/>
          </w:tcPr>
          <w:p w14:paraId="62437C41">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7200</w:t>
            </w:r>
          </w:p>
        </w:tc>
      </w:tr>
      <w:tr w14:paraId="4F5B82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4D4651EE">
            <w:pPr>
              <w:pStyle w:val="143"/>
              <w:rPr>
                <w:snapToGrid w:val="0"/>
                <w:color w:val="000000" w:themeColor="text1"/>
                <w14:textFill>
                  <w14:solidFill>
                    <w14:schemeClr w14:val="tx1"/>
                  </w14:solidFill>
                </w14:textFill>
              </w:rPr>
            </w:pPr>
          </w:p>
        </w:tc>
        <w:tc>
          <w:tcPr>
            <w:tcW w:w="246" w:type="pct"/>
            <w:vMerge w:val="continue"/>
            <w:vAlign w:val="center"/>
          </w:tcPr>
          <w:p w14:paraId="1DC1F3C6">
            <w:pPr>
              <w:pStyle w:val="143"/>
              <w:rPr>
                <w:snapToGrid w:val="0"/>
                <w:color w:val="000000" w:themeColor="text1"/>
                <w14:textFill>
                  <w14:solidFill>
                    <w14:schemeClr w14:val="tx1"/>
                  </w14:solidFill>
                </w14:textFill>
              </w:rPr>
            </w:pPr>
          </w:p>
        </w:tc>
        <w:tc>
          <w:tcPr>
            <w:tcW w:w="439" w:type="pct"/>
            <w:vAlign w:val="center"/>
          </w:tcPr>
          <w:p w14:paraId="34B1C461">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S</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2</w:t>
            </w:r>
          </w:p>
        </w:tc>
        <w:tc>
          <w:tcPr>
            <w:tcW w:w="304" w:type="pct"/>
            <w:vMerge w:val="restart"/>
            <w:vAlign w:val="center"/>
          </w:tcPr>
          <w:p w14:paraId="22C781BA">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物料衡算法</w:t>
            </w:r>
          </w:p>
        </w:tc>
        <w:tc>
          <w:tcPr>
            <w:tcW w:w="304" w:type="pct"/>
            <w:vMerge w:val="continue"/>
            <w:vAlign w:val="center"/>
          </w:tcPr>
          <w:p w14:paraId="5AC870CB">
            <w:pPr>
              <w:pStyle w:val="143"/>
              <w:rPr>
                <w:bCs/>
                <w:snapToGrid w:val="0"/>
                <w:color w:val="000000" w:themeColor="text1"/>
                <w14:textFill>
                  <w14:solidFill>
                    <w14:schemeClr w14:val="tx1"/>
                  </w14:solidFill>
                </w14:textFill>
              </w:rPr>
            </w:pPr>
          </w:p>
        </w:tc>
        <w:tc>
          <w:tcPr>
            <w:tcW w:w="322" w:type="pct"/>
            <w:vAlign w:val="center"/>
          </w:tcPr>
          <w:p w14:paraId="569C0CBD">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19.36</w:t>
            </w:r>
          </w:p>
        </w:tc>
        <w:tc>
          <w:tcPr>
            <w:tcW w:w="358" w:type="pct"/>
            <w:vAlign w:val="center"/>
          </w:tcPr>
          <w:p w14:paraId="3BA18534">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1.54</w:t>
            </w:r>
          </w:p>
        </w:tc>
        <w:tc>
          <w:tcPr>
            <w:tcW w:w="411" w:type="pct"/>
            <w:vAlign w:val="center"/>
          </w:tcPr>
          <w:p w14:paraId="3E7FEDDD">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0.214</w:t>
            </w:r>
          </w:p>
        </w:tc>
        <w:tc>
          <w:tcPr>
            <w:tcW w:w="582" w:type="pct"/>
            <w:vMerge w:val="continue"/>
            <w:vAlign w:val="center"/>
          </w:tcPr>
          <w:p w14:paraId="4CD5062F">
            <w:pPr>
              <w:pStyle w:val="143"/>
              <w:rPr>
                <w:snapToGrid w:val="0"/>
                <w:color w:val="000000" w:themeColor="text1"/>
                <w14:textFill>
                  <w14:solidFill>
                    <w14:schemeClr w14:val="tx1"/>
                  </w14:solidFill>
                </w14:textFill>
              </w:rPr>
            </w:pPr>
          </w:p>
        </w:tc>
        <w:tc>
          <w:tcPr>
            <w:tcW w:w="253" w:type="pct"/>
            <w:vMerge w:val="continue"/>
            <w:vAlign w:val="center"/>
          </w:tcPr>
          <w:p w14:paraId="235B1D2E">
            <w:pPr>
              <w:pStyle w:val="143"/>
              <w:rPr>
                <w:snapToGrid w:val="0"/>
                <w:color w:val="000000" w:themeColor="text1"/>
                <w14:textFill>
                  <w14:solidFill>
                    <w14:schemeClr w14:val="tx1"/>
                  </w14:solidFill>
                </w14:textFill>
              </w:rPr>
            </w:pPr>
          </w:p>
        </w:tc>
        <w:tc>
          <w:tcPr>
            <w:tcW w:w="282" w:type="pct"/>
            <w:vMerge w:val="restart"/>
            <w:vAlign w:val="center"/>
          </w:tcPr>
          <w:p w14:paraId="0BD720CB">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物料衡算法</w:t>
            </w:r>
          </w:p>
        </w:tc>
        <w:tc>
          <w:tcPr>
            <w:tcW w:w="255" w:type="pct"/>
            <w:vAlign w:val="center"/>
          </w:tcPr>
          <w:p w14:paraId="0791D3A0">
            <w:pPr>
              <w:pStyle w:val="143"/>
              <w:ind w:firstLine="0" w:firstLineChars="0"/>
              <w:rPr>
                <w:bCs/>
                <w:snapToGrid w:val="0"/>
                <w:color w:val="000000" w:themeColor="text1"/>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19.36</w:t>
            </w:r>
          </w:p>
        </w:tc>
        <w:tc>
          <w:tcPr>
            <w:tcW w:w="385" w:type="pct"/>
            <w:vAlign w:val="center"/>
          </w:tcPr>
          <w:p w14:paraId="0070561A">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1.54</w:t>
            </w:r>
          </w:p>
        </w:tc>
        <w:tc>
          <w:tcPr>
            <w:tcW w:w="345" w:type="pct"/>
            <w:vAlign w:val="center"/>
          </w:tcPr>
          <w:p w14:paraId="70A3E707">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0.214</w:t>
            </w:r>
          </w:p>
        </w:tc>
        <w:tc>
          <w:tcPr>
            <w:tcW w:w="227" w:type="pct"/>
            <w:vMerge w:val="continue"/>
            <w:vAlign w:val="center"/>
          </w:tcPr>
          <w:p w14:paraId="5AE2F19A">
            <w:pPr>
              <w:pStyle w:val="143"/>
              <w:rPr>
                <w:snapToGrid w:val="0"/>
                <w:color w:val="000000" w:themeColor="text1"/>
                <w14:textFill>
                  <w14:solidFill>
                    <w14:schemeClr w14:val="tx1"/>
                  </w14:solidFill>
                </w14:textFill>
              </w:rPr>
            </w:pPr>
          </w:p>
        </w:tc>
      </w:tr>
      <w:tr w14:paraId="59F445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02F7FDD8">
            <w:pPr>
              <w:pStyle w:val="143"/>
              <w:rPr>
                <w:snapToGrid w:val="0"/>
                <w:color w:val="000000" w:themeColor="text1"/>
                <w14:textFill>
                  <w14:solidFill>
                    <w14:schemeClr w14:val="tx1"/>
                  </w14:solidFill>
                </w14:textFill>
              </w:rPr>
            </w:pPr>
          </w:p>
        </w:tc>
        <w:tc>
          <w:tcPr>
            <w:tcW w:w="246" w:type="pct"/>
            <w:vMerge w:val="continue"/>
            <w:vAlign w:val="center"/>
          </w:tcPr>
          <w:p w14:paraId="7ED200B6">
            <w:pPr>
              <w:pStyle w:val="143"/>
              <w:rPr>
                <w:snapToGrid w:val="0"/>
                <w:color w:val="000000" w:themeColor="text1"/>
                <w14:textFill>
                  <w14:solidFill>
                    <w14:schemeClr w14:val="tx1"/>
                  </w14:solidFill>
                </w14:textFill>
              </w:rPr>
            </w:pPr>
          </w:p>
        </w:tc>
        <w:tc>
          <w:tcPr>
            <w:tcW w:w="439" w:type="pct"/>
            <w:vAlign w:val="center"/>
          </w:tcPr>
          <w:p w14:paraId="59723DA1">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N</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X</w:t>
            </w:r>
          </w:p>
        </w:tc>
        <w:tc>
          <w:tcPr>
            <w:tcW w:w="304" w:type="pct"/>
            <w:vMerge w:val="continue"/>
            <w:vAlign w:val="center"/>
          </w:tcPr>
          <w:p w14:paraId="0EB32F78">
            <w:pPr>
              <w:pStyle w:val="143"/>
              <w:rPr>
                <w:snapToGrid w:val="0"/>
                <w:color w:val="000000" w:themeColor="text1"/>
                <w14:textFill>
                  <w14:solidFill>
                    <w14:schemeClr w14:val="tx1"/>
                  </w14:solidFill>
                </w14:textFill>
              </w:rPr>
            </w:pPr>
          </w:p>
        </w:tc>
        <w:tc>
          <w:tcPr>
            <w:tcW w:w="304" w:type="pct"/>
            <w:vMerge w:val="continue"/>
            <w:vAlign w:val="center"/>
          </w:tcPr>
          <w:p w14:paraId="0B30CA3D">
            <w:pPr>
              <w:pStyle w:val="143"/>
              <w:rPr>
                <w:bCs/>
                <w:snapToGrid w:val="0"/>
                <w:color w:val="000000" w:themeColor="text1"/>
                <w14:textFill>
                  <w14:solidFill>
                    <w14:schemeClr w14:val="tx1"/>
                  </w14:solidFill>
                </w14:textFill>
              </w:rPr>
            </w:pPr>
          </w:p>
        </w:tc>
        <w:tc>
          <w:tcPr>
            <w:tcW w:w="322" w:type="pct"/>
            <w:vAlign w:val="center"/>
          </w:tcPr>
          <w:p w14:paraId="69CB501D">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126</w:t>
            </w:r>
          </w:p>
        </w:tc>
        <w:tc>
          <w:tcPr>
            <w:tcW w:w="358" w:type="pct"/>
            <w:vAlign w:val="center"/>
          </w:tcPr>
          <w:p w14:paraId="37CD4D17">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9.93</w:t>
            </w:r>
          </w:p>
        </w:tc>
        <w:tc>
          <w:tcPr>
            <w:tcW w:w="411" w:type="pct"/>
            <w:vAlign w:val="center"/>
          </w:tcPr>
          <w:p w14:paraId="5A133C0D">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1.39</w:t>
            </w:r>
          </w:p>
        </w:tc>
        <w:tc>
          <w:tcPr>
            <w:tcW w:w="582" w:type="pct"/>
            <w:vAlign w:val="center"/>
          </w:tcPr>
          <w:p w14:paraId="2EF3B09D">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低氮燃烧器+</w:t>
            </w:r>
            <w:r>
              <w:rPr>
                <w:snapToGrid w:val="0"/>
                <w:color w:val="000000" w:themeColor="text1"/>
                <w:lang w:eastAsia="zh-CN"/>
                <w14:textFill>
                  <w14:solidFill>
                    <w14:schemeClr w14:val="tx1"/>
                  </w14:solidFill>
                </w14:textFill>
              </w:rPr>
              <w:t>25</w:t>
            </w:r>
            <w:r>
              <w:rPr>
                <w:rFonts w:hint="eastAsia"/>
                <w:snapToGrid w:val="0"/>
                <w:color w:val="000000" w:themeColor="text1"/>
                <w:lang w:eastAsia="zh-CN"/>
                <w14:textFill>
                  <w14:solidFill>
                    <w14:schemeClr w14:val="tx1"/>
                  </w14:solidFill>
                </w14:textFill>
              </w:rPr>
              <w:t>m烟囱D</w:t>
            </w:r>
            <w:r>
              <w:rPr>
                <w:snapToGrid w:val="0"/>
                <w:color w:val="000000" w:themeColor="text1"/>
                <w:lang w:eastAsia="zh-CN"/>
                <w14:textFill>
                  <w14:solidFill>
                    <w14:schemeClr w14:val="tx1"/>
                  </w14:solidFill>
                </w14:textFill>
              </w:rPr>
              <w:t>A00</w:t>
            </w:r>
            <w:r>
              <w:rPr>
                <w:rFonts w:hint="eastAsia"/>
                <w:snapToGrid w:val="0"/>
                <w:color w:val="000000" w:themeColor="text1"/>
                <w:lang w:val="en-US" w:eastAsia="zh-CN"/>
                <w14:textFill>
                  <w14:solidFill>
                    <w14:schemeClr w14:val="tx1"/>
                  </w14:solidFill>
                </w14:textFill>
              </w:rPr>
              <w:t>2</w:t>
            </w:r>
          </w:p>
        </w:tc>
        <w:tc>
          <w:tcPr>
            <w:tcW w:w="253" w:type="pct"/>
            <w:vAlign w:val="center"/>
          </w:tcPr>
          <w:p w14:paraId="55CB5478">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282" w:type="pct"/>
            <w:vMerge w:val="continue"/>
            <w:vAlign w:val="center"/>
          </w:tcPr>
          <w:p w14:paraId="74746CD6">
            <w:pPr>
              <w:pStyle w:val="143"/>
              <w:rPr>
                <w:snapToGrid w:val="0"/>
                <w:color w:val="000000" w:themeColor="text1"/>
                <w14:textFill>
                  <w14:solidFill>
                    <w14:schemeClr w14:val="tx1"/>
                  </w14:solidFill>
                </w14:textFill>
              </w:rPr>
            </w:pPr>
          </w:p>
        </w:tc>
        <w:tc>
          <w:tcPr>
            <w:tcW w:w="255" w:type="pct"/>
            <w:vAlign w:val="center"/>
          </w:tcPr>
          <w:p w14:paraId="31804780">
            <w:pPr>
              <w:pStyle w:val="143"/>
              <w:rPr>
                <w:rFonts w:hint="default"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180</w:t>
            </w:r>
          </w:p>
        </w:tc>
        <w:tc>
          <w:tcPr>
            <w:tcW w:w="385" w:type="pct"/>
            <w:vAlign w:val="center"/>
          </w:tcPr>
          <w:p w14:paraId="2143D9C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14.19</w:t>
            </w:r>
          </w:p>
        </w:tc>
        <w:tc>
          <w:tcPr>
            <w:tcW w:w="345" w:type="pct"/>
            <w:vAlign w:val="center"/>
          </w:tcPr>
          <w:p w14:paraId="4306B728">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1.99</w:t>
            </w:r>
          </w:p>
        </w:tc>
        <w:tc>
          <w:tcPr>
            <w:tcW w:w="227" w:type="pct"/>
            <w:vMerge w:val="continue"/>
            <w:vAlign w:val="center"/>
          </w:tcPr>
          <w:p w14:paraId="73AD49C7">
            <w:pPr>
              <w:pStyle w:val="143"/>
              <w:rPr>
                <w:snapToGrid w:val="0"/>
                <w:color w:val="000000" w:themeColor="text1"/>
                <w14:textFill>
                  <w14:solidFill>
                    <w14:schemeClr w14:val="tx1"/>
                  </w14:solidFill>
                </w14:textFill>
              </w:rPr>
            </w:pPr>
          </w:p>
        </w:tc>
      </w:tr>
      <w:tr w14:paraId="7794EF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Align w:val="center"/>
          </w:tcPr>
          <w:p w14:paraId="16AEF869">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原料破碎</w:t>
            </w:r>
          </w:p>
        </w:tc>
        <w:tc>
          <w:tcPr>
            <w:tcW w:w="246" w:type="pct"/>
            <w:vAlign w:val="center"/>
          </w:tcPr>
          <w:p w14:paraId="517C9F99">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原料处理间</w:t>
            </w:r>
          </w:p>
        </w:tc>
        <w:tc>
          <w:tcPr>
            <w:tcW w:w="439" w:type="pct"/>
            <w:vAlign w:val="center"/>
          </w:tcPr>
          <w:p w14:paraId="3503870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颗粒物</w:t>
            </w:r>
          </w:p>
        </w:tc>
        <w:tc>
          <w:tcPr>
            <w:tcW w:w="304" w:type="pct"/>
            <w:vAlign w:val="center"/>
          </w:tcPr>
          <w:p w14:paraId="6360C8B9">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产污系数法</w:t>
            </w:r>
          </w:p>
        </w:tc>
        <w:tc>
          <w:tcPr>
            <w:tcW w:w="304" w:type="pct"/>
            <w:vAlign w:val="center"/>
          </w:tcPr>
          <w:p w14:paraId="0CA9995B">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5000</w:t>
            </w:r>
          </w:p>
        </w:tc>
        <w:tc>
          <w:tcPr>
            <w:tcW w:w="322" w:type="pct"/>
            <w:vAlign w:val="center"/>
          </w:tcPr>
          <w:p w14:paraId="3D2AEF9C">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58</w:t>
            </w:r>
          </w:p>
        </w:tc>
        <w:tc>
          <w:tcPr>
            <w:tcW w:w="358" w:type="pct"/>
            <w:vAlign w:val="center"/>
          </w:tcPr>
          <w:p w14:paraId="13015A9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2.08</w:t>
            </w:r>
          </w:p>
        </w:tc>
        <w:tc>
          <w:tcPr>
            <w:tcW w:w="411" w:type="pct"/>
            <w:vAlign w:val="center"/>
          </w:tcPr>
          <w:p w14:paraId="35FD3696">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0.29</w:t>
            </w:r>
          </w:p>
        </w:tc>
        <w:tc>
          <w:tcPr>
            <w:tcW w:w="582" w:type="pct"/>
            <w:vAlign w:val="center"/>
          </w:tcPr>
          <w:p w14:paraId="4E23E944">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封闭设备+</w:t>
            </w:r>
            <w:r>
              <w:rPr>
                <w:rFonts w:hint="eastAsia"/>
                <w:snapToGrid w:val="0"/>
                <w:color w:val="000000" w:themeColor="text1"/>
                <w14:textFill>
                  <w14:solidFill>
                    <w14:schemeClr w14:val="tx1"/>
                  </w14:solidFill>
                </w14:textFill>
              </w:rPr>
              <w:t>布袋除尘器</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15</w:t>
            </w:r>
            <w:r>
              <w:rPr>
                <w:rFonts w:hint="eastAsia"/>
                <w:snapToGrid w:val="0"/>
                <w:color w:val="000000" w:themeColor="text1"/>
                <w14:textFill>
                  <w14:solidFill>
                    <w14:schemeClr w14:val="tx1"/>
                  </w14:solidFill>
                </w14:textFill>
              </w:rPr>
              <w:t>m高排气筒D</w:t>
            </w:r>
            <w:r>
              <w:rPr>
                <w:snapToGrid w:val="0"/>
                <w:color w:val="000000" w:themeColor="text1"/>
                <w14:textFill>
                  <w14:solidFill>
                    <w14:schemeClr w14:val="tx1"/>
                  </w14:solidFill>
                </w14:textFill>
              </w:rPr>
              <w:t>A00</w:t>
            </w:r>
            <w:r>
              <w:rPr>
                <w:rFonts w:hint="eastAsia"/>
                <w:snapToGrid w:val="0"/>
                <w:color w:val="000000" w:themeColor="text1"/>
                <w:lang w:val="en-US" w:eastAsia="zh-CN"/>
                <w14:textFill>
                  <w14:solidFill>
                    <w14:schemeClr w14:val="tx1"/>
                  </w14:solidFill>
                </w14:textFill>
              </w:rPr>
              <w:t>3</w:t>
            </w:r>
          </w:p>
        </w:tc>
        <w:tc>
          <w:tcPr>
            <w:tcW w:w="253" w:type="pct"/>
            <w:vAlign w:val="center"/>
          </w:tcPr>
          <w:p w14:paraId="52B8A833">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收集效率90%，处理效率99%</w:t>
            </w:r>
          </w:p>
        </w:tc>
        <w:tc>
          <w:tcPr>
            <w:tcW w:w="282" w:type="pct"/>
            <w:vAlign w:val="center"/>
          </w:tcPr>
          <w:p w14:paraId="111985D8">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类比法</w:t>
            </w:r>
          </w:p>
        </w:tc>
        <w:tc>
          <w:tcPr>
            <w:tcW w:w="255" w:type="pct"/>
            <w:vAlign w:val="center"/>
          </w:tcPr>
          <w:p w14:paraId="7391950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0.58</w:t>
            </w:r>
          </w:p>
        </w:tc>
        <w:tc>
          <w:tcPr>
            <w:tcW w:w="385" w:type="pct"/>
            <w:vAlign w:val="center"/>
          </w:tcPr>
          <w:p w14:paraId="1B3076BA">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0.021</w:t>
            </w:r>
          </w:p>
        </w:tc>
        <w:tc>
          <w:tcPr>
            <w:tcW w:w="345" w:type="pct"/>
            <w:vAlign w:val="center"/>
          </w:tcPr>
          <w:p w14:paraId="2D478D72">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0.0029</w:t>
            </w:r>
          </w:p>
        </w:tc>
        <w:tc>
          <w:tcPr>
            <w:tcW w:w="227" w:type="pct"/>
            <w:vAlign w:val="center"/>
          </w:tcPr>
          <w:p w14:paraId="2D0A1A05">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7200</w:t>
            </w:r>
          </w:p>
        </w:tc>
      </w:tr>
      <w:tr w14:paraId="6168ED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restart"/>
            <w:vAlign w:val="center"/>
          </w:tcPr>
          <w:p w14:paraId="7C8CB30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柴油发电</w:t>
            </w:r>
          </w:p>
        </w:tc>
        <w:tc>
          <w:tcPr>
            <w:tcW w:w="246" w:type="pct"/>
            <w:vMerge w:val="restart"/>
            <w:vAlign w:val="center"/>
          </w:tcPr>
          <w:p w14:paraId="7C558C15">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柴油发电间</w:t>
            </w:r>
          </w:p>
        </w:tc>
        <w:tc>
          <w:tcPr>
            <w:tcW w:w="439" w:type="pct"/>
            <w:vAlign w:val="center"/>
          </w:tcPr>
          <w:p w14:paraId="434B177D">
            <w:pPr>
              <w:pStyle w:val="143"/>
              <w:ind w:firstLine="0" w:firstLineChars="0"/>
              <w:rPr>
                <w:rFonts w:hint="eastAsia"/>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颗粒物</w:t>
            </w:r>
          </w:p>
        </w:tc>
        <w:tc>
          <w:tcPr>
            <w:tcW w:w="304" w:type="pct"/>
            <w:vMerge w:val="restart"/>
            <w:vAlign w:val="center"/>
          </w:tcPr>
          <w:p w14:paraId="3C3E4E51">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物料平衡法</w:t>
            </w:r>
          </w:p>
        </w:tc>
        <w:tc>
          <w:tcPr>
            <w:tcW w:w="304" w:type="pct"/>
            <w:vMerge w:val="restart"/>
            <w:vAlign w:val="center"/>
          </w:tcPr>
          <w:p w14:paraId="5AADBEFF">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2787.84</w:t>
            </w:r>
          </w:p>
        </w:tc>
        <w:tc>
          <w:tcPr>
            <w:tcW w:w="322" w:type="pct"/>
            <w:vAlign w:val="center"/>
          </w:tcPr>
          <w:p w14:paraId="5D31D224">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45.1</w:t>
            </w:r>
          </w:p>
        </w:tc>
        <w:tc>
          <w:tcPr>
            <w:tcW w:w="358" w:type="pct"/>
            <w:vAlign w:val="center"/>
          </w:tcPr>
          <w:p w14:paraId="0FE482E1">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7.54×10</w:t>
            </w:r>
            <w:r>
              <w:rPr>
                <w:rFonts w:hint="eastAsia"/>
                <w:color w:val="000000" w:themeColor="text1"/>
                <w:sz w:val="21"/>
                <w:szCs w:val="21"/>
                <w:vertAlign w:val="superscript"/>
                <w:lang w:val="en-US" w:eastAsia="zh-CN" w:bidi="ar"/>
                <w14:textFill>
                  <w14:solidFill>
                    <w14:schemeClr w14:val="tx1"/>
                  </w14:solidFill>
                </w14:textFill>
              </w:rPr>
              <w:t>-3</w:t>
            </w:r>
          </w:p>
        </w:tc>
        <w:tc>
          <w:tcPr>
            <w:tcW w:w="411" w:type="pct"/>
            <w:vAlign w:val="center"/>
          </w:tcPr>
          <w:p w14:paraId="57535837">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7.54×10</w:t>
            </w:r>
            <w:r>
              <w:rPr>
                <w:rFonts w:hint="eastAsia"/>
                <w:color w:val="000000" w:themeColor="text1"/>
                <w:sz w:val="21"/>
                <w:szCs w:val="21"/>
                <w:vertAlign w:val="superscript"/>
                <w:lang w:val="en-US" w:eastAsia="zh-CN" w:bidi="ar"/>
                <w14:textFill>
                  <w14:solidFill>
                    <w14:schemeClr w14:val="tx1"/>
                  </w14:solidFill>
                </w14:textFill>
              </w:rPr>
              <w:t>-3</w:t>
            </w:r>
          </w:p>
        </w:tc>
        <w:tc>
          <w:tcPr>
            <w:tcW w:w="582" w:type="pct"/>
            <w:vMerge w:val="restart"/>
            <w:vAlign w:val="center"/>
          </w:tcPr>
          <w:p w14:paraId="29943A7C">
            <w:pPr>
              <w:pStyle w:val="143"/>
              <w:rPr>
                <w:rFonts w:hint="eastAsia"/>
                <w:snapToGrid w:val="0"/>
                <w:color w:val="000000" w:themeColor="text1"/>
                <w:lang w:eastAsia="zh-CN"/>
                <w14:textFill>
                  <w14:solidFill>
                    <w14:schemeClr w14:val="tx1"/>
                  </w14:solidFill>
                </w14:textFill>
              </w:rPr>
            </w:pPr>
            <w:r>
              <w:rPr>
                <w:rFonts w:ascii="Times New Roman"/>
                <w:color w:val="000000"/>
                <w:sz w:val="21"/>
                <w:szCs w:val="21"/>
              </w:rPr>
              <w:t>经内置烟井引至冷库房顶高空排放</w:t>
            </w:r>
          </w:p>
        </w:tc>
        <w:tc>
          <w:tcPr>
            <w:tcW w:w="253" w:type="pct"/>
            <w:vMerge w:val="restart"/>
            <w:vAlign w:val="center"/>
          </w:tcPr>
          <w:p w14:paraId="51BC75B0">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w:t>
            </w:r>
          </w:p>
        </w:tc>
        <w:tc>
          <w:tcPr>
            <w:tcW w:w="282" w:type="pct"/>
            <w:vMerge w:val="restart"/>
            <w:vAlign w:val="center"/>
          </w:tcPr>
          <w:p w14:paraId="543A9C7A">
            <w:pPr>
              <w:pStyle w:val="143"/>
              <w:rPr>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物料平衡法</w:t>
            </w:r>
          </w:p>
        </w:tc>
        <w:tc>
          <w:tcPr>
            <w:tcW w:w="255" w:type="pct"/>
            <w:vAlign w:val="center"/>
          </w:tcPr>
          <w:p w14:paraId="65F9E7E1">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45.1</w:t>
            </w:r>
          </w:p>
        </w:tc>
        <w:tc>
          <w:tcPr>
            <w:tcW w:w="385" w:type="pct"/>
            <w:vAlign w:val="center"/>
          </w:tcPr>
          <w:p w14:paraId="2CBA928F">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7.54×10</w:t>
            </w:r>
            <w:r>
              <w:rPr>
                <w:rFonts w:hint="eastAsia"/>
                <w:color w:val="000000" w:themeColor="text1"/>
                <w:sz w:val="21"/>
                <w:szCs w:val="21"/>
                <w:vertAlign w:val="superscript"/>
                <w:lang w:val="en-US" w:eastAsia="zh-CN" w:bidi="ar"/>
                <w14:textFill>
                  <w14:solidFill>
                    <w14:schemeClr w14:val="tx1"/>
                  </w14:solidFill>
                </w14:textFill>
              </w:rPr>
              <w:t>-3</w:t>
            </w:r>
          </w:p>
        </w:tc>
        <w:tc>
          <w:tcPr>
            <w:tcW w:w="345" w:type="pct"/>
            <w:vAlign w:val="center"/>
          </w:tcPr>
          <w:p w14:paraId="7E3CAA17">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7.54×10</w:t>
            </w:r>
            <w:r>
              <w:rPr>
                <w:rFonts w:hint="eastAsia"/>
                <w:color w:val="000000" w:themeColor="text1"/>
                <w:sz w:val="21"/>
                <w:szCs w:val="21"/>
                <w:vertAlign w:val="superscript"/>
                <w:lang w:val="en-US" w:eastAsia="zh-CN" w:bidi="ar"/>
                <w14:textFill>
                  <w14:solidFill>
                    <w14:schemeClr w14:val="tx1"/>
                  </w14:solidFill>
                </w14:textFill>
              </w:rPr>
              <w:t>-3</w:t>
            </w:r>
          </w:p>
        </w:tc>
        <w:tc>
          <w:tcPr>
            <w:tcW w:w="227" w:type="pct"/>
            <w:vMerge w:val="restart"/>
            <w:vAlign w:val="center"/>
          </w:tcPr>
          <w:p w14:paraId="38F90785">
            <w:pPr>
              <w:pStyle w:val="143"/>
              <w:rPr>
                <w:rFonts w:hint="default" w:eastAsia="宋体"/>
                <w:snapToGrid w:val="0"/>
                <w:color w:val="000000" w:themeColor="text1"/>
                <w:lang w:val="en-US" w:eastAsia="zh-CN"/>
                <w14:textFill>
                  <w14:solidFill>
                    <w14:schemeClr w14:val="tx1"/>
                  </w14:solidFill>
                </w14:textFill>
              </w:rPr>
            </w:pPr>
            <w:r>
              <w:rPr>
                <w:rFonts w:ascii="Times New Roman"/>
                <w:color w:val="000000"/>
                <w:sz w:val="18"/>
                <w:szCs w:val="18"/>
              </w:rPr>
              <w:t>间断（60h）</w:t>
            </w:r>
          </w:p>
        </w:tc>
      </w:tr>
      <w:tr w14:paraId="7F3D56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36F85762">
            <w:pPr>
              <w:pStyle w:val="143"/>
              <w:rPr>
                <w:rFonts w:hint="eastAsia"/>
                <w:snapToGrid w:val="0"/>
                <w:color w:val="000000" w:themeColor="text1"/>
                <w:lang w:eastAsia="zh-CN"/>
                <w14:textFill>
                  <w14:solidFill>
                    <w14:schemeClr w14:val="tx1"/>
                  </w14:solidFill>
                </w14:textFill>
              </w:rPr>
            </w:pPr>
          </w:p>
        </w:tc>
        <w:tc>
          <w:tcPr>
            <w:tcW w:w="246" w:type="pct"/>
            <w:vMerge w:val="continue"/>
            <w:vAlign w:val="center"/>
          </w:tcPr>
          <w:p w14:paraId="5C287458">
            <w:pPr>
              <w:pStyle w:val="143"/>
              <w:rPr>
                <w:rFonts w:hint="eastAsia"/>
                <w:snapToGrid w:val="0"/>
                <w:color w:val="000000" w:themeColor="text1"/>
                <w:lang w:eastAsia="zh-CN"/>
                <w14:textFill>
                  <w14:solidFill>
                    <w14:schemeClr w14:val="tx1"/>
                  </w14:solidFill>
                </w14:textFill>
              </w:rPr>
            </w:pPr>
          </w:p>
        </w:tc>
        <w:tc>
          <w:tcPr>
            <w:tcW w:w="439" w:type="pct"/>
            <w:vAlign w:val="center"/>
          </w:tcPr>
          <w:p w14:paraId="60CA5086">
            <w:pPr>
              <w:pStyle w:val="143"/>
              <w:ind w:firstLine="0" w:firstLineChars="0"/>
              <w:rPr>
                <w:rFonts w:hint="eastAsia"/>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S</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2</w:t>
            </w:r>
          </w:p>
        </w:tc>
        <w:tc>
          <w:tcPr>
            <w:tcW w:w="304" w:type="pct"/>
            <w:vMerge w:val="continue"/>
            <w:vAlign w:val="center"/>
          </w:tcPr>
          <w:p w14:paraId="5906A089">
            <w:pPr>
              <w:pStyle w:val="143"/>
              <w:rPr>
                <w:snapToGrid w:val="0"/>
                <w:color w:val="000000" w:themeColor="text1"/>
                <w:lang w:val="en-US"/>
                <w14:textFill>
                  <w14:solidFill>
                    <w14:schemeClr w14:val="tx1"/>
                  </w14:solidFill>
                </w14:textFill>
              </w:rPr>
            </w:pPr>
          </w:p>
        </w:tc>
        <w:tc>
          <w:tcPr>
            <w:tcW w:w="304" w:type="pct"/>
            <w:vMerge w:val="continue"/>
            <w:vAlign w:val="center"/>
          </w:tcPr>
          <w:p w14:paraId="7565C021">
            <w:pPr>
              <w:pStyle w:val="143"/>
              <w:rPr>
                <w:snapToGrid w:val="0"/>
                <w:color w:val="000000" w:themeColor="text1"/>
                <w:lang w:val="en-US"/>
                <w14:textFill>
                  <w14:solidFill>
                    <w14:schemeClr w14:val="tx1"/>
                  </w14:solidFill>
                </w14:textFill>
              </w:rPr>
            </w:pPr>
          </w:p>
        </w:tc>
        <w:tc>
          <w:tcPr>
            <w:tcW w:w="322" w:type="pct"/>
            <w:vAlign w:val="center"/>
          </w:tcPr>
          <w:p w14:paraId="2A355BA9">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30.3</w:t>
            </w:r>
          </w:p>
        </w:tc>
        <w:tc>
          <w:tcPr>
            <w:tcW w:w="358" w:type="pct"/>
            <w:vAlign w:val="center"/>
          </w:tcPr>
          <w:p w14:paraId="7BE21589">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5.07×10</w:t>
            </w:r>
            <w:r>
              <w:rPr>
                <w:rFonts w:hint="eastAsia"/>
                <w:color w:val="000000" w:themeColor="text1"/>
                <w:sz w:val="21"/>
                <w:szCs w:val="21"/>
                <w:vertAlign w:val="superscript"/>
                <w:lang w:val="en-US" w:eastAsia="zh-CN" w:bidi="ar"/>
                <w14:textFill>
                  <w14:solidFill>
                    <w14:schemeClr w14:val="tx1"/>
                  </w14:solidFill>
                </w14:textFill>
              </w:rPr>
              <w:t>-3</w:t>
            </w:r>
          </w:p>
        </w:tc>
        <w:tc>
          <w:tcPr>
            <w:tcW w:w="411" w:type="pct"/>
            <w:vAlign w:val="center"/>
          </w:tcPr>
          <w:p w14:paraId="7536D59D">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5.07×10</w:t>
            </w:r>
            <w:r>
              <w:rPr>
                <w:rFonts w:hint="eastAsia"/>
                <w:color w:val="000000" w:themeColor="text1"/>
                <w:sz w:val="21"/>
                <w:szCs w:val="21"/>
                <w:vertAlign w:val="superscript"/>
                <w:lang w:val="en-US" w:eastAsia="zh-CN" w:bidi="ar"/>
                <w14:textFill>
                  <w14:solidFill>
                    <w14:schemeClr w14:val="tx1"/>
                  </w14:solidFill>
                </w14:textFill>
              </w:rPr>
              <w:t>-3</w:t>
            </w:r>
          </w:p>
        </w:tc>
        <w:tc>
          <w:tcPr>
            <w:tcW w:w="582" w:type="pct"/>
            <w:vMerge w:val="continue"/>
            <w:vAlign w:val="center"/>
          </w:tcPr>
          <w:p w14:paraId="0D5C83D7">
            <w:pPr>
              <w:pStyle w:val="143"/>
              <w:rPr>
                <w:rFonts w:hint="eastAsia"/>
                <w:snapToGrid w:val="0"/>
                <w:color w:val="000000" w:themeColor="text1"/>
                <w:lang w:eastAsia="zh-CN"/>
                <w14:textFill>
                  <w14:solidFill>
                    <w14:schemeClr w14:val="tx1"/>
                  </w14:solidFill>
                </w14:textFill>
              </w:rPr>
            </w:pPr>
          </w:p>
        </w:tc>
        <w:tc>
          <w:tcPr>
            <w:tcW w:w="253" w:type="pct"/>
            <w:vMerge w:val="continue"/>
            <w:vAlign w:val="center"/>
          </w:tcPr>
          <w:p w14:paraId="417BCA86">
            <w:pPr>
              <w:pStyle w:val="143"/>
              <w:rPr>
                <w:rFonts w:hint="eastAsia"/>
                <w:snapToGrid w:val="0"/>
                <w:color w:val="000000" w:themeColor="text1"/>
                <w14:textFill>
                  <w14:solidFill>
                    <w14:schemeClr w14:val="tx1"/>
                  </w14:solidFill>
                </w14:textFill>
              </w:rPr>
            </w:pPr>
          </w:p>
        </w:tc>
        <w:tc>
          <w:tcPr>
            <w:tcW w:w="282" w:type="pct"/>
            <w:vMerge w:val="continue"/>
            <w:vAlign w:val="center"/>
          </w:tcPr>
          <w:p w14:paraId="3DE1559B">
            <w:pPr>
              <w:pStyle w:val="143"/>
              <w:rPr>
                <w:snapToGrid w:val="0"/>
                <w:color w:val="000000" w:themeColor="text1"/>
                <w:lang w:val="en-US"/>
                <w14:textFill>
                  <w14:solidFill>
                    <w14:schemeClr w14:val="tx1"/>
                  </w14:solidFill>
                </w14:textFill>
              </w:rPr>
            </w:pPr>
          </w:p>
        </w:tc>
        <w:tc>
          <w:tcPr>
            <w:tcW w:w="255" w:type="pct"/>
            <w:vAlign w:val="center"/>
          </w:tcPr>
          <w:p w14:paraId="470A9B87">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30.3</w:t>
            </w:r>
          </w:p>
        </w:tc>
        <w:tc>
          <w:tcPr>
            <w:tcW w:w="385" w:type="pct"/>
            <w:vAlign w:val="center"/>
          </w:tcPr>
          <w:p w14:paraId="3C6ABA7D">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5.07×10</w:t>
            </w:r>
            <w:r>
              <w:rPr>
                <w:rFonts w:hint="eastAsia"/>
                <w:color w:val="000000" w:themeColor="text1"/>
                <w:sz w:val="21"/>
                <w:szCs w:val="21"/>
                <w:vertAlign w:val="superscript"/>
                <w:lang w:val="en-US" w:eastAsia="zh-CN" w:bidi="ar"/>
                <w14:textFill>
                  <w14:solidFill>
                    <w14:schemeClr w14:val="tx1"/>
                  </w14:solidFill>
                </w14:textFill>
              </w:rPr>
              <w:t>-3</w:t>
            </w:r>
          </w:p>
        </w:tc>
        <w:tc>
          <w:tcPr>
            <w:tcW w:w="345" w:type="pct"/>
            <w:vAlign w:val="center"/>
          </w:tcPr>
          <w:p w14:paraId="75509D6B">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5.07×10</w:t>
            </w:r>
            <w:r>
              <w:rPr>
                <w:rFonts w:hint="eastAsia"/>
                <w:color w:val="000000" w:themeColor="text1"/>
                <w:sz w:val="21"/>
                <w:szCs w:val="21"/>
                <w:vertAlign w:val="superscript"/>
                <w:lang w:val="en-US" w:eastAsia="zh-CN" w:bidi="ar"/>
                <w14:textFill>
                  <w14:solidFill>
                    <w14:schemeClr w14:val="tx1"/>
                  </w14:solidFill>
                </w14:textFill>
              </w:rPr>
              <w:t>-3</w:t>
            </w:r>
          </w:p>
        </w:tc>
        <w:tc>
          <w:tcPr>
            <w:tcW w:w="227" w:type="pct"/>
            <w:vMerge w:val="continue"/>
            <w:vAlign w:val="center"/>
          </w:tcPr>
          <w:p w14:paraId="5B2441C6">
            <w:pPr>
              <w:pStyle w:val="143"/>
              <w:rPr>
                <w:snapToGrid w:val="0"/>
                <w:color w:val="000000" w:themeColor="text1"/>
                <w14:textFill>
                  <w14:solidFill>
                    <w14:schemeClr w14:val="tx1"/>
                  </w14:solidFill>
                </w14:textFill>
              </w:rPr>
            </w:pPr>
          </w:p>
        </w:tc>
      </w:tr>
      <w:tr w14:paraId="21EA24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Merge w:val="continue"/>
            <w:vAlign w:val="center"/>
          </w:tcPr>
          <w:p w14:paraId="63D828C3">
            <w:pPr>
              <w:pStyle w:val="143"/>
              <w:rPr>
                <w:rFonts w:hint="eastAsia"/>
                <w:snapToGrid w:val="0"/>
                <w:color w:val="000000" w:themeColor="text1"/>
                <w:lang w:eastAsia="zh-CN"/>
                <w14:textFill>
                  <w14:solidFill>
                    <w14:schemeClr w14:val="tx1"/>
                  </w14:solidFill>
                </w14:textFill>
              </w:rPr>
            </w:pPr>
          </w:p>
        </w:tc>
        <w:tc>
          <w:tcPr>
            <w:tcW w:w="246" w:type="pct"/>
            <w:vMerge w:val="continue"/>
            <w:vAlign w:val="center"/>
          </w:tcPr>
          <w:p w14:paraId="3A5922EF">
            <w:pPr>
              <w:pStyle w:val="143"/>
              <w:rPr>
                <w:rFonts w:hint="eastAsia"/>
                <w:snapToGrid w:val="0"/>
                <w:color w:val="000000" w:themeColor="text1"/>
                <w:lang w:eastAsia="zh-CN"/>
                <w14:textFill>
                  <w14:solidFill>
                    <w14:schemeClr w14:val="tx1"/>
                  </w14:solidFill>
                </w14:textFill>
              </w:rPr>
            </w:pPr>
          </w:p>
        </w:tc>
        <w:tc>
          <w:tcPr>
            <w:tcW w:w="439" w:type="pct"/>
            <w:vAlign w:val="center"/>
          </w:tcPr>
          <w:p w14:paraId="5920EE93">
            <w:pPr>
              <w:pStyle w:val="143"/>
              <w:ind w:firstLine="0" w:firstLineChars="0"/>
              <w:rPr>
                <w:rFonts w:hint="eastAsia"/>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N</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X</w:t>
            </w:r>
          </w:p>
        </w:tc>
        <w:tc>
          <w:tcPr>
            <w:tcW w:w="304" w:type="pct"/>
            <w:vMerge w:val="continue"/>
            <w:vAlign w:val="center"/>
          </w:tcPr>
          <w:p w14:paraId="360AD27D">
            <w:pPr>
              <w:pStyle w:val="143"/>
              <w:rPr>
                <w:snapToGrid w:val="0"/>
                <w:color w:val="000000" w:themeColor="text1"/>
                <w:lang w:val="en-US"/>
                <w14:textFill>
                  <w14:solidFill>
                    <w14:schemeClr w14:val="tx1"/>
                  </w14:solidFill>
                </w14:textFill>
              </w:rPr>
            </w:pPr>
          </w:p>
        </w:tc>
        <w:tc>
          <w:tcPr>
            <w:tcW w:w="304" w:type="pct"/>
            <w:vMerge w:val="continue"/>
            <w:vAlign w:val="center"/>
          </w:tcPr>
          <w:p w14:paraId="16CE95F8">
            <w:pPr>
              <w:pStyle w:val="143"/>
              <w:rPr>
                <w:snapToGrid w:val="0"/>
                <w:color w:val="000000" w:themeColor="text1"/>
                <w:lang w:val="en-US"/>
                <w14:textFill>
                  <w14:solidFill>
                    <w14:schemeClr w14:val="tx1"/>
                  </w14:solidFill>
                </w14:textFill>
              </w:rPr>
            </w:pPr>
          </w:p>
        </w:tc>
        <w:tc>
          <w:tcPr>
            <w:tcW w:w="322" w:type="pct"/>
            <w:vAlign w:val="center"/>
          </w:tcPr>
          <w:p w14:paraId="0F04813E">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83.8</w:t>
            </w:r>
          </w:p>
        </w:tc>
        <w:tc>
          <w:tcPr>
            <w:tcW w:w="358" w:type="pct"/>
            <w:vAlign w:val="center"/>
          </w:tcPr>
          <w:p w14:paraId="05D0EBBC">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14.02×10</w:t>
            </w:r>
            <w:r>
              <w:rPr>
                <w:rFonts w:hint="eastAsia"/>
                <w:color w:val="000000" w:themeColor="text1"/>
                <w:sz w:val="21"/>
                <w:szCs w:val="21"/>
                <w:vertAlign w:val="superscript"/>
                <w:lang w:val="en-US" w:eastAsia="zh-CN" w:bidi="ar"/>
                <w14:textFill>
                  <w14:solidFill>
                    <w14:schemeClr w14:val="tx1"/>
                  </w14:solidFill>
                </w14:textFill>
              </w:rPr>
              <w:t>-3</w:t>
            </w:r>
          </w:p>
        </w:tc>
        <w:tc>
          <w:tcPr>
            <w:tcW w:w="411" w:type="pct"/>
            <w:vAlign w:val="center"/>
          </w:tcPr>
          <w:p w14:paraId="3428CF31">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14.02×10</w:t>
            </w:r>
            <w:r>
              <w:rPr>
                <w:rFonts w:hint="eastAsia"/>
                <w:color w:val="000000" w:themeColor="text1"/>
                <w:sz w:val="21"/>
                <w:szCs w:val="21"/>
                <w:vertAlign w:val="superscript"/>
                <w:lang w:val="en-US" w:eastAsia="zh-CN" w:bidi="ar"/>
                <w14:textFill>
                  <w14:solidFill>
                    <w14:schemeClr w14:val="tx1"/>
                  </w14:solidFill>
                </w14:textFill>
              </w:rPr>
              <w:t>-3</w:t>
            </w:r>
          </w:p>
        </w:tc>
        <w:tc>
          <w:tcPr>
            <w:tcW w:w="582" w:type="pct"/>
            <w:vMerge w:val="continue"/>
            <w:vAlign w:val="center"/>
          </w:tcPr>
          <w:p w14:paraId="7B8E79BC">
            <w:pPr>
              <w:pStyle w:val="143"/>
              <w:rPr>
                <w:rFonts w:hint="eastAsia"/>
                <w:snapToGrid w:val="0"/>
                <w:color w:val="000000" w:themeColor="text1"/>
                <w:lang w:eastAsia="zh-CN"/>
                <w14:textFill>
                  <w14:solidFill>
                    <w14:schemeClr w14:val="tx1"/>
                  </w14:solidFill>
                </w14:textFill>
              </w:rPr>
            </w:pPr>
          </w:p>
        </w:tc>
        <w:tc>
          <w:tcPr>
            <w:tcW w:w="253" w:type="pct"/>
            <w:vMerge w:val="continue"/>
            <w:vAlign w:val="center"/>
          </w:tcPr>
          <w:p w14:paraId="35157A66">
            <w:pPr>
              <w:pStyle w:val="143"/>
              <w:rPr>
                <w:rFonts w:hint="eastAsia"/>
                <w:snapToGrid w:val="0"/>
                <w:color w:val="000000" w:themeColor="text1"/>
                <w14:textFill>
                  <w14:solidFill>
                    <w14:schemeClr w14:val="tx1"/>
                  </w14:solidFill>
                </w14:textFill>
              </w:rPr>
            </w:pPr>
          </w:p>
        </w:tc>
        <w:tc>
          <w:tcPr>
            <w:tcW w:w="282" w:type="pct"/>
            <w:vMerge w:val="continue"/>
            <w:vAlign w:val="center"/>
          </w:tcPr>
          <w:p w14:paraId="09855242">
            <w:pPr>
              <w:pStyle w:val="143"/>
              <w:rPr>
                <w:snapToGrid w:val="0"/>
                <w:color w:val="000000" w:themeColor="text1"/>
                <w:lang w:val="en-US"/>
                <w14:textFill>
                  <w14:solidFill>
                    <w14:schemeClr w14:val="tx1"/>
                  </w14:solidFill>
                </w14:textFill>
              </w:rPr>
            </w:pPr>
          </w:p>
        </w:tc>
        <w:tc>
          <w:tcPr>
            <w:tcW w:w="255" w:type="pct"/>
            <w:vAlign w:val="center"/>
          </w:tcPr>
          <w:p w14:paraId="3A1295A1">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83.8</w:t>
            </w:r>
          </w:p>
        </w:tc>
        <w:tc>
          <w:tcPr>
            <w:tcW w:w="385" w:type="pct"/>
            <w:vAlign w:val="center"/>
          </w:tcPr>
          <w:p w14:paraId="69457B6D">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14.02×10</w:t>
            </w:r>
            <w:r>
              <w:rPr>
                <w:rFonts w:hint="eastAsia"/>
                <w:color w:val="000000" w:themeColor="text1"/>
                <w:sz w:val="21"/>
                <w:szCs w:val="21"/>
                <w:vertAlign w:val="superscript"/>
                <w:lang w:val="en-US" w:eastAsia="zh-CN" w:bidi="ar"/>
                <w14:textFill>
                  <w14:solidFill>
                    <w14:schemeClr w14:val="tx1"/>
                  </w14:solidFill>
                </w14:textFill>
              </w:rPr>
              <w:t>-3</w:t>
            </w:r>
          </w:p>
        </w:tc>
        <w:tc>
          <w:tcPr>
            <w:tcW w:w="345" w:type="pct"/>
            <w:vAlign w:val="center"/>
          </w:tcPr>
          <w:p w14:paraId="2C6683DC">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napToGrid w:val="0"/>
                <w:color w:val="000000" w:themeColor="text1"/>
                <w:lang w:val="en-US"/>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14.02×10</w:t>
            </w:r>
            <w:r>
              <w:rPr>
                <w:rFonts w:hint="eastAsia"/>
                <w:color w:val="000000" w:themeColor="text1"/>
                <w:sz w:val="21"/>
                <w:szCs w:val="21"/>
                <w:vertAlign w:val="superscript"/>
                <w:lang w:val="en-US" w:eastAsia="zh-CN" w:bidi="ar"/>
                <w14:textFill>
                  <w14:solidFill>
                    <w14:schemeClr w14:val="tx1"/>
                  </w14:solidFill>
                </w14:textFill>
              </w:rPr>
              <w:t>-3</w:t>
            </w:r>
          </w:p>
        </w:tc>
        <w:tc>
          <w:tcPr>
            <w:tcW w:w="227" w:type="pct"/>
            <w:vMerge w:val="continue"/>
            <w:vAlign w:val="center"/>
          </w:tcPr>
          <w:p w14:paraId="78DD81C2">
            <w:pPr>
              <w:pStyle w:val="143"/>
              <w:rPr>
                <w:snapToGrid w:val="0"/>
                <w:color w:val="000000" w:themeColor="text1"/>
                <w14:textFill>
                  <w14:solidFill>
                    <w14:schemeClr w14:val="tx1"/>
                  </w14:solidFill>
                </w14:textFill>
              </w:rPr>
            </w:pPr>
          </w:p>
        </w:tc>
      </w:tr>
      <w:tr w14:paraId="4F6AAC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9" w:type="pct"/>
            <w:vAlign w:val="center"/>
          </w:tcPr>
          <w:p w14:paraId="6A72EF7D">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食堂</w:t>
            </w:r>
          </w:p>
        </w:tc>
        <w:tc>
          <w:tcPr>
            <w:tcW w:w="246" w:type="pct"/>
            <w:vAlign w:val="center"/>
          </w:tcPr>
          <w:p w14:paraId="4391DA31">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食堂</w:t>
            </w:r>
          </w:p>
        </w:tc>
        <w:tc>
          <w:tcPr>
            <w:tcW w:w="439" w:type="pct"/>
            <w:vAlign w:val="center"/>
          </w:tcPr>
          <w:p w14:paraId="4D6F867F">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油烟</w:t>
            </w:r>
          </w:p>
        </w:tc>
        <w:tc>
          <w:tcPr>
            <w:tcW w:w="304" w:type="pct"/>
            <w:vAlign w:val="center"/>
          </w:tcPr>
          <w:p w14:paraId="2AC4C7E7">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类比法</w:t>
            </w:r>
          </w:p>
        </w:tc>
        <w:tc>
          <w:tcPr>
            <w:tcW w:w="304" w:type="pct"/>
            <w:vAlign w:val="center"/>
          </w:tcPr>
          <w:p w14:paraId="75C2B74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2000</w:t>
            </w:r>
          </w:p>
        </w:tc>
        <w:tc>
          <w:tcPr>
            <w:tcW w:w="322" w:type="pct"/>
            <w:vAlign w:val="center"/>
          </w:tcPr>
          <w:p w14:paraId="12DFF2CF">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6.6</w:t>
            </w:r>
          </w:p>
        </w:tc>
        <w:tc>
          <w:tcPr>
            <w:tcW w:w="358" w:type="pct"/>
            <w:vAlign w:val="center"/>
          </w:tcPr>
          <w:p w14:paraId="39C0F4D6">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1.98</w:t>
            </w:r>
            <w:r>
              <w:rPr>
                <w:rFonts w:hint="eastAsia"/>
                <w:color w:val="000000" w:themeColor="text1"/>
                <w:sz w:val="21"/>
                <w:szCs w:val="21"/>
                <w:lang w:val="en-US" w:eastAsia="zh-CN" w:bidi="ar"/>
                <w14:textFill>
                  <w14:solidFill>
                    <w14:schemeClr w14:val="tx1"/>
                  </w14:solidFill>
                </w14:textFill>
              </w:rPr>
              <w:t>×10</w:t>
            </w:r>
            <w:r>
              <w:rPr>
                <w:rFonts w:hint="eastAsia"/>
                <w:color w:val="000000" w:themeColor="text1"/>
                <w:sz w:val="21"/>
                <w:szCs w:val="21"/>
                <w:vertAlign w:val="superscript"/>
                <w:lang w:val="en-US" w:eastAsia="zh-CN" w:bidi="ar"/>
                <w14:textFill>
                  <w14:solidFill>
                    <w14:schemeClr w14:val="tx1"/>
                  </w14:solidFill>
                </w14:textFill>
              </w:rPr>
              <w:t>-2</w:t>
            </w:r>
          </w:p>
        </w:tc>
        <w:tc>
          <w:tcPr>
            <w:tcW w:w="411" w:type="pct"/>
            <w:vAlign w:val="center"/>
          </w:tcPr>
          <w:p w14:paraId="73F2C88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1.32</w:t>
            </w:r>
            <w:r>
              <w:rPr>
                <w:rFonts w:hint="eastAsia"/>
                <w:color w:val="000000" w:themeColor="text1"/>
                <w:sz w:val="21"/>
                <w:szCs w:val="21"/>
                <w:lang w:val="en-US" w:eastAsia="zh-CN" w:bidi="ar"/>
                <w14:textFill>
                  <w14:solidFill>
                    <w14:schemeClr w14:val="tx1"/>
                  </w14:solidFill>
                </w14:textFill>
              </w:rPr>
              <w:t>×10</w:t>
            </w:r>
            <w:r>
              <w:rPr>
                <w:rFonts w:hint="eastAsia"/>
                <w:color w:val="000000" w:themeColor="text1"/>
                <w:sz w:val="21"/>
                <w:szCs w:val="21"/>
                <w:vertAlign w:val="superscript"/>
                <w:lang w:val="en-US" w:eastAsia="zh-CN" w:bidi="ar"/>
                <w14:textFill>
                  <w14:solidFill>
                    <w14:schemeClr w14:val="tx1"/>
                  </w14:solidFill>
                </w14:textFill>
              </w:rPr>
              <w:t>-2</w:t>
            </w:r>
          </w:p>
        </w:tc>
        <w:tc>
          <w:tcPr>
            <w:tcW w:w="582" w:type="pct"/>
            <w:vAlign w:val="center"/>
          </w:tcPr>
          <w:p w14:paraId="26F8E7D8">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油烟净化器</w:t>
            </w:r>
          </w:p>
        </w:tc>
        <w:tc>
          <w:tcPr>
            <w:tcW w:w="253" w:type="pct"/>
            <w:vAlign w:val="center"/>
          </w:tcPr>
          <w:p w14:paraId="6483C080">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85%</w:t>
            </w:r>
          </w:p>
        </w:tc>
        <w:tc>
          <w:tcPr>
            <w:tcW w:w="282" w:type="pct"/>
            <w:vAlign w:val="center"/>
          </w:tcPr>
          <w:p w14:paraId="13693665">
            <w:pPr>
              <w:pStyle w:val="143"/>
              <w:rPr>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类比法</w:t>
            </w:r>
          </w:p>
        </w:tc>
        <w:tc>
          <w:tcPr>
            <w:tcW w:w="255" w:type="pct"/>
            <w:vAlign w:val="center"/>
          </w:tcPr>
          <w:p w14:paraId="7809CC2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0.99</w:t>
            </w:r>
          </w:p>
        </w:tc>
        <w:tc>
          <w:tcPr>
            <w:tcW w:w="385" w:type="pct"/>
            <w:vAlign w:val="center"/>
          </w:tcPr>
          <w:p w14:paraId="2474C94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2.97</w:t>
            </w:r>
            <w:r>
              <w:rPr>
                <w:rFonts w:hint="eastAsia"/>
                <w:color w:val="000000" w:themeColor="text1"/>
                <w:sz w:val="21"/>
                <w:szCs w:val="21"/>
                <w:lang w:val="en-US" w:eastAsia="zh-CN" w:bidi="ar"/>
                <w14:textFill>
                  <w14:solidFill>
                    <w14:schemeClr w14:val="tx1"/>
                  </w14:solidFill>
                </w14:textFill>
              </w:rPr>
              <w:t>×10</w:t>
            </w:r>
            <w:r>
              <w:rPr>
                <w:rFonts w:hint="eastAsia"/>
                <w:color w:val="000000" w:themeColor="text1"/>
                <w:sz w:val="21"/>
                <w:szCs w:val="21"/>
                <w:vertAlign w:val="superscript"/>
                <w:lang w:val="en-US" w:eastAsia="zh-CN" w:bidi="ar"/>
                <w14:textFill>
                  <w14:solidFill>
                    <w14:schemeClr w14:val="tx1"/>
                  </w14:solidFill>
                </w14:textFill>
              </w:rPr>
              <w:t>-3</w:t>
            </w:r>
          </w:p>
        </w:tc>
        <w:tc>
          <w:tcPr>
            <w:tcW w:w="345" w:type="pct"/>
            <w:vAlign w:val="center"/>
          </w:tcPr>
          <w:p w14:paraId="4951613C">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1.98</w:t>
            </w:r>
            <w:r>
              <w:rPr>
                <w:rFonts w:hint="eastAsia"/>
                <w:color w:val="000000" w:themeColor="text1"/>
                <w:sz w:val="21"/>
                <w:szCs w:val="21"/>
                <w:lang w:val="en-US" w:eastAsia="zh-CN" w:bidi="ar"/>
                <w14:textFill>
                  <w14:solidFill>
                    <w14:schemeClr w14:val="tx1"/>
                  </w14:solidFill>
                </w14:textFill>
              </w:rPr>
              <w:t>×10</w:t>
            </w:r>
            <w:r>
              <w:rPr>
                <w:rFonts w:hint="eastAsia"/>
                <w:color w:val="000000" w:themeColor="text1"/>
                <w:sz w:val="21"/>
                <w:szCs w:val="21"/>
                <w:vertAlign w:val="superscript"/>
                <w:lang w:val="en-US" w:eastAsia="zh-CN" w:bidi="ar"/>
                <w14:textFill>
                  <w14:solidFill>
                    <w14:schemeClr w14:val="tx1"/>
                  </w14:solidFill>
                </w14:textFill>
              </w:rPr>
              <w:t>-3</w:t>
            </w:r>
          </w:p>
        </w:tc>
        <w:tc>
          <w:tcPr>
            <w:tcW w:w="227" w:type="pct"/>
            <w:vAlign w:val="center"/>
          </w:tcPr>
          <w:p w14:paraId="7509C5B2">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1500</w:t>
            </w:r>
          </w:p>
        </w:tc>
      </w:tr>
    </w:tbl>
    <w:p w14:paraId="2CEA51F5">
      <w:pPr>
        <w:pStyle w:val="85"/>
        <w:rPr>
          <w:snapToGrid w:val="0"/>
          <w:color w:val="000000" w:themeColor="text1"/>
          <w14:textFill>
            <w14:solidFill>
              <w14:schemeClr w14:val="tx1"/>
            </w14:solidFill>
          </w14:textFill>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26" w:charSpace="0"/>
        </w:sectPr>
      </w:pPr>
    </w:p>
    <w:p w14:paraId="2571FBAA">
      <w:pPr>
        <w:keepNext/>
        <w:keepLines/>
        <w:spacing w:line="500" w:lineRule="exact"/>
        <w:ind w:firstLine="0" w:firstLineChars="0"/>
        <w:outlineLvl w:val="3"/>
        <w:rPr>
          <w:rFonts w:cs="Times New Roman"/>
          <w:snapToGrid w:val="0"/>
          <w:color w:val="000000" w:themeColor="text1"/>
          <w:szCs w:val="20"/>
          <w:lang w:val="zh-CN" w:eastAsia="zh-CN"/>
          <w14:textFill>
            <w14:solidFill>
              <w14:schemeClr w14:val="tx1"/>
            </w14:solidFill>
          </w14:textFill>
        </w:rPr>
      </w:pPr>
      <w:r>
        <w:rPr>
          <w:rFonts w:hint="eastAsia" w:cs="Times New Roman"/>
          <w:snapToGrid w:val="0"/>
          <w:color w:val="000000" w:themeColor="text1"/>
          <w:szCs w:val="20"/>
          <w:lang w:val="zh-CN" w:eastAsia="zh-CN"/>
          <w14:textFill>
            <w14:solidFill>
              <w14:schemeClr w14:val="tx1"/>
            </w14:solidFill>
          </w14:textFill>
        </w:rPr>
        <w:t>3.</w:t>
      </w:r>
      <w:r>
        <w:rPr>
          <w:rFonts w:cs="Times New Roman"/>
          <w:snapToGrid w:val="0"/>
          <w:color w:val="000000" w:themeColor="text1"/>
          <w:szCs w:val="20"/>
          <w:lang w:val="zh-CN" w:eastAsia="zh-CN"/>
          <w14:textFill>
            <w14:solidFill>
              <w14:schemeClr w14:val="tx1"/>
            </w14:solidFill>
          </w14:textFill>
        </w:rPr>
        <w:t>6</w:t>
      </w:r>
      <w:r>
        <w:rPr>
          <w:rFonts w:hint="eastAsia" w:cs="Times New Roman"/>
          <w:snapToGrid w:val="0"/>
          <w:color w:val="000000" w:themeColor="text1"/>
          <w:szCs w:val="20"/>
          <w:lang w:val="zh-CN" w:eastAsia="zh-CN"/>
          <w14:textFill>
            <w14:solidFill>
              <w14:schemeClr w14:val="tx1"/>
            </w14:solidFill>
          </w14:textFill>
        </w:rPr>
        <w:t>.2.2废水</w:t>
      </w:r>
    </w:p>
    <w:p w14:paraId="52AFA958">
      <w:pPr>
        <w:pStyle w:val="85"/>
        <w:rPr>
          <w:color w:val="000000" w:themeColor="text1"/>
          <w14:textFill>
            <w14:solidFill>
              <w14:schemeClr w14:val="tx1"/>
            </w14:solidFill>
          </w14:textFill>
        </w:rPr>
      </w:pPr>
      <w:bookmarkStart w:id="136" w:name="_Hlk205211830"/>
      <w:bookmarkStart w:id="137" w:name="_Hlk11607919"/>
      <w:r>
        <w:rPr>
          <w:color w:val="000000" w:themeColor="text1"/>
          <w14:textFill>
            <w14:solidFill>
              <w14:schemeClr w14:val="tx1"/>
            </w14:solidFill>
          </w14:textFill>
        </w:rPr>
        <w:t>本项目</w:t>
      </w:r>
      <w:r>
        <w:rPr>
          <w:rFonts w:hint="eastAsia"/>
          <w:color w:val="000000" w:themeColor="text1"/>
          <w14:textFill>
            <w14:solidFill>
              <w14:schemeClr w14:val="tx1"/>
            </w14:solidFill>
          </w14:textFill>
        </w:rPr>
        <w:t>运营期</w:t>
      </w:r>
      <w:r>
        <w:rPr>
          <w:color w:val="000000" w:themeColor="text1"/>
          <w14:textFill>
            <w14:solidFill>
              <w14:schemeClr w14:val="tx1"/>
            </w14:solidFill>
          </w14:textFill>
        </w:rPr>
        <w:t>废水主要为</w:t>
      </w:r>
      <w:r>
        <w:rPr>
          <w:rFonts w:hint="eastAsia"/>
          <w:color w:val="000000" w:themeColor="text1"/>
          <w:lang w:val="en-US" w:eastAsia="zh-CN"/>
          <w14:textFill>
            <w14:solidFill>
              <w14:schemeClr w14:val="tx1"/>
            </w14:solidFill>
          </w14:textFill>
        </w:rPr>
        <w:t>生活污水、食堂废水、</w:t>
      </w:r>
      <w:r>
        <w:rPr>
          <w:color w:val="000000" w:themeColor="text1"/>
          <w14:textFill>
            <w14:solidFill>
              <w14:schemeClr w14:val="tx1"/>
            </w14:solidFill>
          </w14:textFill>
        </w:rPr>
        <w:t>车间地面冲洗废水、CO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回收系统洗气废水、啤酒生产工艺废水、CIP清洗废水、玻璃瓶清洗废水、化验室废水、锅炉废水及软水制备废水、纯水制备废水。</w:t>
      </w:r>
      <w:r>
        <w:rPr>
          <w:rFonts w:hint="eastAsia"/>
          <w:color w:val="000000" w:themeColor="text1"/>
          <w14:textFill>
            <w14:solidFill>
              <w14:schemeClr w14:val="tx1"/>
            </w14:solidFill>
          </w14:textFill>
        </w:rPr>
        <w:t>根据工程分析，</w:t>
      </w:r>
      <w:bookmarkEnd w:id="136"/>
      <w:r>
        <w:rPr>
          <w:rFonts w:hint="eastAsia"/>
          <w:color w:val="000000" w:themeColor="text1"/>
          <w14:textFill>
            <w14:solidFill>
              <w14:schemeClr w14:val="tx1"/>
            </w14:solidFill>
          </w14:textFill>
        </w:rPr>
        <w:t>本项目全厂废水产生情况见下表。</w:t>
      </w:r>
    </w:p>
    <w:p w14:paraId="0A26B8D5">
      <w:pPr>
        <w:pStyle w:val="206"/>
        <w:rPr>
          <w:color w:val="000000" w:themeColor="text1"/>
          <w14:textFill>
            <w14:solidFill>
              <w14:schemeClr w14:val="tx1"/>
            </w14:solidFill>
          </w14:textFill>
        </w:rPr>
      </w:pPr>
      <w:r>
        <w:rPr>
          <w:color w:val="000000" w:themeColor="text1"/>
          <w14:textFill>
            <w14:solidFill>
              <w14:schemeClr w14:val="tx1"/>
            </w14:solidFill>
          </w14:textFill>
        </w:rPr>
        <w:t>表</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-6-</w:t>
      </w:r>
      <w:r>
        <w:rPr>
          <w:rFonts w:hint="eastAsia"/>
          <w:color w:val="000000" w:themeColor="text1"/>
          <w:lang w:val="en-US" w:eastAsia="zh-CN"/>
          <w14:textFill>
            <w14:solidFill>
              <w14:schemeClr w14:val="tx1"/>
            </w14:solidFill>
          </w14:textFill>
        </w:rPr>
        <w:t>5</w:t>
      </w:r>
      <w:r>
        <w:rPr>
          <w:color w:val="000000" w:themeColor="text1"/>
          <w14:textFill>
            <w14:solidFill>
              <w14:schemeClr w14:val="tx1"/>
            </w14:solidFill>
          </w14:textFill>
        </w:rPr>
        <w:t xml:space="preserve"> 全厂</w:t>
      </w:r>
      <w:r>
        <w:rPr>
          <w:rFonts w:hint="eastAsia"/>
          <w:color w:val="000000" w:themeColor="text1"/>
          <w14:textFill>
            <w14:solidFill>
              <w14:schemeClr w14:val="tx1"/>
            </w14:solidFill>
          </w14:textFill>
        </w:rPr>
        <w:t>废水产生情况</w:t>
      </w:r>
      <w:r>
        <w:rPr>
          <w:color w:val="000000" w:themeColor="text1"/>
          <w14:textFill>
            <w14:solidFill>
              <w14:schemeClr w14:val="tx1"/>
            </w14:solidFill>
          </w14:textFill>
        </w:rPr>
        <w:t>表</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单位</w:t>
      </w:r>
      <w:r>
        <w:rPr>
          <w:rFonts w:hint="eastAsia"/>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a</w:t>
      </w:r>
    </w:p>
    <w:tbl>
      <w:tblPr>
        <w:tblStyle w:val="418"/>
        <w:tblW w:w="4873"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40"/>
        <w:gridCol w:w="4659"/>
        <w:gridCol w:w="2296"/>
      </w:tblGrid>
      <w:tr w14:paraId="46B017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 w:hRule="atLeast"/>
        </w:trPr>
        <w:tc>
          <w:tcPr>
            <w:tcW w:w="704" w:type="pct"/>
            <w:vAlign w:val="center"/>
          </w:tcPr>
          <w:p w14:paraId="719C6FA4">
            <w:pPr>
              <w:pStyle w:val="143"/>
              <w:rPr>
                <w:b/>
                <w:bCs/>
                <w:snapToGrid/>
                <w:color w:val="000000" w:themeColor="text1"/>
                <w:kern w:val="2"/>
                <w:lang w:val="en-US"/>
                <w14:textFill>
                  <w14:solidFill>
                    <w14:schemeClr w14:val="tx1"/>
                  </w14:solidFill>
                </w14:textFill>
              </w:rPr>
            </w:pPr>
            <w:r>
              <w:rPr>
                <w:b/>
                <w:bCs/>
                <w:snapToGrid/>
                <w:color w:val="000000" w:themeColor="text1"/>
                <w:kern w:val="2"/>
                <w:lang w:val="en-US"/>
                <w14:textFill>
                  <w14:solidFill>
                    <w14:schemeClr w14:val="tx1"/>
                  </w14:solidFill>
                </w14:textFill>
              </w:rPr>
              <w:t>序号</w:t>
            </w:r>
          </w:p>
        </w:tc>
        <w:tc>
          <w:tcPr>
            <w:tcW w:w="2876" w:type="pct"/>
            <w:vAlign w:val="center"/>
          </w:tcPr>
          <w:p w14:paraId="1973CEF5">
            <w:pPr>
              <w:pStyle w:val="143"/>
              <w:rPr>
                <w:b/>
                <w:bCs/>
                <w:snapToGrid/>
                <w:color w:val="000000" w:themeColor="text1"/>
                <w:kern w:val="2"/>
                <w:lang w:val="en-US"/>
                <w14:textFill>
                  <w14:solidFill>
                    <w14:schemeClr w14:val="tx1"/>
                  </w14:solidFill>
                </w14:textFill>
              </w:rPr>
            </w:pPr>
            <w:r>
              <w:rPr>
                <w:b/>
                <w:bCs/>
                <w:snapToGrid/>
                <w:color w:val="000000" w:themeColor="text1"/>
                <w:kern w:val="2"/>
                <w:lang w:val="en-US"/>
                <w14:textFill>
                  <w14:solidFill>
                    <w14:schemeClr w14:val="tx1"/>
                  </w14:solidFill>
                </w14:textFill>
              </w:rPr>
              <w:t>用水工序</w:t>
            </w:r>
          </w:p>
        </w:tc>
        <w:tc>
          <w:tcPr>
            <w:tcW w:w="1418" w:type="pct"/>
            <w:vAlign w:val="center"/>
          </w:tcPr>
          <w:p w14:paraId="4E0FC6EB">
            <w:pPr>
              <w:pStyle w:val="143"/>
              <w:rPr>
                <w:b/>
                <w:bCs/>
                <w:snapToGrid/>
                <w:color w:val="000000" w:themeColor="text1"/>
                <w:kern w:val="2"/>
                <w:lang w:val="en-US"/>
                <w14:textFill>
                  <w14:solidFill>
                    <w14:schemeClr w14:val="tx1"/>
                  </w14:solidFill>
                </w14:textFill>
              </w:rPr>
            </w:pPr>
            <w:r>
              <w:rPr>
                <w:rFonts w:hint="eastAsia"/>
                <w:b/>
                <w:bCs/>
                <w:snapToGrid/>
                <w:color w:val="000000" w:themeColor="text1"/>
                <w:kern w:val="2"/>
                <w:lang w:val="en-US" w:eastAsia="zh-CN"/>
                <w14:textFill>
                  <w14:solidFill>
                    <w14:schemeClr w14:val="tx1"/>
                  </w14:solidFill>
                </w14:textFill>
              </w:rPr>
              <w:t>废水产生</w:t>
            </w:r>
            <w:r>
              <w:rPr>
                <w:b/>
                <w:bCs/>
                <w:snapToGrid/>
                <w:color w:val="000000" w:themeColor="text1"/>
                <w:kern w:val="2"/>
                <w:lang w:val="en-US"/>
                <w14:textFill>
                  <w14:solidFill>
                    <w14:schemeClr w14:val="tx1"/>
                  </w14:solidFill>
                </w14:textFill>
              </w:rPr>
              <w:t>量</w:t>
            </w:r>
          </w:p>
        </w:tc>
      </w:tr>
      <w:tr w14:paraId="73EBEA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4" w:type="pct"/>
            <w:vAlign w:val="center"/>
          </w:tcPr>
          <w:p w14:paraId="6192169F">
            <w:pPr>
              <w:pStyle w:val="143"/>
              <w:rPr>
                <w:snapToGrid/>
                <w:color w:val="000000" w:themeColor="text1"/>
                <w:kern w:val="2"/>
                <w:lang w:val="en-US"/>
                <w14:textFill>
                  <w14:solidFill>
                    <w14:schemeClr w14:val="tx1"/>
                  </w14:solidFill>
                </w14:textFill>
              </w:rPr>
            </w:pPr>
            <w:r>
              <w:rPr>
                <w:rFonts w:hint="eastAsia"/>
                <w:snapToGrid/>
                <w:color w:val="000000" w:themeColor="text1"/>
                <w:kern w:val="2"/>
                <w:lang w:val="en-US"/>
                <w14:textFill>
                  <w14:solidFill>
                    <w14:schemeClr w14:val="tx1"/>
                  </w14:solidFill>
                </w14:textFill>
              </w:rPr>
              <w:t>1</w:t>
            </w:r>
          </w:p>
        </w:tc>
        <w:tc>
          <w:tcPr>
            <w:tcW w:w="2876" w:type="pct"/>
            <w:vAlign w:val="center"/>
          </w:tcPr>
          <w:p w14:paraId="3C7AB8CA">
            <w:pPr>
              <w:pStyle w:val="143"/>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生活</w:t>
            </w:r>
            <w:r>
              <w:rPr>
                <w:rFonts w:hint="eastAsia"/>
                <w:snapToGrid/>
                <w:color w:val="000000" w:themeColor="text1"/>
                <w:kern w:val="2"/>
                <w:lang w:val="en-US" w:eastAsia="zh-CN"/>
                <w14:textFill>
                  <w14:solidFill>
                    <w14:schemeClr w14:val="tx1"/>
                  </w14:solidFill>
                </w14:textFill>
              </w:rPr>
              <w:t>污</w:t>
            </w:r>
            <w:r>
              <w:rPr>
                <w:snapToGrid/>
                <w:color w:val="000000" w:themeColor="text1"/>
                <w:kern w:val="2"/>
                <w:lang w:val="en-US"/>
                <w14:textFill>
                  <w14:solidFill>
                    <w14:schemeClr w14:val="tx1"/>
                  </w14:solidFill>
                </w14:textFill>
              </w:rPr>
              <w:t>水</w:t>
            </w:r>
          </w:p>
        </w:tc>
        <w:tc>
          <w:tcPr>
            <w:tcW w:w="1418" w:type="pct"/>
            <w:vAlign w:val="center"/>
          </w:tcPr>
          <w:p w14:paraId="4708094B">
            <w:pPr>
              <w:pStyle w:val="143"/>
              <w:rPr>
                <w:rFonts w:hint="default" w:eastAsia="宋体"/>
                <w:snapToGrid/>
                <w:color w:val="000000" w:themeColor="text1"/>
                <w:kern w:val="2"/>
                <w:lang w:val="en-US" w:eastAsia="zh-CN"/>
                <w14:textFill>
                  <w14:solidFill>
                    <w14:schemeClr w14:val="tx1"/>
                  </w14:solidFill>
                </w14:textFill>
              </w:rPr>
            </w:pPr>
            <w:r>
              <w:rPr>
                <w:rFonts w:hint="eastAsia"/>
                <w:snapToGrid/>
                <w:color w:val="000000" w:themeColor="text1"/>
                <w:kern w:val="2"/>
                <w:lang w:val="en-US" w:eastAsia="zh-CN"/>
                <w14:textFill>
                  <w14:solidFill>
                    <w14:schemeClr w14:val="tx1"/>
                  </w14:solidFill>
                </w14:textFill>
              </w:rPr>
              <w:t>2112</w:t>
            </w:r>
          </w:p>
        </w:tc>
      </w:tr>
      <w:tr w14:paraId="5CF802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4" w:type="pct"/>
            <w:vAlign w:val="center"/>
          </w:tcPr>
          <w:p w14:paraId="00D824CD">
            <w:pPr>
              <w:pStyle w:val="143"/>
              <w:ind w:firstLine="0" w:firstLineChars="0"/>
              <w:rPr>
                <w:rFonts w:hint="eastAsia"/>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2</w:t>
            </w:r>
          </w:p>
        </w:tc>
        <w:tc>
          <w:tcPr>
            <w:tcW w:w="2876" w:type="pct"/>
            <w:vAlign w:val="center"/>
          </w:tcPr>
          <w:p w14:paraId="325E890F">
            <w:pPr>
              <w:pStyle w:val="143"/>
              <w:rPr>
                <w:rFonts w:hint="default" w:eastAsia="宋体"/>
                <w:snapToGrid/>
                <w:color w:val="000000" w:themeColor="text1"/>
                <w:kern w:val="2"/>
                <w:lang w:val="en-US" w:eastAsia="zh-CN"/>
                <w14:textFill>
                  <w14:solidFill>
                    <w14:schemeClr w14:val="tx1"/>
                  </w14:solidFill>
                </w14:textFill>
              </w:rPr>
            </w:pPr>
            <w:r>
              <w:rPr>
                <w:rFonts w:hint="eastAsia"/>
                <w:snapToGrid/>
                <w:color w:val="000000" w:themeColor="text1"/>
                <w:kern w:val="2"/>
                <w:lang w:val="en-US" w:eastAsia="zh-CN"/>
                <w14:textFill>
                  <w14:solidFill>
                    <w14:schemeClr w14:val="tx1"/>
                  </w14:solidFill>
                </w14:textFill>
              </w:rPr>
              <w:t>食堂废水</w:t>
            </w:r>
          </w:p>
        </w:tc>
        <w:tc>
          <w:tcPr>
            <w:tcW w:w="1418" w:type="pct"/>
            <w:vAlign w:val="center"/>
          </w:tcPr>
          <w:p w14:paraId="718F8C73">
            <w:pPr>
              <w:pStyle w:val="143"/>
              <w:rPr>
                <w:rFonts w:hint="default"/>
                <w:snapToGrid/>
                <w:color w:val="000000" w:themeColor="text1"/>
                <w:kern w:val="2"/>
                <w:lang w:val="en-US" w:eastAsia="zh-CN"/>
                <w14:textFill>
                  <w14:solidFill>
                    <w14:schemeClr w14:val="tx1"/>
                  </w14:solidFill>
                </w14:textFill>
              </w:rPr>
            </w:pPr>
            <w:r>
              <w:rPr>
                <w:rFonts w:hint="eastAsia"/>
                <w:snapToGrid/>
                <w:color w:val="000000" w:themeColor="text1"/>
                <w:kern w:val="2"/>
                <w:lang w:val="en-US" w:eastAsia="zh-CN"/>
                <w14:textFill>
                  <w14:solidFill>
                    <w14:schemeClr w14:val="tx1"/>
                  </w14:solidFill>
                </w14:textFill>
              </w:rPr>
              <w:t>1782</w:t>
            </w:r>
          </w:p>
        </w:tc>
      </w:tr>
      <w:tr w14:paraId="0AFFD3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4" w:type="pct"/>
            <w:vAlign w:val="center"/>
          </w:tcPr>
          <w:p w14:paraId="3CBBA995">
            <w:pPr>
              <w:pStyle w:val="143"/>
              <w:ind w:firstLine="0" w:firstLineChars="0"/>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3</w:t>
            </w:r>
          </w:p>
        </w:tc>
        <w:tc>
          <w:tcPr>
            <w:tcW w:w="2876" w:type="pct"/>
            <w:vAlign w:val="center"/>
          </w:tcPr>
          <w:p w14:paraId="06657C91">
            <w:pPr>
              <w:pStyle w:val="143"/>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车间地面冲洗</w:t>
            </w:r>
            <w:r>
              <w:rPr>
                <w:rFonts w:hint="eastAsia"/>
                <w:snapToGrid/>
                <w:color w:val="000000" w:themeColor="text1"/>
                <w:kern w:val="2"/>
                <w:lang w:val="en-US" w:eastAsia="zh-CN"/>
                <w14:textFill>
                  <w14:solidFill>
                    <w14:schemeClr w14:val="tx1"/>
                  </w14:solidFill>
                </w14:textFill>
              </w:rPr>
              <w:t>废</w:t>
            </w:r>
            <w:r>
              <w:rPr>
                <w:snapToGrid/>
                <w:color w:val="000000" w:themeColor="text1"/>
                <w:kern w:val="2"/>
                <w:lang w:val="en-US"/>
                <w14:textFill>
                  <w14:solidFill>
                    <w14:schemeClr w14:val="tx1"/>
                  </w14:solidFill>
                </w14:textFill>
              </w:rPr>
              <w:t>水</w:t>
            </w:r>
          </w:p>
        </w:tc>
        <w:tc>
          <w:tcPr>
            <w:tcW w:w="1418" w:type="pct"/>
            <w:vAlign w:val="center"/>
          </w:tcPr>
          <w:p w14:paraId="39412DF8">
            <w:pPr>
              <w:pStyle w:val="143"/>
              <w:rPr>
                <w:snapToGrid/>
                <w:color w:val="000000" w:themeColor="text1"/>
                <w:kern w:val="2"/>
                <w:lang w:val="en-US"/>
                <w14:textFill>
                  <w14:solidFill>
                    <w14:schemeClr w14:val="tx1"/>
                  </w14:solidFill>
                </w14:textFill>
              </w:rPr>
            </w:pPr>
            <w:r>
              <w:rPr>
                <w:rFonts w:hint="eastAsia"/>
                <w:snapToGrid/>
                <w:color w:val="000000" w:themeColor="text1"/>
                <w:kern w:val="2"/>
                <w:lang w:val="en-US" w:eastAsia="zh-CN"/>
                <w14:textFill>
                  <w14:solidFill>
                    <w14:schemeClr w14:val="tx1"/>
                  </w14:solidFill>
                </w14:textFill>
              </w:rPr>
              <w:t>5575.5</w:t>
            </w:r>
          </w:p>
        </w:tc>
      </w:tr>
      <w:tr w14:paraId="2324F9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4" w:type="pct"/>
            <w:vAlign w:val="center"/>
          </w:tcPr>
          <w:p w14:paraId="4E927A7B">
            <w:pPr>
              <w:pStyle w:val="143"/>
              <w:ind w:firstLine="0" w:firstLineChars="0"/>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5</w:t>
            </w:r>
          </w:p>
        </w:tc>
        <w:tc>
          <w:tcPr>
            <w:tcW w:w="2876" w:type="pct"/>
            <w:vAlign w:val="center"/>
          </w:tcPr>
          <w:p w14:paraId="647192A7">
            <w:pPr>
              <w:pStyle w:val="143"/>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CO</w:t>
            </w:r>
            <w:r>
              <w:rPr>
                <w:snapToGrid/>
                <w:color w:val="000000" w:themeColor="text1"/>
                <w:kern w:val="2"/>
                <w:vertAlign w:val="subscript"/>
                <w:lang w:val="en-US"/>
                <w14:textFill>
                  <w14:solidFill>
                    <w14:schemeClr w14:val="tx1"/>
                  </w14:solidFill>
                </w14:textFill>
              </w:rPr>
              <w:t>2</w:t>
            </w:r>
            <w:r>
              <w:rPr>
                <w:snapToGrid/>
                <w:color w:val="000000" w:themeColor="text1"/>
                <w:kern w:val="2"/>
                <w:lang w:val="en-US"/>
                <w14:textFill>
                  <w14:solidFill>
                    <w14:schemeClr w14:val="tx1"/>
                  </w14:solidFill>
                </w14:textFill>
              </w:rPr>
              <w:t>回收系统洗气</w:t>
            </w:r>
            <w:r>
              <w:rPr>
                <w:rFonts w:hint="eastAsia"/>
                <w:snapToGrid/>
                <w:color w:val="000000" w:themeColor="text1"/>
                <w:kern w:val="2"/>
                <w:lang w:val="en-US" w:eastAsia="zh-CN"/>
                <w14:textFill>
                  <w14:solidFill>
                    <w14:schemeClr w14:val="tx1"/>
                  </w14:solidFill>
                </w14:textFill>
              </w:rPr>
              <w:t>废</w:t>
            </w:r>
            <w:r>
              <w:rPr>
                <w:snapToGrid/>
                <w:color w:val="000000" w:themeColor="text1"/>
                <w:kern w:val="2"/>
                <w:lang w:val="en-US"/>
                <w14:textFill>
                  <w14:solidFill>
                    <w14:schemeClr w14:val="tx1"/>
                  </w14:solidFill>
                </w14:textFill>
              </w:rPr>
              <w:t>水</w:t>
            </w:r>
          </w:p>
        </w:tc>
        <w:tc>
          <w:tcPr>
            <w:tcW w:w="1418" w:type="pct"/>
            <w:vAlign w:val="center"/>
          </w:tcPr>
          <w:p w14:paraId="57430AED">
            <w:pPr>
              <w:pStyle w:val="143"/>
              <w:rPr>
                <w:rFonts w:hint="default" w:eastAsia="宋体"/>
                <w:snapToGrid/>
                <w:color w:val="000000" w:themeColor="text1"/>
                <w:kern w:val="2"/>
                <w:lang w:val="en-US" w:eastAsia="zh-CN"/>
                <w14:textFill>
                  <w14:solidFill>
                    <w14:schemeClr w14:val="tx1"/>
                  </w14:solidFill>
                </w14:textFill>
              </w:rPr>
            </w:pPr>
            <w:r>
              <w:rPr>
                <w:rFonts w:hint="eastAsia"/>
                <w:snapToGrid/>
                <w:color w:val="000000" w:themeColor="text1"/>
                <w:kern w:val="2"/>
                <w:lang w:val="en-US" w:eastAsia="zh-CN"/>
                <w14:textFill>
                  <w14:solidFill>
                    <w14:schemeClr w14:val="tx1"/>
                  </w14:solidFill>
                </w14:textFill>
              </w:rPr>
              <w:t>1350</w:t>
            </w:r>
          </w:p>
        </w:tc>
      </w:tr>
      <w:tr w14:paraId="6F27D2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704" w:type="pct"/>
            <w:vAlign w:val="center"/>
          </w:tcPr>
          <w:p w14:paraId="1583477A">
            <w:pPr>
              <w:pStyle w:val="143"/>
              <w:ind w:firstLine="0" w:firstLineChars="0"/>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6</w:t>
            </w:r>
          </w:p>
        </w:tc>
        <w:tc>
          <w:tcPr>
            <w:tcW w:w="2876" w:type="pct"/>
            <w:vAlign w:val="center"/>
          </w:tcPr>
          <w:p w14:paraId="6859C1EC">
            <w:pPr>
              <w:pStyle w:val="143"/>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CIP清洗用水</w:t>
            </w:r>
          </w:p>
        </w:tc>
        <w:tc>
          <w:tcPr>
            <w:tcW w:w="1418" w:type="pct"/>
            <w:vAlign w:val="center"/>
          </w:tcPr>
          <w:p w14:paraId="17012068">
            <w:pPr>
              <w:pStyle w:val="143"/>
              <w:rPr>
                <w:rFonts w:hint="default" w:eastAsia="宋体"/>
                <w:snapToGrid/>
                <w:color w:val="000000" w:themeColor="text1"/>
                <w:kern w:val="2"/>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28890</w:t>
            </w:r>
          </w:p>
        </w:tc>
      </w:tr>
      <w:tr w14:paraId="047BF0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4" w:type="pct"/>
            <w:vAlign w:val="center"/>
          </w:tcPr>
          <w:p w14:paraId="20AB8824">
            <w:pPr>
              <w:pStyle w:val="143"/>
              <w:ind w:firstLine="0" w:firstLineChars="0"/>
              <w:rPr>
                <w:snapToGrid/>
                <w:color w:val="000000" w:themeColor="text1"/>
                <w:kern w:val="2"/>
                <w:lang w:val="en-US"/>
                <w14:textFill>
                  <w14:solidFill>
                    <w14:schemeClr w14:val="tx1"/>
                  </w14:solidFill>
                </w14:textFill>
              </w:rPr>
            </w:pPr>
            <w:r>
              <w:rPr>
                <w:snapToGrid w:val="0"/>
                <w:color w:val="000000" w:themeColor="text1"/>
                <w:kern w:val="0"/>
                <w:lang w:val="en-US" w:eastAsia="zh-CN"/>
                <w14:textFill>
                  <w14:solidFill>
                    <w14:schemeClr w14:val="tx1"/>
                  </w14:solidFill>
                </w14:textFill>
              </w:rPr>
              <w:t>7</w:t>
            </w:r>
          </w:p>
        </w:tc>
        <w:tc>
          <w:tcPr>
            <w:tcW w:w="2876" w:type="pct"/>
            <w:vAlign w:val="center"/>
          </w:tcPr>
          <w:p w14:paraId="6F9291DC">
            <w:pPr>
              <w:pStyle w:val="143"/>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玻璃瓶清洗用水</w:t>
            </w:r>
          </w:p>
        </w:tc>
        <w:tc>
          <w:tcPr>
            <w:tcW w:w="1418" w:type="pct"/>
            <w:vAlign w:val="center"/>
          </w:tcPr>
          <w:p w14:paraId="0F61ED16">
            <w:pPr>
              <w:pStyle w:val="143"/>
              <w:rPr>
                <w:rFonts w:hint="default" w:eastAsia="宋体"/>
                <w:snapToGrid/>
                <w:color w:val="000000" w:themeColor="text1"/>
                <w:kern w:val="2"/>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9855</w:t>
            </w:r>
          </w:p>
        </w:tc>
      </w:tr>
      <w:tr w14:paraId="1FEC2E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4" w:type="pct"/>
            <w:vAlign w:val="center"/>
          </w:tcPr>
          <w:p w14:paraId="67C645F7">
            <w:pPr>
              <w:pStyle w:val="143"/>
              <w:ind w:firstLine="0" w:firstLineChars="0"/>
              <w:rPr>
                <w:snapToGrid w:val="0"/>
                <w:color w:val="000000" w:themeColor="text1"/>
                <w:kern w:val="0"/>
                <w:lang w:val="en-US" w:eastAsia="zh-CN"/>
                <w14:textFill>
                  <w14:solidFill>
                    <w14:schemeClr w14:val="tx1"/>
                  </w14:solidFill>
                </w14:textFill>
              </w:rPr>
            </w:pPr>
            <w:r>
              <w:rPr>
                <w:snapToGrid/>
                <w:color w:val="000000" w:themeColor="text1"/>
                <w:kern w:val="2"/>
                <w:lang w:val="en-US" w:eastAsia="zh-CN"/>
                <w14:textFill>
                  <w14:solidFill>
                    <w14:schemeClr w14:val="tx1"/>
                  </w14:solidFill>
                </w14:textFill>
              </w:rPr>
              <w:t>8</w:t>
            </w:r>
          </w:p>
        </w:tc>
        <w:tc>
          <w:tcPr>
            <w:tcW w:w="2876" w:type="pct"/>
            <w:vAlign w:val="center"/>
          </w:tcPr>
          <w:p w14:paraId="3442C7F5">
            <w:pPr>
              <w:pStyle w:val="143"/>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纯水制备废水</w:t>
            </w:r>
          </w:p>
        </w:tc>
        <w:tc>
          <w:tcPr>
            <w:tcW w:w="1418" w:type="pct"/>
            <w:vAlign w:val="center"/>
          </w:tcPr>
          <w:p w14:paraId="19A700EF">
            <w:pPr>
              <w:pStyle w:val="143"/>
              <w:rPr>
                <w:rFonts w:hint="default" w:eastAsia="宋体"/>
                <w:snapToGrid/>
                <w:color w:val="000000" w:themeColor="text1"/>
                <w:kern w:val="2"/>
                <w:lang w:val="en-US" w:eastAsia="zh-CN"/>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17137.75</w:t>
            </w:r>
          </w:p>
        </w:tc>
      </w:tr>
      <w:tr w14:paraId="10B5D1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4" w:type="pct"/>
            <w:vAlign w:val="center"/>
          </w:tcPr>
          <w:p w14:paraId="044AEBE9">
            <w:pPr>
              <w:pStyle w:val="143"/>
              <w:ind w:firstLine="0" w:firstLineChars="0"/>
              <w:rPr>
                <w:snapToGrid/>
                <w:color w:val="000000" w:themeColor="text1"/>
                <w:kern w:val="2"/>
                <w:lang w:val="en-US" w:eastAsia="zh-CN"/>
                <w14:textFill>
                  <w14:solidFill>
                    <w14:schemeClr w14:val="tx1"/>
                  </w14:solidFill>
                </w14:textFill>
              </w:rPr>
            </w:pPr>
            <w:r>
              <w:rPr>
                <w:snapToGrid w:val="0"/>
                <w:color w:val="000000" w:themeColor="text1"/>
                <w:kern w:val="0"/>
                <w:lang w:val="en-US" w:eastAsia="zh-CN"/>
                <w14:textFill>
                  <w14:solidFill>
                    <w14:schemeClr w14:val="tx1"/>
                  </w14:solidFill>
                </w14:textFill>
              </w:rPr>
              <w:t>9</w:t>
            </w:r>
          </w:p>
        </w:tc>
        <w:tc>
          <w:tcPr>
            <w:tcW w:w="2876" w:type="pct"/>
            <w:vAlign w:val="center"/>
          </w:tcPr>
          <w:p w14:paraId="4948F9E6">
            <w:pPr>
              <w:pStyle w:val="143"/>
              <w:rPr>
                <w:snapToGrid/>
                <w:color w:val="000000" w:themeColor="text1"/>
                <w:kern w:val="2"/>
                <w:lang w:val="en-US"/>
                <w14:textFill>
                  <w14:solidFill>
                    <w14:schemeClr w14:val="tx1"/>
                  </w14:solidFill>
                </w14:textFill>
              </w:rPr>
            </w:pPr>
            <w:r>
              <w:rPr>
                <w:rFonts w:hint="default"/>
                <w:snapToGrid/>
                <w:color w:val="000000" w:themeColor="text1"/>
                <w:kern w:val="2"/>
                <w:lang w:val="en-US" w:eastAsia="zh-CN"/>
                <w14:textFill>
                  <w14:solidFill>
                    <w14:schemeClr w14:val="tx1"/>
                  </w14:solidFill>
                </w14:textFill>
              </w:rPr>
              <w:t>锅炉排污水及软化处理废水</w:t>
            </w:r>
          </w:p>
        </w:tc>
        <w:tc>
          <w:tcPr>
            <w:tcW w:w="1418" w:type="pct"/>
            <w:vAlign w:val="center"/>
          </w:tcPr>
          <w:p w14:paraId="5115EC7C">
            <w:pPr>
              <w:pStyle w:val="143"/>
              <w:rPr>
                <w:snapToGrid/>
                <w:color w:val="000000" w:themeColor="text1"/>
                <w:kern w:val="2"/>
                <w:lang w:val="en-US"/>
                <w14:textFill>
                  <w14:solidFill>
                    <w14:schemeClr w14:val="tx1"/>
                  </w14:solidFill>
                </w14:textFill>
              </w:rPr>
            </w:pPr>
            <w:r>
              <w:rPr>
                <w:rFonts w:hint="eastAsia" w:cs="Times New Roman"/>
                <w:snapToGrid w:val="0"/>
                <w:color w:val="000000" w:themeColor="text1"/>
                <w:sz w:val="21"/>
                <w:szCs w:val="21"/>
                <w:highlight w:val="none"/>
                <w:lang w:val="en-US" w:eastAsia="zh-CN"/>
                <w14:textFill>
                  <w14:solidFill>
                    <w14:schemeClr w14:val="tx1"/>
                  </w14:solidFill>
                </w14:textFill>
              </w:rPr>
              <w:t>10460.59</w:t>
            </w:r>
          </w:p>
        </w:tc>
      </w:tr>
      <w:tr w14:paraId="278FB3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581" w:type="pct"/>
            <w:gridSpan w:val="2"/>
            <w:vAlign w:val="center"/>
          </w:tcPr>
          <w:p w14:paraId="5A5146B6">
            <w:pPr>
              <w:pStyle w:val="143"/>
              <w:rPr>
                <w:snapToGrid/>
                <w:color w:val="000000" w:themeColor="text1"/>
                <w:kern w:val="2"/>
                <w:lang w:val="en-US"/>
                <w14:textFill>
                  <w14:solidFill>
                    <w14:schemeClr w14:val="tx1"/>
                  </w14:solidFill>
                </w14:textFill>
              </w:rPr>
            </w:pPr>
            <w:r>
              <w:rPr>
                <w:snapToGrid/>
                <w:color w:val="000000" w:themeColor="text1"/>
                <w:kern w:val="2"/>
                <w:lang w:val="en-US"/>
                <w14:textFill>
                  <w14:solidFill>
                    <w14:schemeClr w14:val="tx1"/>
                  </w14:solidFill>
                </w14:textFill>
              </w:rPr>
              <w:t>合计</w:t>
            </w:r>
          </w:p>
        </w:tc>
        <w:tc>
          <w:tcPr>
            <w:tcW w:w="1418" w:type="pct"/>
            <w:vAlign w:val="center"/>
          </w:tcPr>
          <w:p w14:paraId="41082A3E">
            <w:pPr>
              <w:pStyle w:val="143"/>
              <w:rPr>
                <w:snapToGrid/>
                <w:color w:val="000000" w:themeColor="text1"/>
                <w:kern w:val="2"/>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37067.84</w:t>
            </w:r>
          </w:p>
        </w:tc>
      </w:tr>
    </w:tbl>
    <w:p w14:paraId="5E68BC65">
      <w:pPr>
        <w:keepNext w:val="0"/>
        <w:keepLines w:val="0"/>
        <w:pageBreakBefore w:val="0"/>
        <w:widowControl/>
        <w:suppressLineNumbers w:val="0"/>
        <w:kinsoku/>
        <w:wordWrap/>
        <w:overflowPunct/>
        <w:topLinePunct w:val="0"/>
        <w:autoSpaceDE/>
        <w:autoSpaceDN/>
        <w:bidi w:val="0"/>
        <w:spacing w:line="360" w:lineRule="auto"/>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根据《酿造工业废水治理工程技术规范》 （</w:t>
      </w:r>
      <w:r>
        <w:rPr>
          <w:rFonts w:hint="default" w:ascii="Times New Roman" w:hAnsi="Times New Roman" w:eastAsia="宋体" w:cs="Times New Roman"/>
          <w:color w:val="000000"/>
          <w:kern w:val="0"/>
          <w:sz w:val="24"/>
          <w:szCs w:val="24"/>
          <w:lang w:val="en-US" w:eastAsia="zh-CN" w:bidi="ar"/>
        </w:rPr>
        <w:t>HJ575-2010</w:t>
      </w:r>
      <w:r>
        <w:rPr>
          <w:rFonts w:hint="eastAsia" w:ascii="宋体" w:hAnsi="宋体" w:eastAsia="宋体" w:cs="宋体"/>
          <w:color w:val="000000"/>
          <w:kern w:val="0"/>
          <w:sz w:val="24"/>
          <w:szCs w:val="24"/>
          <w:lang w:val="en-US" w:eastAsia="zh-CN" w:bidi="ar"/>
        </w:rPr>
        <w:t xml:space="preserve">），酿造废水应遵循“清污分流、浓淡分家”的原则，污染物浓度进行分类收集，啤酒行业中麦糟滤液、废酵母滤液，容器管路一次洗涤废水属于高浓度废水。同时第 </w:t>
      </w:r>
      <w:r>
        <w:rPr>
          <w:rFonts w:hint="default" w:ascii="Times New Roman" w:hAnsi="Times New Roman" w:eastAsia="宋体" w:cs="Times New Roman"/>
          <w:color w:val="000000"/>
          <w:kern w:val="0"/>
          <w:sz w:val="24"/>
          <w:szCs w:val="24"/>
          <w:lang w:val="en-US" w:eastAsia="zh-CN" w:bidi="ar"/>
        </w:rPr>
        <w:t xml:space="preserve">6.1.3 </w:t>
      </w:r>
      <w:r>
        <w:rPr>
          <w:rFonts w:hint="eastAsia" w:ascii="宋体" w:hAnsi="宋体" w:eastAsia="宋体" w:cs="宋体"/>
          <w:color w:val="000000"/>
          <w:kern w:val="0"/>
          <w:sz w:val="24"/>
          <w:szCs w:val="24"/>
          <w:lang w:val="en-US" w:eastAsia="zh-CN" w:bidi="ar"/>
        </w:rPr>
        <w:t>中第（</w:t>
      </w:r>
      <w:r>
        <w:rPr>
          <w:rFonts w:hint="default" w:ascii="Times New Roman" w:hAnsi="Times New Roman" w:eastAsia="宋体" w:cs="Times New Roman"/>
          <w:color w:val="000000"/>
          <w:kern w:val="0"/>
          <w:sz w:val="24"/>
          <w:szCs w:val="24"/>
          <w:lang w:val="en-US" w:eastAsia="zh-CN" w:bidi="ar"/>
        </w:rPr>
        <w:t>7</w:t>
      </w:r>
      <w:r>
        <w:rPr>
          <w:rFonts w:hint="eastAsia" w:ascii="宋体" w:hAnsi="宋体" w:eastAsia="宋体" w:cs="宋体"/>
          <w:color w:val="000000"/>
          <w:kern w:val="0"/>
          <w:sz w:val="24"/>
          <w:szCs w:val="24"/>
          <w:lang w:val="en-US" w:eastAsia="zh-CN" w:bidi="ar"/>
        </w:rPr>
        <w:t>）条提到：数量少、非间歇排放，或不易分别收集的高浓度工艺废水（如啤酒行业中的麦糟滤液、废酵母滤液、一次洗涤水等），在不影响综合废水处理系统进水水质要求的前提下，宜直接混入综合废水集中处理。</w:t>
      </w:r>
    </w:p>
    <w:p w14:paraId="690C8FF9">
      <w:pPr>
        <w:keepNext w:val="0"/>
        <w:keepLines w:val="0"/>
        <w:pageBreakBefore w:val="0"/>
        <w:widowControl/>
        <w:suppressLineNumbers w:val="0"/>
        <w:kinsoku/>
        <w:wordWrap/>
        <w:overflowPunct/>
        <w:topLinePunct w:val="0"/>
        <w:autoSpaceDE/>
        <w:autoSpaceDN/>
        <w:bidi w:val="0"/>
        <w:spacing w:line="360" w:lineRule="auto"/>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本项目麦糟滤液，废酵母滤液和麦糟、废酵母一并进入收集管委托处置。因此，根据 HJ575-2010，本项目涉及到的高浓度工艺废水仅为容器管路一次洗涤废水，属于不易分别收集的高浓度工艺废水。本项目容器管路一次洗涤废水排放量占总排水量占比很小，混合后不影响综合废水处理系统进水水质要求，故本项目容器管路一次洗涤废水直接混入综合废水集中处理。</w:t>
      </w:r>
    </w:p>
    <w:p w14:paraId="7BCDD79E">
      <w:pPr>
        <w:keepNext w:val="0"/>
        <w:keepLines w:val="0"/>
        <w:widowControl/>
        <w:suppressLineNumbers w:val="0"/>
        <w:jc w:val="both"/>
        <w:rPr>
          <w:color w:val="000000" w:themeColor="text1"/>
          <w14:textFill>
            <w14:solidFill>
              <w14:schemeClr w14:val="tx1"/>
            </w14:solidFill>
          </w14:textFill>
        </w:rPr>
      </w:pPr>
      <w:r>
        <w:rPr>
          <w:rFonts w:hint="eastAsia" w:ascii="宋体" w:hAnsi="宋体" w:eastAsia="宋体" w:cs="宋体"/>
          <w:color w:val="000000"/>
          <w:kern w:val="0"/>
          <w:sz w:val="24"/>
          <w:szCs w:val="24"/>
          <w:lang w:val="en-US" w:eastAsia="zh-CN" w:bidi="ar"/>
        </w:rPr>
        <w:t>综合废水的浓度值参照《酿造工业废水治理工程技术规范》（</w:t>
      </w:r>
      <w:r>
        <w:rPr>
          <w:rFonts w:hint="default" w:ascii="Times New Roman" w:hAnsi="Times New Roman" w:eastAsia="宋体" w:cs="Times New Roman"/>
          <w:color w:val="000000"/>
          <w:kern w:val="0"/>
          <w:sz w:val="24"/>
          <w:szCs w:val="24"/>
          <w:lang w:val="en-US" w:eastAsia="zh-CN" w:bidi="ar"/>
        </w:rPr>
        <w:t>HJ575-2010</w:t>
      </w:r>
      <w:r>
        <w:rPr>
          <w:rFonts w:hint="eastAsia" w:ascii="宋体" w:hAnsi="宋体" w:eastAsia="宋体" w:cs="宋体"/>
          <w:color w:val="000000"/>
          <w:kern w:val="0"/>
          <w:sz w:val="24"/>
          <w:szCs w:val="24"/>
          <w:lang w:val="en-US" w:eastAsia="zh-CN" w:bidi="ar"/>
        </w:rPr>
        <w:t xml:space="preserve">）表 </w:t>
      </w:r>
      <w:r>
        <w:rPr>
          <w:rFonts w:hint="default" w:ascii="Times New Roman" w:hAnsi="Times New Roman" w:eastAsia="宋体" w:cs="Times New Roman"/>
          <w:color w:val="000000"/>
          <w:kern w:val="0"/>
          <w:sz w:val="24"/>
          <w:szCs w:val="24"/>
          <w:lang w:val="en-US" w:eastAsia="zh-CN" w:bidi="ar"/>
        </w:rPr>
        <w:t xml:space="preserve">2 </w:t>
      </w:r>
      <w:r>
        <w:rPr>
          <w:rFonts w:hint="eastAsia" w:ascii="宋体" w:hAnsi="宋体" w:eastAsia="宋体" w:cs="宋体"/>
          <w:color w:val="000000"/>
          <w:kern w:val="0"/>
          <w:sz w:val="24"/>
          <w:szCs w:val="24"/>
          <w:lang w:val="en-US" w:eastAsia="zh-CN" w:bidi="ar"/>
        </w:rPr>
        <w:t>的浓度以及</w:t>
      </w:r>
      <w:r>
        <w:rPr>
          <w:rFonts w:hint="eastAsia"/>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年产30000吨紫苏精酿啤酒生产线建设项目</w:t>
      </w:r>
      <w:r>
        <w:rPr>
          <w:rFonts w:hint="eastAsia"/>
          <w:color w:val="000000" w:themeColor="text1"/>
          <w14:textFill>
            <w14:solidFill>
              <w14:schemeClr w14:val="tx1"/>
            </w14:solidFill>
          </w14:textFill>
        </w:rPr>
        <w:t>可行性研究报告》</w:t>
      </w:r>
      <w:r>
        <w:rPr>
          <w:rFonts w:hint="eastAsia" w:ascii="宋体" w:hAnsi="宋体" w:eastAsia="宋体" w:cs="宋体"/>
          <w:color w:val="000000"/>
          <w:kern w:val="0"/>
          <w:sz w:val="24"/>
          <w:szCs w:val="24"/>
          <w:lang w:val="en-US" w:eastAsia="zh-CN" w:bidi="ar"/>
        </w:rPr>
        <w:t>，</w:t>
      </w:r>
      <w:r>
        <w:rPr>
          <w:rFonts w:hint="eastAsia"/>
          <w:color w:val="000000" w:themeColor="text1"/>
          <w14:textFill>
            <w14:solidFill>
              <w14:schemeClr w14:val="tx1"/>
            </w14:solidFill>
          </w14:textFill>
        </w:rPr>
        <w:t>本项目废水源强见下表。</w:t>
      </w:r>
    </w:p>
    <w:p w14:paraId="2BEF8C13">
      <w:pPr>
        <w:pStyle w:val="206"/>
        <w:rPr>
          <w:color w:val="000000" w:themeColor="text1"/>
          <w14:textFill>
            <w14:solidFill>
              <w14:schemeClr w14:val="tx1"/>
            </w14:solidFill>
          </w14:textFill>
        </w:rPr>
      </w:pPr>
      <w:r>
        <w:rPr>
          <w:rFonts w:hint="eastAsia"/>
          <w:color w:val="000000" w:themeColor="text1"/>
          <w14:textFill>
            <w14:solidFill>
              <w14:schemeClr w14:val="tx1"/>
            </w14:solidFill>
          </w14:textFill>
        </w:rPr>
        <w:t>表3</w:t>
      </w:r>
      <w:r>
        <w:rPr>
          <w:color w:val="000000" w:themeColor="text1"/>
          <w14:textFill>
            <w14:solidFill>
              <w14:schemeClr w14:val="tx1"/>
            </w14:solidFill>
          </w14:textFill>
        </w:rPr>
        <w:t>-6-</w:t>
      </w:r>
      <w:r>
        <w:rPr>
          <w:rFonts w:hint="eastAsia"/>
          <w:color w:val="000000" w:themeColor="text1"/>
          <w:lang w:val="en-US" w:eastAsia="zh-CN"/>
          <w14:textFill>
            <w14:solidFill>
              <w14:schemeClr w14:val="tx1"/>
            </w14:solidFill>
          </w14:textFill>
        </w:rPr>
        <w:t>6</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本项目废水源强</w:t>
      </w:r>
      <w:r>
        <w:rPr>
          <w:rFonts w:hint="eastAsia"/>
          <w:color w:val="000000" w:themeColor="text1"/>
          <w:lang w:eastAsia="zh-CN"/>
          <w14:textFill>
            <w14:solidFill>
              <w14:schemeClr w14:val="tx1"/>
            </w14:solidFill>
          </w14:textFill>
        </w:rPr>
        <w:t>设计</w:t>
      </w:r>
      <w:r>
        <w:rPr>
          <w:rFonts w:hint="eastAsia"/>
          <w:color w:val="000000" w:themeColor="text1"/>
          <w14:textFill>
            <w14:solidFill>
              <w14:schemeClr w14:val="tx1"/>
            </w14:solidFill>
          </w14:textFill>
        </w:rPr>
        <w:t>一览表</w:t>
      </w:r>
    </w:p>
    <w:tbl>
      <w:tblPr>
        <w:tblStyle w:val="4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108" w:type="dxa"/>
        </w:tblCellMar>
      </w:tblPr>
      <w:tblGrid>
        <w:gridCol w:w="1191"/>
        <w:gridCol w:w="1115"/>
        <w:gridCol w:w="2176"/>
        <w:gridCol w:w="1910"/>
        <w:gridCol w:w="1911"/>
      </w:tblGrid>
      <w:tr w14:paraId="42F40E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Align w:val="center"/>
          </w:tcPr>
          <w:p w14:paraId="21DE66EF">
            <w:pPr>
              <w:pStyle w:val="143"/>
              <w:rPr>
                <w:color w:val="000000" w:themeColor="text1"/>
                <w:lang w:val="en-US"/>
                <w14:textFill>
                  <w14:solidFill>
                    <w14:schemeClr w14:val="tx1"/>
                  </w14:solidFill>
                </w14:textFill>
              </w:rPr>
            </w:pPr>
            <w:r>
              <w:rPr>
                <w:color w:val="000000" w:themeColor="text1"/>
                <w:lang w:val="en-US"/>
                <w14:textFill>
                  <w14:solidFill>
                    <w14:schemeClr w14:val="tx1"/>
                  </w14:solidFill>
                </w14:textFill>
              </w:rPr>
              <w:t>工序</w:t>
            </w:r>
          </w:p>
        </w:tc>
        <w:tc>
          <w:tcPr>
            <w:tcW w:w="671" w:type="pct"/>
            <w:vAlign w:val="center"/>
          </w:tcPr>
          <w:p w14:paraId="6C1FB451">
            <w:pPr>
              <w:pStyle w:val="143"/>
              <w:rPr>
                <w:color w:val="000000" w:themeColor="text1"/>
                <w:lang w:val="en-US"/>
                <w14:textFill>
                  <w14:solidFill>
                    <w14:schemeClr w14:val="tx1"/>
                  </w14:solidFill>
                </w14:textFill>
              </w:rPr>
            </w:pPr>
            <w:r>
              <w:rPr>
                <w:color w:val="000000" w:themeColor="text1"/>
                <w:lang w:val="en-US"/>
                <w14:textFill>
                  <w14:solidFill>
                    <w14:schemeClr w14:val="tx1"/>
                  </w14:solidFill>
                </w14:textFill>
              </w:rPr>
              <w:t>污染物</w:t>
            </w:r>
          </w:p>
        </w:tc>
        <w:tc>
          <w:tcPr>
            <w:tcW w:w="1310" w:type="pct"/>
            <w:vAlign w:val="center"/>
          </w:tcPr>
          <w:p w14:paraId="17556AEF">
            <w:pPr>
              <w:pStyle w:val="143"/>
              <w:rPr>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《酿造工业废水治理工程技术规范》（</w:t>
            </w:r>
            <w:r>
              <w:rPr>
                <w:rFonts w:hint="default"/>
                <w:color w:val="000000" w:themeColor="text1"/>
                <w:lang w:val="en-US" w:eastAsia="zh-CN"/>
                <w14:textFill>
                  <w14:solidFill>
                    <w14:schemeClr w14:val="tx1"/>
                  </w14:solidFill>
                </w14:textFill>
              </w:rPr>
              <w:t>HJ575-2010</w:t>
            </w:r>
            <w:r>
              <w:rPr>
                <w:rFonts w:hint="eastAsia"/>
                <w:color w:val="000000" w:themeColor="text1"/>
                <w:lang w:val="en-US" w:eastAsia="zh-CN"/>
                <w14:textFill>
                  <w14:solidFill>
                    <w14:schemeClr w14:val="tx1"/>
                  </w14:solidFill>
                </w14:textFill>
              </w:rPr>
              <w:t xml:space="preserve">）表 </w:t>
            </w:r>
            <w:r>
              <w:rPr>
                <w:rFonts w:hint="default"/>
                <w:color w:val="000000" w:themeColor="text1"/>
                <w:lang w:val="en-US" w:eastAsia="zh-CN"/>
                <w14:textFill>
                  <w14:solidFill>
                    <w14:schemeClr w14:val="tx1"/>
                  </w14:solidFill>
                </w14:textFill>
              </w:rPr>
              <w:t xml:space="preserve">2 </w:t>
            </w:r>
            <w:r>
              <w:rPr>
                <w:rFonts w:hint="eastAsia"/>
                <w:color w:val="000000" w:themeColor="text1"/>
                <w:lang w:val="en-US" w:eastAsia="zh-CN"/>
                <w14:textFill>
                  <w14:solidFill>
                    <w14:schemeClr w14:val="tx1"/>
                  </w14:solidFill>
                </w14:textFill>
              </w:rPr>
              <w:t>啤酒综合废水浓度</w:t>
            </w:r>
            <w:r>
              <w:rPr>
                <w:color w:val="000000" w:themeColor="text1"/>
                <w:lang w:val="en-US"/>
                <w14:textFill>
                  <w14:solidFill>
                    <w14:schemeClr w14:val="tx1"/>
                  </w14:solidFill>
                </w14:textFill>
              </w:rPr>
              <w:t>mg/L</w:t>
            </w:r>
          </w:p>
        </w:tc>
        <w:tc>
          <w:tcPr>
            <w:tcW w:w="1150" w:type="pct"/>
            <w:vAlign w:val="center"/>
          </w:tcPr>
          <w:p w14:paraId="2BDDDA85">
            <w:pPr>
              <w:pStyle w:val="143"/>
              <w:rPr>
                <w:rFonts w:hint="default" w:eastAsia="宋体"/>
                <w:color w:val="000000" w:themeColor="text1"/>
                <w:lang w:val="en-US"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年产30000吨紫苏精酿啤酒生产线建设项目</w:t>
            </w:r>
            <w:r>
              <w:rPr>
                <w:rFonts w:hint="eastAsia"/>
                <w:color w:val="000000" w:themeColor="text1"/>
                <w14:textFill>
                  <w14:solidFill>
                    <w14:schemeClr w14:val="tx1"/>
                  </w14:solidFill>
                </w14:textFill>
              </w:rPr>
              <w:t>可行性研究报告</w:t>
            </w:r>
            <w:r>
              <w:rPr>
                <w:rFonts w:hint="eastAsia"/>
                <w:color w:val="000000" w:themeColor="text1"/>
                <w:lang w:val="en-US" w:eastAsia="zh-CN"/>
                <w14:textFill>
                  <w14:solidFill>
                    <w14:schemeClr w14:val="tx1"/>
                  </w14:solidFill>
                </w14:textFill>
              </w:rPr>
              <w:t>污水处理站设计进水浓度</w:t>
            </w:r>
            <w:r>
              <w:rPr>
                <w:color w:val="000000" w:themeColor="text1"/>
                <w:lang w:val="en-US"/>
                <w14:textFill>
                  <w14:solidFill>
                    <w14:schemeClr w14:val="tx1"/>
                  </w14:solidFill>
                </w14:textFill>
              </w:rPr>
              <w:t>mg/L</w:t>
            </w:r>
          </w:p>
        </w:tc>
        <w:tc>
          <w:tcPr>
            <w:tcW w:w="1150" w:type="pct"/>
            <w:vAlign w:val="center"/>
          </w:tcPr>
          <w:p w14:paraId="23184DAC">
            <w:pPr>
              <w:pStyle w:val="143"/>
              <w:rPr>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本项目取值</w:t>
            </w:r>
          </w:p>
        </w:tc>
      </w:tr>
      <w:tr w14:paraId="0694A7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Merge w:val="restart"/>
            <w:vAlign w:val="center"/>
          </w:tcPr>
          <w:p w14:paraId="27E47B29">
            <w:pPr>
              <w:pStyle w:val="143"/>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综合废水</w:t>
            </w:r>
          </w:p>
        </w:tc>
        <w:tc>
          <w:tcPr>
            <w:tcW w:w="671" w:type="pct"/>
            <w:vAlign w:val="center"/>
          </w:tcPr>
          <w:p w14:paraId="0355AC17">
            <w:pPr>
              <w:pStyle w:val="143"/>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pH值</w:t>
            </w:r>
          </w:p>
        </w:tc>
        <w:tc>
          <w:tcPr>
            <w:tcW w:w="1310" w:type="pct"/>
            <w:vAlign w:val="center"/>
          </w:tcPr>
          <w:p w14:paraId="08B799D1">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5.0~6.0</w:t>
            </w:r>
          </w:p>
        </w:tc>
        <w:tc>
          <w:tcPr>
            <w:tcW w:w="1150" w:type="pct"/>
            <w:vAlign w:val="center"/>
          </w:tcPr>
          <w:p w14:paraId="6B1FE07B">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5.5~11</w:t>
            </w:r>
          </w:p>
        </w:tc>
        <w:tc>
          <w:tcPr>
            <w:tcW w:w="1150" w:type="pct"/>
            <w:vAlign w:val="center"/>
          </w:tcPr>
          <w:p w14:paraId="204E5632">
            <w:pPr>
              <w:pStyle w:val="143"/>
              <w:rPr>
                <w:color w:val="000000" w:themeColor="text1"/>
                <w:lang w:val="en-US"/>
                <w14:textFill>
                  <w14:solidFill>
                    <w14:schemeClr w14:val="tx1"/>
                  </w14:solidFill>
                </w14:textFill>
              </w:rPr>
            </w:pPr>
            <w:r>
              <w:rPr>
                <w:color w:val="000000" w:themeColor="text1"/>
                <w:lang w:val="en-US"/>
                <w14:textFill>
                  <w14:solidFill>
                    <w14:schemeClr w14:val="tx1"/>
                  </w14:solidFill>
                </w14:textFill>
              </w:rPr>
              <w:t>5.5</w:t>
            </w:r>
            <w:r>
              <w:rPr>
                <w:rFonts w:hint="eastAsia"/>
                <w:color w:val="000000" w:themeColor="text1"/>
                <w:lang w:val="en-US"/>
                <w14:textFill>
                  <w14:solidFill>
                    <w14:schemeClr w14:val="tx1"/>
                  </w14:solidFill>
                </w14:textFill>
              </w:rPr>
              <w:t>~</w:t>
            </w:r>
            <w:r>
              <w:rPr>
                <w:color w:val="000000" w:themeColor="text1"/>
                <w:lang w:val="en-US"/>
                <w14:textFill>
                  <w14:solidFill>
                    <w14:schemeClr w14:val="tx1"/>
                  </w14:solidFill>
                </w14:textFill>
              </w:rPr>
              <w:t>11</w:t>
            </w:r>
          </w:p>
        </w:tc>
      </w:tr>
      <w:tr w14:paraId="1B3D3C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Merge w:val="continue"/>
            <w:vAlign w:val="center"/>
          </w:tcPr>
          <w:p w14:paraId="0FF99BD0">
            <w:pPr>
              <w:pStyle w:val="143"/>
              <w:rPr>
                <w:color w:val="000000" w:themeColor="text1"/>
                <w:lang w:val="en-US"/>
                <w14:textFill>
                  <w14:solidFill>
                    <w14:schemeClr w14:val="tx1"/>
                  </w14:solidFill>
                </w14:textFill>
              </w:rPr>
            </w:pPr>
          </w:p>
        </w:tc>
        <w:tc>
          <w:tcPr>
            <w:tcW w:w="671" w:type="pct"/>
            <w:vAlign w:val="center"/>
          </w:tcPr>
          <w:p w14:paraId="75DB4710">
            <w:pPr>
              <w:pStyle w:val="143"/>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COD</w:t>
            </w:r>
          </w:p>
        </w:tc>
        <w:tc>
          <w:tcPr>
            <w:tcW w:w="1310" w:type="pct"/>
            <w:vAlign w:val="center"/>
          </w:tcPr>
          <w:p w14:paraId="78421C1B">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1500~2500</w:t>
            </w:r>
          </w:p>
        </w:tc>
        <w:tc>
          <w:tcPr>
            <w:tcW w:w="1150" w:type="pct"/>
            <w:vAlign w:val="center"/>
          </w:tcPr>
          <w:p w14:paraId="0F589F77">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2000~3000</w:t>
            </w:r>
          </w:p>
        </w:tc>
        <w:tc>
          <w:tcPr>
            <w:tcW w:w="1150" w:type="pct"/>
            <w:vAlign w:val="center"/>
          </w:tcPr>
          <w:p w14:paraId="51588EDD">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3F33AB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Merge w:val="continue"/>
            <w:vAlign w:val="center"/>
          </w:tcPr>
          <w:p w14:paraId="173B9599">
            <w:pPr>
              <w:pStyle w:val="143"/>
              <w:rPr>
                <w:color w:val="000000" w:themeColor="text1"/>
                <w:lang w:val="en-US"/>
                <w14:textFill>
                  <w14:solidFill>
                    <w14:schemeClr w14:val="tx1"/>
                  </w14:solidFill>
                </w14:textFill>
              </w:rPr>
            </w:pPr>
          </w:p>
        </w:tc>
        <w:tc>
          <w:tcPr>
            <w:tcW w:w="671" w:type="pct"/>
            <w:vAlign w:val="center"/>
          </w:tcPr>
          <w:p w14:paraId="63E6C7FA">
            <w:pPr>
              <w:pStyle w:val="143"/>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BOD</w:t>
            </w:r>
            <w:r>
              <w:rPr>
                <w:rFonts w:hint="eastAsia"/>
                <w:color w:val="000000" w:themeColor="text1"/>
                <w:vertAlign w:val="subscript"/>
                <w:lang w:val="en-US"/>
                <w14:textFill>
                  <w14:solidFill>
                    <w14:schemeClr w14:val="tx1"/>
                  </w14:solidFill>
                </w14:textFill>
              </w:rPr>
              <w:t>5</w:t>
            </w:r>
          </w:p>
        </w:tc>
        <w:tc>
          <w:tcPr>
            <w:tcW w:w="1310" w:type="pct"/>
            <w:vAlign w:val="center"/>
          </w:tcPr>
          <w:p w14:paraId="2792A0E8">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900~1500</w:t>
            </w:r>
          </w:p>
        </w:tc>
        <w:tc>
          <w:tcPr>
            <w:tcW w:w="1150" w:type="pct"/>
            <w:vAlign w:val="center"/>
          </w:tcPr>
          <w:p w14:paraId="0DE7EFA4">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1200~1500</w:t>
            </w:r>
          </w:p>
        </w:tc>
        <w:tc>
          <w:tcPr>
            <w:tcW w:w="1150" w:type="pct"/>
            <w:vAlign w:val="center"/>
          </w:tcPr>
          <w:p w14:paraId="027E8A6F">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1500</w:t>
            </w:r>
          </w:p>
        </w:tc>
      </w:tr>
      <w:tr w14:paraId="2C3A77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Merge w:val="continue"/>
            <w:vAlign w:val="center"/>
          </w:tcPr>
          <w:p w14:paraId="3C347DEA">
            <w:pPr>
              <w:pStyle w:val="143"/>
              <w:rPr>
                <w:color w:val="000000" w:themeColor="text1"/>
                <w:lang w:val="en-US"/>
                <w14:textFill>
                  <w14:solidFill>
                    <w14:schemeClr w14:val="tx1"/>
                  </w14:solidFill>
                </w14:textFill>
              </w:rPr>
            </w:pPr>
          </w:p>
        </w:tc>
        <w:tc>
          <w:tcPr>
            <w:tcW w:w="671" w:type="pct"/>
            <w:vAlign w:val="center"/>
          </w:tcPr>
          <w:p w14:paraId="44CF3C18">
            <w:pPr>
              <w:pStyle w:val="143"/>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SS</w:t>
            </w:r>
          </w:p>
        </w:tc>
        <w:tc>
          <w:tcPr>
            <w:tcW w:w="1310" w:type="pct"/>
            <w:vAlign w:val="center"/>
          </w:tcPr>
          <w:p w14:paraId="5D414680">
            <w:pPr>
              <w:pStyle w:val="143"/>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c>
          <w:tcPr>
            <w:tcW w:w="1150" w:type="pct"/>
            <w:vAlign w:val="center"/>
          </w:tcPr>
          <w:p w14:paraId="51290091">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400~700</w:t>
            </w:r>
          </w:p>
        </w:tc>
        <w:tc>
          <w:tcPr>
            <w:tcW w:w="1150" w:type="pct"/>
            <w:vAlign w:val="center"/>
          </w:tcPr>
          <w:p w14:paraId="26ED024E">
            <w:pPr>
              <w:pStyle w:val="143"/>
              <w:rPr>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7</w:t>
            </w:r>
            <w:r>
              <w:rPr>
                <w:color w:val="000000" w:themeColor="text1"/>
                <w:lang w:val="en-US" w:eastAsia="zh-CN"/>
                <w14:textFill>
                  <w14:solidFill>
                    <w14:schemeClr w14:val="tx1"/>
                  </w14:solidFill>
                </w14:textFill>
              </w:rPr>
              <w:t>00</w:t>
            </w:r>
          </w:p>
        </w:tc>
      </w:tr>
      <w:tr w14:paraId="6B3D97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Merge w:val="continue"/>
            <w:vAlign w:val="center"/>
          </w:tcPr>
          <w:p w14:paraId="5A17168F">
            <w:pPr>
              <w:pStyle w:val="143"/>
              <w:rPr>
                <w:color w:val="000000" w:themeColor="text1"/>
                <w:lang w:val="en-US"/>
                <w14:textFill>
                  <w14:solidFill>
                    <w14:schemeClr w14:val="tx1"/>
                  </w14:solidFill>
                </w14:textFill>
              </w:rPr>
            </w:pPr>
          </w:p>
        </w:tc>
        <w:tc>
          <w:tcPr>
            <w:tcW w:w="671" w:type="pct"/>
            <w:vAlign w:val="center"/>
          </w:tcPr>
          <w:p w14:paraId="42C961E3">
            <w:pPr>
              <w:pStyle w:val="143"/>
              <w:rPr>
                <w:color w:val="000000" w:themeColor="text1"/>
                <w:lang w:val="en-US"/>
                <w14:textFill>
                  <w14:solidFill>
                    <w14:schemeClr w14:val="tx1"/>
                  </w14:solidFill>
                </w14:textFill>
              </w:rPr>
            </w:pPr>
            <w:r>
              <w:rPr>
                <w:bCs/>
                <w:color w:val="000000" w:themeColor="text1"/>
                <w:lang w:val="en-US"/>
                <w14:textFill>
                  <w14:solidFill>
                    <w14:schemeClr w14:val="tx1"/>
                  </w14:solidFill>
                </w14:textFill>
              </w:rPr>
              <w:t>NH</w:t>
            </w:r>
            <w:r>
              <w:rPr>
                <w:bCs/>
                <w:color w:val="000000" w:themeColor="text1"/>
                <w:vertAlign w:val="subscript"/>
                <w:lang w:val="en-US"/>
                <w14:textFill>
                  <w14:solidFill>
                    <w14:schemeClr w14:val="tx1"/>
                  </w14:solidFill>
                </w14:textFill>
              </w:rPr>
              <w:t>3</w:t>
            </w:r>
            <w:r>
              <w:rPr>
                <w:bCs/>
                <w:color w:val="000000" w:themeColor="text1"/>
                <w:lang w:val="en-US"/>
                <w14:textFill>
                  <w14:solidFill>
                    <w14:schemeClr w14:val="tx1"/>
                  </w14:solidFill>
                </w14:textFill>
              </w:rPr>
              <w:t>-N</w:t>
            </w:r>
          </w:p>
        </w:tc>
        <w:tc>
          <w:tcPr>
            <w:tcW w:w="1310" w:type="pct"/>
            <w:vAlign w:val="center"/>
          </w:tcPr>
          <w:p w14:paraId="42BD178F">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90~170</w:t>
            </w:r>
          </w:p>
        </w:tc>
        <w:tc>
          <w:tcPr>
            <w:tcW w:w="1150" w:type="pct"/>
            <w:vAlign w:val="center"/>
          </w:tcPr>
          <w:p w14:paraId="35F8FB59">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25~83</w:t>
            </w:r>
          </w:p>
        </w:tc>
        <w:tc>
          <w:tcPr>
            <w:tcW w:w="1150" w:type="pct"/>
            <w:vAlign w:val="center"/>
          </w:tcPr>
          <w:p w14:paraId="1B95175D">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90</w:t>
            </w:r>
          </w:p>
        </w:tc>
      </w:tr>
      <w:tr w14:paraId="2DCCDC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Merge w:val="continue"/>
            <w:vAlign w:val="center"/>
          </w:tcPr>
          <w:p w14:paraId="34E8E495">
            <w:pPr>
              <w:pStyle w:val="143"/>
              <w:rPr>
                <w:color w:val="000000" w:themeColor="text1"/>
                <w:lang w:val="en-US"/>
                <w14:textFill>
                  <w14:solidFill>
                    <w14:schemeClr w14:val="tx1"/>
                  </w14:solidFill>
                </w14:textFill>
              </w:rPr>
            </w:pPr>
          </w:p>
        </w:tc>
        <w:tc>
          <w:tcPr>
            <w:tcW w:w="671" w:type="pct"/>
            <w:vAlign w:val="center"/>
          </w:tcPr>
          <w:p w14:paraId="65960A0F">
            <w:pPr>
              <w:pStyle w:val="143"/>
              <w:rPr>
                <w:bCs/>
                <w:color w:val="000000" w:themeColor="text1"/>
                <w:lang w:val="en-US"/>
                <w14:textFill>
                  <w14:solidFill>
                    <w14:schemeClr w14:val="tx1"/>
                  </w14:solidFill>
                </w14:textFill>
              </w:rPr>
            </w:pPr>
            <w:r>
              <w:rPr>
                <w:rFonts w:hint="eastAsia"/>
                <w:bCs/>
                <w:color w:val="000000" w:themeColor="text1"/>
                <w:lang w:val="en-US"/>
                <w14:textFill>
                  <w14:solidFill>
                    <w14:schemeClr w14:val="tx1"/>
                  </w14:solidFill>
                </w14:textFill>
              </w:rPr>
              <w:t>T</w:t>
            </w:r>
            <w:r>
              <w:rPr>
                <w:bCs/>
                <w:color w:val="000000" w:themeColor="text1"/>
                <w:lang w:val="en-US"/>
                <w14:textFill>
                  <w14:solidFill>
                    <w14:schemeClr w14:val="tx1"/>
                  </w14:solidFill>
                </w14:textFill>
              </w:rPr>
              <w:t>P</w:t>
            </w:r>
          </w:p>
        </w:tc>
        <w:tc>
          <w:tcPr>
            <w:tcW w:w="1310" w:type="pct"/>
            <w:vAlign w:val="center"/>
          </w:tcPr>
          <w:p w14:paraId="480CCACC">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5~8</w:t>
            </w:r>
          </w:p>
        </w:tc>
        <w:tc>
          <w:tcPr>
            <w:tcW w:w="1150" w:type="pct"/>
            <w:vAlign w:val="center"/>
          </w:tcPr>
          <w:p w14:paraId="219142D5">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5~17</w:t>
            </w:r>
          </w:p>
        </w:tc>
        <w:tc>
          <w:tcPr>
            <w:tcW w:w="1150" w:type="pct"/>
            <w:vAlign w:val="center"/>
          </w:tcPr>
          <w:p w14:paraId="4EA937DA">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r>
      <w:tr w14:paraId="4BC751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Merge w:val="continue"/>
            <w:vAlign w:val="center"/>
          </w:tcPr>
          <w:p w14:paraId="58495198">
            <w:pPr>
              <w:pStyle w:val="143"/>
              <w:rPr>
                <w:color w:val="000000" w:themeColor="text1"/>
                <w:lang w:val="en-US"/>
                <w14:textFill>
                  <w14:solidFill>
                    <w14:schemeClr w14:val="tx1"/>
                  </w14:solidFill>
                </w14:textFill>
              </w:rPr>
            </w:pPr>
            <w:bookmarkStart w:id="138" w:name="_Hlk205211837"/>
          </w:p>
        </w:tc>
        <w:tc>
          <w:tcPr>
            <w:tcW w:w="671" w:type="pct"/>
            <w:vAlign w:val="center"/>
          </w:tcPr>
          <w:p w14:paraId="44A52DF7">
            <w:pPr>
              <w:pStyle w:val="143"/>
              <w:rPr>
                <w:rFonts w:hint="eastAsia" w:eastAsia="宋体"/>
                <w:bCs/>
                <w:color w:val="000000" w:themeColor="text1"/>
                <w:lang w:val="en-US" w:eastAsia="zh-CN"/>
                <w14:textFill>
                  <w14:solidFill>
                    <w14:schemeClr w14:val="tx1"/>
                  </w14:solidFill>
                </w14:textFill>
              </w:rPr>
            </w:pPr>
            <w:r>
              <w:rPr>
                <w:rFonts w:hint="eastAsia"/>
                <w:bCs/>
                <w:color w:val="000000" w:themeColor="text1"/>
                <w:lang w:val="en-US" w:eastAsia="zh-CN"/>
                <w14:textFill>
                  <w14:solidFill>
                    <w14:schemeClr w14:val="tx1"/>
                  </w14:solidFill>
                </w14:textFill>
              </w:rPr>
              <w:t>TN</w:t>
            </w:r>
          </w:p>
        </w:tc>
        <w:tc>
          <w:tcPr>
            <w:tcW w:w="1310" w:type="pct"/>
            <w:vAlign w:val="center"/>
          </w:tcPr>
          <w:p w14:paraId="7793A74E">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125~250</w:t>
            </w:r>
          </w:p>
        </w:tc>
        <w:tc>
          <w:tcPr>
            <w:tcW w:w="1150" w:type="pct"/>
            <w:vAlign w:val="center"/>
          </w:tcPr>
          <w:p w14:paraId="61AFC5E1">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w:t>
            </w:r>
          </w:p>
        </w:tc>
        <w:tc>
          <w:tcPr>
            <w:tcW w:w="1150" w:type="pct"/>
            <w:vAlign w:val="center"/>
          </w:tcPr>
          <w:p w14:paraId="6CA0E037">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250</w:t>
            </w:r>
          </w:p>
        </w:tc>
      </w:tr>
      <w:tr w14:paraId="501887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108" w:type="dxa"/>
          </w:tblCellMar>
        </w:tblPrEx>
        <w:trPr>
          <w:trHeight w:val="20" w:hRule="atLeast"/>
          <w:jc w:val="center"/>
        </w:trPr>
        <w:tc>
          <w:tcPr>
            <w:tcW w:w="717" w:type="pct"/>
            <w:vMerge w:val="continue"/>
            <w:vAlign w:val="center"/>
          </w:tcPr>
          <w:p w14:paraId="7A35B9BF">
            <w:pPr>
              <w:pStyle w:val="143"/>
              <w:rPr>
                <w:color w:val="000000" w:themeColor="text1"/>
                <w:lang w:val="en-US"/>
                <w14:textFill>
                  <w14:solidFill>
                    <w14:schemeClr w14:val="tx1"/>
                  </w14:solidFill>
                </w14:textFill>
              </w:rPr>
            </w:pPr>
          </w:p>
        </w:tc>
        <w:tc>
          <w:tcPr>
            <w:tcW w:w="671" w:type="pct"/>
            <w:vAlign w:val="center"/>
          </w:tcPr>
          <w:p w14:paraId="60FDFCF9">
            <w:pPr>
              <w:pStyle w:val="143"/>
              <w:rPr>
                <w:rFonts w:hint="default"/>
                <w:bCs/>
                <w:color w:val="000000" w:themeColor="text1"/>
                <w:lang w:val="en-US" w:eastAsia="zh-CN"/>
                <w14:textFill>
                  <w14:solidFill>
                    <w14:schemeClr w14:val="tx1"/>
                  </w14:solidFill>
                </w14:textFill>
              </w:rPr>
            </w:pPr>
            <w:r>
              <w:rPr>
                <w:rFonts w:hint="eastAsia"/>
                <w:bCs/>
                <w:color w:val="000000" w:themeColor="text1"/>
                <w:lang w:val="en-US" w:eastAsia="zh-CN"/>
                <w14:textFill>
                  <w14:solidFill>
                    <w14:schemeClr w14:val="tx1"/>
                  </w14:solidFill>
                </w14:textFill>
              </w:rPr>
              <w:t>动植物油</w:t>
            </w:r>
          </w:p>
        </w:tc>
        <w:tc>
          <w:tcPr>
            <w:tcW w:w="1310" w:type="pct"/>
            <w:vAlign w:val="center"/>
          </w:tcPr>
          <w:p w14:paraId="1799D864">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w:t>
            </w:r>
          </w:p>
        </w:tc>
        <w:tc>
          <w:tcPr>
            <w:tcW w:w="1150" w:type="pct"/>
            <w:vAlign w:val="center"/>
          </w:tcPr>
          <w:p w14:paraId="05C26D24">
            <w:pPr>
              <w:pStyle w:val="143"/>
              <w:rPr>
                <w:rFonts w:hint="default"/>
                <w:color w:val="000000" w:themeColor="text1"/>
                <w:kern w:val="0"/>
                <w:lang w:val="en-US" w:eastAsia="zh-CN"/>
                <w14:textFill>
                  <w14:solidFill>
                    <w14:schemeClr w14:val="tx1"/>
                  </w14:solidFill>
                </w14:textFill>
              </w:rPr>
            </w:pPr>
            <w:r>
              <w:rPr>
                <w:rFonts w:hint="eastAsia"/>
                <w:color w:val="000000" w:themeColor="text1"/>
                <w:kern w:val="0"/>
                <w:lang w:val="en-US" w:eastAsia="zh-CN"/>
                <w14:textFill>
                  <w14:solidFill>
                    <w14:schemeClr w14:val="tx1"/>
                  </w14:solidFill>
                </w14:textFill>
              </w:rPr>
              <w:t>80</w:t>
            </w:r>
          </w:p>
        </w:tc>
        <w:tc>
          <w:tcPr>
            <w:tcW w:w="1150" w:type="pct"/>
            <w:vAlign w:val="center"/>
          </w:tcPr>
          <w:p w14:paraId="788ACCCF">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80</w:t>
            </w:r>
          </w:p>
        </w:tc>
      </w:tr>
    </w:tbl>
    <w:p w14:paraId="5CAE723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本项目污水处理站工艺为“初沉池+调节池+UASB+</w:t>
      </w:r>
      <w:r>
        <w:rPr>
          <w:rFonts w:hint="eastAsia"/>
          <w:color w:val="000000" w:themeColor="text1"/>
          <w:lang w:val="en-US" w:eastAsia="zh-CN"/>
          <w14:textFill>
            <w14:solidFill>
              <w14:schemeClr w14:val="tx1"/>
            </w14:solidFill>
          </w14:textFill>
        </w:rPr>
        <w:t>A/O</w:t>
      </w:r>
      <w:r>
        <w:rPr>
          <w:rFonts w:hint="eastAsia"/>
          <w:color w:val="000000" w:themeColor="text1"/>
          <w14:textFill>
            <w14:solidFill>
              <w14:schemeClr w14:val="tx1"/>
            </w14:solidFill>
          </w14:textFill>
        </w:rPr>
        <w:t>+二沉池+污泥池”，结合处理工艺处理效率，本项目</w:t>
      </w:r>
      <w:r>
        <w:rPr>
          <w:rFonts w:hint="eastAsia"/>
          <w:color w:val="000000" w:themeColor="text1"/>
          <w:lang w:val="en-US" w:eastAsia="zh-CN"/>
          <w14:textFill>
            <w14:solidFill>
              <w14:schemeClr w14:val="tx1"/>
            </w14:solidFill>
          </w14:textFill>
        </w:rPr>
        <w:t>食堂</w:t>
      </w:r>
      <w:r>
        <w:rPr>
          <w:rFonts w:hint="eastAsia"/>
          <w:color w:val="000000" w:themeColor="text1"/>
          <w14:textFill>
            <w14:solidFill>
              <w14:schemeClr w14:val="tx1"/>
            </w14:solidFill>
          </w14:textFill>
        </w:rPr>
        <w:t>废水</w:t>
      </w:r>
      <w:r>
        <w:rPr>
          <w:rFonts w:hint="eastAsia"/>
          <w:color w:val="000000" w:themeColor="text1"/>
          <w:lang w:val="en-US" w:eastAsia="zh-CN"/>
          <w14:textFill>
            <w14:solidFill>
              <w14:schemeClr w14:val="tx1"/>
            </w14:solidFill>
          </w14:textFill>
        </w:rPr>
        <w:t>经隔油池处理后排入污水处理站，厂区综合废水</w:t>
      </w:r>
      <w:r>
        <w:rPr>
          <w:rFonts w:hint="eastAsia"/>
          <w:color w:val="000000" w:themeColor="text1"/>
          <w14:textFill>
            <w14:solidFill>
              <w14:schemeClr w14:val="tx1"/>
            </w14:solidFill>
          </w14:textFill>
        </w:rPr>
        <w:t>产生及排放情况一览表见下表。</w:t>
      </w:r>
    </w:p>
    <w:p w14:paraId="21024735">
      <w:pPr>
        <w:pStyle w:val="206"/>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表3-6-</w:t>
      </w:r>
      <w:r>
        <w:rPr>
          <w:rFonts w:hint="eastAsia"/>
          <w:color w:val="000000" w:themeColor="text1"/>
          <w:lang w:val="en-US" w:eastAsia="zh-CN"/>
          <w14:textFill>
            <w14:solidFill>
              <w14:schemeClr w14:val="tx1"/>
            </w14:solidFill>
          </w14:textFill>
        </w:rPr>
        <w:t>7</w:t>
      </w:r>
      <w:r>
        <w:rPr>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本项目废水产生及排放情况</w:t>
      </w:r>
      <w:r>
        <w:rPr>
          <w:rFonts w:hint="eastAsia"/>
          <w:color w:val="000000" w:themeColor="text1"/>
          <w:lang w:eastAsia="zh-CN"/>
          <w14:textFill>
            <w14:solidFill>
              <w14:schemeClr w14:val="tx1"/>
            </w14:solidFill>
          </w14:textFill>
        </w:rPr>
        <w:t>一览表</w:t>
      </w:r>
    </w:p>
    <w:bookmarkEnd w:id="137"/>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01"/>
        <w:gridCol w:w="899"/>
        <w:gridCol w:w="816"/>
        <w:gridCol w:w="1253"/>
        <w:gridCol w:w="993"/>
        <w:gridCol w:w="1276"/>
        <w:gridCol w:w="992"/>
        <w:gridCol w:w="1076"/>
      </w:tblGrid>
      <w:tr w14:paraId="4885D0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restart"/>
            <w:vAlign w:val="center"/>
          </w:tcPr>
          <w:p w14:paraId="2912F512">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种类</w:t>
            </w:r>
          </w:p>
        </w:tc>
        <w:tc>
          <w:tcPr>
            <w:tcW w:w="541" w:type="pct"/>
            <w:vMerge w:val="restart"/>
            <w:vAlign w:val="center"/>
          </w:tcPr>
          <w:p w14:paraId="575074C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废水量</w:t>
            </w:r>
            <w:r>
              <w:rPr>
                <w:rFonts w:hint="eastAsia"/>
                <w:snapToGrid w:val="0"/>
                <w:color w:val="000000" w:themeColor="text1"/>
                <w:lang w:eastAsia="zh-CN"/>
                <w14:textFill>
                  <w14:solidFill>
                    <w14:schemeClr w14:val="tx1"/>
                  </w14:solidFill>
                </w14:textFill>
              </w:rPr>
              <w:t>m</w:t>
            </w:r>
            <w:r>
              <w:rPr>
                <w:snapToGrid w:val="0"/>
                <w:color w:val="000000" w:themeColor="text1"/>
                <w:vertAlign w:val="superscript"/>
                <w:lang w:eastAsia="zh-CN"/>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a</w:t>
            </w:r>
          </w:p>
        </w:tc>
        <w:tc>
          <w:tcPr>
            <w:tcW w:w="491" w:type="pct"/>
            <w:vMerge w:val="restart"/>
            <w:vAlign w:val="center"/>
          </w:tcPr>
          <w:p w14:paraId="449DBE5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w:t>
            </w:r>
          </w:p>
          <w:p w14:paraId="729B7EE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因子</w:t>
            </w:r>
          </w:p>
        </w:tc>
        <w:tc>
          <w:tcPr>
            <w:tcW w:w="1352" w:type="pct"/>
            <w:gridSpan w:val="2"/>
            <w:vAlign w:val="center"/>
          </w:tcPr>
          <w:p w14:paraId="526003F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w:t>
            </w:r>
            <w:r>
              <w:rPr>
                <w:rFonts w:hint="eastAsia"/>
                <w:snapToGrid w:val="0"/>
                <w:color w:val="000000" w:themeColor="text1"/>
                <w:lang w:eastAsia="zh-CN"/>
                <w14:textFill>
                  <w14:solidFill>
                    <w14:schemeClr w14:val="tx1"/>
                  </w14:solidFill>
                </w14:textFill>
              </w:rPr>
              <w:t>物产生</w:t>
            </w:r>
          </w:p>
        </w:tc>
        <w:tc>
          <w:tcPr>
            <w:tcW w:w="768" w:type="pct"/>
            <w:vMerge w:val="restart"/>
            <w:vAlign w:val="center"/>
          </w:tcPr>
          <w:p w14:paraId="52DD5987">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处理效率</w:t>
            </w:r>
          </w:p>
        </w:tc>
        <w:tc>
          <w:tcPr>
            <w:tcW w:w="1244" w:type="pct"/>
            <w:gridSpan w:val="2"/>
            <w:vAlign w:val="center"/>
          </w:tcPr>
          <w:p w14:paraId="4ED4E437">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污染物</w:t>
            </w:r>
            <w:r>
              <w:rPr>
                <w:rFonts w:hint="eastAsia"/>
                <w:snapToGrid w:val="0"/>
                <w:color w:val="000000" w:themeColor="text1"/>
                <w:lang w:val="en-US" w:eastAsia="zh-CN"/>
                <w14:textFill>
                  <w14:solidFill>
                    <w14:schemeClr w14:val="tx1"/>
                  </w14:solidFill>
                </w14:textFill>
              </w:rPr>
              <w:t>排放</w:t>
            </w:r>
          </w:p>
        </w:tc>
      </w:tr>
      <w:tr w14:paraId="31B130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02" w:type="pct"/>
            <w:vMerge w:val="continue"/>
            <w:vAlign w:val="center"/>
          </w:tcPr>
          <w:p w14:paraId="50AA5A7E">
            <w:pPr>
              <w:pStyle w:val="143"/>
              <w:rPr>
                <w:snapToGrid w:val="0"/>
                <w:color w:val="000000" w:themeColor="text1"/>
                <w14:textFill>
                  <w14:solidFill>
                    <w14:schemeClr w14:val="tx1"/>
                  </w14:solidFill>
                </w14:textFill>
              </w:rPr>
            </w:pPr>
          </w:p>
        </w:tc>
        <w:tc>
          <w:tcPr>
            <w:tcW w:w="541" w:type="pct"/>
            <w:vMerge w:val="continue"/>
            <w:vAlign w:val="center"/>
          </w:tcPr>
          <w:p w14:paraId="325E740F">
            <w:pPr>
              <w:pStyle w:val="143"/>
              <w:rPr>
                <w:snapToGrid w:val="0"/>
                <w:color w:val="000000" w:themeColor="text1"/>
                <w14:textFill>
                  <w14:solidFill>
                    <w14:schemeClr w14:val="tx1"/>
                  </w14:solidFill>
                </w14:textFill>
              </w:rPr>
            </w:pPr>
          </w:p>
        </w:tc>
        <w:tc>
          <w:tcPr>
            <w:tcW w:w="491" w:type="pct"/>
            <w:vMerge w:val="continue"/>
            <w:vAlign w:val="center"/>
          </w:tcPr>
          <w:p w14:paraId="6C972695">
            <w:pPr>
              <w:pStyle w:val="143"/>
              <w:rPr>
                <w:snapToGrid w:val="0"/>
                <w:color w:val="000000" w:themeColor="text1"/>
                <w14:textFill>
                  <w14:solidFill>
                    <w14:schemeClr w14:val="tx1"/>
                  </w14:solidFill>
                </w14:textFill>
              </w:rPr>
            </w:pPr>
          </w:p>
        </w:tc>
        <w:tc>
          <w:tcPr>
            <w:tcW w:w="754" w:type="pct"/>
            <w:vAlign w:val="center"/>
          </w:tcPr>
          <w:p w14:paraId="7DB018B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mg/L</w:t>
            </w:r>
          </w:p>
        </w:tc>
        <w:tc>
          <w:tcPr>
            <w:tcW w:w="597" w:type="pct"/>
            <w:vAlign w:val="center"/>
          </w:tcPr>
          <w:p w14:paraId="67B1F92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t/a</w:t>
            </w:r>
          </w:p>
        </w:tc>
        <w:tc>
          <w:tcPr>
            <w:tcW w:w="768" w:type="pct"/>
            <w:vMerge w:val="continue"/>
            <w:vAlign w:val="center"/>
          </w:tcPr>
          <w:p w14:paraId="43C9F0D2">
            <w:pPr>
              <w:pStyle w:val="143"/>
              <w:rPr>
                <w:snapToGrid w:val="0"/>
                <w:color w:val="000000" w:themeColor="text1"/>
                <w:lang w:eastAsia="zh-CN"/>
                <w14:textFill>
                  <w14:solidFill>
                    <w14:schemeClr w14:val="tx1"/>
                  </w14:solidFill>
                </w14:textFill>
              </w:rPr>
            </w:pPr>
          </w:p>
        </w:tc>
        <w:tc>
          <w:tcPr>
            <w:tcW w:w="597" w:type="pct"/>
            <w:vAlign w:val="center"/>
          </w:tcPr>
          <w:p w14:paraId="55402D8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mg/L</w:t>
            </w:r>
          </w:p>
        </w:tc>
        <w:tc>
          <w:tcPr>
            <w:tcW w:w="647" w:type="pct"/>
            <w:vAlign w:val="center"/>
          </w:tcPr>
          <w:p w14:paraId="409DEA4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t/a</w:t>
            </w:r>
          </w:p>
        </w:tc>
      </w:tr>
      <w:tr w14:paraId="7261F0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02" w:type="pct"/>
            <w:vMerge w:val="restart"/>
            <w:vAlign w:val="center"/>
          </w:tcPr>
          <w:p w14:paraId="1CB53296">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厂区综合废水</w:t>
            </w:r>
          </w:p>
        </w:tc>
        <w:tc>
          <w:tcPr>
            <w:tcW w:w="541" w:type="pct"/>
            <w:vMerge w:val="restart"/>
            <w:vAlign w:val="center"/>
          </w:tcPr>
          <w:p w14:paraId="6E625E09">
            <w:pPr>
              <w:pStyle w:val="143"/>
              <w:rPr>
                <w:snapToGrid w:val="0"/>
                <w:color w:val="000000" w:themeColor="text1"/>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37067.84</w:t>
            </w:r>
          </w:p>
        </w:tc>
        <w:tc>
          <w:tcPr>
            <w:tcW w:w="491" w:type="pct"/>
            <w:vAlign w:val="center"/>
          </w:tcPr>
          <w:p w14:paraId="4EBE6C4A">
            <w:pPr>
              <w:pStyle w:val="143"/>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pH值</w:t>
            </w:r>
          </w:p>
        </w:tc>
        <w:tc>
          <w:tcPr>
            <w:tcW w:w="1352" w:type="pct"/>
            <w:gridSpan w:val="2"/>
            <w:vAlign w:val="center"/>
          </w:tcPr>
          <w:p w14:paraId="7F62F3BC">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5.5</w:t>
            </w:r>
            <w:r>
              <w:rPr>
                <w:rFonts w:hint="eastAsia"/>
                <w:snapToGrid w:val="0"/>
                <w:color w:val="000000" w:themeColor="text1"/>
                <w:lang w:val="en-US"/>
                <w14:textFill>
                  <w14:solidFill>
                    <w14:schemeClr w14:val="tx1"/>
                  </w14:solidFill>
                </w14:textFill>
              </w:rPr>
              <w:t>~</w:t>
            </w:r>
            <w:r>
              <w:rPr>
                <w:snapToGrid w:val="0"/>
                <w:color w:val="000000" w:themeColor="text1"/>
                <w:lang w:val="en-US"/>
                <w14:textFill>
                  <w14:solidFill>
                    <w14:schemeClr w14:val="tx1"/>
                  </w14:solidFill>
                </w14:textFill>
              </w:rPr>
              <w:t>11</w:t>
            </w:r>
          </w:p>
        </w:tc>
        <w:tc>
          <w:tcPr>
            <w:tcW w:w="768" w:type="pct"/>
            <w:vAlign w:val="center"/>
          </w:tcPr>
          <w:p w14:paraId="122D7719">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1244" w:type="pct"/>
            <w:gridSpan w:val="2"/>
            <w:vAlign w:val="center"/>
          </w:tcPr>
          <w:p w14:paraId="03807700">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6</w:t>
            </w:r>
            <w:r>
              <w:rPr>
                <w:rFonts w:hint="eastAsia"/>
                <w:snapToGrid w:val="0"/>
                <w:color w:val="000000" w:themeColor="text1"/>
                <w:lang w:val="en-US"/>
                <w14:textFill>
                  <w14:solidFill>
                    <w14:schemeClr w14:val="tx1"/>
                  </w14:solidFill>
                </w14:textFill>
              </w:rPr>
              <w:t>~</w:t>
            </w:r>
            <w:r>
              <w:rPr>
                <w:snapToGrid w:val="0"/>
                <w:color w:val="000000" w:themeColor="text1"/>
                <w:lang w:val="en-US"/>
                <w14:textFill>
                  <w14:solidFill>
                    <w14:schemeClr w14:val="tx1"/>
                  </w14:solidFill>
                </w14:textFill>
              </w:rPr>
              <w:t>9</w:t>
            </w:r>
          </w:p>
        </w:tc>
      </w:tr>
      <w:tr w14:paraId="6C52EB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75A07F11">
            <w:pPr>
              <w:pStyle w:val="143"/>
              <w:rPr>
                <w:snapToGrid w:val="0"/>
                <w:color w:val="000000" w:themeColor="text1"/>
                <w:lang w:eastAsia="zh-CN"/>
                <w14:textFill>
                  <w14:solidFill>
                    <w14:schemeClr w14:val="tx1"/>
                  </w14:solidFill>
                </w14:textFill>
              </w:rPr>
            </w:pPr>
          </w:p>
        </w:tc>
        <w:tc>
          <w:tcPr>
            <w:tcW w:w="541" w:type="pct"/>
            <w:vMerge w:val="continue"/>
            <w:vAlign w:val="center"/>
          </w:tcPr>
          <w:p w14:paraId="293793F5">
            <w:pPr>
              <w:pStyle w:val="143"/>
              <w:rPr>
                <w:snapToGrid w:val="0"/>
                <w:color w:val="000000" w:themeColor="text1"/>
                <w14:textFill>
                  <w14:solidFill>
                    <w14:schemeClr w14:val="tx1"/>
                  </w14:solidFill>
                </w14:textFill>
              </w:rPr>
            </w:pPr>
          </w:p>
        </w:tc>
        <w:tc>
          <w:tcPr>
            <w:tcW w:w="491" w:type="pct"/>
            <w:vAlign w:val="center"/>
          </w:tcPr>
          <w:p w14:paraId="5433DD5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COD</w:t>
            </w:r>
          </w:p>
        </w:tc>
        <w:tc>
          <w:tcPr>
            <w:tcW w:w="754" w:type="pct"/>
            <w:vAlign w:val="center"/>
          </w:tcPr>
          <w:p w14:paraId="64BE58EC">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597" w:type="pct"/>
            <w:vAlign w:val="center"/>
          </w:tcPr>
          <w:p w14:paraId="7566302B">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92.67 </w:t>
            </w:r>
          </w:p>
        </w:tc>
        <w:tc>
          <w:tcPr>
            <w:tcW w:w="768" w:type="pct"/>
            <w:vAlign w:val="center"/>
          </w:tcPr>
          <w:p w14:paraId="6ECCF561">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95</w:t>
            </w:r>
            <w:r>
              <w:rPr>
                <w:rFonts w:cs="Times New Roman"/>
                <w:color w:val="000000" w:themeColor="text1"/>
                <w:szCs w:val="21"/>
                <w14:textFill>
                  <w14:solidFill>
                    <w14:schemeClr w14:val="tx1"/>
                  </w14:solidFill>
                </w14:textFill>
              </w:rPr>
              <w:t>%</w:t>
            </w:r>
          </w:p>
        </w:tc>
        <w:tc>
          <w:tcPr>
            <w:tcW w:w="597" w:type="pct"/>
            <w:vAlign w:val="center"/>
          </w:tcPr>
          <w:p w14:paraId="556DD1F6">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125</w:t>
            </w:r>
          </w:p>
        </w:tc>
        <w:tc>
          <w:tcPr>
            <w:tcW w:w="647" w:type="pct"/>
            <w:vAlign w:val="center"/>
          </w:tcPr>
          <w:p w14:paraId="34D7C4A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4.63</w:t>
            </w:r>
          </w:p>
        </w:tc>
      </w:tr>
      <w:tr w14:paraId="356BBB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602" w:type="pct"/>
            <w:vMerge w:val="continue"/>
            <w:vAlign w:val="center"/>
          </w:tcPr>
          <w:p w14:paraId="2B1DE0B1">
            <w:pPr>
              <w:pStyle w:val="143"/>
              <w:rPr>
                <w:snapToGrid w:val="0"/>
                <w:color w:val="000000" w:themeColor="text1"/>
                <w:lang w:eastAsia="zh-CN"/>
                <w14:textFill>
                  <w14:solidFill>
                    <w14:schemeClr w14:val="tx1"/>
                  </w14:solidFill>
                </w14:textFill>
              </w:rPr>
            </w:pPr>
          </w:p>
        </w:tc>
        <w:tc>
          <w:tcPr>
            <w:tcW w:w="541" w:type="pct"/>
            <w:vMerge w:val="continue"/>
            <w:vAlign w:val="center"/>
          </w:tcPr>
          <w:p w14:paraId="3441BD72">
            <w:pPr>
              <w:pStyle w:val="143"/>
              <w:rPr>
                <w:snapToGrid w:val="0"/>
                <w:color w:val="000000" w:themeColor="text1"/>
                <w14:textFill>
                  <w14:solidFill>
                    <w14:schemeClr w14:val="tx1"/>
                  </w14:solidFill>
                </w14:textFill>
              </w:rPr>
            </w:pPr>
          </w:p>
        </w:tc>
        <w:tc>
          <w:tcPr>
            <w:tcW w:w="491" w:type="pct"/>
            <w:vAlign w:val="center"/>
          </w:tcPr>
          <w:p w14:paraId="590D7B68">
            <w:pPr>
              <w:pStyle w:val="143"/>
              <w:rPr>
                <w:snapToGrid w:val="0"/>
                <w:color w:val="000000" w:themeColor="text1"/>
                <w:vertAlign w:val="subscript"/>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B</w:t>
            </w:r>
            <w:r>
              <w:rPr>
                <w:snapToGrid w:val="0"/>
                <w:color w:val="000000" w:themeColor="text1"/>
                <w:lang w:eastAsia="zh-CN"/>
                <w14:textFill>
                  <w14:solidFill>
                    <w14:schemeClr w14:val="tx1"/>
                  </w14:solidFill>
                </w14:textFill>
              </w:rPr>
              <w:t>OD</w:t>
            </w:r>
            <w:r>
              <w:rPr>
                <w:snapToGrid w:val="0"/>
                <w:color w:val="000000" w:themeColor="text1"/>
                <w:vertAlign w:val="subscript"/>
                <w:lang w:eastAsia="zh-CN"/>
                <w14:textFill>
                  <w14:solidFill>
                    <w14:schemeClr w14:val="tx1"/>
                  </w14:solidFill>
                </w14:textFill>
              </w:rPr>
              <w:t>5</w:t>
            </w:r>
          </w:p>
        </w:tc>
        <w:tc>
          <w:tcPr>
            <w:tcW w:w="754" w:type="pct"/>
            <w:vAlign w:val="center"/>
          </w:tcPr>
          <w:p w14:paraId="75441913">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1500</w:t>
            </w:r>
          </w:p>
        </w:tc>
        <w:tc>
          <w:tcPr>
            <w:tcW w:w="597" w:type="pct"/>
            <w:vAlign w:val="center"/>
          </w:tcPr>
          <w:p w14:paraId="5082D501">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55.60 </w:t>
            </w:r>
          </w:p>
        </w:tc>
        <w:tc>
          <w:tcPr>
            <w:tcW w:w="768" w:type="pct"/>
            <w:vAlign w:val="center"/>
          </w:tcPr>
          <w:p w14:paraId="46325ECE">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98</w:t>
            </w:r>
            <w:r>
              <w:rPr>
                <w:rFonts w:cs="Times New Roman"/>
                <w:color w:val="000000" w:themeColor="text1"/>
                <w:szCs w:val="21"/>
                <w14:textFill>
                  <w14:solidFill>
                    <w14:schemeClr w14:val="tx1"/>
                  </w14:solidFill>
                </w14:textFill>
              </w:rPr>
              <w:t>%</w:t>
            </w:r>
          </w:p>
        </w:tc>
        <w:tc>
          <w:tcPr>
            <w:tcW w:w="597" w:type="pct"/>
            <w:vAlign w:val="center"/>
          </w:tcPr>
          <w:p w14:paraId="156BDDB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30</w:t>
            </w:r>
          </w:p>
        </w:tc>
        <w:tc>
          <w:tcPr>
            <w:tcW w:w="647" w:type="pct"/>
            <w:vAlign w:val="center"/>
          </w:tcPr>
          <w:p w14:paraId="66250633">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1.11</w:t>
            </w:r>
          </w:p>
        </w:tc>
      </w:tr>
      <w:tr w14:paraId="486B36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440FBD91">
            <w:pPr>
              <w:pStyle w:val="143"/>
              <w:rPr>
                <w:snapToGrid w:val="0"/>
                <w:color w:val="000000" w:themeColor="text1"/>
                <w14:textFill>
                  <w14:solidFill>
                    <w14:schemeClr w14:val="tx1"/>
                  </w14:solidFill>
                </w14:textFill>
              </w:rPr>
            </w:pPr>
          </w:p>
        </w:tc>
        <w:tc>
          <w:tcPr>
            <w:tcW w:w="541" w:type="pct"/>
            <w:vMerge w:val="continue"/>
            <w:vAlign w:val="center"/>
          </w:tcPr>
          <w:p w14:paraId="2AE842E9">
            <w:pPr>
              <w:pStyle w:val="143"/>
              <w:rPr>
                <w:snapToGrid w:val="0"/>
                <w:color w:val="000000" w:themeColor="text1"/>
                <w14:textFill>
                  <w14:solidFill>
                    <w14:schemeClr w14:val="tx1"/>
                  </w14:solidFill>
                </w14:textFill>
              </w:rPr>
            </w:pPr>
          </w:p>
        </w:tc>
        <w:tc>
          <w:tcPr>
            <w:tcW w:w="491" w:type="pct"/>
            <w:vAlign w:val="center"/>
          </w:tcPr>
          <w:p w14:paraId="2B5BB951">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S</w:t>
            </w:r>
            <w:r>
              <w:rPr>
                <w:snapToGrid w:val="0"/>
                <w:color w:val="000000" w:themeColor="text1"/>
                <w:lang w:eastAsia="zh-CN"/>
                <w14:textFill>
                  <w14:solidFill>
                    <w14:schemeClr w14:val="tx1"/>
                  </w14:solidFill>
                </w14:textFill>
              </w:rPr>
              <w:t>S</w:t>
            </w:r>
          </w:p>
        </w:tc>
        <w:tc>
          <w:tcPr>
            <w:tcW w:w="754" w:type="pct"/>
            <w:vAlign w:val="center"/>
          </w:tcPr>
          <w:p w14:paraId="78E115A4">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7</w:t>
            </w:r>
            <w:r>
              <w:rPr>
                <w:color w:val="000000" w:themeColor="text1"/>
                <w:lang w:val="en-US" w:eastAsia="zh-CN"/>
                <w14:textFill>
                  <w14:solidFill>
                    <w14:schemeClr w14:val="tx1"/>
                  </w14:solidFill>
                </w14:textFill>
              </w:rPr>
              <w:t>00</w:t>
            </w:r>
          </w:p>
        </w:tc>
        <w:tc>
          <w:tcPr>
            <w:tcW w:w="597" w:type="pct"/>
            <w:vAlign w:val="center"/>
          </w:tcPr>
          <w:p w14:paraId="6E081DC6">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25.95 </w:t>
            </w:r>
          </w:p>
        </w:tc>
        <w:tc>
          <w:tcPr>
            <w:tcW w:w="768" w:type="pct"/>
            <w:vAlign w:val="center"/>
          </w:tcPr>
          <w:p w14:paraId="25E89B4C">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97</w:t>
            </w:r>
            <w:r>
              <w:rPr>
                <w:rFonts w:cs="Times New Roman"/>
                <w:color w:val="000000" w:themeColor="text1"/>
                <w:szCs w:val="21"/>
                <w14:textFill>
                  <w14:solidFill>
                    <w14:schemeClr w14:val="tx1"/>
                  </w14:solidFill>
                </w14:textFill>
              </w:rPr>
              <w:t>%</w:t>
            </w:r>
          </w:p>
        </w:tc>
        <w:tc>
          <w:tcPr>
            <w:tcW w:w="597" w:type="pct"/>
            <w:vAlign w:val="center"/>
          </w:tcPr>
          <w:p w14:paraId="760D51C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21</w:t>
            </w:r>
          </w:p>
        </w:tc>
        <w:tc>
          <w:tcPr>
            <w:tcW w:w="647" w:type="pct"/>
            <w:vAlign w:val="center"/>
          </w:tcPr>
          <w:p w14:paraId="3C28E15B">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0.78</w:t>
            </w:r>
          </w:p>
        </w:tc>
      </w:tr>
      <w:tr w14:paraId="19801D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5404A98C">
            <w:pPr>
              <w:pStyle w:val="143"/>
              <w:rPr>
                <w:snapToGrid w:val="0"/>
                <w:color w:val="000000" w:themeColor="text1"/>
                <w14:textFill>
                  <w14:solidFill>
                    <w14:schemeClr w14:val="tx1"/>
                  </w14:solidFill>
                </w14:textFill>
              </w:rPr>
            </w:pPr>
          </w:p>
        </w:tc>
        <w:tc>
          <w:tcPr>
            <w:tcW w:w="541" w:type="pct"/>
            <w:vMerge w:val="continue"/>
            <w:vAlign w:val="center"/>
          </w:tcPr>
          <w:p w14:paraId="51E93521">
            <w:pPr>
              <w:pStyle w:val="143"/>
              <w:rPr>
                <w:snapToGrid w:val="0"/>
                <w:color w:val="000000" w:themeColor="text1"/>
                <w14:textFill>
                  <w14:solidFill>
                    <w14:schemeClr w14:val="tx1"/>
                  </w14:solidFill>
                </w14:textFill>
              </w:rPr>
            </w:pPr>
          </w:p>
        </w:tc>
        <w:tc>
          <w:tcPr>
            <w:tcW w:w="491" w:type="pct"/>
            <w:vAlign w:val="center"/>
          </w:tcPr>
          <w:p w14:paraId="7AA80196">
            <w:pPr>
              <w:pStyle w:val="143"/>
              <w:rPr>
                <w:snapToGrid w:val="0"/>
                <w:color w:val="000000" w:themeColor="text1"/>
                <w:lang w:eastAsia="zh-CN"/>
                <w14:textFill>
                  <w14:solidFill>
                    <w14:schemeClr w14:val="tx1"/>
                  </w14:solidFill>
                </w14:textFill>
              </w:rPr>
            </w:pPr>
            <w:r>
              <w:rPr>
                <w:snapToGrid w:val="0"/>
                <w:color w:val="000000" w:themeColor="text1"/>
                <w:lang w:val="en-US" w:eastAsia="zh-CN"/>
                <w14:textFill>
                  <w14:solidFill>
                    <w14:schemeClr w14:val="tx1"/>
                  </w14:solidFill>
                </w14:textFill>
              </w:rPr>
              <w:t>NH</w:t>
            </w:r>
            <w:r>
              <w:rPr>
                <w:snapToGrid w:val="0"/>
                <w:color w:val="000000" w:themeColor="text1"/>
                <w:vertAlign w:val="subscript"/>
                <w:lang w:val="en-US" w:eastAsia="zh-CN"/>
                <w14:textFill>
                  <w14:solidFill>
                    <w14:schemeClr w14:val="tx1"/>
                  </w14:solidFill>
                </w14:textFill>
              </w:rPr>
              <w:t>3</w:t>
            </w:r>
            <w:r>
              <w:rPr>
                <w:snapToGrid w:val="0"/>
                <w:color w:val="000000" w:themeColor="text1"/>
                <w:lang w:val="en-US" w:eastAsia="zh-CN"/>
                <w14:textFill>
                  <w14:solidFill>
                    <w14:schemeClr w14:val="tx1"/>
                  </w14:solidFill>
                </w14:textFill>
              </w:rPr>
              <w:t>-N</w:t>
            </w:r>
          </w:p>
        </w:tc>
        <w:tc>
          <w:tcPr>
            <w:tcW w:w="754" w:type="pct"/>
            <w:vAlign w:val="center"/>
          </w:tcPr>
          <w:p w14:paraId="1A51C617">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90</w:t>
            </w:r>
          </w:p>
        </w:tc>
        <w:tc>
          <w:tcPr>
            <w:tcW w:w="597" w:type="pct"/>
            <w:vAlign w:val="center"/>
          </w:tcPr>
          <w:p w14:paraId="4E2917BA">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3.34 </w:t>
            </w:r>
          </w:p>
        </w:tc>
        <w:tc>
          <w:tcPr>
            <w:tcW w:w="768" w:type="pct"/>
            <w:vAlign w:val="center"/>
          </w:tcPr>
          <w:p w14:paraId="2EB1CD76">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85</w:t>
            </w:r>
            <w:r>
              <w:rPr>
                <w:rFonts w:cs="Times New Roman"/>
                <w:color w:val="000000" w:themeColor="text1"/>
                <w:szCs w:val="21"/>
                <w14:textFill>
                  <w14:solidFill>
                    <w14:schemeClr w14:val="tx1"/>
                  </w14:solidFill>
                </w14:textFill>
              </w:rPr>
              <w:t>%</w:t>
            </w:r>
          </w:p>
        </w:tc>
        <w:tc>
          <w:tcPr>
            <w:tcW w:w="597" w:type="pct"/>
            <w:vAlign w:val="center"/>
          </w:tcPr>
          <w:p w14:paraId="7245A2C6">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13.5</w:t>
            </w:r>
          </w:p>
        </w:tc>
        <w:tc>
          <w:tcPr>
            <w:tcW w:w="647" w:type="pct"/>
            <w:vAlign w:val="center"/>
          </w:tcPr>
          <w:p w14:paraId="29AB9267">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0.50</w:t>
            </w:r>
          </w:p>
        </w:tc>
      </w:tr>
      <w:tr w14:paraId="256312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62F1E26D">
            <w:pPr>
              <w:pStyle w:val="143"/>
              <w:rPr>
                <w:snapToGrid w:val="0"/>
                <w:color w:val="000000" w:themeColor="text1"/>
                <w14:textFill>
                  <w14:solidFill>
                    <w14:schemeClr w14:val="tx1"/>
                  </w14:solidFill>
                </w14:textFill>
              </w:rPr>
            </w:pPr>
          </w:p>
        </w:tc>
        <w:tc>
          <w:tcPr>
            <w:tcW w:w="541" w:type="pct"/>
            <w:vMerge w:val="continue"/>
            <w:vAlign w:val="center"/>
          </w:tcPr>
          <w:p w14:paraId="7488514D">
            <w:pPr>
              <w:pStyle w:val="143"/>
              <w:rPr>
                <w:snapToGrid w:val="0"/>
                <w:color w:val="000000" w:themeColor="text1"/>
                <w14:textFill>
                  <w14:solidFill>
                    <w14:schemeClr w14:val="tx1"/>
                  </w14:solidFill>
                </w14:textFill>
              </w:rPr>
            </w:pPr>
          </w:p>
        </w:tc>
        <w:tc>
          <w:tcPr>
            <w:tcW w:w="491" w:type="pct"/>
            <w:vAlign w:val="center"/>
          </w:tcPr>
          <w:p w14:paraId="2CA3F1C8">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T</w:t>
            </w:r>
            <w:r>
              <w:rPr>
                <w:snapToGrid w:val="0"/>
                <w:color w:val="000000" w:themeColor="text1"/>
                <w14:textFill>
                  <w14:solidFill>
                    <w14:schemeClr w14:val="tx1"/>
                  </w14:solidFill>
                </w14:textFill>
              </w:rPr>
              <w:t>P</w:t>
            </w:r>
          </w:p>
        </w:tc>
        <w:tc>
          <w:tcPr>
            <w:tcW w:w="754" w:type="pct"/>
            <w:vAlign w:val="center"/>
          </w:tcPr>
          <w:p w14:paraId="287F5468">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597" w:type="pct"/>
            <w:vAlign w:val="center"/>
          </w:tcPr>
          <w:p w14:paraId="37D5EFF3">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0.37 </w:t>
            </w:r>
          </w:p>
        </w:tc>
        <w:tc>
          <w:tcPr>
            <w:tcW w:w="768" w:type="pct"/>
            <w:vAlign w:val="center"/>
          </w:tcPr>
          <w:p w14:paraId="5A771B8F">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75</w:t>
            </w:r>
            <w:r>
              <w:rPr>
                <w:rFonts w:cs="Times New Roman"/>
                <w:color w:val="000000" w:themeColor="text1"/>
                <w:szCs w:val="21"/>
                <w14:textFill>
                  <w14:solidFill>
                    <w14:schemeClr w14:val="tx1"/>
                  </w14:solidFill>
                </w14:textFill>
              </w:rPr>
              <w:t>%</w:t>
            </w:r>
          </w:p>
        </w:tc>
        <w:tc>
          <w:tcPr>
            <w:tcW w:w="597" w:type="pct"/>
            <w:vAlign w:val="center"/>
          </w:tcPr>
          <w:p w14:paraId="4AB78242">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647" w:type="pct"/>
            <w:vAlign w:val="center"/>
          </w:tcPr>
          <w:p w14:paraId="763D2D75">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r>
      <w:tr w14:paraId="33CAEE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25BBCC45">
            <w:pPr>
              <w:pStyle w:val="143"/>
              <w:rPr>
                <w:snapToGrid w:val="0"/>
                <w:color w:val="000000" w:themeColor="text1"/>
                <w14:textFill>
                  <w14:solidFill>
                    <w14:schemeClr w14:val="tx1"/>
                  </w14:solidFill>
                </w14:textFill>
              </w:rPr>
            </w:pPr>
          </w:p>
        </w:tc>
        <w:tc>
          <w:tcPr>
            <w:tcW w:w="541" w:type="pct"/>
            <w:vMerge w:val="continue"/>
            <w:vAlign w:val="center"/>
          </w:tcPr>
          <w:p w14:paraId="7C995B98">
            <w:pPr>
              <w:pStyle w:val="143"/>
              <w:rPr>
                <w:snapToGrid w:val="0"/>
                <w:color w:val="000000" w:themeColor="text1"/>
                <w14:textFill>
                  <w14:solidFill>
                    <w14:schemeClr w14:val="tx1"/>
                  </w14:solidFill>
                </w14:textFill>
              </w:rPr>
            </w:pPr>
          </w:p>
        </w:tc>
        <w:tc>
          <w:tcPr>
            <w:tcW w:w="491" w:type="pct"/>
            <w:vAlign w:val="center"/>
          </w:tcPr>
          <w:p w14:paraId="43C46239">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TN</w:t>
            </w:r>
          </w:p>
        </w:tc>
        <w:tc>
          <w:tcPr>
            <w:tcW w:w="754" w:type="pct"/>
            <w:vAlign w:val="center"/>
          </w:tcPr>
          <w:p w14:paraId="6673D9CE">
            <w:pPr>
              <w:pStyle w:val="143"/>
              <w:ind w:firstLine="0" w:firstLineChars="0"/>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250</w:t>
            </w:r>
          </w:p>
        </w:tc>
        <w:tc>
          <w:tcPr>
            <w:tcW w:w="597" w:type="pct"/>
            <w:vAlign w:val="center"/>
          </w:tcPr>
          <w:p w14:paraId="286C55D4">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9.27 </w:t>
            </w:r>
          </w:p>
        </w:tc>
        <w:tc>
          <w:tcPr>
            <w:tcW w:w="768" w:type="pct"/>
            <w:vAlign w:val="center"/>
          </w:tcPr>
          <w:p w14:paraId="06846B03">
            <w:pPr>
              <w:pStyle w:val="143"/>
              <w:rPr>
                <w:rFonts w:hint="default"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85%</w:t>
            </w:r>
          </w:p>
        </w:tc>
        <w:tc>
          <w:tcPr>
            <w:tcW w:w="597" w:type="pct"/>
            <w:vAlign w:val="center"/>
          </w:tcPr>
          <w:p w14:paraId="6FD95FC3">
            <w:pPr>
              <w:pStyle w:val="143"/>
              <w:rPr>
                <w:rFonts w:hint="default"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37.5</w:t>
            </w:r>
          </w:p>
        </w:tc>
        <w:tc>
          <w:tcPr>
            <w:tcW w:w="647" w:type="pct"/>
            <w:vAlign w:val="center"/>
          </w:tcPr>
          <w:p w14:paraId="6B59D1D1">
            <w:pPr>
              <w:pStyle w:val="143"/>
              <w:rPr>
                <w:rFonts w:hint="default"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1.39</w:t>
            </w:r>
          </w:p>
        </w:tc>
      </w:tr>
      <w:tr w14:paraId="39F0F8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51F94DF8">
            <w:pPr>
              <w:pStyle w:val="143"/>
              <w:rPr>
                <w:snapToGrid w:val="0"/>
                <w:color w:val="000000" w:themeColor="text1"/>
                <w14:textFill>
                  <w14:solidFill>
                    <w14:schemeClr w14:val="tx1"/>
                  </w14:solidFill>
                </w14:textFill>
              </w:rPr>
            </w:pPr>
          </w:p>
        </w:tc>
        <w:tc>
          <w:tcPr>
            <w:tcW w:w="541" w:type="pct"/>
            <w:vMerge w:val="continue"/>
            <w:vAlign w:val="center"/>
          </w:tcPr>
          <w:p w14:paraId="5E0D5F8C">
            <w:pPr>
              <w:pStyle w:val="143"/>
              <w:rPr>
                <w:snapToGrid w:val="0"/>
                <w:color w:val="000000" w:themeColor="text1"/>
                <w14:textFill>
                  <w14:solidFill>
                    <w14:schemeClr w14:val="tx1"/>
                  </w14:solidFill>
                </w14:textFill>
              </w:rPr>
            </w:pPr>
          </w:p>
        </w:tc>
        <w:tc>
          <w:tcPr>
            <w:tcW w:w="491" w:type="pct"/>
            <w:vAlign w:val="center"/>
          </w:tcPr>
          <w:p w14:paraId="18796AF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动植物油</w:t>
            </w:r>
          </w:p>
        </w:tc>
        <w:tc>
          <w:tcPr>
            <w:tcW w:w="754" w:type="pct"/>
            <w:vAlign w:val="center"/>
          </w:tcPr>
          <w:p w14:paraId="4B754A44">
            <w:pPr>
              <w:pStyle w:val="143"/>
              <w:ind w:firstLine="0" w:firstLineChars="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80</w:t>
            </w:r>
          </w:p>
        </w:tc>
        <w:tc>
          <w:tcPr>
            <w:tcW w:w="597" w:type="pct"/>
            <w:vAlign w:val="center"/>
          </w:tcPr>
          <w:p w14:paraId="32CA18CA">
            <w:pPr>
              <w:pStyle w:val="143"/>
              <w:ind w:firstLine="0" w:firstLineChars="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2.97</w:t>
            </w:r>
          </w:p>
        </w:tc>
        <w:tc>
          <w:tcPr>
            <w:tcW w:w="768" w:type="pct"/>
            <w:vAlign w:val="center"/>
          </w:tcPr>
          <w:p w14:paraId="04207A54">
            <w:pPr>
              <w:pStyle w:val="143"/>
              <w:rPr>
                <w:rFonts w:hint="default"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50%</w:t>
            </w:r>
          </w:p>
        </w:tc>
        <w:tc>
          <w:tcPr>
            <w:tcW w:w="597" w:type="pct"/>
            <w:vAlign w:val="center"/>
          </w:tcPr>
          <w:p w14:paraId="40BE46B7">
            <w:pPr>
              <w:pStyle w:val="143"/>
              <w:rPr>
                <w:rFonts w:hint="default"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40</w:t>
            </w:r>
          </w:p>
        </w:tc>
        <w:tc>
          <w:tcPr>
            <w:tcW w:w="647" w:type="pct"/>
            <w:vAlign w:val="center"/>
          </w:tcPr>
          <w:p w14:paraId="4E0FCC14">
            <w:pPr>
              <w:pStyle w:val="143"/>
              <w:rPr>
                <w:rFonts w:hint="default"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1.48</w:t>
            </w:r>
          </w:p>
        </w:tc>
      </w:tr>
      <w:bookmarkEnd w:id="138"/>
    </w:tbl>
    <w:p w14:paraId="55DC1784">
      <w:pPr>
        <w:pStyle w:val="85"/>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snapToGrid w:val="0"/>
          <w:color w:val="000000" w:themeColor="text1"/>
          <w14:textFill>
            <w14:solidFill>
              <w14:schemeClr w14:val="tx1"/>
            </w14:solidFill>
          </w14:textFill>
        </w:rPr>
        <w:t>本项目全厂</w:t>
      </w:r>
      <w:r>
        <w:rPr>
          <w:snapToGrid w:val="0"/>
          <w:color w:val="000000" w:themeColor="text1"/>
          <w14:textFill>
            <w14:solidFill>
              <w14:schemeClr w14:val="tx1"/>
            </w14:solidFill>
          </w14:textFill>
        </w:rPr>
        <w:t>废水排放总量为</w:t>
      </w:r>
      <w:r>
        <w:rPr>
          <w:rFonts w:hint="eastAsia"/>
          <w:snapToGrid w:val="0"/>
          <w:color w:val="000000" w:themeColor="text1"/>
          <w:lang w:val="en-US" w:eastAsia="zh-CN"/>
          <w14:textFill>
            <w14:solidFill>
              <w14:schemeClr w14:val="tx1"/>
            </w14:solidFill>
          </w14:textFill>
        </w:rPr>
        <w:t>123.56</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/d、</w:t>
      </w:r>
      <w:r>
        <w:rPr>
          <w:rFonts w:hint="eastAsia"/>
          <w:snapToGrid w:val="0"/>
          <w:color w:val="000000" w:themeColor="text1"/>
          <w:lang w:eastAsia="zh-CN"/>
          <w14:textFill>
            <w14:solidFill>
              <w14:schemeClr w14:val="tx1"/>
            </w14:solidFill>
          </w14:textFill>
        </w:rPr>
        <w:t>37067.84</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/a。本项目废水由新建</w:t>
      </w:r>
      <w:r>
        <w:rPr>
          <w:rFonts w:hint="eastAsia"/>
          <w:snapToGrid w:val="0"/>
          <w:color w:val="000000" w:themeColor="text1"/>
          <w14:textFill>
            <w14:solidFill>
              <w14:schemeClr w14:val="tx1"/>
            </w14:solidFill>
          </w14:textFill>
        </w:rPr>
        <w:t>的处理能力为</w:t>
      </w:r>
      <w:r>
        <w:rPr>
          <w:rFonts w:hint="eastAsia"/>
          <w:snapToGrid w:val="0"/>
          <w:color w:val="000000" w:themeColor="text1"/>
          <w:lang w:val="en-US" w:eastAsia="zh-CN"/>
          <w14:textFill>
            <w14:solidFill>
              <w14:schemeClr w14:val="tx1"/>
            </w14:solidFill>
          </w14:textFill>
        </w:rPr>
        <w:t>200</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/d</w:t>
      </w:r>
      <w:r>
        <w:rPr>
          <w:rFonts w:hint="eastAsia"/>
          <w:snapToGrid w:val="0"/>
          <w:color w:val="000000" w:themeColor="text1"/>
          <w14:textFill>
            <w14:solidFill>
              <w14:schemeClr w14:val="tx1"/>
            </w14:solidFill>
          </w14:textFill>
        </w:rPr>
        <w:t>的</w:t>
      </w:r>
      <w:r>
        <w:rPr>
          <w:snapToGrid w:val="0"/>
          <w:color w:val="000000" w:themeColor="text1"/>
          <w14:textFill>
            <w14:solidFill>
              <w14:schemeClr w14:val="tx1"/>
            </w14:solidFill>
          </w14:textFill>
        </w:rPr>
        <w:t>污水处理站处理满足《</w:t>
      </w:r>
      <w:r>
        <w:rPr>
          <w:rFonts w:hint="eastAsia"/>
          <w:snapToGrid w:val="0"/>
          <w:color w:val="000000" w:themeColor="text1"/>
          <w:lang w:eastAsia="zh-CN"/>
          <w14:textFill>
            <w14:solidFill>
              <w14:schemeClr w14:val="tx1"/>
            </w14:solidFill>
          </w14:textFill>
        </w:rPr>
        <w:t>酒类制造业水污染物排放标准</w:t>
      </w:r>
      <w:r>
        <w:rPr>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GB19821-2025</w:t>
      </w:r>
      <w:r>
        <w:rPr>
          <w:snapToGrid w:val="0"/>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snapToGrid w:val="0"/>
          <w:color w:val="000000" w:themeColor="text1"/>
          <w14:textFill>
            <w14:solidFill>
              <w14:schemeClr w14:val="tx1"/>
            </w14:solidFill>
          </w14:textFill>
        </w:rPr>
        <w:t>及</w:t>
      </w:r>
      <w:r>
        <w:rPr>
          <w:rFonts w:hint="eastAsia"/>
          <w:snapToGrid w:val="0"/>
          <w:color w:val="000000" w:themeColor="text1"/>
          <w:lang w:eastAsia="zh-CN"/>
          <w14:textFill>
            <w14:solidFill>
              <w14:schemeClr w14:val="tx1"/>
            </w14:solidFill>
          </w14:textFill>
        </w:rPr>
        <w:t>桦南县城镇污水处理厂</w:t>
      </w:r>
      <w:r>
        <w:rPr>
          <w:snapToGrid w:val="0"/>
          <w:color w:val="000000" w:themeColor="text1"/>
          <w14:textFill>
            <w14:solidFill>
              <w14:schemeClr w14:val="tx1"/>
            </w14:solidFill>
          </w14:textFill>
        </w:rPr>
        <w:t>进水指标后进入</w:t>
      </w:r>
      <w:r>
        <w:rPr>
          <w:rFonts w:hint="eastAsia"/>
          <w:snapToGrid w:val="0"/>
          <w:color w:val="000000" w:themeColor="text1"/>
          <w:lang w:val="en-US" w:eastAsia="zh-CN"/>
          <w14:textFill>
            <w14:solidFill>
              <w14:schemeClr w14:val="tx1"/>
            </w14:solidFill>
          </w14:textFill>
        </w:rPr>
        <w:t>园区</w:t>
      </w:r>
      <w:r>
        <w:rPr>
          <w:snapToGrid w:val="0"/>
          <w:color w:val="000000" w:themeColor="text1"/>
          <w14:textFill>
            <w14:solidFill>
              <w14:schemeClr w14:val="tx1"/>
            </w14:solidFill>
          </w14:textFill>
        </w:rPr>
        <w:t>污水管网，排入</w:t>
      </w:r>
      <w:r>
        <w:rPr>
          <w:rFonts w:hint="eastAsia"/>
          <w:snapToGrid w:val="0"/>
          <w:color w:val="000000" w:themeColor="text1"/>
          <w:lang w:eastAsia="zh-CN"/>
          <w14:textFill>
            <w14:solidFill>
              <w14:schemeClr w14:val="tx1"/>
            </w14:solidFill>
          </w14:textFill>
        </w:rPr>
        <w:t>桦南县城镇污水处理厂</w:t>
      </w:r>
      <w:r>
        <w:rPr>
          <w:snapToGrid w:val="0"/>
          <w:color w:val="000000" w:themeColor="text1"/>
          <w14:textFill>
            <w14:solidFill>
              <w14:schemeClr w14:val="tx1"/>
            </w14:solidFill>
          </w14:textFill>
        </w:rPr>
        <w:t>统一处理，废水</w:t>
      </w:r>
      <w:r>
        <w:rPr>
          <w:rFonts w:hint="eastAsia"/>
          <w:snapToGrid w:val="0"/>
          <w:color w:val="000000" w:themeColor="text1"/>
          <w14:textFill>
            <w14:solidFill>
              <w14:schemeClr w14:val="tx1"/>
            </w14:solidFill>
          </w14:textFill>
        </w:rPr>
        <w:t>达到《城镇污水处理厂污染物排放标准》（GB 18918-2002）及修改单中的一级A标准</w:t>
      </w:r>
      <w:r>
        <w:rPr>
          <w:rFonts w:hint="default" w:eastAsia="宋体"/>
          <w:lang w:val="en-US" w:eastAsia="zh-CN"/>
        </w:rPr>
        <w:t>要求排入八虎力河，最终汇入倭肯河</w:t>
      </w:r>
      <w:r>
        <w:rPr>
          <w:rFonts w:hint="eastAsia"/>
          <w:lang w:val="en-US" w:eastAsia="zh-CN"/>
        </w:rPr>
        <w:t>。</w:t>
      </w:r>
    </w:p>
    <w:p w14:paraId="0B8AB960">
      <w:pPr>
        <w:pStyle w:val="40"/>
        <w:bidi w:val="0"/>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14:paraId="278539FD">
      <w:pPr>
        <w:pStyle w:val="206"/>
        <w:rPr>
          <w:color w:val="000000" w:themeColor="text1"/>
          <w14:textFill>
            <w14:solidFill>
              <w14:schemeClr w14:val="tx1"/>
            </w14:solidFill>
          </w14:textFill>
        </w:rPr>
      </w:pPr>
      <w:r>
        <w:rPr>
          <w:color w:val="000000" w:themeColor="text1"/>
          <w14:textFill>
            <w14:solidFill>
              <w14:schemeClr w14:val="tx1"/>
            </w14:solidFill>
          </w14:textFill>
        </w:rPr>
        <w:t>表</w:t>
      </w:r>
      <w:r>
        <w:rPr>
          <w:rFonts w:hint="eastAsia"/>
          <w:color w:val="000000" w:themeColor="text1"/>
          <w:lang w:val="en-US" w:eastAsia="zh-CN"/>
          <w14:textFill>
            <w14:solidFill>
              <w14:schemeClr w14:val="tx1"/>
            </w14:solidFill>
          </w14:textFill>
        </w:rPr>
        <w:t>3-6-8</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本项目</w:t>
      </w:r>
      <w:r>
        <w:rPr>
          <w:color w:val="000000" w:themeColor="text1"/>
          <w14:textFill>
            <w14:solidFill>
              <w14:schemeClr w14:val="tx1"/>
            </w14:solidFill>
          </w14:textFill>
        </w:rPr>
        <w:t>污水污染物产生</w:t>
      </w:r>
      <w:r>
        <w:rPr>
          <w:rFonts w:hint="eastAsia"/>
          <w:color w:val="000000" w:themeColor="text1"/>
          <w14:textFill>
            <w14:solidFill>
              <w14:schemeClr w14:val="tx1"/>
            </w14:solidFill>
          </w14:textFill>
        </w:rPr>
        <w:t>及排放</w:t>
      </w:r>
      <w:r>
        <w:rPr>
          <w:color w:val="000000" w:themeColor="text1"/>
          <w14:textFill>
            <w14:solidFill>
              <w14:schemeClr w14:val="tx1"/>
            </w14:solidFill>
          </w14:textFill>
        </w:rPr>
        <w:t>情况一览表</w:t>
      </w:r>
    </w:p>
    <w:tbl>
      <w:tblPr>
        <w:tblStyle w:val="47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79"/>
        <w:gridCol w:w="464"/>
        <w:gridCol w:w="983"/>
        <w:gridCol w:w="573"/>
        <w:gridCol w:w="1869"/>
        <w:gridCol w:w="1469"/>
        <w:gridCol w:w="1156"/>
        <w:gridCol w:w="2028"/>
        <w:gridCol w:w="863"/>
        <w:gridCol w:w="1623"/>
        <w:gridCol w:w="1092"/>
        <w:gridCol w:w="1159"/>
      </w:tblGrid>
      <w:tr w14:paraId="6B4F85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43" w:type="pct"/>
            <w:vMerge w:val="restart"/>
            <w:vAlign w:val="center"/>
          </w:tcPr>
          <w:p w14:paraId="54510BDC">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工序</w:t>
            </w:r>
            <w:r>
              <w:rPr>
                <w:rFonts w:cs="Times New Roman"/>
                <w:color w:val="000000" w:themeColor="text1"/>
                <w14:textFill>
                  <w14:solidFill>
                    <w14:schemeClr w14:val="tx1"/>
                  </w14:solidFill>
                </w14:textFill>
              </w:rPr>
              <w:t>/</w:t>
            </w:r>
            <w:r>
              <w:rPr>
                <w:rFonts w:hint="eastAsia" w:cs="Times New Roman"/>
                <w:color w:val="000000" w:themeColor="text1"/>
                <w14:textFill>
                  <w14:solidFill>
                    <w14:schemeClr w14:val="tx1"/>
                  </w14:solidFill>
                </w14:textFill>
              </w:rPr>
              <w:t>生产线</w:t>
            </w:r>
          </w:p>
        </w:tc>
        <w:tc>
          <w:tcPr>
            <w:tcW w:w="166" w:type="pct"/>
            <w:vMerge w:val="restart"/>
            <w:vAlign w:val="center"/>
          </w:tcPr>
          <w:p w14:paraId="769C4FC6">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污染源</w:t>
            </w:r>
          </w:p>
        </w:tc>
        <w:tc>
          <w:tcPr>
            <w:tcW w:w="352" w:type="pct"/>
            <w:vMerge w:val="restart"/>
            <w:vAlign w:val="center"/>
          </w:tcPr>
          <w:p w14:paraId="66869F68">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污染物</w:t>
            </w:r>
          </w:p>
        </w:tc>
        <w:tc>
          <w:tcPr>
            <w:tcW w:w="1814" w:type="pct"/>
            <w:gridSpan w:val="4"/>
            <w:vAlign w:val="center"/>
          </w:tcPr>
          <w:p w14:paraId="4A7C533C">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污染物产生情况</w:t>
            </w:r>
          </w:p>
        </w:tc>
        <w:tc>
          <w:tcPr>
            <w:tcW w:w="1035" w:type="pct"/>
            <w:gridSpan w:val="2"/>
            <w:vAlign w:val="center"/>
          </w:tcPr>
          <w:p w14:paraId="227ECA4A">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治理措施</w:t>
            </w:r>
          </w:p>
        </w:tc>
        <w:tc>
          <w:tcPr>
            <w:tcW w:w="1387" w:type="pct"/>
            <w:gridSpan w:val="3"/>
            <w:vAlign w:val="center"/>
          </w:tcPr>
          <w:p w14:paraId="3764D83C">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污染物排放</w:t>
            </w:r>
          </w:p>
        </w:tc>
      </w:tr>
      <w:tr w14:paraId="44BEDC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43" w:type="pct"/>
            <w:vMerge w:val="continue"/>
            <w:vAlign w:val="center"/>
          </w:tcPr>
          <w:p w14:paraId="5422F258">
            <w:pPr>
              <w:pStyle w:val="143"/>
              <w:rPr>
                <w:rFonts w:cs="Times New Roman"/>
                <w:color w:val="000000" w:themeColor="text1"/>
                <w14:textFill>
                  <w14:solidFill>
                    <w14:schemeClr w14:val="tx1"/>
                  </w14:solidFill>
                </w14:textFill>
              </w:rPr>
            </w:pPr>
          </w:p>
        </w:tc>
        <w:tc>
          <w:tcPr>
            <w:tcW w:w="166" w:type="pct"/>
            <w:vMerge w:val="continue"/>
            <w:vAlign w:val="center"/>
          </w:tcPr>
          <w:p w14:paraId="29F14A1B">
            <w:pPr>
              <w:pStyle w:val="143"/>
              <w:rPr>
                <w:rFonts w:cs="Times New Roman"/>
                <w:color w:val="000000" w:themeColor="text1"/>
                <w14:textFill>
                  <w14:solidFill>
                    <w14:schemeClr w14:val="tx1"/>
                  </w14:solidFill>
                </w14:textFill>
              </w:rPr>
            </w:pPr>
          </w:p>
        </w:tc>
        <w:tc>
          <w:tcPr>
            <w:tcW w:w="352" w:type="pct"/>
            <w:vMerge w:val="continue"/>
            <w:vAlign w:val="center"/>
          </w:tcPr>
          <w:p w14:paraId="717CD0DD">
            <w:pPr>
              <w:pStyle w:val="143"/>
              <w:rPr>
                <w:rFonts w:cs="Times New Roman"/>
                <w:color w:val="000000" w:themeColor="text1"/>
                <w14:textFill>
                  <w14:solidFill>
                    <w14:schemeClr w14:val="tx1"/>
                  </w14:solidFill>
                </w14:textFill>
              </w:rPr>
            </w:pPr>
          </w:p>
        </w:tc>
        <w:tc>
          <w:tcPr>
            <w:tcW w:w="205" w:type="pct"/>
            <w:vAlign w:val="center"/>
          </w:tcPr>
          <w:p w14:paraId="4C355048">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核算方法</w:t>
            </w:r>
          </w:p>
        </w:tc>
        <w:tc>
          <w:tcPr>
            <w:tcW w:w="669" w:type="pct"/>
            <w:vAlign w:val="center"/>
          </w:tcPr>
          <w:p w14:paraId="6C8C4697">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产生废水量（</w:t>
            </w:r>
            <w:r>
              <w:rPr>
                <w:rFonts w:cs="Times New Roman"/>
                <w:color w:val="000000" w:themeColor="text1"/>
                <w14:textFill>
                  <w14:solidFill>
                    <w14:schemeClr w14:val="tx1"/>
                  </w14:solidFill>
                </w14:textFill>
              </w:rPr>
              <w:t>t/a</w:t>
            </w:r>
            <w:r>
              <w:rPr>
                <w:rFonts w:hint="eastAsia" w:cs="Times New Roman"/>
                <w:color w:val="000000" w:themeColor="text1"/>
                <w14:textFill>
                  <w14:solidFill>
                    <w14:schemeClr w14:val="tx1"/>
                  </w14:solidFill>
                </w14:textFill>
              </w:rPr>
              <w:t>）</w:t>
            </w:r>
          </w:p>
        </w:tc>
        <w:tc>
          <w:tcPr>
            <w:tcW w:w="526" w:type="pct"/>
            <w:vAlign w:val="center"/>
          </w:tcPr>
          <w:p w14:paraId="42D419D6">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产生浓度（</w:t>
            </w:r>
            <w:r>
              <w:rPr>
                <w:rFonts w:cs="Times New Roman"/>
                <w:color w:val="000000" w:themeColor="text1"/>
                <w14:textFill>
                  <w14:solidFill>
                    <w14:schemeClr w14:val="tx1"/>
                  </w14:solidFill>
                </w14:textFill>
              </w:rPr>
              <w:t>mg/L</w:t>
            </w:r>
            <w:r>
              <w:rPr>
                <w:rFonts w:hint="eastAsia" w:cs="Times New Roman"/>
                <w:color w:val="000000" w:themeColor="text1"/>
                <w14:textFill>
                  <w14:solidFill>
                    <w14:schemeClr w14:val="tx1"/>
                  </w14:solidFill>
                </w14:textFill>
              </w:rPr>
              <w:t>）</w:t>
            </w:r>
          </w:p>
        </w:tc>
        <w:tc>
          <w:tcPr>
            <w:tcW w:w="413" w:type="pct"/>
            <w:vAlign w:val="center"/>
          </w:tcPr>
          <w:p w14:paraId="7307D360">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产生量（</w:t>
            </w:r>
            <w:r>
              <w:rPr>
                <w:rFonts w:cs="Times New Roman"/>
                <w:color w:val="000000" w:themeColor="text1"/>
                <w14:textFill>
                  <w14:solidFill>
                    <w14:schemeClr w14:val="tx1"/>
                  </w14:solidFill>
                </w14:textFill>
              </w:rPr>
              <w:t>t/a</w:t>
            </w:r>
            <w:r>
              <w:rPr>
                <w:rFonts w:hint="eastAsia" w:cs="Times New Roman"/>
                <w:color w:val="000000" w:themeColor="text1"/>
                <w14:textFill>
                  <w14:solidFill>
                    <w14:schemeClr w14:val="tx1"/>
                  </w14:solidFill>
                </w14:textFill>
              </w:rPr>
              <w:t>）</w:t>
            </w:r>
          </w:p>
        </w:tc>
        <w:tc>
          <w:tcPr>
            <w:tcW w:w="726" w:type="pct"/>
            <w:vAlign w:val="center"/>
          </w:tcPr>
          <w:p w14:paraId="056831BF">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工艺</w:t>
            </w:r>
          </w:p>
        </w:tc>
        <w:tc>
          <w:tcPr>
            <w:tcW w:w="309" w:type="pct"/>
            <w:vAlign w:val="center"/>
          </w:tcPr>
          <w:p w14:paraId="41E056D1">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效率</w:t>
            </w:r>
          </w:p>
        </w:tc>
        <w:tc>
          <w:tcPr>
            <w:tcW w:w="581" w:type="pct"/>
            <w:vAlign w:val="center"/>
          </w:tcPr>
          <w:p w14:paraId="0F718D20">
            <w:pPr>
              <w:pStyle w:val="143"/>
              <w:rPr>
                <w:rFonts w:cs="Times New Roman"/>
                <w:color w:val="000000" w:themeColor="text1"/>
                <w14:textFill>
                  <w14:solidFill>
                    <w14:schemeClr w14:val="tx1"/>
                  </w14:solidFill>
                </w14:textFill>
              </w:rPr>
            </w:pPr>
            <w:r>
              <w:rPr>
                <w:rFonts w:hint="eastAsia" w:cs="Times New Roman"/>
                <w:color w:val="000000" w:themeColor="text1"/>
                <w:lang w:eastAsia="zh-CN"/>
                <w14:textFill>
                  <w14:solidFill>
                    <w14:schemeClr w14:val="tx1"/>
                  </w14:solidFill>
                </w14:textFill>
              </w:rPr>
              <w:t>排放废水量</w:t>
            </w:r>
          </w:p>
        </w:tc>
        <w:tc>
          <w:tcPr>
            <w:tcW w:w="391" w:type="pct"/>
            <w:vAlign w:val="center"/>
          </w:tcPr>
          <w:p w14:paraId="708C0057">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排放浓度（</w:t>
            </w:r>
            <w:r>
              <w:rPr>
                <w:rFonts w:cs="Times New Roman"/>
                <w:color w:val="000000" w:themeColor="text1"/>
                <w14:textFill>
                  <w14:solidFill>
                    <w14:schemeClr w14:val="tx1"/>
                  </w14:solidFill>
                </w14:textFill>
              </w:rPr>
              <w:t>mg/L</w:t>
            </w:r>
            <w:r>
              <w:rPr>
                <w:rFonts w:hint="eastAsia" w:cs="Times New Roman"/>
                <w:color w:val="000000" w:themeColor="text1"/>
                <w14:textFill>
                  <w14:solidFill>
                    <w14:schemeClr w14:val="tx1"/>
                  </w14:solidFill>
                </w14:textFill>
              </w:rPr>
              <w:t>）</w:t>
            </w:r>
          </w:p>
        </w:tc>
        <w:tc>
          <w:tcPr>
            <w:tcW w:w="415" w:type="pct"/>
            <w:vAlign w:val="center"/>
          </w:tcPr>
          <w:p w14:paraId="5411704E">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排放量（</w:t>
            </w:r>
            <w:r>
              <w:rPr>
                <w:rFonts w:cs="Times New Roman"/>
                <w:color w:val="000000" w:themeColor="text1"/>
                <w14:textFill>
                  <w14:solidFill>
                    <w14:schemeClr w14:val="tx1"/>
                  </w14:solidFill>
                </w14:textFill>
              </w:rPr>
              <w:t>t/a</w:t>
            </w:r>
            <w:r>
              <w:rPr>
                <w:rFonts w:hint="eastAsia" w:cs="Times New Roman"/>
                <w:color w:val="000000" w:themeColor="text1"/>
                <w14:textFill>
                  <w14:solidFill>
                    <w14:schemeClr w14:val="tx1"/>
                  </w14:solidFill>
                </w14:textFill>
              </w:rPr>
              <w:t>）</w:t>
            </w:r>
          </w:p>
        </w:tc>
      </w:tr>
      <w:tr w14:paraId="5C3414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43" w:type="pct"/>
            <w:vMerge w:val="restart"/>
            <w:vAlign w:val="center"/>
          </w:tcPr>
          <w:p w14:paraId="0FA46ED1">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综合废水/污水处理站</w:t>
            </w:r>
          </w:p>
        </w:tc>
        <w:tc>
          <w:tcPr>
            <w:tcW w:w="166" w:type="pct"/>
            <w:vMerge w:val="restart"/>
            <w:vAlign w:val="center"/>
          </w:tcPr>
          <w:p w14:paraId="603FE7D9">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废水</w:t>
            </w:r>
          </w:p>
        </w:tc>
        <w:tc>
          <w:tcPr>
            <w:tcW w:w="352" w:type="pct"/>
            <w:vAlign w:val="center"/>
          </w:tcPr>
          <w:p w14:paraId="5EC0058A">
            <w:pPr>
              <w:pStyle w:val="143"/>
              <w:rPr>
                <w:rFonts w:eastAsia="等线" w:cs="Times New Roman"/>
                <w:color w:val="000000" w:themeColor="text1"/>
                <w14:textFill>
                  <w14:solidFill>
                    <w14:schemeClr w14:val="tx1"/>
                  </w14:solidFill>
                </w14:textFill>
              </w:rPr>
            </w:pPr>
            <w:r>
              <w:rPr>
                <w:rFonts w:hint="eastAsia" w:cs="Times New Roman"/>
                <w:snapToGrid w:val="0"/>
                <w:color w:val="000000" w:themeColor="text1"/>
                <w:lang w:val="en-US"/>
                <w14:textFill>
                  <w14:solidFill>
                    <w14:schemeClr w14:val="tx1"/>
                  </w14:solidFill>
                </w14:textFill>
              </w:rPr>
              <w:t>pH值</w:t>
            </w:r>
          </w:p>
        </w:tc>
        <w:tc>
          <w:tcPr>
            <w:tcW w:w="205" w:type="pct"/>
            <w:vMerge w:val="restart"/>
            <w:vAlign w:val="center"/>
          </w:tcPr>
          <w:p w14:paraId="66D730F6">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类比法</w:t>
            </w:r>
          </w:p>
        </w:tc>
        <w:tc>
          <w:tcPr>
            <w:tcW w:w="669" w:type="pct"/>
            <w:vMerge w:val="restart"/>
            <w:vAlign w:val="center"/>
          </w:tcPr>
          <w:p w14:paraId="6FC40038">
            <w:pPr>
              <w:pStyle w:val="143"/>
              <w:rPr>
                <w:rFonts w:eastAsia="等线" w:cs="Times New Roman"/>
                <w:color w:val="000000" w:themeColor="text1"/>
                <w14:textFill>
                  <w14:solidFill>
                    <w14:schemeClr w14:val="tx1"/>
                  </w14:solidFill>
                </w14:textFill>
              </w:rPr>
            </w:pPr>
            <w:r>
              <w:rPr>
                <w:rFonts w:hint="eastAsia" w:eastAsia="等线" w:cs="Times New Roman"/>
                <w:color w:val="000000" w:themeColor="text1"/>
                <w:lang w:eastAsia="zh-CN"/>
                <w14:textFill>
                  <w14:solidFill>
                    <w14:schemeClr w14:val="tx1"/>
                  </w14:solidFill>
                </w14:textFill>
              </w:rPr>
              <w:t>37067.84</w:t>
            </w:r>
            <w:r>
              <w:rPr>
                <w:rFonts w:eastAsia="等线" w:cs="Times New Roman"/>
                <w:color w:val="000000" w:themeColor="text1"/>
                <w14:textFill>
                  <w14:solidFill>
                    <w14:schemeClr w14:val="tx1"/>
                  </w14:solidFill>
                </w14:textFill>
              </w:rPr>
              <w:t>m</w:t>
            </w:r>
            <w:r>
              <w:rPr>
                <w:rFonts w:eastAsia="等线" w:cs="Times New Roman"/>
                <w:color w:val="000000" w:themeColor="text1"/>
                <w:vertAlign w:val="superscript"/>
                <w14:textFill>
                  <w14:solidFill>
                    <w14:schemeClr w14:val="tx1"/>
                  </w14:solidFill>
                </w14:textFill>
              </w:rPr>
              <w:t>3</w:t>
            </w:r>
            <w:r>
              <w:rPr>
                <w:rFonts w:eastAsia="等线" w:cs="Times New Roman"/>
                <w:color w:val="000000" w:themeColor="text1"/>
                <w14:textFill>
                  <w14:solidFill>
                    <w14:schemeClr w14:val="tx1"/>
                  </w14:solidFill>
                </w14:textFill>
              </w:rPr>
              <w:t>/a</w:t>
            </w:r>
          </w:p>
        </w:tc>
        <w:tc>
          <w:tcPr>
            <w:tcW w:w="939" w:type="pct"/>
            <w:gridSpan w:val="2"/>
            <w:vAlign w:val="center"/>
          </w:tcPr>
          <w:p w14:paraId="200E9E7C">
            <w:pPr>
              <w:pStyle w:val="143"/>
              <w:rPr>
                <w:rFonts w:eastAsia="等线" w:cs="Times New Roman"/>
                <w:color w:val="000000" w:themeColor="text1"/>
                <w:lang w:eastAsia="zh-CN"/>
                <w14:textFill>
                  <w14:solidFill>
                    <w14:schemeClr w14:val="tx1"/>
                  </w14:solidFill>
                </w14:textFill>
              </w:rPr>
            </w:pPr>
            <w:r>
              <w:rPr>
                <w:rFonts w:hint="eastAsia" w:eastAsia="等线" w:cs="Times New Roman"/>
                <w:color w:val="000000" w:themeColor="text1"/>
                <w:lang w:eastAsia="zh-CN"/>
                <w14:textFill>
                  <w14:solidFill>
                    <w14:schemeClr w14:val="tx1"/>
                  </w14:solidFill>
                </w14:textFill>
              </w:rPr>
              <w:t>5</w:t>
            </w:r>
            <w:r>
              <w:rPr>
                <w:rFonts w:eastAsia="等线" w:cs="Times New Roman"/>
                <w:color w:val="000000" w:themeColor="text1"/>
                <w:lang w:eastAsia="zh-CN"/>
                <w14:textFill>
                  <w14:solidFill>
                    <w14:schemeClr w14:val="tx1"/>
                  </w14:solidFill>
                </w14:textFill>
              </w:rPr>
              <w:t>.5~11</w:t>
            </w:r>
          </w:p>
        </w:tc>
        <w:tc>
          <w:tcPr>
            <w:tcW w:w="726" w:type="pct"/>
            <w:vMerge w:val="restart"/>
            <w:vAlign w:val="center"/>
          </w:tcPr>
          <w:p w14:paraId="01F3DD27">
            <w:pPr>
              <w:pStyle w:val="143"/>
              <w:rPr>
                <w:rFonts w:cs="Times New Roman"/>
                <w:color w:val="000000" w:themeColor="text1"/>
                <w14:textFill>
                  <w14:solidFill>
                    <w14:schemeClr w14:val="tx1"/>
                  </w14:solidFill>
                </w14:textFill>
              </w:rPr>
            </w:pPr>
            <w:r>
              <w:rPr>
                <w:rFonts w:hint="eastAsia" w:cs="Times New Roman"/>
                <w:color w:val="000000" w:themeColor="text1"/>
                <w:lang w:val="en-US"/>
                <w14:textFill>
                  <w14:solidFill>
                    <w14:schemeClr w14:val="tx1"/>
                  </w14:solidFill>
                </w14:textFill>
              </w:rPr>
              <w:t>初沉池+调节池+UASB+</w:t>
            </w:r>
            <w:r>
              <w:rPr>
                <w:rFonts w:hint="eastAsia" w:cs="Times New Roman"/>
                <w:color w:val="000000" w:themeColor="text1"/>
                <w:lang w:val="en-US" w:eastAsia="zh-CN"/>
                <w14:textFill>
                  <w14:solidFill>
                    <w14:schemeClr w14:val="tx1"/>
                  </w14:solidFill>
                </w14:textFill>
              </w:rPr>
              <w:t>A/O</w:t>
            </w:r>
            <w:r>
              <w:rPr>
                <w:rFonts w:hint="eastAsia" w:cs="Times New Roman"/>
                <w:color w:val="000000" w:themeColor="text1"/>
                <w:lang w:val="en-US"/>
                <w14:textFill>
                  <w14:solidFill>
                    <w14:schemeClr w14:val="tx1"/>
                  </w14:solidFill>
                </w14:textFill>
              </w:rPr>
              <w:t>+二沉池+污泥池</w:t>
            </w:r>
          </w:p>
        </w:tc>
        <w:tc>
          <w:tcPr>
            <w:tcW w:w="309" w:type="pct"/>
            <w:vAlign w:val="center"/>
          </w:tcPr>
          <w:p w14:paraId="43F9B3E0">
            <w:pPr>
              <w:pStyle w:val="143"/>
              <w:rPr>
                <w:rFonts w:eastAsia="等线" w:cs="Times New Roman"/>
                <w:color w:val="000000" w:themeColor="text1"/>
                <w:lang w:eastAsia="zh-CN"/>
                <w14:textFill>
                  <w14:solidFill>
                    <w14:schemeClr w14:val="tx1"/>
                  </w14:solidFill>
                </w14:textFill>
              </w:rPr>
            </w:pPr>
            <w:r>
              <w:rPr>
                <w:rFonts w:hint="eastAsia" w:eastAsia="等线" w:cs="Times New Roman"/>
                <w:color w:val="000000" w:themeColor="text1"/>
                <w:lang w:eastAsia="zh-CN"/>
                <w14:textFill>
                  <w14:solidFill>
                    <w14:schemeClr w14:val="tx1"/>
                  </w14:solidFill>
                </w14:textFill>
              </w:rPr>
              <w:t>/</w:t>
            </w:r>
          </w:p>
        </w:tc>
        <w:tc>
          <w:tcPr>
            <w:tcW w:w="581" w:type="pct"/>
            <w:vMerge w:val="restart"/>
            <w:vAlign w:val="center"/>
          </w:tcPr>
          <w:p w14:paraId="6FA083DC">
            <w:pPr>
              <w:pStyle w:val="143"/>
              <w:rPr>
                <w:rFonts w:eastAsia="等线" w:cs="Times New Roman"/>
                <w:color w:val="000000" w:themeColor="text1"/>
                <w14:textFill>
                  <w14:solidFill>
                    <w14:schemeClr w14:val="tx1"/>
                  </w14:solidFill>
                </w14:textFill>
              </w:rPr>
            </w:pPr>
            <w:r>
              <w:rPr>
                <w:rFonts w:hint="eastAsia" w:eastAsia="等线" w:cs="Times New Roman"/>
                <w:color w:val="000000" w:themeColor="text1"/>
                <w:lang w:val="en-US" w:eastAsia="zh-CN"/>
                <w14:textFill>
                  <w14:solidFill>
                    <w14:schemeClr w14:val="tx1"/>
                  </w14:solidFill>
                </w14:textFill>
              </w:rPr>
              <w:t>37067.84</w:t>
            </w:r>
            <w:r>
              <w:rPr>
                <w:rFonts w:eastAsia="等线" w:cs="Times New Roman"/>
                <w:color w:val="000000" w:themeColor="text1"/>
                <w:lang w:val="en-US"/>
                <w14:textFill>
                  <w14:solidFill>
                    <w14:schemeClr w14:val="tx1"/>
                  </w14:solidFill>
                </w14:textFill>
              </w:rPr>
              <w:t>m</w:t>
            </w:r>
            <w:r>
              <w:rPr>
                <w:rFonts w:eastAsia="等线" w:cs="Times New Roman"/>
                <w:color w:val="000000" w:themeColor="text1"/>
                <w:vertAlign w:val="superscript"/>
                <w:lang w:val="en-US"/>
                <w14:textFill>
                  <w14:solidFill>
                    <w14:schemeClr w14:val="tx1"/>
                  </w14:solidFill>
                </w14:textFill>
              </w:rPr>
              <w:t>3</w:t>
            </w:r>
            <w:r>
              <w:rPr>
                <w:rFonts w:eastAsia="等线" w:cs="Times New Roman"/>
                <w:color w:val="000000" w:themeColor="text1"/>
                <w:lang w:val="en-US"/>
                <w14:textFill>
                  <w14:solidFill>
                    <w14:schemeClr w14:val="tx1"/>
                  </w14:solidFill>
                </w14:textFill>
              </w:rPr>
              <w:t>/a</w:t>
            </w:r>
          </w:p>
        </w:tc>
        <w:tc>
          <w:tcPr>
            <w:tcW w:w="806" w:type="pct"/>
            <w:gridSpan w:val="2"/>
            <w:vAlign w:val="center"/>
          </w:tcPr>
          <w:p w14:paraId="691FED91">
            <w:pPr>
              <w:pStyle w:val="143"/>
              <w:rPr>
                <w:rFonts w:eastAsia="等线" w:cs="Times New Roman"/>
                <w:color w:val="000000" w:themeColor="text1"/>
                <w:lang w:eastAsia="zh-CN"/>
                <w14:textFill>
                  <w14:solidFill>
                    <w14:schemeClr w14:val="tx1"/>
                  </w14:solidFill>
                </w14:textFill>
              </w:rPr>
            </w:pPr>
            <w:r>
              <w:rPr>
                <w:rFonts w:hint="eastAsia" w:eastAsia="等线" w:cs="Times New Roman"/>
                <w:color w:val="000000" w:themeColor="text1"/>
                <w:lang w:eastAsia="zh-CN"/>
                <w14:textFill>
                  <w14:solidFill>
                    <w14:schemeClr w14:val="tx1"/>
                  </w14:solidFill>
                </w14:textFill>
              </w:rPr>
              <w:t>6</w:t>
            </w:r>
            <w:r>
              <w:rPr>
                <w:rFonts w:eastAsia="等线" w:cs="Times New Roman"/>
                <w:color w:val="000000" w:themeColor="text1"/>
                <w:lang w:eastAsia="zh-CN"/>
                <w14:textFill>
                  <w14:solidFill>
                    <w14:schemeClr w14:val="tx1"/>
                  </w14:solidFill>
                </w14:textFill>
              </w:rPr>
              <w:t>~9</w:t>
            </w:r>
          </w:p>
        </w:tc>
      </w:tr>
      <w:tr w14:paraId="26E48B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43" w:type="pct"/>
            <w:vMerge w:val="continue"/>
            <w:vAlign w:val="center"/>
          </w:tcPr>
          <w:p w14:paraId="406D5B4B">
            <w:pPr>
              <w:pStyle w:val="143"/>
              <w:rPr>
                <w:rFonts w:cs="Times New Roman"/>
                <w:color w:val="000000" w:themeColor="text1"/>
                <w14:textFill>
                  <w14:solidFill>
                    <w14:schemeClr w14:val="tx1"/>
                  </w14:solidFill>
                </w14:textFill>
              </w:rPr>
            </w:pPr>
          </w:p>
        </w:tc>
        <w:tc>
          <w:tcPr>
            <w:tcW w:w="166" w:type="pct"/>
            <w:vMerge w:val="continue"/>
            <w:vAlign w:val="center"/>
          </w:tcPr>
          <w:p w14:paraId="4AE473CF">
            <w:pPr>
              <w:pStyle w:val="143"/>
              <w:rPr>
                <w:rFonts w:cs="Times New Roman"/>
                <w:color w:val="000000" w:themeColor="text1"/>
                <w14:textFill>
                  <w14:solidFill>
                    <w14:schemeClr w14:val="tx1"/>
                  </w14:solidFill>
                </w14:textFill>
              </w:rPr>
            </w:pPr>
          </w:p>
        </w:tc>
        <w:tc>
          <w:tcPr>
            <w:tcW w:w="352" w:type="pct"/>
            <w:vAlign w:val="center"/>
          </w:tcPr>
          <w:p w14:paraId="3BA0EAA2">
            <w:pPr>
              <w:pStyle w:val="143"/>
              <w:rPr>
                <w:rFonts w:eastAsia="等线" w:cs="Times New Roman"/>
                <w:color w:val="000000" w:themeColor="text1"/>
                <w14:textFill>
                  <w14:solidFill>
                    <w14:schemeClr w14:val="tx1"/>
                  </w14:solidFill>
                </w14:textFill>
              </w:rPr>
            </w:pPr>
            <w:r>
              <w:rPr>
                <w:rFonts w:cs="Times New Roman"/>
                <w:snapToGrid w:val="0"/>
                <w:color w:val="000000" w:themeColor="text1"/>
                <w14:textFill>
                  <w14:solidFill>
                    <w14:schemeClr w14:val="tx1"/>
                  </w14:solidFill>
                </w14:textFill>
              </w:rPr>
              <w:t>COD</w:t>
            </w:r>
          </w:p>
        </w:tc>
        <w:tc>
          <w:tcPr>
            <w:tcW w:w="205" w:type="pct"/>
            <w:vMerge w:val="continue"/>
            <w:vAlign w:val="center"/>
          </w:tcPr>
          <w:p w14:paraId="352702EA">
            <w:pPr>
              <w:pStyle w:val="143"/>
              <w:rPr>
                <w:rFonts w:cs="Times New Roman"/>
                <w:color w:val="000000" w:themeColor="text1"/>
                <w14:textFill>
                  <w14:solidFill>
                    <w14:schemeClr w14:val="tx1"/>
                  </w14:solidFill>
                </w14:textFill>
              </w:rPr>
            </w:pPr>
          </w:p>
        </w:tc>
        <w:tc>
          <w:tcPr>
            <w:tcW w:w="669" w:type="pct"/>
            <w:vMerge w:val="continue"/>
            <w:vAlign w:val="center"/>
          </w:tcPr>
          <w:p w14:paraId="54BD17BF">
            <w:pPr>
              <w:pStyle w:val="143"/>
              <w:rPr>
                <w:rFonts w:eastAsia="等线" w:cs="Times New Roman"/>
                <w:color w:val="000000" w:themeColor="text1"/>
                <w14:textFill>
                  <w14:solidFill>
                    <w14:schemeClr w14:val="tx1"/>
                  </w14:solidFill>
                </w14:textFill>
              </w:rPr>
            </w:pPr>
          </w:p>
        </w:tc>
        <w:tc>
          <w:tcPr>
            <w:tcW w:w="526" w:type="pct"/>
            <w:vAlign w:val="center"/>
          </w:tcPr>
          <w:p w14:paraId="2D1061A5">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413" w:type="pct"/>
            <w:vAlign w:val="center"/>
          </w:tcPr>
          <w:p w14:paraId="163B791D">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92.67 </w:t>
            </w:r>
          </w:p>
        </w:tc>
        <w:tc>
          <w:tcPr>
            <w:tcW w:w="726" w:type="pct"/>
            <w:vMerge w:val="continue"/>
            <w:vAlign w:val="center"/>
          </w:tcPr>
          <w:p w14:paraId="335E8C1D">
            <w:pPr>
              <w:pStyle w:val="143"/>
              <w:rPr>
                <w:rFonts w:cs="Times New Roman"/>
                <w:color w:val="000000" w:themeColor="text1"/>
                <w14:textFill>
                  <w14:solidFill>
                    <w14:schemeClr w14:val="tx1"/>
                  </w14:solidFill>
                </w14:textFill>
              </w:rPr>
            </w:pPr>
          </w:p>
        </w:tc>
        <w:tc>
          <w:tcPr>
            <w:tcW w:w="864" w:type="dxa"/>
            <w:vAlign w:val="center"/>
          </w:tcPr>
          <w:p w14:paraId="64F8ED49">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95</w:t>
            </w:r>
            <w:r>
              <w:rPr>
                <w:rFonts w:cs="Times New Roman"/>
                <w:color w:val="000000" w:themeColor="text1"/>
                <w:szCs w:val="21"/>
                <w14:textFill>
                  <w14:solidFill>
                    <w14:schemeClr w14:val="tx1"/>
                  </w14:solidFill>
                </w14:textFill>
              </w:rPr>
              <w:t>%</w:t>
            </w:r>
          </w:p>
        </w:tc>
        <w:tc>
          <w:tcPr>
            <w:tcW w:w="581" w:type="pct"/>
            <w:vMerge w:val="continue"/>
            <w:vAlign w:val="center"/>
          </w:tcPr>
          <w:p w14:paraId="10B549D8">
            <w:pPr>
              <w:pStyle w:val="143"/>
              <w:rPr>
                <w:rFonts w:eastAsia="等线" w:cs="Times New Roman"/>
                <w:color w:val="000000" w:themeColor="text1"/>
                <w14:textFill>
                  <w14:solidFill>
                    <w14:schemeClr w14:val="tx1"/>
                  </w14:solidFill>
                </w14:textFill>
              </w:rPr>
            </w:pPr>
          </w:p>
        </w:tc>
        <w:tc>
          <w:tcPr>
            <w:tcW w:w="1092" w:type="dxa"/>
            <w:vAlign w:val="center"/>
          </w:tcPr>
          <w:p w14:paraId="5F234643">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125</w:t>
            </w:r>
          </w:p>
        </w:tc>
        <w:tc>
          <w:tcPr>
            <w:tcW w:w="1159" w:type="dxa"/>
            <w:vAlign w:val="center"/>
          </w:tcPr>
          <w:p w14:paraId="2558E443">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4.63</w:t>
            </w:r>
          </w:p>
        </w:tc>
      </w:tr>
      <w:tr w14:paraId="462F9B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43" w:type="pct"/>
            <w:vMerge w:val="continue"/>
            <w:vAlign w:val="center"/>
          </w:tcPr>
          <w:p w14:paraId="68AF896A">
            <w:pPr>
              <w:pStyle w:val="143"/>
              <w:rPr>
                <w:rFonts w:cs="Times New Roman"/>
                <w:color w:val="000000" w:themeColor="text1"/>
                <w14:textFill>
                  <w14:solidFill>
                    <w14:schemeClr w14:val="tx1"/>
                  </w14:solidFill>
                </w14:textFill>
              </w:rPr>
            </w:pPr>
          </w:p>
        </w:tc>
        <w:tc>
          <w:tcPr>
            <w:tcW w:w="166" w:type="pct"/>
            <w:vMerge w:val="continue"/>
            <w:vAlign w:val="center"/>
          </w:tcPr>
          <w:p w14:paraId="03393E72">
            <w:pPr>
              <w:pStyle w:val="143"/>
              <w:rPr>
                <w:rFonts w:cs="Times New Roman"/>
                <w:color w:val="000000" w:themeColor="text1"/>
                <w14:textFill>
                  <w14:solidFill>
                    <w14:schemeClr w14:val="tx1"/>
                  </w14:solidFill>
                </w14:textFill>
              </w:rPr>
            </w:pPr>
          </w:p>
        </w:tc>
        <w:tc>
          <w:tcPr>
            <w:tcW w:w="352" w:type="pct"/>
            <w:vAlign w:val="center"/>
          </w:tcPr>
          <w:p w14:paraId="05F6D70A">
            <w:pPr>
              <w:pStyle w:val="143"/>
              <w:rPr>
                <w:rFonts w:eastAsia="等线" w:cs="Times New Roman"/>
                <w:color w:val="000000" w:themeColor="text1"/>
                <w14:textFill>
                  <w14:solidFill>
                    <w14:schemeClr w14:val="tx1"/>
                  </w14:solidFill>
                </w14:textFill>
              </w:rPr>
            </w:pPr>
            <w:r>
              <w:rPr>
                <w:rFonts w:hint="eastAsia" w:cs="Times New Roman"/>
                <w:snapToGrid w:val="0"/>
                <w:color w:val="000000" w:themeColor="text1"/>
                <w:lang w:eastAsia="zh-CN"/>
                <w14:textFill>
                  <w14:solidFill>
                    <w14:schemeClr w14:val="tx1"/>
                  </w14:solidFill>
                </w14:textFill>
              </w:rPr>
              <w:t>B</w:t>
            </w:r>
            <w:r>
              <w:rPr>
                <w:rFonts w:cs="Times New Roman"/>
                <w:snapToGrid w:val="0"/>
                <w:color w:val="000000" w:themeColor="text1"/>
                <w:lang w:eastAsia="zh-CN"/>
                <w14:textFill>
                  <w14:solidFill>
                    <w14:schemeClr w14:val="tx1"/>
                  </w14:solidFill>
                </w14:textFill>
              </w:rPr>
              <w:t>OD</w:t>
            </w:r>
            <w:r>
              <w:rPr>
                <w:rFonts w:cs="Times New Roman"/>
                <w:snapToGrid w:val="0"/>
                <w:color w:val="000000" w:themeColor="text1"/>
                <w:vertAlign w:val="subscript"/>
                <w:lang w:eastAsia="zh-CN"/>
                <w14:textFill>
                  <w14:solidFill>
                    <w14:schemeClr w14:val="tx1"/>
                  </w14:solidFill>
                </w14:textFill>
              </w:rPr>
              <w:t>5</w:t>
            </w:r>
          </w:p>
        </w:tc>
        <w:tc>
          <w:tcPr>
            <w:tcW w:w="205" w:type="pct"/>
            <w:vMerge w:val="continue"/>
            <w:vAlign w:val="center"/>
          </w:tcPr>
          <w:p w14:paraId="6470A0F3">
            <w:pPr>
              <w:pStyle w:val="143"/>
              <w:rPr>
                <w:rFonts w:cs="Times New Roman"/>
                <w:color w:val="000000" w:themeColor="text1"/>
                <w14:textFill>
                  <w14:solidFill>
                    <w14:schemeClr w14:val="tx1"/>
                  </w14:solidFill>
                </w14:textFill>
              </w:rPr>
            </w:pPr>
          </w:p>
        </w:tc>
        <w:tc>
          <w:tcPr>
            <w:tcW w:w="669" w:type="pct"/>
            <w:vMerge w:val="continue"/>
            <w:vAlign w:val="center"/>
          </w:tcPr>
          <w:p w14:paraId="585DB37D">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55226871">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1500</w:t>
            </w:r>
          </w:p>
        </w:tc>
        <w:tc>
          <w:tcPr>
            <w:tcW w:w="413" w:type="pct"/>
            <w:vAlign w:val="center"/>
          </w:tcPr>
          <w:p w14:paraId="471BD368">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55.60 </w:t>
            </w:r>
          </w:p>
        </w:tc>
        <w:tc>
          <w:tcPr>
            <w:tcW w:w="726" w:type="pct"/>
            <w:vMerge w:val="continue"/>
            <w:vAlign w:val="center"/>
          </w:tcPr>
          <w:p w14:paraId="33A85D20">
            <w:pPr>
              <w:pStyle w:val="143"/>
              <w:rPr>
                <w:rFonts w:cs="Times New Roman"/>
                <w:color w:val="000000" w:themeColor="text1"/>
                <w14:textFill>
                  <w14:solidFill>
                    <w14:schemeClr w14:val="tx1"/>
                  </w14:solidFill>
                </w14:textFill>
              </w:rPr>
            </w:pPr>
          </w:p>
        </w:tc>
        <w:tc>
          <w:tcPr>
            <w:tcW w:w="864" w:type="dxa"/>
            <w:vAlign w:val="center"/>
          </w:tcPr>
          <w:p w14:paraId="05C8F167">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98</w:t>
            </w:r>
            <w:r>
              <w:rPr>
                <w:rFonts w:cs="Times New Roman"/>
                <w:color w:val="000000" w:themeColor="text1"/>
                <w:szCs w:val="21"/>
                <w14:textFill>
                  <w14:solidFill>
                    <w14:schemeClr w14:val="tx1"/>
                  </w14:solidFill>
                </w14:textFill>
              </w:rPr>
              <w:t>%</w:t>
            </w:r>
          </w:p>
        </w:tc>
        <w:tc>
          <w:tcPr>
            <w:tcW w:w="581" w:type="pct"/>
            <w:vMerge w:val="continue"/>
            <w:vAlign w:val="center"/>
          </w:tcPr>
          <w:p w14:paraId="547EF9F5">
            <w:pPr>
              <w:pStyle w:val="143"/>
              <w:rPr>
                <w:rFonts w:eastAsia="等线" w:cs="Times New Roman"/>
                <w:color w:val="000000" w:themeColor="text1"/>
                <w14:textFill>
                  <w14:solidFill>
                    <w14:schemeClr w14:val="tx1"/>
                  </w14:solidFill>
                </w14:textFill>
              </w:rPr>
            </w:pPr>
          </w:p>
        </w:tc>
        <w:tc>
          <w:tcPr>
            <w:tcW w:w="1092" w:type="dxa"/>
            <w:vAlign w:val="center"/>
          </w:tcPr>
          <w:p w14:paraId="74E1A3C4">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30</w:t>
            </w:r>
          </w:p>
        </w:tc>
        <w:tc>
          <w:tcPr>
            <w:tcW w:w="1159" w:type="dxa"/>
            <w:vAlign w:val="center"/>
          </w:tcPr>
          <w:p w14:paraId="7C94E16A">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1.11</w:t>
            </w:r>
          </w:p>
        </w:tc>
      </w:tr>
      <w:tr w14:paraId="0D0A3D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2CE94CE2">
            <w:pPr>
              <w:pStyle w:val="143"/>
              <w:rPr>
                <w:rFonts w:cs="Times New Roman"/>
                <w:color w:val="000000" w:themeColor="text1"/>
                <w14:textFill>
                  <w14:solidFill>
                    <w14:schemeClr w14:val="tx1"/>
                  </w14:solidFill>
                </w14:textFill>
              </w:rPr>
            </w:pPr>
          </w:p>
        </w:tc>
        <w:tc>
          <w:tcPr>
            <w:tcW w:w="166" w:type="pct"/>
            <w:vMerge w:val="continue"/>
            <w:vAlign w:val="center"/>
          </w:tcPr>
          <w:p w14:paraId="7577A21C">
            <w:pPr>
              <w:pStyle w:val="143"/>
              <w:rPr>
                <w:rFonts w:cs="Times New Roman"/>
                <w:color w:val="000000" w:themeColor="text1"/>
                <w14:textFill>
                  <w14:solidFill>
                    <w14:schemeClr w14:val="tx1"/>
                  </w14:solidFill>
                </w14:textFill>
              </w:rPr>
            </w:pPr>
          </w:p>
        </w:tc>
        <w:tc>
          <w:tcPr>
            <w:tcW w:w="352" w:type="pct"/>
            <w:vAlign w:val="center"/>
          </w:tcPr>
          <w:p w14:paraId="3543765B">
            <w:pPr>
              <w:pStyle w:val="143"/>
              <w:rPr>
                <w:rFonts w:eastAsia="等线" w:cs="Times New Roman"/>
                <w:color w:val="000000" w:themeColor="text1"/>
                <w14:textFill>
                  <w14:solidFill>
                    <w14:schemeClr w14:val="tx1"/>
                  </w14:solidFill>
                </w14:textFill>
              </w:rPr>
            </w:pPr>
            <w:r>
              <w:rPr>
                <w:rFonts w:hint="eastAsia" w:cs="Times New Roman"/>
                <w:snapToGrid w:val="0"/>
                <w:color w:val="000000" w:themeColor="text1"/>
                <w:lang w:eastAsia="zh-CN"/>
                <w14:textFill>
                  <w14:solidFill>
                    <w14:schemeClr w14:val="tx1"/>
                  </w14:solidFill>
                </w14:textFill>
              </w:rPr>
              <w:t>S</w:t>
            </w:r>
            <w:r>
              <w:rPr>
                <w:rFonts w:cs="Times New Roman"/>
                <w:snapToGrid w:val="0"/>
                <w:color w:val="000000" w:themeColor="text1"/>
                <w:lang w:eastAsia="zh-CN"/>
                <w14:textFill>
                  <w14:solidFill>
                    <w14:schemeClr w14:val="tx1"/>
                  </w14:solidFill>
                </w14:textFill>
              </w:rPr>
              <w:t>S</w:t>
            </w:r>
          </w:p>
        </w:tc>
        <w:tc>
          <w:tcPr>
            <w:tcW w:w="205" w:type="pct"/>
            <w:vMerge w:val="continue"/>
            <w:vAlign w:val="center"/>
          </w:tcPr>
          <w:p w14:paraId="431346C4">
            <w:pPr>
              <w:pStyle w:val="143"/>
              <w:rPr>
                <w:rFonts w:cs="Times New Roman"/>
                <w:color w:val="000000" w:themeColor="text1"/>
                <w14:textFill>
                  <w14:solidFill>
                    <w14:schemeClr w14:val="tx1"/>
                  </w14:solidFill>
                </w14:textFill>
              </w:rPr>
            </w:pPr>
          </w:p>
        </w:tc>
        <w:tc>
          <w:tcPr>
            <w:tcW w:w="669" w:type="pct"/>
            <w:vMerge w:val="continue"/>
            <w:vAlign w:val="center"/>
          </w:tcPr>
          <w:p w14:paraId="4BC8B1DB">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01292203">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7</w:t>
            </w:r>
            <w:r>
              <w:rPr>
                <w:color w:val="000000" w:themeColor="text1"/>
                <w:lang w:val="en-US" w:eastAsia="zh-CN"/>
                <w14:textFill>
                  <w14:solidFill>
                    <w14:schemeClr w14:val="tx1"/>
                  </w14:solidFill>
                </w14:textFill>
              </w:rPr>
              <w:t>00</w:t>
            </w:r>
          </w:p>
        </w:tc>
        <w:tc>
          <w:tcPr>
            <w:tcW w:w="413" w:type="pct"/>
            <w:vAlign w:val="center"/>
          </w:tcPr>
          <w:p w14:paraId="1278E5F5">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25.95 </w:t>
            </w:r>
          </w:p>
        </w:tc>
        <w:tc>
          <w:tcPr>
            <w:tcW w:w="726" w:type="pct"/>
            <w:vMerge w:val="continue"/>
            <w:vAlign w:val="center"/>
          </w:tcPr>
          <w:p w14:paraId="378F8A86">
            <w:pPr>
              <w:pStyle w:val="143"/>
              <w:rPr>
                <w:rFonts w:cs="Times New Roman"/>
                <w:color w:val="000000" w:themeColor="text1"/>
                <w14:textFill>
                  <w14:solidFill>
                    <w14:schemeClr w14:val="tx1"/>
                  </w14:solidFill>
                </w14:textFill>
              </w:rPr>
            </w:pPr>
          </w:p>
        </w:tc>
        <w:tc>
          <w:tcPr>
            <w:tcW w:w="864" w:type="dxa"/>
            <w:vAlign w:val="center"/>
          </w:tcPr>
          <w:p w14:paraId="0D07DF4A">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97</w:t>
            </w:r>
            <w:r>
              <w:rPr>
                <w:rFonts w:cs="Times New Roman"/>
                <w:color w:val="000000" w:themeColor="text1"/>
                <w:szCs w:val="21"/>
                <w14:textFill>
                  <w14:solidFill>
                    <w14:schemeClr w14:val="tx1"/>
                  </w14:solidFill>
                </w14:textFill>
              </w:rPr>
              <w:t>%</w:t>
            </w:r>
          </w:p>
        </w:tc>
        <w:tc>
          <w:tcPr>
            <w:tcW w:w="581" w:type="pct"/>
            <w:vMerge w:val="continue"/>
            <w:vAlign w:val="center"/>
          </w:tcPr>
          <w:p w14:paraId="760D3448">
            <w:pPr>
              <w:pStyle w:val="143"/>
              <w:rPr>
                <w:rFonts w:eastAsia="等线" w:cs="Times New Roman"/>
                <w:color w:val="000000" w:themeColor="text1"/>
                <w14:textFill>
                  <w14:solidFill>
                    <w14:schemeClr w14:val="tx1"/>
                  </w14:solidFill>
                </w14:textFill>
              </w:rPr>
            </w:pPr>
          </w:p>
        </w:tc>
        <w:tc>
          <w:tcPr>
            <w:tcW w:w="1092" w:type="dxa"/>
            <w:vAlign w:val="center"/>
          </w:tcPr>
          <w:p w14:paraId="7EAF0CFA">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21</w:t>
            </w:r>
          </w:p>
        </w:tc>
        <w:tc>
          <w:tcPr>
            <w:tcW w:w="1159" w:type="dxa"/>
            <w:vAlign w:val="center"/>
          </w:tcPr>
          <w:p w14:paraId="7797D9CE">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0.78</w:t>
            </w:r>
          </w:p>
        </w:tc>
      </w:tr>
      <w:tr w14:paraId="36BE25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3D87B15F">
            <w:pPr>
              <w:pStyle w:val="143"/>
              <w:rPr>
                <w:rFonts w:cs="Times New Roman"/>
                <w:color w:val="000000" w:themeColor="text1"/>
                <w14:textFill>
                  <w14:solidFill>
                    <w14:schemeClr w14:val="tx1"/>
                  </w14:solidFill>
                </w14:textFill>
              </w:rPr>
            </w:pPr>
          </w:p>
        </w:tc>
        <w:tc>
          <w:tcPr>
            <w:tcW w:w="166" w:type="pct"/>
            <w:vMerge w:val="continue"/>
            <w:vAlign w:val="center"/>
          </w:tcPr>
          <w:p w14:paraId="7B620856">
            <w:pPr>
              <w:pStyle w:val="143"/>
              <w:rPr>
                <w:rFonts w:cs="Times New Roman"/>
                <w:color w:val="000000" w:themeColor="text1"/>
                <w14:textFill>
                  <w14:solidFill>
                    <w14:schemeClr w14:val="tx1"/>
                  </w14:solidFill>
                </w14:textFill>
              </w:rPr>
            </w:pPr>
          </w:p>
        </w:tc>
        <w:tc>
          <w:tcPr>
            <w:tcW w:w="352" w:type="pct"/>
            <w:vAlign w:val="center"/>
          </w:tcPr>
          <w:p w14:paraId="168C1EE3">
            <w:pPr>
              <w:pStyle w:val="143"/>
              <w:rPr>
                <w:rFonts w:eastAsia="等线" w:cs="Times New Roman"/>
                <w:color w:val="000000" w:themeColor="text1"/>
                <w14:textFill>
                  <w14:solidFill>
                    <w14:schemeClr w14:val="tx1"/>
                  </w14:solidFill>
                </w14:textFill>
              </w:rPr>
            </w:pPr>
            <w:r>
              <w:rPr>
                <w:rFonts w:cs="Times New Roman"/>
                <w:snapToGrid w:val="0"/>
                <w:color w:val="000000" w:themeColor="text1"/>
                <w:lang w:val="en-US" w:eastAsia="zh-CN"/>
                <w14:textFill>
                  <w14:solidFill>
                    <w14:schemeClr w14:val="tx1"/>
                  </w14:solidFill>
                </w14:textFill>
              </w:rPr>
              <w:t>NH</w:t>
            </w:r>
            <w:r>
              <w:rPr>
                <w:rFonts w:cs="Times New Roman"/>
                <w:snapToGrid w:val="0"/>
                <w:color w:val="000000" w:themeColor="text1"/>
                <w:vertAlign w:val="subscript"/>
                <w:lang w:val="en-US" w:eastAsia="zh-CN"/>
                <w14:textFill>
                  <w14:solidFill>
                    <w14:schemeClr w14:val="tx1"/>
                  </w14:solidFill>
                </w14:textFill>
              </w:rPr>
              <w:t>3</w:t>
            </w:r>
            <w:r>
              <w:rPr>
                <w:rFonts w:cs="Times New Roman"/>
                <w:snapToGrid w:val="0"/>
                <w:color w:val="000000" w:themeColor="text1"/>
                <w:lang w:val="en-US" w:eastAsia="zh-CN"/>
                <w14:textFill>
                  <w14:solidFill>
                    <w14:schemeClr w14:val="tx1"/>
                  </w14:solidFill>
                </w14:textFill>
              </w:rPr>
              <w:t>-N</w:t>
            </w:r>
          </w:p>
        </w:tc>
        <w:tc>
          <w:tcPr>
            <w:tcW w:w="205" w:type="pct"/>
            <w:vMerge w:val="continue"/>
            <w:vAlign w:val="center"/>
          </w:tcPr>
          <w:p w14:paraId="55AD4592">
            <w:pPr>
              <w:pStyle w:val="143"/>
              <w:rPr>
                <w:rFonts w:cs="Times New Roman"/>
                <w:color w:val="000000" w:themeColor="text1"/>
                <w14:textFill>
                  <w14:solidFill>
                    <w14:schemeClr w14:val="tx1"/>
                  </w14:solidFill>
                </w14:textFill>
              </w:rPr>
            </w:pPr>
          </w:p>
        </w:tc>
        <w:tc>
          <w:tcPr>
            <w:tcW w:w="669" w:type="pct"/>
            <w:vMerge w:val="continue"/>
            <w:vAlign w:val="center"/>
          </w:tcPr>
          <w:p w14:paraId="17BE38D4">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7A7B8666">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90</w:t>
            </w:r>
          </w:p>
        </w:tc>
        <w:tc>
          <w:tcPr>
            <w:tcW w:w="413" w:type="pct"/>
            <w:vAlign w:val="center"/>
          </w:tcPr>
          <w:p w14:paraId="409837E9">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3.34 </w:t>
            </w:r>
          </w:p>
        </w:tc>
        <w:tc>
          <w:tcPr>
            <w:tcW w:w="726" w:type="pct"/>
            <w:vMerge w:val="continue"/>
            <w:vAlign w:val="center"/>
          </w:tcPr>
          <w:p w14:paraId="186A6C88">
            <w:pPr>
              <w:pStyle w:val="143"/>
              <w:rPr>
                <w:rFonts w:cs="Times New Roman"/>
                <w:color w:val="000000" w:themeColor="text1"/>
                <w14:textFill>
                  <w14:solidFill>
                    <w14:schemeClr w14:val="tx1"/>
                  </w14:solidFill>
                </w14:textFill>
              </w:rPr>
            </w:pPr>
          </w:p>
        </w:tc>
        <w:tc>
          <w:tcPr>
            <w:tcW w:w="864" w:type="dxa"/>
            <w:vAlign w:val="center"/>
          </w:tcPr>
          <w:p w14:paraId="7A1174BE">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85</w:t>
            </w:r>
            <w:r>
              <w:rPr>
                <w:rFonts w:cs="Times New Roman"/>
                <w:color w:val="000000" w:themeColor="text1"/>
                <w:szCs w:val="21"/>
                <w14:textFill>
                  <w14:solidFill>
                    <w14:schemeClr w14:val="tx1"/>
                  </w14:solidFill>
                </w14:textFill>
              </w:rPr>
              <w:t>%</w:t>
            </w:r>
          </w:p>
        </w:tc>
        <w:tc>
          <w:tcPr>
            <w:tcW w:w="581" w:type="pct"/>
            <w:vMerge w:val="continue"/>
            <w:vAlign w:val="center"/>
          </w:tcPr>
          <w:p w14:paraId="1FEB55D7">
            <w:pPr>
              <w:pStyle w:val="143"/>
              <w:rPr>
                <w:rFonts w:eastAsia="等线" w:cs="Times New Roman"/>
                <w:color w:val="000000" w:themeColor="text1"/>
                <w14:textFill>
                  <w14:solidFill>
                    <w14:schemeClr w14:val="tx1"/>
                  </w14:solidFill>
                </w14:textFill>
              </w:rPr>
            </w:pPr>
          </w:p>
        </w:tc>
        <w:tc>
          <w:tcPr>
            <w:tcW w:w="1092" w:type="dxa"/>
            <w:vAlign w:val="center"/>
          </w:tcPr>
          <w:p w14:paraId="33F7AE7C">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13.5</w:t>
            </w:r>
          </w:p>
        </w:tc>
        <w:tc>
          <w:tcPr>
            <w:tcW w:w="1159" w:type="dxa"/>
            <w:vAlign w:val="center"/>
          </w:tcPr>
          <w:p w14:paraId="3EF0AED7">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0.50</w:t>
            </w:r>
          </w:p>
        </w:tc>
      </w:tr>
      <w:tr w14:paraId="4717AB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68218359">
            <w:pPr>
              <w:pStyle w:val="143"/>
              <w:rPr>
                <w:rFonts w:cs="Times New Roman"/>
                <w:color w:val="000000" w:themeColor="text1"/>
                <w14:textFill>
                  <w14:solidFill>
                    <w14:schemeClr w14:val="tx1"/>
                  </w14:solidFill>
                </w14:textFill>
              </w:rPr>
            </w:pPr>
          </w:p>
        </w:tc>
        <w:tc>
          <w:tcPr>
            <w:tcW w:w="166" w:type="pct"/>
            <w:vMerge w:val="continue"/>
            <w:vAlign w:val="center"/>
          </w:tcPr>
          <w:p w14:paraId="6B5A3411">
            <w:pPr>
              <w:pStyle w:val="143"/>
              <w:rPr>
                <w:rFonts w:cs="Times New Roman"/>
                <w:color w:val="000000" w:themeColor="text1"/>
                <w14:textFill>
                  <w14:solidFill>
                    <w14:schemeClr w14:val="tx1"/>
                  </w14:solidFill>
                </w14:textFill>
              </w:rPr>
            </w:pPr>
          </w:p>
        </w:tc>
        <w:tc>
          <w:tcPr>
            <w:tcW w:w="352" w:type="pct"/>
            <w:vAlign w:val="center"/>
          </w:tcPr>
          <w:p w14:paraId="2A3A1AF3">
            <w:pPr>
              <w:pStyle w:val="143"/>
              <w:rPr>
                <w:rFonts w:eastAsia="等线" w:cs="Times New Roman"/>
                <w:color w:val="000000" w:themeColor="text1"/>
                <w14:textFill>
                  <w14:solidFill>
                    <w14:schemeClr w14:val="tx1"/>
                  </w14:solidFill>
                </w14:textFill>
              </w:rPr>
            </w:pPr>
            <w:r>
              <w:rPr>
                <w:rFonts w:hint="eastAsia" w:cs="Times New Roman"/>
                <w:snapToGrid w:val="0"/>
                <w:color w:val="000000" w:themeColor="text1"/>
                <w14:textFill>
                  <w14:solidFill>
                    <w14:schemeClr w14:val="tx1"/>
                  </w14:solidFill>
                </w14:textFill>
              </w:rPr>
              <w:t>T</w:t>
            </w:r>
            <w:r>
              <w:rPr>
                <w:rFonts w:cs="Times New Roman"/>
                <w:snapToGrid w:val="0"/>
                <w:color w:val="000000" w:themeColor="text1"/>
                <w14:textFill>
                  <w14:solidFill>
                    <w14:schemeClr w14:val="tx1"/>
                  </w14:solidFill>
                </w14:textFill>
              </w:rPr>
              <w:t>P</w:t>
            </w:r>
          </w:p>
        </w:tc>
        <w:tc>
          <w:tcPr>
            <w:tcW w:w="205" w:type="pct"/>
            <w:vMerge w:val="continue"/>
            <w:vAlign w:val="center"/>
          </w:tcPr>
          <w:p w14:paraId="0D08B1B3">
            <w:pPr>
              <w:pStyle w:val="143"/>
              <w:rPr>
                <w:rFonts w:cs="Times New Roman"/>
                <w:color w:val="000000" w:themeColor="text1"/>
                <w14:textFill>
                  <w14:solidFill>
                    <w14:schemeClr w14:val="tx1"/>
                  </w14:solidFill>
                </w14:textFill>
              </w:rPr>
            </w:pPr>
          </w:p>
        </w:tc>
        <w:tc>
          <w:tcPr>
            <w:tcW w:w="669" w:type="pct"/>
            <w:vMerge w:val="continue"/>
            <w:vAlign w:val="center"/>
          </w:tcPr>
          <w:p w14:paraId="3411772D">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362D26BD">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413" w:type="pct"/>
            <w:vAlign w:val="center"/>
          </w:tcPr>
          <w:p w14:paraId="004BF243">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0.37 </w:t>
            </w:r>
          </w:p>
        </w:tc>
        <w:tc>
          <w:tcPr>
            <w:tcW w:w="726" w:type="pct"/>
            <w:vMerge w:val="continue"/>
            <w:vAlign w:val="center"/>
          </w:tcPr>
          <w:p w14:paraId="26454FC3">
            <w:pPr>
              <w:pStyle w:val="143"/>
              <w:rPr>
                <w:rFonts w:cs="Times New Roman"/>
                <w:color w:val="000000" w:themeColor="text1"/>
                <w14:textFill>
                  <w14:solidFill>
                    <w14:schemeClr w14:val="tx1"/>
                  </w14:solidFill>
                </w14:textFill>
              </w:rPr>
            </w:pPr>
          </w:p>
        </w:tc>
        <w:tc>
          <w:tcPr>
            <w:tcW w:w="864" w:type="dxa"/>
            <w:vAlign w:val="center"/>
          </w:tcPr>
          <w:p w14:paraId="7CC6E27A">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75</w:t>
            </w:r>
            <w:r>
              <w:rPr>
                <w:rFonts w:cs="Times New Roman"/>
                <w:color w:val="000000" w:themeColor="text1"/>
                <w:szCs w:val="21"/>
                <w14:textFill>
                  <w14:solidFill>
                    <w14:schemeClr w14:val="tx1"/>
                  </w14:solidFill>
                </w14:textFill>
              </w:rPr>
              <w:t>%</w:t>
            </w:r>
          </w:p>
        </w:tc>
        <w:tc>
          <w:tcPr>
            <w:tcW w:w="581" w:type="pct"/>
            <w:vMerge w:val="continue"/>
            <w:vAlign w:val="center"/>
          </w:tcPr>
          <w:p w14:paraId="16600559">
            <w:pPr>
              <w:pStyle w:val="143"/>
              <w:rPr>
                <w:rFonts w:eastAsia="等线" w:cs="Times New Roman"/>
                <w:color w:val="000000" w:themeColor="text1"/>
                <w14:textFill>
                  <w14:solidFill>
                    <w14:schemeClr w14:val="tx1"/>
                  </w14:solidFill>
                </w14:textFill>
              </w:rPr>
            </w:pPr>
          </w:p>
        </w:tc>
        <w:tc>
          <w:tcPr>
            <w:tcW w:w="1092" w:type="dxa"/>
            <w:vAlign w:val="center"/>
          </w:tcPr>
          <w:p w14:paraId="7D869EFA">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1159" w:type="dxa"/>
            <w:vAlign w:val="center"/>
          </w:tcPr>
          <w:p w14:paraId="4D24287C">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r>
      <w:tr w14:paraId="096CD2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1D4ECF65">
            <w:pPr>
              <w:pStyle w:val="143"/>
              <w:rPr>
                <w:rFonts w:cs="Times New Roman"/>
                <w:color w:val="000000" w:themeColor="text1"/>
                <w14:textFill>
                  <w14:solidFill>
                    <w14:schemeClr w14:val="tx1"/>
                  </w14:solidFill>
                </w14:textFill>
              </w:rPr>
            </w:pPr>
          </w:p>
        </w:tc>
        <w:tc>
          <w:tcPr>
            <w:tcW w:w="166" w:type="pct"/>
            <w:vMerge w:val="continue"/>
            <w:vAlign w:val="center"/>
          </w:tcPr>
          <w:p w14:paraId="18D27960">
            <w:pPr>
              <w:pStyle w:val="143"/>
              <w:rPr>
                <w:rFonts w:cs="Times New Roman"/>
                <w:color w:val="000000" w:themeColor="text1"/>
                <w14:textFill>
                  <w14:solidFill>
                    <w14:schemeClr w14:val="tx1"/>
                  </w14:solidFill>
                </w14:textFill>
              </w:rPr>
            </w:pPr>
          </w:p>
        </w:tc>
        <w:tc>
          <w:tcPr>
            <w:tcW w:w="352" w:type="pct"/>
            <w:vAlign w:val="center"/>
          </w:tcPr>
          <w:p w14:paraId="5F712CC0">
            <w:pPr>
              <w:pStyle w:val="143"/>
              <w:rPr>
                <w:rFonts w:hint="default" w:eastAsia="宋体" w:cs="Times New Roman"/>
                <w:snapToGrid w:val="0"/>
                <w:color w:val="000000" w:themeColor="text1"/>
                <w:lang w:val="en-US" w:eastAsia="zh-CN"/>
                <w14:textFill>
                  <w14:solidFill>
                    <w14:schemeClr w14:val="tx1"/>
                  </w14:solidFill>
                </w14:textFill>
              </w:rPr>
            </w:pPr>
            <w:r>
              <w:rPr>
                <w:rFonts w:hint="eastAsia" w:cs="Times New Roman"/>
                <w:snapToGrid w:val="0"/>
                <w:color w:val="000000" w:themeColor="text1"/>
                <w:lang w:val="en-US" w:eastAsia="zh-CN"/>
                <w14:textFill>
                  <w14:solidFill>
                    <w14:schemeClr w14:val="tx1"/>
                  </w14:solidFill>
                </w14:textFill>
              </w:rPr>
              <w:t>TN</w:t>
            </w:r>
          </w:p>
        </w:tc>
        <w:tc>
          <w:tcPr>
            <w:tcW w:w="205" w:type="pct"/>
            <w:vMerge w:val="continue"/>
            <w:vAlign w:val="center"/>
          </w:tcPr>
          <w:p w14:paraId="0E6CB6DC">
            <w:pPr>
              <w:pStyle w:val="143"/>
              <w:rPr>
                <w:rFonts w:cs="Times New Roman"/>
                <w:color w:val="000000" w:themeColor="text1"/>
                <w14:textFill>
                  <w14:solidFill>
                    <w14:schemeClr w14:val="tx1"/>
                  </w14:solidFill>
                </w14:textFill>
              </w:rPr>
            </w:pPr>
          </w:p>
        </w:tc>
        <w:tc>
          <w:tcPr>
            <w:tcW w:w="669" w:type="pct"/>
            <w:vMerge w:val="continue"/>
            <w:vAlign w:val="center"/>
          </w:tcPr>
          <w:p w14:paraId="12138DB0">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6950C8B3">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w:t>
            </w:r>
          </w:p>
        </w:tc>
        <w:tc>
          <w:tcPr>
            <w:tcW w:w="413" w:type="pct"/>
            <w:vAlign w:val="center"/>
          </w:tcPr>
          <w:p w14:paraId="5E281AF5">
            <w:pPr>
              <w:pStyle w:val="143"/>
              <w:ind w:firstLine="0" w:firstLineChars="0"/>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 xml:space="preserve">9.27 </w:t>
            </w:r>
          </w:p>
        </w:tc>
        <w:tc>
          <w:tcPr>
            <w:tcW w:w="726" w:type="pct"/>
            <w:vMerge w:val="continue"/>
            <w:vAlign w:val="center"/>
          </w:tcPr>
          <w:p w14:paraId="3B321029">
            <w:pPr>
              <w:pStyle w:val="143"/>
              <w:rPr>
                <w:rFonts w:cs="Times New Roman"/>
                <w:color w:val="000000" w:themeColor="text1"/>
                <w14:textFill>
                  <w14:solidFill>
                    <w14:schemeClr w14:val="tx1"/>
                  </w14:solidFill>
                </w14:textFill>
              </w:rPr>
            </w:pPr>
          </w:p>
        </w:tc>
        <w:tc>
          <w:tcPr>
            <w:tcW w:w="864" w:type="dxa"/>
            <w:vAlign w:val="center"/>
          </w:tcPr>
          <w:p w14:paraId="74A0B0B9">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85%</w:t>
            </w:r>
          </w:p>
        </w:tc>
        <w:tc>
          <w:tcPr>
            <w:tcW w:w="581" w:type="pct"/>
            <w:vMerge w:val="continue"/>
            <w:vAlign w:val="center"/>
          </w:tcPr>
          <w:p w14:paraId="06A61EB8">
            <w:pPr>
              <w:pStyle w:val="143"/>
              <w:rPr>
                <w:rFonts w:eastAsia="等线" w:cs="Times New Roman"/>
                <w:color w:val="000000" w:themeColor="text1"/>
                <w14:textFill>
                  <w14:solidFill>
                    <w14:schemeClr w14:val="tx1"/>
                  </w14:solidFill>
                </w14:textFill>
              </w:rPr>
            </w:pPr>
          </w:p>
        </w:tc>
        <w:tc>
          <w:tcPr>
            <w:tcW w:w="1092" w:type="dxa"/>
            <w:vAlign w:val="center"/>
          </w:tcPr>
          <w:p w14:paraId="192CBEDF">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37.5</w:t>
            </w:r>
          </w:p>
        </w:tc>
        <w:tc>
          <w:tcPr>
            <w:tcW w:w="1159" w:type="dxa"/>
            <w:vAlign w:val="center"/>
          </w:tcPr>
          <w:p w14:paraId="483C5BC5">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1.39</w:t>
            </w:r>
          </w:p>
        </w:tc>
      </w:tr>
      <w:tr w14:paraId="4CFF1A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515F01E3">
            <w:pPr>
              <w:pStyle w:val="143"/>
              <w:rPr>
                <w:rFonts w:cs="Times New Roman"/>
                <w:color w:val="000000" w:themeColor="text1"/>
                <w14:textFill>
                  <w14:solidFill>
                    <w14:schemeClr w14:val="tx1"/>
                  </w14:solidFill>
                </w14:textFill>
              </w:rPr>
            </w:pPr>
          </w:p>
        </w:tc>
        <w:tc>
          <w:tcPr>
            <w:tcW w:w="166" w:type="pct"/>
            <w:vMerge w:val="continue"/>
            <w:vAlign w:val="center"/>
          </w:tcPr>
          <w:p w14:paraId="3F696A27">
            <w:pPr>
              <w:pStyle w:val="143"/>
              <w:rPr>
                <w:rFonts w:cs="Times New Roman"/>
                <w:color w:val="000000" w:themeColor="text1"/>
                <w14:textFill>
                  <w14:solidFill>
                    <w14:schemeClr w14:val="tx1"/>
                  </w14:solidFill>
                </w14:textFill>
              </w:rPr>
            </w:pPr>
          </w:p>
        </w:tc>
        <w:tc>
          <w:tcPr>
            <w:tcW w:w="352" w:type="pct"/>
            <w:vAlign w:val="center"/>
          </w:tcPr>
          <w:p w14:paraId="36C8BD43">
            <w:pPr>
              <w:pStyle w:val="143"/>
              <w:rPr>
                <w:rFonts w:hint="eastAsia" w:eastAsia="宋体" w:cs="Times New Roman"/>
                <w:snapToGrid w:val="0"/>
                <w:color w:val="000000" w:themeColor="text1"/>
                <w:lang w:val="en-US" w:eastAsia="zh-CN"/>
                <w14:textFill>
                  <w14:solidFill>
                    <w14:schemeClr w14:val="tx1"/>
                  </w14:solidFill>
                </w14:textFill>
              </w:rPr>
            </w:pPr>
            <w:r>
              <w:rPr>
                <w:rFonts w:hint="eastAsia" w:cs="Times New Roman"/>
                <w:snapToGrid w:val="0"/>
                <w:color w:val="000000" w:themeColor="text1"/>
                <w:lang w:val="en-US" w:eastAsia="zh-CN"/>
                <w14:textFill>
                  <w14:solidFill>
                    <w14:schemeClr w14:val="tx1"/>
                  </w14:solidFill>
                </w14:textFill>
              </w:rPr>
              <w:t>动植物油</w:t>
            </w:r>
          </w:p>
        </w:tc>
        <w:tc>
          <w:tcPr>
            <w:tcW w:w="205" w:type="pct"/>
            <w:vMerge w:val="continue"/>
            <w:vAlign w:val="center"/>
          </w:tcPr>
          <w:p w14:paraId="0BD2FB85">
            <w:pPr>
              <w:pStyle w:val="143"/>
              <w:rPr>
                <w:rFonts w:cs="Times New Roman"/>
                <w:color w:val="000000" w:themeColor="text1"/>
                <w14:textFill>
                  <w14:solidFill>
                    <w14:schemeClr w14:val="tx1"/>
                  </w14:solidFill>
                </w14:textFill>
              </w:rPr>
            </w:pPr>
          </w:p>
        </w:tc>
        <w:tc>
          <w:tcPr>
            <w:tcW w:w="669" w:type="pct"/>
            <w:vMerge w:val="continue"/>
            <w:vAlign w:val="center"/>
          </w:tcPr>
          <w:p w14:paraId="6F0FE4EF">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5E0F8F46">
            <w:pPr>
              <w:pStyle w:val="143"/>
              <w:ind w:firstLine="0" w:firstLineChars="0"/>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80</w:t>
            </w:r>
          </w:p>
        </w:tc>
        <w:tc>
          <w:tcPr>
            <w:tcW w:w="413" w:type="pct"/>
            <w:vAlign w:val="center"/>
          </w:tcPr>
          <w:p w14:paraId="5C7C381C">
            <w:pPr>
              <w:pStyle w:val="143"/>
              <w:ind w:firstLine="0" w:firstLineChars="0"/>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2.97</w:t>
            </w:r>
          </w:p>
        </w:tc>
        <w:tc>
          <w:tcPr>
            <w:tcW w:w="726" w:type="pct"/>
            <w:vAlign w:val="center"/>
          </w:tcPr>
          <w:p w14:paraId="1791DE77">
            <w:pPr>
              <w:pStyle w:val="143"/>
              <w:rPr>
                <w:rFonts w:hint="eastAsia" w:eastAsia="宋体" w:cs="Times New Roman"/>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隔油池</w:t>
            </w:r>
          </w:p>
        </w:tc>
        <w:tc>
          <w:tcPr>
            <w:tcW w:w="309" w:type="pct"/>
            <w:vAlign w:val="center"/>
          </w:tcPr>
          <w:p w14:paraId="27AE6F2C">
            <w:pPr>
              <w:pStyle w:val="143"/>
              <w:rPr>
                <w:rFonts w:hint="default"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50%</w:t>
            </w:r>
          </w:p>
        </w:tc>
        <w:tc>
          <w:tcPr>
            <w:tcW w:w="581" w:type="pct"/>
            <w:vMerge w:val="continue"/>
            <w:vAlign w:val="center"/>
          </w:tcPr>
          <w:p w14:paraId="699E7E07">
            <w:pPr>
              <w:pStyle w:val="143"/>
              <w:rPr>
                <w:rFonts w:eastAsia="等线" w:cs="Times New Roman"/>
                <w:color w:val="000000" w:themeColor="text1"/>
                <w14:textFill>
                  <w14:solidFill>
                    <w14:schemeClr w14:val="tx1"/>
                  </w14:solidFill>
                </w14:textFill>
              </w:rPr>
            </w:pPr>
          </w:p>
        </w:tc>
        <w:tc>
          <w:tcPr>
            <w:tcW w:w="1092" w:type="dxa"/>
            <w:vAlign w:val="center"/>
          </w:tcPr>
          <w:p w14:paraId="4A1F194B">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40</w:t>
            </w:r>
          </w:p>
        </w:tc>
        <w:tc>
          <w:tcPr>
            <w:tcW w:w="1159" w:type="dxa"/>
            <w:vAlign w:val="center"/>
          </w:tcPr>
          <w:p w14:paraId="22DAB35A">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1.48</w:t>
            </w:r>
          </w:p>
        </w:tc>
      </w:tr>
    </w:tbl>
    <w:p w14:paraId="00FAD630">
      <w:pPr>
        <w:pStyle w:val="40"/>
        <w:bidi w:val="0"/>
      </w:pPr>
    </w:p>
    <w:p w14:paraId="3F398E25">
      <w:pPr>
        <w:pStyle w:val="40"/>
        <w:bidi w:val="0"/>
      </w:pPr>
    </w:p>
    <w:p w14:paraId="19F304D1">
      <w:pPr>
        <w:pStyle w:val="40"/>
        <w:bidi w:val="0"/>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12" w:charSpace="0"/>
        </w:sectPr>
      </w:pPr>
    </w:p>
    <w:p w14:paraId="0AE0A44D">
      <w:pPr>
        <w:pStyle w:val="40"/>
        <w:bidi w:val="0"/>
      </w:pPr>
    </w:p>
    <w:p w14:paraId="76680FC4">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3.6.2.3</w:t>
      </w:r>
      <w:r>
        <w:rPr>
          <w:rFonts w:hint="eastAsia"/>
          <w:snapToGrid w:val="0"/>
          <w:color w:val="000000" w:themeColor="text1"/>
          <w14:textFill>
            <w14:solidFill>
              <w14:schemeClr w14:val="tx1"/>
            </w14:solidFill>
          </w14:textFill>
        </w:rPr>
        <w:t>噪声</w:t>
      </w:r>
    </w:p>
    <w:p w14:paraId="134B5BF7">
      <w:pPr>
        <w:adjustRightInd/>
        <w:snapToGrid/>
        <w:spacing w:line="500" w:lineRule="exact"/>
        <w:rPr>
          <w:snapToGrid w:val="0"/>
          <w:color w:val="000000" w:themeColor="text1"/>
          <w:kern w:val="0"/>
          <w14:textFill>
            <w14:solidFill>
              <w14:schemeClr w14:val="tx1"/>
            </w14:solidFill>
          </w14:textFill>
        </w:rPr>
      </w:pPr>
      <w:bookmarkStart w:id="139" w:name="_Hlk523068173"/>
      <w:r>
        <w:rPr>
          <w:color w:val="000000" w:themeColor="text1"/>
          <w14:textFill>
            <w14:solidFill>
              <w14:schemeClr w14:val="tx1"/>
            </w14:solidFill>
          </w14:textFill>
        </w:rPr>
        <w:t>本项目噪声源主要为各生产设备生产过程产生的噪声，包括</w:t>
      </w:r>
      <w:r>
        <w:rPr>
          <w:rFonts w:hint="eastAsia"/>
          <w:color w:val="000000" w:themeColor="text1"/>
          <w:lang w:val="en-US" w:eastAsia="zh-CN"/>
          <w14:textFill>
            <w14:solidFill>
              <w14:schemeClr w14:val="tx1"/>
            </w14:solidFill>
          </w14:textFill>
        </w:rPr>
        <w:t>斗提机、</w:t>
      </w:r>
      <w:r>
        <w:rPr>
          <w:color w:val="000000" w:themeColor="text1"/>
          <w14:textFill>
            <w14:solidFill>
              <w14:schemeClr w14:val="tx1"/>
            </w14:solidFill>
          </w14:textFill>
        </w:rPr>
        <w:t>粉碎机、</w:t>
      </w:r>
      <w:r>
        <w:rPr>
          <w:rFonts w:ascii="Segoe UI Emoji" w:hAnsi="Segoe UI Emoji" w:eastAsia="Segoe UI Emoji" w:cs="Segoe UI Emoji"/>
          <w:i w:val="0"/>
          <w:iCs w:val="0"/>
          <w:caps w:val="0"/>
          <w:spacing w:val="0"/>
          <w:sz w:val="24"/>
          <w:szCs w:val="24"/>
        </w:rPr>
        <w:t>糊化锅</w:t>
      </w:r>
      <w:r>
        <w:rPr>
          <w:rFonts w:hint="eastAsia" w:ascii="Segoe UI Emoji" w:hAnsi="Segoe UI Emoji" w:eastAsia="宋体" w:cs="Segoe UI Emoji"/>
          <w:i w:val="0"/>
          <w:iCs w:val="0"/>
          <w:caps w:val="0"/>
          <w:spacing w:val="0"/>
          <w:sz w:val="24"/>
          <w:szCs w:val="24"/>
          <w:lang w:eastAsia="zh-CN"/>
        </w:rPr>
        <w:t>、</w:t>
      </w:r>
      <w:r>
        <w:rPr>
          <w:rFonts w:ascii="Segoe UI Emoji" w:hAnsi="Segoe UI Emoji" w:eastAsia="Segoe UI Emoji" w:cs="Segoe UI Emoji"/>
          <w:i w:val="0"/>
          <w:iCs w:val="0"/>
          <w:caps w:val="0"/>
          <w:spacing w:val="0"/>
          <w:sz w:val="24"/>
          <w:szCs w:val="24"/>
        </w:rPr>
        <w:t>糖化锅</w:t>
      </w:r>
      <w:r>
        <w:rPr>
          <w:rFonts w:hint="eastAsia" w:ascii="Segoe UI Emoji" w:hAnsi="Segoe UI Emoji" w:eastAsia="宋体" w:cs="Segoe UI Emoji"/>
          <w:i w:val="0"/>
          <w:iCs w:val="0"/>
          <w:caps w:val="0"/>
          <w:spacing w:val="0"/>
          <w:sz w:val="24"/>
          <w:szCs w:val="24"/>
          <w:lang w:eastAsia="zh-CN"/>
        </w:rPr>
        <w:t>、</w:t>
      </w:r>
      <w:r>
        <w:rPr>
          <w:rFonts w:hint="eastAsia"/>
          <w:color w:val="000000" w:themeColor="text1"/>
          <w:lang w:val="en-US" w:eastAsia="zh-CN"/>
          <w14:textFill>
            <w14:solidFill>
              <w14:schemeClr w14:val="tx1"/>
            </w14:solidFill>
          </w14:textFill>
        </w:rPr>
        <w:t>离心机、螺杆空压机、</w:t>
      </w:r>
      <w:r>
        <w:rPr>
          <w:snapToGrid w:val="0"/>
          <w:color w:val="000000" w:themeColor="text1"/>
          <w:kern w:val="0"/>
          <w:szCs w:val="21"/>
          <w:lang w:val="en-US" w:eastAsia="zh-CN"/>
          <w14:textFill>
            <w14:solidFill>
              <w14:schemeClr w14:val="tx1"/>
            </w14:solidFill>
          </w14:textFill>
        </w:rPr>
        <w:t>吸附式干燥机</w:t>
      </w:r>
      <w:r>
        <w:rPr>
          <w:rFonts w:hint="eastAsia"/>
          <w:snapToGrid w:val="0"/>
          <w:color w:val="000000" w:themeColor="text1"/>
          <w:kern w:val="0"/>
          <w:szCs w:val="21"/>
          <w:lang w:val="en-US" w:eastAsia="zh-CN"/>
          <w14:textFill>
            <w14:solidFill>
              <w14:schemeClr w14:val="tx1"/>
            </w14:solidFill>
          </w14:textFill>
        </w:rPr>
        <w:t>、</w:t>
      </w:r>
      <w:r>
        <w:rPr>
          <w:snapToGrid w:val="0"/>
          <w:color w:val="000000" w:themeColor="text1"/>
          <w:kern w:val="0"/>
          <w:szCs w:val="21"/>
          <w:lang w:val="en-US" w:eastAsia="zh-CN"/>
          <w14:textFill>
            <w14:solidFill>
              <w14:schemeClr w14:val="tx1"/>
            </w14:solidFill>
          </w14:textFill>
        </w:rPr>
        <w:t>制冷压缩机</w:t>
      </w:r>
      <w:r>
        <w:rPr>
          <w:rFonts w:hint="eastAsia"/>
          <w:snapToGrid w:val="0"/>
          <w:color w:val="000000" w:themeColor="text1"/>
          <w:kern w:val="0"/>
          <w:szCs w:val="21"/>
          <w:lang w:val="en-US" w:eastAsia="zh-CN"/>
          <w14:textFill>
            <w14:solidFill>
              <w14:schemeClr w14:val="tx1"/>
            </w14:solidFill>
          </w14:textFill>
        </w:rPr>
        <w:t>、</w:t>
      </w:r>
      <w:r>
        <w:rPr>
          <w:color w:val="000000" w:themeColor="text1"/>
          <w14:textFill>
            <w14:solidFill>
              <w14:schemeClr w14:val="tx1"/>
            </w14:solidFill>
          </w14:textFill>
        </w:rPr>
        <w:t>灌装机、风机、各种泵类等运行噪声，</w:t>
      </w:r>
      <w:r>
        <w:rPr>
          <w:rFonts w:hint="eastAsia"/>
          <w:color w:val="000000" w:themeColor="text1"/>
          <w14:textFill>
            <w14:solidFill>
              <w14:schemeClr w14:val="tx1"/>
            </w14:solidFill>
          </w14:textFill>
        </w:rPr>
        <w:t>设备噪声源强参考《环境噪声与振动控制工程技术导则》（HJ2034-2013），</w:t>
      </w:r>
      <w:r>
        <w:rPr>
          <w:color w:val="000000" w:themeColor="text1"/>
          <w14:textFill>
            <w14:solidFill>
              <w14:schemeClr w14:val="tx1"/>
            </w14:solidFill>
          </w14:textFill>
        </w:rPr>
        <w:t>源强约在</w:t>
      </w:r>
      <w:r>
        <w:rPr>
          <w:rFonts w:hint="eastAsia"/>
          <w:color w:val="000000" w:themeColor="text1"/>
          <w:lang w:val="en-US" w:eastAsia="zh-CN"/>
          <w14:textFill>
            <w14:solidFill>
              <w14:schemeClr w14:val="tx1"/>
            </w14:solidFill>
          </w14:textFill>
        </w:rPr>
        <w:t>80</w:t>
      </w:r>
      <w:r>
        <w:rPr>
          <w:color w:val="000000" w:themeColor="text1"/>
          <w14:textFill>
            <w14:solidFill>
              <w14:schemeClr w14:val="tx1"/>
            </w14:solidFill>
          </w14:textFill>
        </w:rPr>
        <w:t>～90dB（A）</w:t>
      </w:r>
      <w:r>
        <w:rPr>
          <w:rFonts w:hint="eastAsia"/>
          <w:snapToGrid w:val="0"/>
          <w:color w:val="000000" w:themeColor="text1"/>
          <w:kern w:val="0"/>
          <w14:textFill>
            <w14:solidFill>
              <w14:schemeClr w14:val="tx1"/>
            </w14:solidFill>
          </w14:textFill>
        </w:rPr>
        <w:t>，本项目噪声污染源强核算结果及相关参数详见下表。</w:t>
      </w:r>
    </w:p>
    <w:bookmarkEnd w:id="139"/>
    <w:p w14:paraId="1B19307D">
      <w:pPr>
        <w:pStyle w:val="206"/>
        <w:rPr>
          <w:snapToGrid w:val="0"/>
          <w:color w:val="000000" w:themeColor="text1"/>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14:paraId="3E593D6D">
      <w:pPr>
        <w:pStyle w:val="206"/>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表3-6-</w:t>
      </w:r>
      <w:r>
        <w:rPr>
          <w:rFonts w:hint="eastAsia"/>
          <w:snapToGrid w:val="0"/>
          <w:color w:val="000000" w:themeColor="text1"/>
          <w:lang w:val="en-US" w:eastAsia="zh-CN"/>
          <w14:textFill>
            <w14:solidFill>
              <w14:schemeClr w14:val="tx1"/>
            </w14:solidFill>
          </w14:textFill>
        </w:rPr>
        <w:t>9</w:t>
      </w:r>
      <w:r>
        <w:rPr>
          <w:snapToGrid w:val="0"/>
          <w:color w:val="000000" w:themeColor="text1"/>
          <w14:textFill>
            <w14:solidFill>
              <w14:schemeClr w14:val="tx1"/>
            </w14:solidFill>
          </w14:textFill>
        </w:rPr>
        <w:t xml:space="preserve">-1 </w:t>
      </w:r>
      <w:r>
        <w:rPr>
          <w:rFonts w:hint="eastAsia"/>
          <w:snapToGrid w:val="0"/>
          <w:color w:val="000000" w:themeColor="text1"/>
          <w14:textFill>
            <w14:solidFill>
              <w14:schemeClr w14:val="tx1"/>
            </w14:solidFill>
          </w14:textFill>
        </w:rPr>
        <w:t>噪声源强一览表</w:t>
      </w:r>
      <w:r>
        <w:rPr>
          <w:rFonts w:hint="eastAsia"/>
          <w:snapToGrid w:val="0"/>
          <w:color w:val="000000" w:themeColor="text1"/>
          <w:lang w:eastAsia="zh-CN"/>
          <w14:textFill>
            <w14:solidFill>
              <w14:schemeClr w14:val="tx1"/>
            </w14:solidFill>
          </w14:textFill>
        </w:rPr>
        <w:t>（室内噪声）</w:t>
      </w:r>
    </w:p>
    <w:tbl>
      <w:tblPr>
        <w:tblStyle w:val="418"/>
        <w:tblW w:w="4922"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14"/>
        <w:gridCol w:w="933"/>
        <w:gridCol w:w="1135"/>
        <w:gridCol w:w="413"/>
        <w:gridCol w:w="1075"/>
        <w:gridCol w:w="855"/>
        <w:gridCol w:w="698"/>
        <w:gridCol w:w="698"/>
        <w:gridCol w:w="668"/>
        <w:gridCol w:w="1001"/>
        <w:gridCol w:w="1410"/>
        <w:gridCol w:w="706"/>
        <w:gridCol w:w="1548"/>
        <w:gridCol w:w="997"/>
        <w:gridCol w:w="992"/>
      </w:tblGrid>
      <w:tr w14:paraId="7E92B1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vMerge w:val="restart"/>
            <w:noWrap/>
            <w:vAlign w:val="center"/>
          </w:tcPr>
          <w:p w14:paraId="4BCF1CEF">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序号</w:t>
            </w:r>
          </w:p>
        </w:tc>
        <w:tc>
          <w:tcPr>
            <w:tcW w:w="339" w:type="pct"/>
            <w:vMerge w:val="restart"/>
            <w:noWrap/>
            <w:vAlign w:val="center"/>
          </w:tcPr>
          <w:p w14:paraId="6395DD8E">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建筑物名称</w:t>
            </w:r>
          </w:p>
        </w:tc>
        <w:tc>
          <w:tcPr>
            <w:tcW w:w="412" w:type="pct"/>
            <w:vMerge w:val="restart"/>
            <w:noWrap/>
            <w:vAlign w:val="center"/>
          </w:tcPr>
          <w:p w14:paraId="07617D89">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声源名称</w:t>
            </w:r>
          </w:p>
        </w:tc>
        <w:tc>
          <w:tcPr>
            <w:tcW w:w="150" w:type="pct"/>
            <w:vMerge w:val="restart"/>
            <w:noWrap/>
            <w:vAlign w:val="center"/>
          </w:tcPr>
          <w:p w14:paraId="4219A84B">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型号</w:t>
            </w:r>
          </w:p>
        </w:tc>
        <w:tc>
          <w:tcPr>
            <w:tcW w:w="391" w:type="pct"/>
            <w:vAlign w:val="center"/>
          </w:tcPr>
          <w:p w14:paraId="6D5A0F93">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声源源强</w:t>
            </w:r>
          </w:p>
        </w:tc>
        <w:tc>
          <w:tcPr>
            <w:tcW w:w="311" w:type="pct"/>
            <w:vMerge w:val="restart"/>
            <w:noWrap/>
            <w:vAlign w:val="center"/>
          </w:tcPr>
          <w:p w14:paraId="33145B70">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声源控制措施</w:t>
            </w:r>
          </w:p>
        </w:tc>
        <w:tc>
          <w:tcPr>
            <w:tcW w:w="750" w:type="pct"/>
            <w:gridSpan w:val="3"/>
            <w:noWrap/>
            <w:vAlign w:val="center"/>
          </w:tcPr>
          <w:p w14:paraId="2F0493DB">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空间相对位置/m</w:t>
            </w:r>
          </w:p>
        </w:tc>
        <w:tc>
          <w:tcPr>
            <w:tcW w:w="364" w:type="pct"/>
            <w:vMerge w:val="restart"/>
            <w:noWrap/>
            <w:vAlign w:val="center"/>
          </w:tcPr>
          <w:p w14:paraId="5DA90CED">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距室内边界距离/m</w:t>
            </w:r>
          </w:p>
        </w:tc>
        <w:tc>
          <w:tcPr>
            <w:tcW w:w="512" w:type="pct"/>
            <w:vMerge w:val="restart"/>
            <w:noWrap/>
            <w:vAlign w:val="center"/>
          </w:tcPr>
          <w:p w14:paraId="3961CE2B">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室内边界声级/dB(A)</w:t>
            </w:r>
          </w:p>
        </w:tc>
        <w:tc>
          <w:tcPr>
            <w:tcW w:w="256" w:type="pct"/>
            <w:vMerge w:val="restart"/>
            <w:noWrap/>
            <w:vAlign w:val="center"/>
          </w:tcPr>
          <w:p w14:paraId="782F1AF0">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运行时段</w:t>
            </w:r>
          </w:p>
        </w:tc>
        <w:tc>
          <w:tcPr>
            <w:tcW w:w="563" w:type="pct"/>
            <w:vMerge w:val="restart"/>
            <w:noWrap/>
            <w:vAlign w:val="center"/>
          </w:tcPr>
          <w:p w14:paraId="422968CA">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建筑物插入损失/dB(A)</w:t>
            </w:r>
          </w:p>
        </w:tc>
        <w:tc>
          <w:tcPr>
            <w:tcW w:w="723" w:type="pct"/>
            <w:gridSpan w:val="2"/>
            <w:noWrap/>
            <w:vAlign w:val="center"/>
          </w:tcPr>
          <w:p w14:paraId="49A5F41C">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建筑物外噪声</w:t>
            </w:r>
          </w:p>
        </w:tc>
      </w:tr>
      <w:tr w14:paraId="341FA9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vMerge w:val="continue"/>
            <w:vAlign w:val="center"/>
          </w:tcPr>
          <w:p w14:paraId="5CA252D2">
            <w:pPr>
              <w:pStyle w:val="143"/>
              <w:jc w:val="center"/>
              <w:rPr>
                <w:snapToGrid w:val="0"/>
                <w:color w:val="000000" w:themeColor="text1"/>
                <w:kern w:val="2"/>
                <w14:textFill>
                  <w14:solidFill>
                    <w14:schemeClr w14:val="tx1"/>
                  </w14:solidFill>
                </w14:textFill>
              </w:rPr>
            </w:pPr>
          </w:p>
        </w:tc>
        <w:tc>
          <w:tcPr>
            <w:tcW w:w="339" w:type="pct"/>
            <w:vMerge w:val="continue"/>
            <w:vAlign w:val="center"/>
          </w:tcPr>
          <w:p w14:paraId="5A502AAA">
            <w:pPr>
              <w:pStyle w:val="143"/>
              <w:jc w:val="center"/>
              <w:rPr>
                <w:snapToGrid w:val="0"/>
                <w:color w:val="000000" w:themeColor="text1"/>
                <w:kern w:val="2"/>
                <w14:textFill>
                  <w14:solidFill>
                    <w14:schemeClr w14:val="tx1"/>
                  </w14:solidFill>
                </w14:textFill>
              </w:rPr>
            </w:pPr>
          </w:p>
        </w:tc>
        <w:tc>
          <w:tcPr>
            <w:tcW w:w="412" w:type="pct"/>
            <w:vMerge w:val="continue"/>
            <w:vAlign w:val="center"/>
          </w:tcPr>
          <w:p w14:paraId="50819692">
            <w:pPr>
              <w:pStyle w:val="143"/>
              <w:jc w:val="center"/>
              <w:rPr>
                <w:snapToGrid w:val="0"/>
                <w:color w:val="000000" w:themeColor="text1"/>
                <w:kern w:val="2"/>
                <w14:textFill>
                  <w14:solidFill>
                    <w14:schemeClr w14:val="tx1"/>
                  </w14:solidFill>
                </w14:textFill>
              </w:rPr>
            </w:pPr>
          </w:p>
        </w:tc>
        <w:tc>
          <w:tcPr>
            <w:tcW w:w="150" w:type="pct"/>
            <w:vMerge w:val="continue"/>
            <w:vAlign w:val="center"/>
          </w:tcPr>
          <w:p w14:paraId="167A3E93">
            <w:pPr>
              <w:pStyle w:val="143"/>
              <w:jc w:val="center"/>
              <w:rPr>
                <w:snapToGrid w:val="0"/>
                <w:color w:val="000000" w:themeColor="text1"/>
                <w:kern w:val="2"/>
                <w14:textFill>
                  <w14:solidFill>
                    <w14:schemeClr w14:val="tx1"/>
                  </w14:solidFill>
                </w14:textFill>
              </w:rPr>
            </w:pPr>
          </w:p>
        </w:tc>
        <w:tc>
          <w:tcPr>
            <w:tcW w:w="391" w:type="pct"/>
            <w:vAlign w:val="center"/>
          </w:tcPr>
          <w:p w14:paraId="6ABF5794">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声功率级/dB(A</w:t>
            </w:r>
          </w:p>
        </w:tc>
        <w:tc>
          <w:tcPr>
            <w:tcW w:w="311" w:type="pct"/>
            <w:vMerge w:val="continue"/>
            <w:vAlign w:val="center"/>
          </w:tcPr>
          <w:p w14:paraId="498FC239">
            <w:pPr>
              <w:pStyle w:val="143"/>
              <w:jc w:val="center"/>
              <w:rPr>
                <w:snapToGrid w:val="0"/>
                <w:color w:val="000000" w:themeColor="text1"/>
                <w:kern w:val="2"/>
                <w14:textFill>
                  <w14:solidFill>
                    <w14:schemeClr w14:val="tx1"/>
                  </w14:solidFill>
                </w14:textFill>
              </w:rPr>
            </w:pPr>
          </w:p>
        </w:tc>
        <w:tc>
          <w:tcPr>
            <w:tcW w:w="253" w:type="pct"/>
            <w:noWrap/>
            <w:vAlign w:val="center"/>
          </w:tcPr>
          <w:p w14:paraId="2B1AEF68">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X</w:t>
            </w:r>
          </w:p>
        </w:tc>
        <w:tc>
          <w:tcPr>
            <w:tcW w:w="253" w:type="pct"/>
            <w:noWrap/>
            <w:vAlign w:val="center"/>
          </w:tcPr>
          <w:p w14:paraId="435F356F">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Y</w:t>
            </w:r>
          </w:p>
        </w:tc>
        <w:tc>
          <w:tcPr>
            <w:tcW w:w="243" w:type="pct"/>
            <w:noWrap/>
            <w:vAlign w:val="center"/>
          </w:tcPr>
          <w:p w14:paraId="3691B632">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Z</w:t>
            </w:r>
          </w:p>
        </w:tc>
        <w:tc>
          <w:tcPr>
            <w:tcW w:w="364" w:type="pct"/>
            <w:vMerge w:val="continue"/>
            <w:vAlign w:val="center"/>
          </w:tcPr>
          <w:p w14:paraId="0F0771F6">
            <w:pPr>
              <w:pStyle w:val="143"/>
              <w:jc w:val="center"/>
              <w:rPr>
                <w:snapToGrid w:val="0"/>
                <w:color w:val="000000" w:themeColor="text1"/>
                <w:kern w:val="2"/>
                <w14:textFill>
                  <w14:solidFill>
                    <w14:schemeClr w14:val="tx1"/>
                  </w14:solidFill>
                </w14:textFill>
              </w:rPr>
            </w:pPr>
          </w:p>
        </w:tc>
        <w:tc>
          <w:tcPr>
            <w:tcW w:w="512" w:type="pct"/>
            <w:vMerge w:val="continue"/>
            <w:vAlign w:val="center"/>
          </w:tcPr>
          <w:p w14:paraId="2BAB9D05">
            <w:pPr>
              <w:pStyle w:val="143"/>
              <w:jc w:val="center"/>
              <w:rPr>
                <w:snapToGrid w:val="0"/>
                <w:color w:val="000000" w:themeColor="text1"/>
                <w:kern w:val="2"/>
                <w14:textFill>
                  <w14:solidFill>
                    <w14:schemeClr w14:val="tx1"/>
                  </w14:solidFill>
                </w14:textFill>
              </w:rPr>
            </w:pPr>
          </w:p>
        </w:tc>
        <w:tc>
          <w:tcPr>
            <w:tcW w:w="256" w:type="pct"/>
            <w:vMerge w:val="continue"/>
            <w:vAlign w:val="center"/>
          </w:tcPr>
          <w:p w14:paraId="71B39A8F">
            <w:pPr>
              <w:pStyle w:val="143"/>
              <w:jc w:val="center"/>
              <w:rPr>
                <w:snapToGrid w:val="0"/>
                <w:color w:val="000000" w:themeColor="text1"/>
                <w:kern w:val="2"/>
                <w14:textFill>
                  <w14:solidFill>
                    <w14:schemeClr w14:val="tx1"/>
                  </w14:solidFill>
                </w14:textFill>
              </w:rPr>
            </w:pPr>
          </w:p>
        </w:tc>
        <w:tc>
          <w:tcPr>
            <w:tcW w:w="563" w:type="pct"/>
            <w:vMerge w:val="continue"/>
            <w:vAlign w:val="center"/>
          </w:tcPr>
          <w:p w14:paraId="123D66AC">
            <w:pPr>
              <w:pStyle w:val="143"/>
              <w:jc w:val="center"/>
              <w:rPr>
                <w:snapToGrid w:val="0"/>
                <w:color w:val="000000" w:themeColor="text1"/>
                <w:kern w:val="2"/>
                <w14:textFill>
                  <w14:solidFill>
                    <w14:schemeClr w14:val="tx1"/>
                  </w14:solidFill>
                </w14:textFill>
              </w:rPr>
            </w:pPr>
          </w:p>
        </w:tc>
        <w:tc>
          <w:tcPr>
            <w:tcW w:w="362" w:type="pct"/>
            <w:noWrap/>
            <w:vAlign w:val="center"/>
          </w:tcPr>
          <w:p w14:paraId="58989EBD">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声压级/dB(A)</w:t>
            </w:r>
          </w:p>
        </w:tc>
        <w:tc>
          <w:tcPr>
            <w:tcW w:w="360" w:type="pct"/>
            <w:noWrap/>
            <w:vAlign w:val="center"/>
          </w:tcPr>
          <w:p w14:paraId="720E92B9">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建筑物外距离</w:t>
            </w:r>
          </w:p>
        </w:tc>
      </w:tr>
      <w:tr w14:paraId="696848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3DC1511F">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c>
          <w:tcPr>
            <w:tcW w:w="339" w:type="pct"/>
            <w:vMerge w:val="restart"/>
            <w:noWrap/>
            <w:vAlign w:val="center"/>
          </w:tcPr>
          <w:p w14:paraId="3C51E894">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酿造车间</w:t>
            </w:r>
          </w:p>
        </w:tc>
        <w:tc>
          <w:tcPr>
            <w:tcW w:w="412" w:type="pct"/>
            <w:noWrap/>
            <w:vAlign w:val="center"/>
          </w:tcPr>
          <w:p w14:paraId="2D545932">
            <w:pPr>
              <w:pStyle w:val="143"/>
              <w:jc w:val="center"/>
              <w:rPr>
                <w:snapToGrid w:val="0"/>
                <w:color w:val="000000" w:themeColor="text1"/>
                <w:kern w:val="2"/>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麦芽斗提机</w:t>
            </w:r>
          </w:p>
        </w:tc>
        <w:tc>
          <w:tcPr>
            <w:tcW w:w="150" w:type="pct"/>
            <w:noWrap/>
            <w:vAlign w:val="center"/>
          </w:tcPr>
          <w:p w14:paraId="17EEAE6E">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3AA66E94">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80</w:t>
            </w:r>
          </w:p>
        </w:tc>
        <w:tc>
          <w:tcPr>
            <w:tcW w:w="311" w:type="pct"/>
            <w:vMerge w:val="restart"/>
            <w:noWrap/>
            <w:vAlign w:val="center"/>
          </w:tcPr>
          <w:p w14:paraId="1DECFB96">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选用低噪声设备、基础减振、</w:t>
            </w:r>
            <w:r>
              <w:rPr>
                <w:rFonts w:hint="eastAsia"/>
                <w:snapToGrid w:val="0"/>
                <w:color w:val="000000" w:themeColor="text1"/>
                <w:kern w:val="2"/>
                <w:lang w:val="en-US" w:eastAsia="zh-CN"/>
                <w14:textFill>
                  <w14:solidFill>
                    <w14:schemeClr w14:val="tx1"/>
                  </w14:solidFill>
                </w14:textFill>
              </w:rPr>
              <w:t>水泵及风机设置隔声罩、</w:t>
            </w:r>
            <w:r>
              <w:rPr>
                <w:rFonts w:hint="eastAsia"/>
                <w:snapToGrid w:val="0"/>
                <w:color w:val="000000" w:themeColor="text1"/>
                <w:kern w:val="2"/>
                <w14:textFill>
                  <w14:solidFill>
                    <w14:schemeClr w14:val="tx1"/>
                  </w14:solidFill>
                </w14:textFill>
              </w:rPr>
              <w:t>加强厂区绿化</w:t>
            </w:r>
          </w:p>
        </w:tc>
        <w:tc>
          <w:tcPr>
            <w:tcW w:w="253" w:type="pct"/>
            <w:noWrap/>
            <w:vAlign w:val="center"/>
          </w:tcPr>
          <w:p w14:paraId="277C5879">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120</w:t>
            </w:r>
          </w:p>
        </w:tc>
        <w:tc>
          <w:tcPr>
            <w:tcW w:w="253" w:type="pct"/>
            <w:noWrap/>
            <w:vAlign w:val="center"/>
          </w:tcPr>
          <w:p w14:paraId="685AEF86">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70</w:t>
            </w:r>
          </w:p>
        </w:tc>
        <w:tc>
          <w:tcPr>
            <w:tcW w:w="243" w:type="pct"/>
            <w:noWrap/>
            <w:vAlign w:val="center"/>
          </w:tcPr>
          <w:p w14:paraId="03A3D228">
            <w:pPr>
              <w:pStyle w:val="143"/>
              <w:jc w:val="center"/>
              <w:rPr>
                <w:rFonts w:hint="eastAsia" w:eastAsia="宋体"/>
                <w:snapToGrid w:val="0"/>
                <w:color w:val="000000" w:themeColor="text1"/>
                <w:kern w:val="2"/>
                <w:lang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w:t>
            </w:r>
          </w:p>
        </w:tc>
        <w:tc>
          <w:tcPr>
            <w:tcW w:w="364" w:type="pct"/>
            <w:noWrap/>
            <w:vAlign w:val="center"/>
          </w:tcPr>
          <w:p w14:paraId="3EC20047">
            <w:pPr>
              <w:pStyle w:val="143"/>
              <w:jc w:val="center"/>
              <w:rPr>
                <w:rFonts w:hint="eastAsia" w:eastAsia="宋体"/>
                <w:snapToGrid w:val="0"/>
                <w:color w:val="000000" w:themeColor="text1"/>
                <w:kern w:val="2"/>
                <w:lang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3</w:t>
            </w:r>
          </w:p>
        </w:tc>
        <w:tc>
          <w:tcPr>
            <w:tcW w:w="512" w:type="pct"/>
            <w:noWrap/>
            <w:vAlign w:val="center"/>
          </w:tcPr>
          <w:p w14:paraId="33918307">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70</w:t>
            </w:r>
          </w:p>
        </w:tc>
        <w:tc>
          <w:tcPr>
            <w:tcW w:w="256" w:type="pct"/>
            <w:vMerge w:val="restart"/>
            <w:noWrap/>
            <w:vAlign w:val="center"/>
          </w:tcPr>
          <w:p w14:paraId="705C7836">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昼间</w:t>
            </w:r>
          </w:p>
          <w:p w14:paraId="267C9333">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夜间</w:t>
            </w:r>
          </w:p>
        </w:tc>
        <w:tc>
          <w:tcPr>
            <w:tcW w:w="563" w:type="pct"/>
            <w:noWrap/>
            <w:vAlign w:val="center"/>
          </w:tcPr>
          <w:p w14:paraId="1427CE71">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56278065">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50</w:t>
            </w:r>
          </w:p>
        </w:tc>
        <w:tc>
          <w:tcPr>
            <w:tcW w:w="360" w:type="pct"/>
            <w:noWrap/>
            <w:vAlign w:val="center"/>
          </w:tcPr>
          <w:p w14:paraId="44757723">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17C506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284E6BF4">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339" w:type="pct"/>
            <w:vMerge w:val="continue"/>
            <w:noWrap/>
            <w:vAlign w:val="center"/>
          </w:tcPr>
          <w:p w14:paraId="54C09FFB">
            <w:pPr>
              <w:pStyle w:val="143"/>
              <w:jc w:val="center"/>
              <w:rPr>
                <w:rFonts w:hint="eastAsia"/>
                <w:snapToGrid w:val="0"/>
                <w:color w:val="000000" w:themeColor="text1"/>
                <w:kern w:val="2"/>
                <w14:textFill>
                  <w14:solidFill>
                    <w14:schemeClr w14:val="tx1"/>
                  </w14:solidFill>
                </w14:textFill>
              </w:rPr>
            </w:pPr>
          </w:p>
        </w:tc>
        <w:tc>
          <w:tcPr>
            <w:tcW w:w="412" w:type="pct"/>
            <w:noWrap/>
            <w:vAlign w:val="center"/>
          </w:tcPr>
          <w:p w14:paraId="799906FF">
            <w:pPr>
              <w:pStyle w:val="143"/>
              <w:jc w:val="center"/>
              <w:rPr>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大米</w:t>
            </w:r>
            <w:r>
              <w:rPr>
                <w:snapToGrid w:val="0"/>
                <w:color w:val="000000" w:themeColor="text1"/>
                <w:kern w:val="0"/>
                <w:szCs w:val="21"/>
                <w:lang w:val="en-US" w:eastAsia="zh-CN"/>
                <w14:textFill>
                  <w14:solidFill>
                    <w14:schemeClr w14:val="tx1"/>
                  </w14:solidFill>
                </w14:textFill>
              </w:rPr>
              <w:t>斗提机</w:t>
            </w:r>
          </w:p>
        </w:tc>
        <w:tc>
          <w:tcPr>
            <w:tcW w:w="150" w:type="pct"/>
            <w:noWrap/>
            <w:vAlign w:val="center"/>
          </w:tcPr>
          <w:p w14:paraId="1F61A15E">
            <w:pPr>
              <w:pStyle w:val="143"/>
              <w:jc w:val="center"/>
              <w:rPr>
                <w:rFonts w:hint="eastAsia"/>
                <w:snapToGrid w:val="0"/>
                <w:color w:val="000000" w:themeColor="text1"/>
                <w:kern w:val="2"/>
                <w14:textFill>
                  <w14:solidFill>
                    <w14:schemeClr w14:val="tx1"/>
                  </w14:solidFill>
                </w14:textFill>
              </w:rPr>
            </w:pPr>
          </w:p>
        </w:tc>
        <w:tc>
          <w:tcPr>
            <w:tcW w:w="391" w:type="pct"/>
            <w:noWrap/>
            <w:vAlign w:val="center"/>
          </w:tcPr>
          <w:p w14:paraId="09906DD4">
            <w:pPr>
              <w:pStyle w:val="143"/>
              <w:jc w:val="center"/>
              <w:rPr>
                <w:rFonts w:hint="default"/>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80</w:t>
            </w:r>
          </w:p>
        </w:tc>
        <w:tc>
          <w:tcPr>
            <w:tcW w:w="311" w:type="pct"/>
            <w:vMerge w:val="continue"/>
            <w:noWrap/>
            <w:vAlign w:val="center"/>
          </w:tcPr>
          <w:p w14:paraId="0F42BD1D">
            <w:pPr>
              <w:pStyle w:val="143"/>
              <w:jc w:val="center"/>
              <w:rPr>
                <w:rFonts w:hint="eastAsia"/>
                <w:snapToGrid w:val="0"/>
                <w:color w:val="000000" w:themeColor="text1"/>
                <w:kern w:val="2"/>
                <w14:textFill>
                  <w14:solidFill>
                    <w14:schemeClr w14:val="tx1"/>
                  </w14:solidFill>
                </w14:textFill>
              </w:rPr>
            </w:pPr>
          </w:p>
        </w:tc>
        <w:tc>
          <w:tcPr>
            <w:tcW w:w="253" w:type="pct"/>
            <w:noWrap/>
            <w:vAlign w:val="center"/>
          </w:tcPr>
          <w:p w14:paraId="3333A9CF">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120</w:t>
            </w:r>
          </w:p>
        </w:tc>
        <w:tc>
          <w:tcPr>
            <w:tcW w:w="253" w:type="pct"/>
            <w:noWrap/>
            <w:vAlign w:val="center"/>
          </w:tcPr>
          <w:p w14:paraId="3A877D80">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75</w:t>
            </w:r>
          </w:p>
        </w:tc>
        <w:tc>
          <w:tcPr>
            <w:tcW w:w="243" w:type="pct"/>
            <w:noWrap/>
            <w:vAlign w:val="center"/>
          </w:tcPr>
          <w:p w14:paraId="09471DCD">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w:t>
            </w:r>
          </w:p>
        </w:tc>
        <w:tc>
          <w:tcPr>
            <w:tcW w:w="364" w:type="pct"/>
            <w:noWrap/>
            <w:vAlign w:val="center"/>
          </w:tcPr>
          <w:p w14:paraId="0407415C">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3</w:t>
            </w:r>
          </w:p>
        </w:tc>
        <w:tc>
          <w:tcPr>
            <w:tcW w:w="512" w:type="pct"/>
            <w:noWrap/>
            <w:vAlign w:val="center"/>
          </w:tcPr>
          <w:p w14:paraId="0157DD3C">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70</w:t>
            </w:r>
          </w:p>
        </w:tc>
        <w:tc>
          <w:tcPr>
            <w:tcW w:w="256" w:type="pct"/>
            <w:vMerge w:val="continue"/>
            <w:noWrap/>
            <w:vAlign w:val="center"/>
          </w:tcPr>
          <w:p w14:paraId="35026BBD">
            <w:pPr>
              <w:pStyle w:val="143"/>
              <w:jc w:val="center"/>
              <w:rPr>
                <w:rFonts w:hint="eastAsia"/>
                <w:snapToGrid w:val="0"/>
                <w:color w:val="000000" w:themeColor="text1"/>
                <w:kern w:val="2"/>
                <w14:textFill>
                  <w14:solidFill>
                    <w14:schemeClr w14:val="tx1"/>
                  </w14:solidFill>
                </w14:textFill>
              </w:rPr>
            </w:pPr>
          </w:p>
        </w:tc>
        <w:tc>
          <w:tcPr>
            <w:tcW w:w="563" w:type="pct"/>
            <w:noWrap/>
            <w:vAlign w:val="center"/>
          </w:tcPr>
          <w:p w14:paraId="620715E3">
            <w:pPr>
              <w:pStyle w:val="143"/>
              <w:jc w:val="center"/>
              <w:rPr>
                <w:rFonts w:hint="eastAsia"/>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5B19D919">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50</w:t>
            </w:r>
          </w:p>
        </w:tc>
        <w:tc>
          <w:tcPr>
            <w:tcW w:w="360" w:type="pct"/>
            <w:noWrap/>
            <w:vAlign w:val="center"/>
          </w:tcPr>
          <w:p w14:paraId="2FF87BA5">
            <w:pPr>
              <w:pStyle w:val="143"/>
              <w:jc w:val="center"/>
              <w:rPr>
                <w:rFonts w:hint="eastAsia"/>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567EAC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60ADF387">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3</w:t>
            </w:r>
          </w:p>
        </w:tc>
        <w:tc>
          <w:tcPr>
            <w:tcW w:w="339" w:type="pct"/>
            <w:vMerge w:val="continue"/>
            <w:noWrap/>
            <w:vAlign w:val="center"/>
          </w:tcPr>
          <w:p w14:paraId="0C645BA9">
            <w:pPr>
              <w:pStyle w:val="143"/>
              <w:jc w:val="center"/>
              <w:rPr>
                <w:snapToGrid w:val="0"/>
                <w:color w:val="000000" w:themeColor="text1"/>
                <w:kern w:val="2"/>
                <w14:textFill>
                  <w14:solidFill>
                    <w14:schemeClr w14:val="tx1"/>
                  </w14:solidFill>
                </w14:textFill>
              </w:rPr>
            </w:pPr>
          </w:p>
        </w:tc>
        <w:tc>
          <w:tcPr>
            <w:tcW w:w="412" w:type="pct"/>
            <w:noWrap/>
            <w:vAlign w:val="center"/>
          </w:tcPr>
          <w:p w14:paraId="011D1F2A">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2"/>
                <w14:textFill>
                  <w14:solidFill>
                    <w14:schemeClr w14:val="tx1"/>
                  </w14:solidFill>
                </w14:textFill>
              </w:rPr>
            </w:pPr>
            <w:r>
              <w:rPr>
                <w:snapToGrid w:val="0"/>
                <w:color w:val="000000" w:themeColor="text1"/>
                <w:kern w:val="0"/>
                <w:szCs w:val="21"/>
                <w:lang w:val="en-US" w:eastAsia="zh-CN"/>
                <w14:textFill>
                  <w14:solidFill>
                    <w14:schemeClr w14:val="tx1"/>
                  </w14:solidFill>
                </w14:textFill>
              </w:rPr>
              <w:t>麦芽湿粉碎机</w:t>
            </w:r>
          </w:p>
        </w:tc>
        <w:tc>
          <w:tcPr>
            <w:tcW w:w="150" w:type="pct"/>
            <w:noWrap/>
            <w:vAlign w:val="center"/>
          </w:tcPr>
          <w:p w14:paraId="55414DA5">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454CA668">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85</w:t>
            </w:r>
          </w:p>
        </w:tc>
        <w:tc>
          <w:tcPr>
            <w:tcW w:w="311" w:type="pct"/>
            <w:vMerge w:val="continue"/>
            <w:noWrap/>
            <w:vAlign w:val="center"/>
          </w:tcPr>
          <w:p w14:paraId="2898C590">
            <w:pPr>
              <w:pStyle w:val="143"/>
              <w:jc w:val="center"/>
              <w:rPr>
                <w:snapToGrid w:val="0"/>
                <w:color w:val="000000" w:themeColor="text1"/>
                <w:kern w:val="2"/>
                <w14:textFill>
                  <w14:solidFill>
                    <w14:schemeClr w14:val="tx1"/>
                  </w14:solidFill>
                </w14:textFill>
              </w:rPr>
            </w:pPr>
          </w:p>
        </w:tc>
        <w:tc>
          <w:tcPr>
            <w:tcW w:w="253" w:type="pct"/>
            <w:noWrap/>
            <w:vAlign w:val="center"/>
          </w:tcPr>
          <w:p w14:paraId="07E000BB">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135</w:t>
            </w:r>
          </w:p>
        </w:tc>
        <w:tc>
          <w:tcPr>
            <w:tcW w:w="253" w:type="pct"/>
            <w:noWrap/>
            <w:vAlign w:val="center"/>
          </w:tcPr>
          <w:p w14:paraId="3788AA20">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75</w:t>
            </w:r>
          </w:p>
        </w:tc>
        <w:tc>
          <w:tcPr>
            <w:tcW w:w="243" w:type="pct"/>
            <w:noWrap/>
            <w:vAlign w:val="center"/>
          </w:tcPr>
          <w:p w14:paraId="10F35D34">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1.5</w:t>
            </w:r>
          </w:p>
        </w:tc>
        <w:tc>
          <w:tcPr>
            <w:tcW w:w="364" w:type="pct"/>
            <w:noWrap/>
            <w:vAlign w:val="center"/>
          </w:tcPr>
          <w:p w14:paraId="634B439E">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512" w:type="pct"/>
            <w:noWrap/>
            <w:vAlign w:val="center"/>
          </w:tcPr>
          <w:p w14:paraId="596DF949">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79</w:t>
            </w:r>
          </w:p>
        </w:tc>
        <w:tc>
          <w:tcPr>
            <w:tcW w:w="256" w:type="pct"/>
            <w:vMerge w:val="continue"/>
            <w:noWrap/>
            <w:vAlign w:val="center"/>
          </w:tcPr>
          <w:p w14:paraId="6B014D25">
            <w:pPr>
              <w:pStyle w:val="143"/>
              <w:jc w:val="center"/>
              <w:rPr>
                <w:snapToGrid w:val="0"/>
                <w:color w:val="000000" w:themeColor="text1"/>
                <w:kern w:val="2"/>
                <w14:textFill>
                  <w14:solidFill>
                    <w14:schemeClr w14:val="tx1"/>
                  </w14:solidFill>
                </w14:textFill>
              </w:rPr>
            </w:pPr>
          </w:p>
        </w:tc>
        <w:tc>
          <w:tcPr>
            <w:tcW w:w="563" w:type="pct"/>
            <w:noWrap/>
            <w:vAlign w:val="center"/>
          </w:tcPr>
          <w:p w14:paraId="2BF9664D">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19D65425">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59</w:t>
            </w:r>
          </w:p>
        </w:tc>
        <w:tc>
          <w:tcPr>
            <w:tcW w:w="360" w:type="pct"/>
            <w:noWrap/>
            <w:vAlign w:val="center"/>
          </w:tcPr>
          <w:p w14:paraId="4E66BD72">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0AE4CF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57476B49">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4</w:t>
            </w:r>
          </w:p>
        </w:tc>
        <w:tc>
          <w:tcPr>
            <w:tcW w:w="339" w:type="pct"/>
            <w:vMerge w:val="continue"/>
            <w:noWrap/>
            <w:vAlign w:val="center"/>
          </w:tcPr>
          <w:p w14:paraId="0C0763B3">
            <w:pPr>
              <w:pStyle w:val="143"/>
              <w:jc w:val="center"/>
              <w:rPr>
                <w:rFonts w:hint="eastAsia"/>
                <w:snapToGrid w:val="0"/>
                <w:color w:val="000000" w:themeColor="text1"/>
                <w:kern w:val="2"/>
                <w14:textFill>
                  <w14:solidFill>
                    <w14:schemeClr w14:val="tx1"/>
                  </w14:solidFill>
                </w14:textFill>
              </w:rPr>
            </w:pPr>
          </w:p>
        </w:tc>
        <w:tc>
          <w:tcPr>
            <w:tcW w:w="412" w:type="pct"/>
            <w:noWrap/>
            <w:vAlign w:val="center"/>
          </w:tcPr>
          <w:p w14:paraId="2473B21E">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snapToGrid w:val="0"/>
                <w:color w:val="000000" w:themeColor="text1"/>
                <w:kern w:val="2"/>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大米湿粉碎机</w:t>
            </w:r>
          </w:p>
        </w:tc>
        <w:tc>
          <w:tcPr>
            <w:tcW w:w="150" w:type="pct"/>
            <w:noWrap/>
            <w:vAlign w:val="center"/>
          </w:tcPr>
          <w:p w14:paraId="6819B56A">
            <w:pPr>
              <w:pStyle w:val="143"/>
              <w:jc w:val="center"/>
              <w:rPr>
                <w:rFonts w:hint="eastAsia"/>
                <w:snapToGrid w:val="0"/>
                <w:color w:val="000000" w:themeColor="text1"/>
                <w:kern w:val="2"/>
                <w14:textFill>
                  <w14:solidFill>
                    <w14:schemeClr w14:val="tx1"/>
                  </w14:solidFill>
                </w14:textFill>
              </w:rPr>
            </w:pPr>
          </w:p>
        </w:tc>
        <w:tc>
          <w:tcPr>
            <w:tcW w:w="391" w:type="pct"/>
            <w:noWrap/>
            <w:vAlign w:val="center"/>
          </w:tcPr>
          <w:p w14:paraId="7BF52449">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85</w:t>
            </w:r>
          </w:p>
        </w:tc>
        <w:tc>
          <w:tcPr>
            <w:tcW w:w="311" w:type="pct"/>
            <w:vMerge w:val="continue"/>
            <w:noWrap/>
            <w:vAlign w:val="center"/>
          </w:tcPr>
          <w:p w14:paraId="654A0446">
            <w:pPr>
              <w:pStyle w:val="143"/>
              <w:jc w:val="center"/>
              <w:rPr>
                <w:snapToGrid w:val="0"/>
                <w:color w:val="000000" w:themeColor="text1"/>
                <w:kern w:val="2"/>
                <w14:textFill>
                  <w14:solidFill>
                    <w14:schemeClr w14:val="tx1"/>
                  </w14:solidFill>
                </w14:textFill>
              </w:rPr>
            </w:pPr>
          </w:p>
        </w:tc>
        <w:tc>
          <w:tcPr>
            <w:tcW w:w="253" w:type="pct"/>
            <w:noWrap/>
            <w:vAlign w:val="center"/>
          </w:tcPr>
          <w:p w14:paraId="57C3486C">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140</w:t>
            </w:r>
          </w:p>
        </w:tc>
        <w:tc>
          <w:tcPr>
            <w:tcW w:w="253" w:type="pct"/>
            <w:noWrap/>
            <w:vAlign w:val="center"/>
          </w:tcPr>
          <w:p w14:paraId="6CD423B1">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70</w:t>
            </w:r>
          </w:p>
        </w:tc>
        <w:tc>
          <w:tcPr>
            <w:tcW w:w="243" w:type="pct"/>
            <w:noWrap/>
            <w:vAlign w:val="center"/>
          </w:tcPr>
          <w:p w14:paraId="56813A34">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1.5</w:t>
            </w:r>
          </w:p>
        </w:tc>
        <w:tc>
          <w:tcPr>
            <w:tcW w:w="364" w:type="pct"/>
            <w:noWrap/>
            <w:vAlign w:val="center"/>
          </w:tcPr>
          <w:p w14:paraId="4256C7D9">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512" w:type="pct"/>
            <w:noWrap/>
            <w:vAlign w:val="center"/>
          </w:tcPr>
          <w:p w14:paraId="38D11F21">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79</w:t>
            </w:r>
          </w:p>
        </w:tc>
        <w:tc>
          <w:tcPr>
            <w:tcW w:w="256" w:type="pct"/>
            <w:vMerge w:val="continue"/>
            <w:noWrap/>
            <w:vAlign w:val="center"/>
          </w:tcPr>
          <w:p w14:paraId="51374132">
            <w:pPr>
              <w:pStyle w:val="143"/>
              <w:jc w:val="center"/>
              <w:rPr>
                <w:snapToGrid w:val="0"/>
                <w:color w:val="000000" w:themeColor="text1"/>
                <w:kern w:val="2"/>
                <w14:textFill>
                  <w14:solidFill>
                    <w14:schemeClr w14:val="tx1"/>
                  </w14:solidFill>
                </w14:textFill>
              </w:rPr>
            </w:pPr>
          </w:p>
        </w:tc>
        <w:tc>
          <w:tcPr>
            <w:tcW w:w="563" w:type="pct"/>
            <w:noWrap/>
            <w:vAlign w:val="center"/>
          </w:tcPr>
          <w:p w14:paraId="71FD3213">
            <w:pPr>
              <w:pStyle w:val="143"/>
              <w:jc w:val="center"/>
              <w:rPr>
                <w:rFonts w:hint="eastAsia"/>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6DC09CC0">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59</w:t>
            </w:r>
          </w:p>
        </w:tc>
        <w:tc>
          <w:tcPr>
            <w:tcW w:w="360" w:type="pct"/>
            <w:noWrap/>
            <w:vAlign w:val="center"/>
          </w:tcPr>
          <w:p w14:paraId="7EB3953D">
            <w:pPr>
              <w:pStyle w:val="143"/>
              <w:jc w:val="center"/>
              <w:rPr>
                <w:rFonts w:hint="eastAsia"/>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15399F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37E8D8B5">
            <w:pPr>
              <w:pStyle w:val="143"/>
              <w:jc w:val="center"/>
              <w:rPr>
                <w:rFonts w:hint="default"/>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w:t>
            </w:r>
          </w:p>
        </w:tc>
        <w:tc>
          <w:tcPr>
            <w:tcW w:w="339" w:type="pct"/>
            <w:vMerge w:val="continue"/>
            <w:noWrap/>
            <w:vAlign w:val="center"/>
          </w:tcPr>
          <w:p w14:paraId="055CD860">
            <w:pPr>
              <w:pStyle w:val="143"/>
              <w:jc w:val="center"/>
              <w:rPr>
                <w:rFonts w:hint="eastAsia"/>
                <w:snapToGrid w:val="0"/>
                <w:color w:val="000000" w:themeColor="text1"/>
                <w:kern w:val="2"/>
                <w14:textFill>
                  <w14:solidFill>
                    <w14:schemeClr w14:val="tx1"/>
                  </w14:solidFill>
                </w14:textFill>
              </w:rPr>
            </w:pPr>
          </w:p>
        </w:tc>
        <w:tc>
          <w:tcPr>
            <w:tcW w:w="412" w:type="pct"/>
            <w:noWrap/>
            <w:vAlign w:val="center"/>
          </w:tcPr>
          <w:p w14:paraId="262E9E27">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糊化锅</w:t>
            </w:r>
          </w:p>
        </w:tc>
        <w:tc>
          <w:tcPr>
            <w:tcW w:w="150" w:type="pct"/>
            <w:noWrap/>
            <w:vAlign w:val="center"/>
          </w:tcPr>
          <w:p w14:paraId="7C0D5722">
            <w:pPr>
              <w:pStyle w:val="143"/>
              <w:jc w:val="center"/>
              <w:rPr>
                <w:rFonts w:hint="eastAsia"/>
                <w:snapToGrid w:val="0"/>
                <w:color w:val="000000" w:themeColor="text1"/>
                <w:kern w:val="2"/>
                <w14:textFill>
                  <w14:solidFill>
                    <w14:schemeClr w14:val="tx1"/>
                  </w14:solidFill>
                </w14:textFill>
              </w:rPr>
            </w:pPr>
          </w:p>
        </w:tc>
        <w:tc>
          <w:tcPr>
            <w:tcW w:w="391" w:type="pct"/>
            <w:noWrap/>
            <w:vAlign w:val="center"/>
          </w:tcPr>
          <w:p w14:paraId="653BE2BC">
            <w:pPr>
              <w:pStyle w:val="143"/>
              <w:jc w:val="center"/>
              <w:rPr>
                <w:rFonts w:hint="default"/>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85</w:t>
            </w:r>
          </w:p>
        </w:tc>
        <w:tc>
          <w:tcPr>
            <w:tcW w:w="311" w:type="pct"/>
            <w:vMerge w:val="continue"/>
            <w:noWrap/>
            <w:vAlign w:val="center"/>
          </w:tcPr>
          <w:p w14:paraId="1060A17D">
            <w:pPr>
              <w:pStyle w:val="143"/>
              <w:jc w:val="center"/>
              <w:rPr>
                <w:snapToGrid w:val="0"/>
                <w:color w:val="000000" w:themeColor="text1"/>
                <w:kern w:val="2"/>
                <w14:textFill>
                  <w14:solidFill>
                    <w14:schemeClr w14:val="tx1"/>
                  </w14:solidFill>
                </w14:textFill>
              </w:rPr>
            </w:pPr>
          </w:p>
        </w:tc>
        <w:tc>
          <w:tcPr>
            <w:tcW w:w="253" w:type="pct"/>
            <w:noWrap/>
            <w:vAlign w:val="center"/>
          </w:tcPr>
          <w:p w14:paraId="5BBB9DAE">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150</w:t>
            </w:r>
          </w:p>
        </w:tc>
        <w:tc>
          <w:tcPr>
            <w:tcW w:w="253" w:type="pct"/>
            <w:noWrap/>
            <w:vAlign w:val="center"/>
          </w:tcPr>
          <w:p w14:paraId="3A62EEAD">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75</w:t>
            </w:r>
          </w:p>
        </w:tc>
        <w:tc>
          <w:tcPr>
            <w:tcW w:w="243" w:type="pct"/>
            <w:noWrap/>
            <w:vAlign w:val="center"/>
          </w:tcPr>
          <w:p w14:paraId="4434DA48">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364" w:type="pct"/>
            <w:noWrap/>
            <w:vAlign w:val="center"/>
          </w:tcPr>
          <w:p w14:paraId="639F7F74">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3</w:t>
            </w:r>
          </w:p>
        </w:tc>
        <w:tc>
          <w:tcPr>
            <w:tcW w:w="512" w:type="pct"/>
            <w:noWrap/>
            <w:vAlign w:val="center"/>
          </w:tcPr>
          <w:p w14:paraId="1277FBB6">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75</w:t>
            </w:r>
          </w:p>
        </w:tc>
        <w:tc>
          <w:tcPr>
            <w:tcW w:w="256" w:type="pct"/>
            <w:vMerge w:val="continue"/>
            <w:noWrap/>
            <w:vAlign w:val="center"/>
          </w:tcPr>
          <w:p w14:paraId="3E6EF8D5">
            <w:pPr>
              <w:pStyle w:val="143"/>
              <w:jc w:val="center"/>
              <w:rPr>
                <w:snapToGrid w:val="0"/>
                <w:color w:val="000000" w:themeColor="text1"/>
                <w:kern w:val="2"/>
                <w14:textFill>
                  <w14:solidFill>
                    <w14:schemeClr w14:val="tx1"/>
                  </w14:solidFill>
                </w14:textFill>
              </w:rPr>
            </w:pPr>
          </w:p>
        </w:tc>
        <w:tc>
          <w:tcPr>
            <w:tcW w:w="563" w:type="pct"/>
            <w:noWrap/>
            <w:vAlign w:val="center"/>
          </w:tcPr>
          <w:p w14:paraId="41BACDAC">
            <w:pPr>
              <w:pStyle w:val="143"/>
              <w:jc w:val="center"/>
              <w:rPr>
                <w:rFonts w:hint="eastAsia"/>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2FBB5991">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55</w:t>
            </w:r>
          </w:p>
        </w:tc>
        <w:tc>
          <w:tcPr>
            <w:tcW w:w="360" w:type="pct"/>
            <w:noWrap/>
            <w:vAlign w:val="center"/>
          </w:tcPr>
          <w:p w14:paraId="1260344F">
            <w:pPr>
              <w:pStyle w:val="143"/>
              <w:jc w:val="center"/>
              <w:rPr>
                <w:rFonts w:hint="eastAsia"/>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547C88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6AE7F837">
            <w:pPr>
              <w:pStyle w:val="143"/>
              <w:jc w:val="center"/>
              <w:rPr>
                <w:rFonts w:hint="default"/>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6</w:t>
            </w:r>
          </w:p>
        </w:tc>
        <w:tc>
          <w:tcPr>
            <w:tcW w:w="339" w:type="pct"/>
            <w:vMerge w:val="continue"/>
            <w:noWrap/>
            <w:vAlign w:val="center"/>
          </w:tcPr>
          <w:p w14:paraId="3C90F2C1">
            <w:pPr>
              <w:pStyle w:val="143"/>
              <w:jc w:val="center"/>
              <w:rPr>
                <w:rFonts w:hint="eastAsia"/>
                <w:snapToGrid w:val="0"/>
                <w:color w:val="000000" w:themeColor="text1"/>
                <w:kern w:val="2"/>
                <w14:textFill>
                  <w14:solidFill>
                    <w14:schemeClr w14:val="tx1"/>
                  </w14:solidFill>
                </w14:textFill>
              </w:rPr>
            </w:pPr>
          </w:p>
        </w:tc>
        <w:tc>
          <w:tcPr>
            <w:tcW w:w="412" w:type="pct"/>
            <w:noWrap/>
            <w:vAlign w:val="center"/>
          </w:tcPr>
          <w:p w14:paraId="50D37E36">
            <w:pPr>
              <w:pStyle w:val="143"/>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Cs w:val="21"/>
                <w:lang w:val="en-US" w:eastAsia="zh-CN"/>
                <w14:textFill>
                  <w14:solidFill>
                    <w14:schemeClr w14:val="tx1"/>
                  </w14:solidFill>
                </w14:textFill>
              </w:rPr>
            </w:pPr>
            <w:r>
              <w:rPr>
                <w:snapToGrid w:val="0"/>
                <w:color w:val="000000" w:themeColor="text1"/>
                <w:kern w:val="0"/>
                <w:szCs w:val="21"/>
                <w:lang w:val="en-US" w:eastAsia="zh-CN"/>
                <w14:textFill>
                  <w14:solidFill>
                    <w14:schemeClr w14:val="tx1"/>
                  </w14:solidFill>
                </w14:textFill>
              </w:rPr>
              <w:t>糖化锅</w:t>
            </w:r>
          </w:p>
        </w:tc>
        <w:tc>
          <w:tcPr>
            <w:tcW w:w="150" w:type="pct"/>
            <w:noWrap/>
            <w:vAlign w:val="center"/>
          </w:tcPr>
          <w:p w14:paraId="61F59738">
            <w:pPr>
              <w:pStyle w:val="143"/>
              <w:jc w:val="center"/>
              <w:rPr>
                <w:rFonts w:hint="eastAsia"/>
                <w:snapToGrid w:val="0"/>
                <w:color w:val="000000" w:themeColor="text1"/>
                <w:kern w:val="2"/>
                <w14:textFill>
                  <w14:solidFill>
                    <w14:schemeClr w14:val="tx1"/>
                  </w14:solidFill>
                </w14:textFill>
              </w:rPr>
            </w:pPr>
          </w:p>
        </w:tc>
        <w:tc>
          <w:tcPr>
            <w:tcW w:w="391" w:type="pct"/>
            <w:noWrap/>
            <w:vAlign w:val="center"/>
          </w:tcPr>
          <w:p w14:paraId="7270415B">
            <w:pPr>
              <w:pStyle w:val="143"/>
              <w:jc w:val="center"/>
              <w:rPr>
                <w:rFonts w:hint="default"/>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85</w:t>
            </w:r>
          </w:p>
        </w:tc>
        <w:tc>
          <w:tcPr>
            <w:tcW w:w="311" w:type="pct"/>
            <w:vMerge w:val="continue"/>
            <w:noWrap/>
            <w:vAlign w:val="center"/>
          </w:tcPr>
          <w:p w14:paraId="1B372C66">
            <w:pPr>
              <w:pStyle w:val="143"/>
              <w:jc w:val="center"/>
              <w:rPr>
                <w:snapToGrid w:val="0"/>
                <w:color w:val="000000" w:themeColor="text1"/>
                <w:kern w:val="2"/>
                <w14:textFill>
                  <w14:solidFill>
                    <w14:schemeClr w14:val="tx1"/>
                  </w14:solidFill>
                </w14:textFill>
              </w:rPr>
            </w:pPr>
          </w:p>
        </w:tc>
        <w:tc>
          <w:tcPr>
            <w:tcW w:w="253" w:type="pct"/>
            <w:noWrap/>
            <w:vAlign w:val="center"/>
          </w:tcPr>
          <w:p w14:paraId="7BF7154D">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205</w:t>
            </w:r>
          </w:p>
        </w:tc>
        <w:tc>
          <w:tcPr>
            <w:tcW w:w="253" w:type="pct"/>
            <w:noWrap/>
            <w:vAlign w:val="center"/>
          </w:tcPr>
          <w:p w14:paraId="5B43D7AF">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75</w:t>
            </w:r>
          </w:p>
        </w:tc>
        <w:tc>
          <w:tcPr>
            <w:tcW w:w="243" w:type="pct"/>
            <w:noWrap/>
            <w:vAlign w:val="center"/>
          </w:tcPr>
          <w:p w14:paraId="0E2CD79D">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364" w:type="pct"/>
            <w:noWrap/>
            <w:vAlign w:val="center"/>
          </w:tcPr>
          <w:p w14:paraId="2DA27105">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3</w:t>
            </w:r>
          </w:p>
        </w:tc>
        <w:tc>
          <w:tcPr>
            <w:tcW w:w="512" w:type="pct"/>
            <w:noWrap/>
            <w:vAlign w:val="center"/>
          </w:tcPr>
          <w:p w14:paraId="5EAD5AF1">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75</w:t>
            </w:r>
          </w:p>
        </w:tc>
        <w:tc>
          <w:tcPr>
            <w:tcW w:w="256" w:type="pct"/>
            <w:vMerge w:val="continue"/>
            <w:noWrap/>
            <w:vAlign w:val="center"/>
          </w:tcPr>
          <w:p w14:paraId="57ACCF22">
            <w:pPr>
              <w:pStyle w:val="143"/>
              <w:jc w:val="center"/>
              <w:rPr>
                <w:snapToGrid w:val="0"/>
                <w:color w:val="000000" w:themeColor="text1"/>
                <w:kern w:val="2"/>
                <w14:textFill>
                  <w14:solidFill>
                    <w14:schemeClr w14:val="tx1"/>
                  </w14:solidFill>
                </w14:textFill>
              </w:rPr>
            </w:pPr>
          </w:p>
        </w:tc>
        <w:tc>
          <w:tcPr>
            <w:tcW w:w="563" w:type="pct"/>
            <w:noWrap/>
            <w:vAlign w:val="center"/>
          </w:tcPr>
          <w:p w14:paraId="36C03334">
            <w:pPr>
              <w:pStyle w:val="143"/>
              <w:jc w:val="center"/>
              <w:rPr>
                <w:rFonts w:hint="eastAsia"/>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00AFEEF0">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55</w:t>
            </w:r>
          </w:p>
        </w:tc>
        <w:tc>
          <w:tcPr>
            <w:tcW w:w="360" w:type="pct"/>
            <w:noWrap/>
            <w:vAlign w:val="center"/>
          </w:tcPr>
          <w:p w14:paraId="6114D996">
            <w:pPr>
              <w:pStyle w:val="143"/>
              <w:jc w:val="center"/>
              <w:rPr>
                <w:rFonts w:hint="eastAsia"/>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4A5CDC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43DE4D94">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w:t>
            </w:r>
          </w:p>
        </w:tc>
        <w:tc>
          <w:tcPr>
            <w:tcW w:w="339" w:type="pct"/>
            <w:vMerge w:val="continue"/>
            <w:noWrap/>
            <w:vAlign w:val="center"/>
          </w:tcPr>
          <w:p w14:paraId="6164C363">
            <w:pPr>
              <w:pStyle w:val="143"/>
              <w:jc w:val="center"/>
              <w:rPr>
                <w:snapToGrid w:val="0"/>
                <w:color w:val="000000" w:themeColor="text1"/>
                <w:kern w:val="2"/>
                <w14:textFill>
                  <w14:solidFill>
                    <w14:schemeClr w14:val="tx1"/>
                  </w14:solidFill>
                </w14:textFill>
              </w:rPr>
            </w:pPr>
          </w:p>
        </w:tc>
        <w:tc>
          <w:tcPr>
            <w:tcW w:w="412" w:type="pct"/>
            <w:noWrap/>
            <w:vAlign w:val="center"/>
          </w:tcPr>
          <w:p w14:paraId="71A8939D">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离心机</w:t>
            </w:r>
          </w:p>
        </w:tc>
        <w:tc>
          <w:tcPr>
            <w:tcW w:w="150" w:type="pct"/>
            <w:noWrap/>
            <w:vAlign w:val="center"/>
          </w:tcPr>
          <w:p w14:paraId="6B33E864">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416735FF">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85</w:t>
            </w:r>
          </w:p>
        </w:tc>
        <w:tc>
          <w:tcPr>
            <w:tcW w:w="311" w:type="pct"/>
            <w:vMerge w:val="continue"/>
            <w:noWrap/>
            <w:vAlign w:val="center"/>
          </w:tcPr>
          <w:p w14:paraId="2F8F403E">
            <w:pPr>
              <w:pStyle w:val="143"/>
              <w:jc w:val="center"/>
              <w:rPr>
                <w:snapToGrid w:val="0"/>
                <w:color w:val="000000" w:themeColor="text1"/>
                <w:kern w:val="2"/>
                <w14:textFill>
                  <w14:solidFill>
                    <w14:schemeClr w14:val="tx1"/>
                  </w14:solidFill>
                </w14:textFill>
              </w:rPr>
            </w:pPr>
          </w:p>
        </w:tc>
        <w:tc>
          <w:tcPr>
            <w:tcW w:w="253" w:type="pct"/>
            <w:noWrap/>
            <w:vAlign w:val="center"/>
          </w:tcPr>
          <w:p w14:paraId="25A064BD">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230</w:t>
            </w:r>
          </w:p>
        </w:tc>
        <w:tc>
          <w:tcPr>
            <w:tcW w:w="253" w:type="pct"/>
            <w:noWrap/>
            <w:vAlign w:val="center"/>
          </w:tcPr>
          <w:p w14:paraId="154574D0">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70</w:t>
            </w:r>
          </w:p>
        </w:tc>
        <w:tc>
          <w:tcPr>
            <w:tcW w:w="243" w:type="pct"/>
            <w:noWrap/>
            <w:vAlign w:val="center"/>
          </w:tcPr>
          <w:p w14:paraId="249F1459">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c>
          <w:tcPr>
            <w:tcW w:w="364" w:type="pct"/>
            <w:noWrap/>
            <w:vAlign w:val="center"/>
          </w:tcPr>
          <w:p w14:paraId="05DC6A6F">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w:t>
            </w:r>
          </w:p>
        </w:tc>
        <w:tc>
          <w:tcPr>
            <w:tcW w:w="512" w:type="pct"/>
            <w:noWrap/>
            <w:vAlign w:val="center"/>
          </w:tcPr>
          <w:p w14:paraId="73EBDE77">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85</w:t>
            </w:r>
          </w:p>
        </w:tc>
        <w:tc>
          <w:tcPr>
            <w:tcW w:w="256" w:type="pct"/>
            <w:vMerge w:val="continue"/>
            <w:noWrap/>
            <w:vAlign w:val="center"/>
          </w:tcPr>
          <w:p w14:paraId="3AC279A3">
            <w:pPr>
              <w:pStyle w:val="143"/>
              <w:jc w:val="center"/>
              <w:rPr>
                <w:snapToGrid w:val="0"/>
                <w:color w:val="000000" w:themeColor="text1"/>
                <w:kern w:val="2"/>
                <w14:textFill>
                  <w14:solidFill>
                    <w14:schemeClr w14:val="tx1"/>
                  </w14:solidFill>
                </w14:textFill>
              </w:rPr>
            </w:pPr>
          </w:p>
        </w:tc>
        <w:tc>
          <w:tcPr>
            <w:tcW w:w="563" w:type="pct"/>
            <w:noWrap/>
            <w:vAlign w:val="center"/>
          </w:tcPr>
          <w:p w14:paraId="51C1262D">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79E25C85">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65</w:t>
            </w:r>
          </w:p>
        </w:tc>
        <w:tc>
          <w:tcPr>
            <w:tcW w:w="360" w:type="pct"/>
            <w:noWrap/>
            <w:vAlign w:val="center"/>
          </w:tcPr>
          <w:p w14:paraId="7C0441CA">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0D6EFA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678D3053">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w:t>
            </w:r>
          </w:p>
        </w:tc>
        <w:tc>
          <w:tcPr>
            <w:tcW w:w="339" w:type="pct"/>
            <w:vMerge w:val="continue"/>
            <w:noWrap/>
            <w:vAlign w:val="center"/>
          </w:tcPr>
          <w:p w14:paraId="2E83CF0C">
            <w:pPr>
              <w:pStyle w:val="143"/>
              <w:jc w:val="center"/>
              <w:rPr>
                <w:snapToGrid w:val="0"/>
                <w:color w:val="000000" w:themeColor="text1"/>
                <w:kern w:val="2"/>
                <w14:textFill>
                  <w14:solidFill>
                    <w14:schemeClr w14:val="tx1"/>
                  </w14:solidFill>
                </w14:textFill>
              </w:rPr>
            </w:pPr>
          </w:p>
        </w:tc>
        <w:tc>
          <w:tcPr>
            <w:tcW w:w="412" w:type="pct"/>
            <w:noWrap/>
            <w:vAlign w:val="center"/>
          </w:tcPr>
          <w:p w14:paraId="11AAD29C">
            <w:pPr>
              <w:pStyle w:val="143"/>
              <w:jc w:val="center"/>
              <w:rPr>
                <w:snapToGrid w:val="0"/>
                <w:color w:val="000000" w:themeColor="text1"/>
                <w:kern w:val="2"/>
                <w14:textFill>
                  <w14:solidFill>
                    <w14:schemeClr w14:val="tx1"/>
                  </w14:solidFill>
                </w14:textFill>
              </w:rPr>
            </w:pPr>
            <w:r>
              <w:rPr>
                <w:rFonts w:hint="eastAsia"/>
                <w:snapToGrid w:val="0"/>
                <w:color w:val="000000" w:themeColor="text1"/>
                <w:lang w:val="en-US" w:eastAsia="zh-CN"/>
                <w14:textFill>
                  <w14:solidFill>
                    <w14:schemeClr w14:val="tx1"/>
                  </w14:solidFill>
                </w14:textFill>
              </w:rPr>
              <w:t>螺杆空压机</w:t>
            </w:r>
          </w:p>
        </w:tc>
        <w:tc>
          <w:tcPr>
            <w:tcW w:w="150" w:type="pct"/>
            <w:noWrap/>
            <w:vAlign w:val="center"/>
          </w:tcPr>
          <w:p w14:paraId="615E5694">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7B2C5689">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90</w:t>
            </w:r>
          </w:p>
        </w:tc>
        <w:tc>
          <w:tcPr>
            <w:tcW w:w="311" w:type="pct"/>
            <w:vMerge w:val="continue"/>
            <w:noWrap/>
            <w:vAlign w:val="center"/>
          </w:tcPr>
          <w:p w14:paraId="6F00BFC0">
            <w:pPr>
              <w:pStyle w:val="143"/>
              <w:jc w:val="center"/>
              <w:rPr>
                <w:snapToGrid w:val="0"/>
                <w:color w:val="000000" w:themeColor="text1"/>
                <w:kern w:val="2"/>
                <w14:textFill>
                  <w14:solidFill>
                    <w14:schemeClr w14:val="tx1"/>
                  </w14:solidFill>
                </w14:textFill>
              </w:rPr>
            </w:pPr>
          </w:p>
        </w:tc>
        <w:tc>
          <w:tcPr>
            <w:tcW w:w="253" w:type="pct"/>
            <w:noWrap/>
            <w:vAlign w:val="center"/>
          </w:tcPr>
          <w:p w14:paraId="0AC91DDE">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240</w:t>
            </w:r>
          </w:p>
        </w:tc>
        <w:tc>
          <w:tcPr>
            <w:tcW w:w="253" w:type="pct"/>
            <w:noWrap/>
            <w:vAlign w:val="center"/>
          </w:tcPr>
          <w:p w14:paraId="608B7D87">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60</w:t>
            </w:r>
          </w:p>
        </w:tc>
        <w:tc>
          <w:tcPr>
            <w:tcW w:w="243" w:type="pct"/>
            <w:noWrap/>
            <w:vAlign w:val="center"/>
          </w:tcPr>
          <w:p w14:paraId="625B8081">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c>
          <w:tcPr>
            <w:tcW w:w="364" w:type="pct"/>
            <w:noWrap/>
            <w:vAlign w:val="center"/>
          </w:tcPr>
          <w:p w14:paraId="6B5DB43F">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512" w:type="pct"/>
            <w:noWrap/>
            <w:vAlign w:val="center"/>
          </w:tcPr>
          <w:p w14:paraId="04D8B77F">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84</w:t>
            </w:r>
          </w:p>
        </w:tc>
        <w:tc>
          <w:tcPr>
            <w:tcW w:w="256" w:type="pct"/>
            <w:vMerge w:val="continue"/>
            <w:noWrap/>
            <w:vAlign w:val="center"/>
          </w:tcPr>
          <w:p w14:paraId="0904381D">
            <w:pPr>
              <w:pStyle w:val="143"/>
              <w:jc w:val="center"/>
              <w:rPr>
                <w:snapToGrid w:val="0"/>
                <w:color w:val="000000" w:themeColor="text1"/>
                <w:kern w:val="2"/>
                <w14:textFill>
                  <w14:solidFill>
                    <w14:schemeClr w14:val="tx1"/>
                  </w14:solidFill>
                </w14:textFill>
              </w:rPr>
            </w:pPr>
          </w:p>
        </w:tc>
        <w:tc>
          <w:tcPr>
            <w:tcW w:w="563" w:type="pct"/>
            <w:noWrap/>
            <w:vAlign w:val="center"/>
          </w:tcPr>
          <w:p w14:paraId="01E97420">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74189CF4">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64</w:t>
            </w:r>
          </w:p>
        </w:tc>
        <w:tc>
          <w:tcPr>
            <w:tcW w:w="360" w:type="pct"/>
            <w:noWrap/>
            <w:vAlign w:val="center"/>
          </w:tcPr>
          <w:p w14:paraId="6F4A38B9">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674FCC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758662B9">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9</w:t>
            </w:r>
          </w:p>
        </w:tc>
        <w:tc>
          <w:tcPr>
            <w:tcW w:w="339" w:type="pct"/>
            <w:vMerge w:val="continue"/>
            <w:noWrap/>
            <w:vAlign w:val="center"/>
          </w:tcPr>
          <w:p w14:paraId="3F8636DD">
            <w:pPr>
              <w:pStyle w:val="143"/>
              <w:jc w:val="center"/>
              <w:rPr>
                <w:snapToGrid w:val="0"/>
                <w:color w:val="000000" w:themeColor="text1"/>
                <w:kern w:val="2"/>
                <w14:textFill>
                  <w14:solidFill>
                    <w14:schemeClr w14:val="tx1"/>
                  </w14:solidFill>
                </w14:textFill>
              </w:rPr>
            </w:pPr>
          </w:p>
        </w:tc>
        <w:tc>
          <w:tcPr>
            <w:tcW w:w="412" w:type="pct"/>
            <w:noWrap/>
            <w:vAlign w:val="center"/>
          </w:tcPr>
          <w:p w14:paraId="1AF3863E">
            <w:pPr>
              <w:pStyle w:val="143"/>
              <w:jc w:val="center"/>
              <w:rPr>
                <w:snapToGrid w:val="0"/>
                <w:color w:val="000000" w:themeColor="text1"/>
                <w:kern w:val="2"/>
                <w14:textFill>
                  <w14:solidFill>
                    <w14:schemeClr w14:val="tx1"/>
                  </w14:solidFill>
                </w14:textFill>
              </w:rPr>
            </w:pPr>
            <w:r>
              <w:rPr>
                <w:snapToGrid w:val="0"/>
                <w:color w:val="000000" w:themeColor="text1"/>
                <w:kern w:val="0"/>
                <w:szCs w:val="21"/>
                <w:lang w:val="en-US" w:eastAsia="zh-CN"/>
                <w14:textFill>
                  <w14:solidFill>
                    <w14:schemeClr w14:val="tx1"/>
                  </w14:solidFill>
                </w14:textFill>
              </w:rPr>
              <w:t>吸附式干燥机</w:t>
            </w:r>
          </w:p>
        </w:tc>
        <w:tc>
          <w:tcPr>
            <w:tcW w:w="150" w:type="pct"/>
            <w:noWrap/>
            <w:vAlign w:val="center"/>
          </w:tcPr>
          <w:p w14:paraId="0B71B6B8">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247B5B2E">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80</w:t>
            </w:r>
          </w:p>
        </w:tc>
        <w:tc>
          <w:tcPr>
            <w:tcW w:w="311" w:type="pct"/>
            <w:vMerge w:val="continue"/>
            <w:noWrap/>
            <w:vAlign w:val="center"/>
          </w:tcPr>
          <w:p w14:paraId="2B65BF3E">
            <w:pPr>
              <w:pStyle w:val="143"/>
              <w:jc w:val="center"/>
              <w:rPr>
                <w:snapToGrid w:val="0"/>
                <w:color w:val="000000" w:themeColor="text1"/>
                <w:kern w:val="2"/>
                <w14:textFill>
                  <w14:solidFill>
                    <w14:schemeClr w14:val="tx1"/>
                  </w14:solidFill>
                </w14:textFill>
              </w:rPr>
            </w:pPr>
          </w:p>
        </w:tc>
        <w:tc>
          <w:tcPr>
            <w:tcW w:w="253" w:type="pct"/>
            <w:noWrap/>
            <w:vAlign w:val="center"/>
          </w:tcPr>
          <w:p w14:paraId="79666498">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220</w:t>
            </w:r>
          </w:p>
        </w:tc>
        <w:tc>
          <w:tcPr>
            <w:tcW w:w="253" w:type="pct"/>
            <w:noWrap/>
            <w:vAlign w:val="center"/>
          </w:tcPr>
          <w:p w14:paraId="682E0876">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50</w:t>
            </w:r>
          </w:p>
        </w:tc>
        <w:tc>
          <w:tcPr>
            <w:tcW w:w="243" w:type="pct"/>
            <w:noWrap/>
            <w:vAlign w:val="center"/>
          </w:tcPr>
          <w:p w14:paraId="490790C6">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c>
          <w:tcPr>
            <w:tcW w:w="364" w:type="pct"/>
            <w:noWrap/>
            <w:vAlign w:val="center"/>
          </w:tcPr>
          <w:p w14:paraId="4249EA13">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512" w:type="pct"/>
            <w:noWrap/>
            <w:vAlign w:val="center"/>
          </w:tcPr>
          <w:p w14:paraId="28A5B531">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74</w:t>
            </w:r>
          </w:p>
        </w:tc>
        <w:tc>
          <w:tcPr>
            <w:tcW w:w="256" w:type="pct"/>
            <w:vMerge w:val="continue"/>
            <w:noWrap/>
            <w:vAlign w:val="center"/>
          </w:tcPr>
          <w:p w14:paraId="7824EDEB">
            <w:pPr>
              <w:pStyle w:val="143"/>
              <w:jc w:val="center"/>
              <w:rPr>
                <w:snapToGrid w:val="0"/>
                <w:color w:val="000000" w:themeColor="text1"/>
                <w:kern w:val="2"/>
                <w14:textFill>
                  <w14:solidFill>
                    <w14:schemeClr w14:val="tx1"/>
                  </w14:solidFill>
                </w14:textFill>
              </w:rPr>
            </w:pPr>
          </w:p>
        </w:tc>
        <w:tc>
          <w:tcPr>
            <w:tcW w:w="563" w:type="pct"/>
            <w:noWrap/>
            <w:vAlign w:val="center"/>
          </w:tcPr>
          <w:p w14:paraId="3BC83766">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0B02149B">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54</w:t>
            </w:r>
          </w:p>
        </w:tc>
        <w:tc>
          <w:tcPr>
            <w:tcW w:w="360" w:type="pct"/>
            <w:noWrap/>
            <w:vAlign w:val="center"/>
          </w:tcPr>
          <w:p w14:paraId="69DD3BE6">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2788A3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7B5ADFED">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10</w:t>
            </w:r>
          </w:p>
        </w:tc>
        <w:tc>
          <w:tcPr>
            <w:tcW w:w="339" w:type="pct"/>
            <w:vMerge w:val="continue"/>
            <w:noWrap/>
            <w:vAlign w:val="center"/>
          </w:tcPr>
          <w:p w14:paraId="684D87E6">
            <w:pPr>
              <w:pStyle w:val="143"/>
              <w:jc w:val="center"/>
              <w:rPr>
                <w:snapToGrid w:val="0"/>
                <w:color w:val="000000" w:themeColor="text1"/>
                <w:kern w:val="2"/>
                <w14:textFill>
                  <w14:solidFill>
                    <w14:schemeClr w14:val="tx1"/>
                  </w14:solidFill>
                </w14:textFill>
              </w:rPr>
            </w:pPr>
          </w:p>
        </w:tc>
        <w:tc>
          <w:tcPr>
            <w:tcW w:w="412" w:type="pct"/>
            <w:noWrap/>
            <w:vAlign w:val="center"/>
          </w:tcPr>
          <w:p w14:paraId="016365B0">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制冷压缩机</w:t>
            </w:r>
          </w:p>
        </w:tc>
        <w:tc>
          <w:tcPr>
            <w:tcW w:w="150" w:type="pct"/>
            <w:noWrap/>
            <w:vAlign w:val="center"/>
          </w:tcPr>
          <w:p w14:paraId="5D40D053">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1A84F39F">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85</w:t>
            </w:r>
          </w:p>
        </w:tc>
        <w:tc>
          <w:tcPr>
            <w:tcW w:w="311" w:type="pct"/>
            <w:vMerge w:val="continue"/>
            <w:noWrap/>
            <w:vAlign w:val="center"/>
          </w:tcPr>
          <w:p w14:paraId="7982D62D">
            <w:pPr>
              <w:pStyle w:val="143"/>
              <w:jc w:val="center"/>
              <w:rPr>
                <w:snapToGrid w:val="0"/>
                <w:color w:val="000000" w:themeColor="text1"/>
                <w:kern w:val="2"/>
                <w14:textFill>
                  <w14:solidFill>
                    <w14:schemeClr w14:val="tx1"/>
                  </w14:solidFill>
                </w14:textFill>
              </w:rPr>
            </w:pPr>
          </w:p>
        </w:tc>
        <w:tc>
          <w:tcPr>
            <w:tcW w:w="253" w:type="pct"/>
            <w:noWrap/>
            <w:vAlign w:val="center"/>
          </w:tcPr>
          <w:p w14:paraId="2B5F7E20">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140</w:t>
            </w:r>
          </w:p>
        </w:tc>
        <w:tc>
          <w:tcPr>
            <w:tcW w:w="253" w:type="pct"/>
            <w:noWrap/>
            <w:vAlign w:val="center"/>
          </w:tcPr>
          <w:p w14:paraId="09765C2F">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50</w:t>
            </w:r>
          </w:p>
        </w:tc>
        <w:tc>
          <w:tcPr>
            <w:tcW w:w="243" w:type="pct"/>
            <w:noWrap/>
            <w:vAlign w:val="center"/>
          </w:tcPr>
          <w:p w14:paraId="1CBB204A">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c>
          <w:tcPr>
            <w:tcW w:w="364" w:type="pct"/>
            <w:noWrap/>
            <w:vAlign w:val="center"/>
          </w:tcPr>
          <w:p w14:paraId="51D2669D">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512" w:type="pct"/>
            <w:noWrap/>
            <w:vAlign w:val="center"/>
          </w:tcPr>
          <w:p w14:paraId="0FB76390">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79</w:t>
            </w:r>
          </w:p>
        </w:tc>
        <w:tc>
          <w:tcPr>
            <w:tcW w:w="256" w:type="pct"/>
            <w:vMerge w:val="continue"/>
            <w:noWrap/>
            <w:vAlign w:val="center"/>
          </w:tcPr>
          <w:p w14:paraId="09734C94">
            <w:pPr>
              <w:pStyle w:val="143"/>
              <w:jc w:val="center"/>
              <w:rPr>
                <w:snapToGrid w:val="0"/>
                <w:color w:val="000000" w:themeColor="text1"/>
                <w:kern w:val="2"/>
                <w14:textFill>
                  <w14:solidFill>
                    <w14:schemeClr w14:val="tx1"/>
                  </w14:solidFill>
                </w14:textFill>
              </w:rPr>
            </w:pPr>
          </w:p>
        </w:tc>
        <w:tc>
          <w:tcPr>
            <w:tcW w:w="563" w:type="pct"/>
            <w:noWrap/>
            <w:vAlign w:val="center"/>
          </w:tcPr>
          <w:p w14:paraId="274D8543">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63FE175B">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59</w:t>
            </w:r>
          </w:p>
        </w:tc>
        <w:tc>
          <w:tcPr>
            <w:tcW w:w="360" w:type="pct"/>
            <w:noWrap/>
            <w:vAlign w:val="center"/>
          </w:tcPr>
          <w:p w14:paraId="25D2EADB">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7CAC8E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3FF584CC">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11</w:t>
            </w:r>
          </w:p>
        </w:tc>
        <w:tc>
          <w:tcPr>
            <w:tcW w:w="339" w:type="pct"/>
            <w:noWrap/>
            <w:vAlign w:val="center"/>
          </w:tcPr>
          <w:p w14:paraId="48F46664">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包装车间</w:t>
            </w:r>
          </w:p>
        </w:tc>
        <w:tc>
          <w:tcPr>
            <w:tcW w:w="412" w:type="pct"/>
            <w:noWrap/>
            <w:vAlign w:val="center"/>
          </w:tcPr>
          <w:p w14:paraId="6308F3D3">
            <w:pPr>
              <w:pStyle w:val="143"/>
              <w:jc w:val="center"/>
              <w:rPr>
                <w:snapToGrid w:val="0"/>
                <w:color w:val="000000" w:themeColor="text1"/>
                <w:kern w:val="2"/>
                <w14:textFill>
                  <w14:solidFill>
                    <w14:schemeClr w14:val="tx1"/>
                  </w14:solidFill>
                </w14:textFill>
              </w:rPr>
            </w:pPr>
            <w:r>
              <w:rPr>
                <w:snapToGrid w:val="0"/>
                <w:color w:val="000000" w:themeColor="text1"/>
                <w14:textFill>
                  <w14:solidFill>
                    <w14:schemeClr w14:val="tx1"/>
                  </w14:solidFill>
                </w14:textFill>
              </w:rPr>
              <w:t>灌装机</w:t>
            </w:r>
          </w:p>
        </w:tc>
        <w:tc>
          <w:tcPr>
            <w:tcW w:w="150" w:type="pct"/>
            <w:noWrap/>
            <w:vAlign w:val="center"/>
          </w:tcPr>
          <w:p w14:paraId="697EDC43">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42D4E4C9">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85</w:t>
            </w:r>
          </w:p>
        </w:tc>
        <w:tc>
          <w:tcPr>
            <w:tcW w:w="311" w:type="pct"/>
            <w:vMerge w:val="continue"/>
            <w:noWrap/>
            <w:vAlign w:val="center"/>
          </w:tcPr>
          <w:p w14:paraId="7C59C2D1">
            <w:pPr>
              <w:pStyle w:val="143"/>
              <w:jc w:val="center"/>
              <w:rPr>
                <w:snapToGrid w:val="0"/>
                <w:color w:val="000000" w:themeColor="text1"/>
                <w:kern w:val="2"/>
                <w14:textFill>
                  <w14:solidFill>
                    <w14:schemeClr w14:val="tx1"/>
                  </w14:solidFill>
                </w14:textFill>
              </w:rPr>
            </w:pPr>
          </w:p>
        </w:tc>
        <w:tc>
          <w:tcPr>
            <w:tcW w:w="253" w:type="pct"/>
            <w:noWrap/>
            <w:vAlign w:val="center"/>
          </w:tcPr>
          <w:p w14:paraId="1A93B6ED">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50</w:t>
            </w:r>
          </w:p>
        </w:tc>
        <w:tc>
          <w:tcPr>
            <w:tcW w:w="253" w:type="pct"/>
            <w:noWrap/>
            <w:vAlign w:val="center"/>
          </w:tcPr>
          <w:p w14:paraId="2FDD6443">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130</w:t>
            </w:r>
          </w:p>
        </w:tc>
        <w:tc>
          <w:tcPr>
            <w:tcW w:w="243" w:type="pct"/>
            <w:noWrap/>
            <w:vAlign w:val="center"/>
          </w:tcPr>
          <w:p w14:paraId="5B5C20BA">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c>
          <w:tcPr>
            <w:tcW w:w="364" w:type="pct"/>
            <w:noWrap/>
            <w:vAlign w:val="center"/>
          </w:tcPr>
          <w:p w14:paraId="786056DC">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w:t>
            </w:r>
          </w:p>
        </w:tc>
        <w:tc>
          <w:tcPr>
            <w:tcW w:w="512" w:type="pct"/>
            <w:noWrap/>
            <w:vAlign w:val="center"/>
          </w:tcPr>
          <w:p w14:paraId="22F12737">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79</w:t>
            </w:r>
          </w:p>
        </w:tc>
        <w:tc>
          <w:tcPr>
            <w:tcW w:w="256" w:type="pct"/>
            <w:vMerge w:val="continue"/>
            <w:noWrap/>
            <w:vAlign w:val="center"/>
          </w:tcPr>
          <w:p w14:paraId="187A3509">
            <w:pPr>
              <w:pStyle w:val="143"/>
              <w:jc w:val="center"/>
              <w:rPr>
                <w:snapToGrid w:val="0"/>
                <w:color w:val="000000" w:themeColor="text1"/>
                <w:kern w:val="2"/>
                <w14:textFill>
                  <w14:solidFill>
                    <w14:schemeClr w14:val="tx1"/>
                  </w14:solidFill>
                </w14:textFill>
              </w:rPr>
            </w:pPr>
          </w:p>
        </w:tc>
        <w:tc>
          <w:tcPr>
            <w:tcW w:w="563" w:type="pct"/>
            <w:noWrap/>
            <w:vAlign w:val="center"/>
          </w:tcPr>
          <w:p w14:paraId="23515BC2">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0339F1E1">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59</w:t>
            </w:r>
          </w:p>
        </w:tc>
        <w:tc>
          <w:tcPr>
            <w:tcW w:w="360" w:type="pct"/>
            <w:noWrap/>
            <w:vAlign w:val="center"/>
          </w:tcPr>
          <w:p w14:paraId="6100F464">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6FFB9E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606E98BD">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12</w:t>
            </w:r>
          </w:p>
        </w:tc>
        <w:tc>
          <w:tcPr>
            <w:tcW w:w="339" w:type="pct"/>
            <w:noWrap/>
            <w:vAlign w:val="center"/>
          </w:tcPr>
          <w:p w14:paraId="0DE67151">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污水处理站</w:t>
            </w:r>
          </w:p>
        </w:tc>
        <w:tc>
          <w:tcPr>
            <w:tcW w:w="412" w:type="pct"/>
            <w:noWrap/>
            <w:vAlign w:val="center"/>
          </w:tcPr>
          <w:p w14:paraId="5C95DE0E">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水泵</w:t>
            </w:r>
          </w:p>
        </w:tc>
        <w:tc>
          <w:tcPr>
            <w:tcW w:w="150" w:type="pct"/>
            <w:noWrap/>
            <w:vAlign w:val="center"/>
          </w:tcPr>
          <w:p w14:paraId="7C74B0AD">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23AAC4C6">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90</w:t>
            </w:r>
          </w:p>
        </w:tc>
        <w:tc>
          <w:tcPr>
            <w:tcW w:w="311" w:type="pct"/>
            <w:vMerge w:val="continue"/>
            <w:noWrap/>
            <w:vAlign w:val="center"/>
          </w:tcPr>
          <w:p w14:paraId="694BB75E">
            <w:pPr>
              <w:pStyle w:val="143"/>
              <w:jc w:val="center"/>
              <w:rPr>
                <w:snapToGrid w:val="0"/>
                <w:color w:val="000000" w:themeColor="text1"/>
                <w:kern w:val="2"/>
                <w14:textFill>
                  <w14:solidFill>
                    <w14:schemeClr w14:val="tx1"/>
                  </w14:solidFill>
                </w14:textFill>
              </w:rPr>
            </w:pPr>
          </w:p>
        </w:tc>
        <w:tc>
          <w:tcPr>
            <w:tcW w:w="253" w:type="pct"/>
            <w:noWrap/>
            <w:vAlign w:val="center"/>
          </w:tcPr>
          <w:p w14:paraId="18C69061">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300</w:t>
            </w:r>
          </w:p>
        </w:tc>
        <w:tc>
          <w:tcPr>
            <w:tcW w:w="253" w:type="pct"/>
            <w:noWrap/>
            <w:vAlign w:val="center"/>
          </w:tcPr>
          <w:p w14:paraId="149D9D0D">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50</w:t>
            </w:r>
          </w:p>
        </w:tc>
        <w:tc>
          <w:tcPr>
            <w:tcW w:w="243" w:type="pct"/>
            <w:noWrap/>
            <w:vAlign w:val="center"/>
          </w:tcPr>
          <w:p w14:paraId="7D9EBDF5">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0"/>
                <w14:textFill>
                  <w14:solidFill>
                    <w14:schemeClr w14:val="tx1"/>
                  </w14:solidFill>
                </w14:textFill>
              </w:rPr>
              <w:t>1</w:t>
            </w:r>
          </w:p>
        </w:tc>
        <w:tc>
          <w:tcPr>
            <w:tcW w:w="364" w:type="pct"/>
            <w:noWrap/>
            <w:vAlign w:val="center"/>
          </w:tcPr>
          <w:p w14:paraId="4DEA4FB9">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w:t>
            </w:r>
          </w:p>
        </w:tc>
        <w:tc>
          <w:tcPr>
            <w:tcW w:w="512" w:type="pct"/>
            <w:noWrap/>
            <w:vAlign w:val="center"/>
          </w:tcPr>
          <w:p w14:paraId="31013F74">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90</w:t>
            </w:r>
          </w:p>
        </w:tc>
        <w:tc>
          <w:tcPr>
            <w:tcW w:w="256" w:type="pct"/>
            <w:vMerge w:val="continue"/>
            <w:noWrap/>
            <w:vAlign w:val="center"/>
          </w:tcPr>
          <w:p w14:paraId="17EC176A">
            <w:pPr>
              <w:pStyle w:val="143"/>
              <w:jc w:val="center"/>
              <w:rPr>
                <w:snapToGrid w:val="0"/>
                <w:color w:val="000000" w:themeColor="text1"/>
                <w:kern w:val="2"/>
                <w14:textFill>
                  <w14:solidFill>
                    <w14:schemeClr w14:val="tx1"/>
                  </w14:solidFill>
                </w14:textFill>
              </w:rPr>
            </w:pPr>
          </w:p>
        </w:tc>
        <w:tc>
          <w:tcPr>
            <w:tcW w:w="563" w:type="pct"/>
            <w:noWrap/>
            <w:vAlign w:val="center"/>
          </w:tcPr>
          <w:p w14:paraId="574B01EB">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739567FD">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70</w:t>
            </w:r>
          </w:p>
        </w:tc>
        <w:tc>
          <w:tcPr>
            <w:tcW w:w="360" w:type="pct"/>
            <w:noWrap/>
            <w:vAlign w:val="center"/>
          </w:tcPr>
          <w:p w14:paraId="45C34A06">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r w14:paraId="764CA4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23" w:type="pct"/>
            <w:noWrap/>
            <w:vAlign w:val="center"/>
          </w:tcPr>
          <w:p w14:paraId="22F971B3">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13</w:t>
            </w:r>
          </w:p>
        </w:tc>
        <w:tc>
          <w:tcPr>
            <w:tcW w:w="339" w:type="pct"/>
            <w:noWrap/>
            <w:vAlign w:val="center"/>
          </w:tcPr>
          <w:p w14:paraId="568B9932">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酿造车间锅炉间</w:t>
            </w:r>
          </w:p>
        </w:tc>
        <w:tc>
          <w:tcPr>
            <w:tcW w:w="412" w:type="pct"/>
            <w:noWrap/>
            <w:vAlign w:val="center"/>
          </w:tcPr>
          <w:p w14:paraId="448103B5">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锅炉水泵</w:t>
            </w:r>
          </w:p>
        </w:tc>
        <w:tc>
          <w:tcPr>
            <w:tcW w:w="150" w:type="pct"/>
            <w:noWrap/>
            <w:vAlign w:val="center"/>
          </w:tcPr>
          <w:p w14:paraId="247809DA">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w:t>
            </w:r>
          </w:p>
        </w:tc>
        <w:tc>
          <w:tcPr>
            <w:tcW w:w="391" w:type="pct"/>
            <w:noWrap/>
            <w:vAlign w:val="center"/>
          </w:tcPr>
          <w:p w14:paraId="2C1EB488">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90</w:t>
            </w:r>
          </w:p>
        </w:tc>
        <w:tc>
          <w:tcPr>
            <w:tcW w:w="311" w:type="pct"/>
            <w:vMerge w:val="continue"/>
            <w:noWrap/>
            <w:vAlign w:val="center"/>
          </w:tcPr>
          <w:p w14:paraId="3100920F">
            <w:pPr>
              <w:pStyle w:val="143"/>
              <w:jc w:val="center"/>
              <w:rPr>
                <w:snapToGrid w:val="0"/>
                <w:color w:val="000000" w:themeColor="text1"/>
                <w:kern w:val="2"/>
                <w14:textFill>
                  <w14:solidFill>
                    <w14:schemeClr w14:val="tx1"/>
                  </w14:solidFill>
                </w14:textFill>
              </w:rPr>
            </w:pPr>
          </w:p>
        </w:tc>
        <w:tc>
          <w:tcPr>
            <w:tcW w:w="253" w:type="pct"/>
            <w:noWrap/>
            <w:vAlign w:val="center"/>
          </w:tcPr>
          <w:p w14:paraId="7DF01C51">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270</w:t>
            </w:r>
          </w:p>
        </w:tc>
        <w:tc>
          <w:tcPr>
            <w:tcW w:w="253" w:type="pct"/>
            <w:noWrap/>
            <w:vAlign w:val="center"/>
          </w:tcPr>
          <w:p w14:paraId="7F7B4B94">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80</w:t>
            </w:r>
          </w:p>
        </w:tc>
        <w:tc>
          <w:tcPr>
            <w:tcW w:w="243" w:type="pct"/>
            <w:noWrap/>
            <w:vAlign w:val="center"/>
          </w:tcPr>
          <w:p w14:paraId="380F6C38">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c>
          <w:tcPr>
            <w:tcW w:w="364" w:type="pct"/>
            <w:noWrap/>
            <w:vAlign w:val="center"/>
          </w:tcPr>
          <w:p w14:paraId="42B77922">
            <w:pPr>
              <w:pStyle w:val="143"/>
              <w:jc w:val="center"/>
              <w:rPr>
                <w:rFonts w:hint="eastAsia"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1</w:t>
            </w:r>
          </w:p>
        </w:tc>
        <w:tc>
          <w:tcPr>
            <w:tcW w:w="512" w:type="pct"/>
            <w:noWrap/>
            <w:vAlign w:val="center"/>
          </w:tcPr>
          <w:p w14:paraId="13AEF08F">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90</w:t>
            </w:r>
          </w:p>
        </w:tc>
        <w:tc>
          <w:tcPr>
            <w:tcW w:w="256" w:type="pct"/>
            <w:vMerge w:val="continue"/>
            <w:noWrap/>
            <w:vAlign w:val="center"/>
          </w:tcPr>
          <w:p w14:paraId="394F644F">
            <w:pPr>
              <w:pStyle w:val="143"/>
              <w:jc w:val="center"/>
              <w:rPr>
                <w:snapToGrid w:val="0"/>
                <w:color w:val="000000" w:themeColor="text1"/>
                <w:kern w:val="2"/>
                <w14:textFill>
                  <w14:solidFill>
                    <w14:schemeClr w14:val="tx1"/>
                  </w14:solidFill>
                </w14:textFill>
              </w:rPr>
            </w:pPr>
          </w:p>
        </w:tc>
        <w:tc>
          <w:tcPr>
            <w:tcW w:w="563" w:type="pct"/>
            <w:noWrap/>
            <w:vAlign w:val="center"/>
          </w:tcPr>
          <w:p w14:paraId="35C7F3AE">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20</w:t>
            </w:r>
          </w:p>
        </w:tc>
        <w:tc>
          <w:tcPr>
            <w:tcW w:w="362" w:type="pct"/>
            <w:noWrap/>
            <w:vAlign w:val="center"/>
          </w:tcPr>
          <w:p w14:paraId="52DC30E7">
            <w:pPr>
              <w:pStyle w:val="143"/>
              <w:jc w:val="center"/>
              <w:rPr>
                <w:rFonts w:hint="default" w:eastAsia="宋体"/>
                <w:snapToGrid w:val="0"/>
                <w:color w:val="000000" w:themeColor="text1"/>
                <w:kern w:val="2"/>
                <w:lang w:val="en-US" w:eastAsia="zh-CN"/>
                <w14:textFill>
                  <w14:solidFill>
                    <w14:schemeClr w14:val="tx1"/>
                  </w14:solidFill>
                </w14:textFill>
              </w:rPr>
            </w:pPr>
            <w:r>
              <w:rPr>
                <w:rFonts w:hint="eastAsia"/>
                <w:snapToGrid w:val="0"/>
                <w:color w:val="000000" w:themeColor="text1"/>
                <w:kern w:val="2"/>
                <w:lang w:val="en-US" w:eastAsia="zh-CN"/>
                <w14:textFill>
                  <w14:solidFill>
                    <w14:schemeClr w14:val="tx1"/>
                  </w14:solidFill>
                </w14:textFill>
              </w:rPr>
              <w:t>70</w:t>
            </w:r>
          </w:p>
        </w:tc>
        <w:tc>
          <w:tcPr>
            <w:tcW w:w="360" w:type="pct"/>
            <w:noWrap/>
            <w:vAlign w:val="center"/>
          </w:tcPr>
          <w:p w14:paraId="644CEDD3">
            <w:pPr>
              <w:pStyle w:val="143"/>
              <w:jc w:val="center"/>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p>
        </w:tc>
      </w:tr>
    </w:tbl>
    <w:p w14:paraId="5DB840A6">
      <w:pPr>
        <w:pStyle w:val="143"/>
        <w:jc w:val="left"/>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注：以厂区西南角为原点（0,0）</w:t>
      </w:r>
    </w:p>
    <w:p w14:paraId="4E66C4AC">
      <w:pPr>
        <w:pStyle w:val="143"/>
        <w:rPr>
          <w:snapToGrid w:val="0"/>
          <w:color w:val="000000" w:themeColor="text1"/>
          <w14:textFill>
            <w14:solidFill>
              <w14:schemeClr w14:val="tx1"/>
            </w14:solidFill>
          </w14:textFill>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26" w:charSpace="0"/>
        </w:sectPr>
      </w:pPr>
    </w:p>
    <w:p w14:paraId="02E9DD7F">
      <w:pPr>
        <w:pStyle w:val="206"/>
      </w:pPr>
      <w:r>
        <w:rPr>
          <w:rFonts w:hint="eastAsia"/>
          <w:lang w:val="en-US"/>
        </w:rPr>
        <w:t>表3-6-</w:t>
      </w:r>
      <w:r>
        <w:rPr>
          <w:rFonts w:hint="eastAsia"/>
          <w:lang w:val="en-US" w:eastAsia="zh-CN"/>
        </w:rPr>
        <w:t>9</w:t>
      </w:r>
      <w:r>
        <w:rPr>
          <w:lang w:val="en-US"/>
        </w:rPr>
        <w:t xml:space="preserve">-2 </w:t>
      </w:r>
      <w:r>
        <w:rPr>
          <w:rFonts w:hint="eastAsia"/>
          <w:lang w:val="en-US"/>
        </w:rPr>
        <w:t>噪声源强一览表（室</w:t>
      </w:r>
      <w:r>
        <w:rPr>
          <w:rFonts w:hint="eastAsia"/>
          <w:lang w:val="en-US" w:eastAsia="zh-CN"/>
        </w:rPr>
        <w:t>外</w:t>
      </w:r>
      <w:r>
        <w:rPr>
          <w:rFonts w:hint="eastAsia"/>
          <w:lang w:val="en-US"/>
        </w:rPr>
        <w:t>噪声）</w:t>
      </w:r>
    </w:p>
    <w:tbl>
      <w:tblPr>
        <w:tblStyle w:val="5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94"/>
        <w:gridCol w:w="1349"/>
        <w:gridCol w:w="566"/>
        <w:gridCol w:w="851"/>
        <w:gridCol w:w="849"/>
        <w:gridCol w:w="566"/>
        <w:gridCol w:w="1276"/>
        <w:gridCol w:w="1586"/>
        <w:gridCol w:w="769"/>
      </w:tblGrid>
      <w:tr w14:paraId="05EBFB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7" w:type="pct"/>
            <w:vMerge w:val="restart"/>
            <w:noWrap/>
            <w:vAlign w:val="center"/>
          </w:tcPr>
          <w:p w14:paraId="70D8654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序号</w:t>
            </w:r>
          </w:p>
        </w:tc>
        <w:tc>
          <w:tcPr>
            <w:tcW w:w="812" w:type="pct"/>
            <w:vMerge w:val="restart"/>
            <w:noWrap/>
            <w:vAlign w:val="center"/>
          </w:tcPr>
          <w:p w14:paraId="38B32872">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声源名称</w:t>
            </w:r>
          </w:p>
        </w:tc>
        <w:tc>
          <w:tcPr>
            <w:tcW w:w="341" w:type="pct"/>
            <w:vMerge w:val="restart"/>
            <w:noWrap/>
            <w:vAlign w:val="center"/>
          </w:tcPr>
          <w:p w14:paraId="4C235F6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型号</w:t>
            </w:r>
          </w:p>
        </w:tc>
        <w:tc>
          <w:tcPr>
            <w:tcW w:w="1364" w:type="pct"/>
            <w:gridSpan w:val="3"/>
            <w:noWrap/>
            <w:vAlign w:val="center"/>
          </w:tcPr>
          <w:p w14:paraId="0410B36A">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空间相对位置/m</w:t>
            </w:r>
          </w:p>
        </w:tc>
        <w:tc>
          <w:tcPr>
            <w:tcW w:w="768" w:type="pct"/>
            <w:vAlign w:val="center"/>
          </w:tcPr>
          <w:p w14:paraId="0FBFA2A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声源源强</w:t>
            </w:r>
          </w:p>
        </w:tc>
        <w:tc>
          <w:tcPr>
            <w:tcW w:w="955" w:type="pct"/>
            <w:vMerge w:val="restart"/>
            <w:noWrap/>
            <w:vAlign w:val="center"/>
          </w:tcPr>
          <w:p w14:paraId="45D0B764">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声源控制措施</w:t>
            </w:r>
          </w:p>
        </w:tc>
        <w:tc>
          <w:tcPr>
            <w:tcW w:w="463" w:type="pct"/>
            <w:vMerge w:val="restart"/>
            <w:noWrap/>
            <w:vAlign w:val="center"/>
          </w:tcPr>
          <w:p w14:paraId="73184A6C">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运行时段</w:t>
            </w:r>
          </w:p>
        </w:tc>
      </w:tr>
      <w:tr w14:paraId="56F2F9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7" w:type="pct"/>
            <w:vMerge w:val="continue"/>
            <w:vAlign w:val="center"/>
          </w:tcPr>
          <w:p w14:paraId="492CCC7A">
            <w:pPr>
              <w:pStyle w:val="143"/>
              <w:rPr>
                <w:snapToGrid w:val="0"/>
                <w:color w:val="000000" w:themeColor="text1"/>
                <w14:textFill>
                  <w14:solidFill>
                    <w14:schemeClr w14:val="tx1"/>
                  </w14:solidFill>
                </w14:textFill>
              </w:rPr>
            </w:pPr>
          </w:p>
        </w:tc>
        <w:tc>
          <w:tcPr>
            <w:tcW w:w="812" w:type="pct"/>
            <w:vMerge w:val="continue"/>
            <w:vAlign w:val="center"/>
          </w:tcPr>
          <w:p w14:paraId="56AD3731">
            <w:pPr>
              <w:pStyle w:val="143"/>
              <w:rPr>
                <w:snapToGrid w:val="0"/>
                <w:color w:val="000000" w:themeColor="text1"/>
                <w14:textFill>
                  <w14:solidFill>
                    <w14:schemeClr w14:val="tx1"/>
                  </w14:solidFill>
                </w14:textFill>
              </w:rPr>
            </w:pPr>
          </w:p>
        </w:tc>
        <w:tc>
          <w:tcPr>
            <w:tcW w:w="341" w:type="pct"/>
            <w:vMerge w:val="continue"/>
            <w:vAlign w:val="center"/>
          </w:tcPr>
          <w:p w14:paraId="4E2B2898">
            <w:pPr>
              <w:pStyle w:val="143"/>
              <w:rPr>
                <w:snapToGrid w:val="0"/>
                <w:color w:val="000000" w:themeColor="text1"/>
                <w14:textFill>
                  <w14:solidFill>
                    <w14:schemeClr w14:val="tx1"/>
                  </w14:solidFill>
                </w14:textFill>
              </w:rPr>
            </w:pPr>
          </w:p>
        </w:tc>
        <w:tc>
          <w:tcPr>
            <w:tcW w:w="512" w:type="pct"/>
            <w:noWrap/>
            <w:vAlign w:val="center"/>
          </w:tcPr>
          <w:p w14:paraId="68C1283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X</w:t>
            </w:r>
          </w:p>
        </w:tc>
        <w:tc>
          <w:tcPr>
            <w:tcW w:w="511" w:type="pct"/>
            <w:noWrap/>
            <w:vAlign w:val="center"/>
          </w:tcPr>
          <w:p w14:paraId="5531578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Y</w:t>
            </w:r>
          </w:p>
        </w:tc>
        <w:tc>
          <w:tcPr>
            <w:tcW w:w="341" w:type="pct"/>
            <w:noWrap/>
            <w:vAlign w:val="center"/>
          </w:tcPr>
          <w:p w14:paraId="60F84FDA">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Z</w:t>
            </w:r>
          </w:p>
        </w:tc>
        <w:tc>
          <w:tcPr>
            <w:tcW w:w="768" w:type="pct"/>
            <w:vAlign w:val="center"/>
          </w:tcPr>
          <w:p w14:paraId="311C4EAA">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声功率级/dB(A)</w:t>
            </w:r>
          </w:p>
        </w:tc>
        <w:tc>
          <w:tcPr>
            <w:tcW w:w="955" w:type="pct"/>
            <w:vMerge w:val="continue"/>
            <w:vAlign w:val="center"/>
          </w:tcPr>
          <w:p w14:paraId="26029BE3">
            <w:pPr>
              <w:pStyle w:val="143"/>
              <w:rPr>
                <w:snapToGrid w:val="0"/>
                <w:color w:val="000000" w:themeColor="text1"/>
                <w14:textFill>
                  <w14:solidFill>
                    <w14:schemeClr w14:val="tx1"/>
                  </w14:solidFill>
                </w14:textFill>
              </w:rPr>
            </w:pPr>
          </w:p>
        </w:tc>
        <w:tc>
          <w:tcPr>
            <w:tcW w:w="463" w:type="pct"/>
            <w:vMerge w:val="continue"/>
            <w:vAlign w:val="center"/>
          </w:tcPr>
          <w:p w14:paraId="4D231BEC">
            <w:pPr>
              <w:pStyle w:val="143"/>
              <w:rPr>
                <w:snapToGrid w:val="0"/>
                <w:color w:val="000000" w:themeColor="text1"/>
                <w14:textFill>
                  <w14:solidFill>
                    <w14:schemeClr w14:val="tx1"/>
                  </w14:solidFill>
                </w14:textFill>
              </w:rPr>
            </w:pPr>
          </w:p>
        </w:tc>
      </w:tr>
      <w:tr w14:paraId="653CC1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7" w:type="pct"/>
            <w:noWrap/>
            <w:vAlign w:val="center"/>
          </w:tcPr>
          <w:p w14:paraId="4247BE7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p>
        </w:tc>
        <w:tc>
          <w:tcPr>
            <w:tcW w:w="812" w:type="pct"/>
            <w:noWrap/>
            <w:vAlign w:val="center"/>
          </w:tcPr>
          <w:p w14:paraId="55635F15">
            <w:pPr>
              <w:pStyle w:val="143"/>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除尘风机</w:t>
            </w:r>
          </w:p>
        </w:tc>
        <w:tc>
          <w:tcPr>
            <w:tcW w:w="341" w:type="pct"/>
            <w:noWrap/>
            <w:vAlign w:val="center"/>
          </w:tcPr>
          <w:p w14:paraId="60437FC5">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p>
        </w:tc>
        <w:tc>
          <w:tcPr>
            <w:tcW w:w="512" w:type="pct"/>
            <w:noWrap/>
            <w:vAlign w:val="center"/>
          </w:tcPr>
          <w:p w14:paraId="18898BE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130</w:t>
            </w:r>
          </w:p>
        </w:tc>
        <w:tc>
          <w:tcPr>
            <w:tcW w:w="511" w:type="pct"/>
            <w:noWrap/>
            <w:vAlign w:val="center"/>
          </w:tcPr>
          <w:p w14:paraId="6FC9B107">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55</w:t>
            </w:r>
          </w:p>
        </w:tc>
        <w:tc>
          <w:tcPr>
            <w:tcW w:w="341" w:type="pct"/>
            <w:noWrap/>
            <w:vAlign w:val="center"/>
          </w:tcPr>
          <w:p w14:paraId="279940A5">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p>
        </w:tc>
        <w:tc>
          <w:tcPr>
            <w:tcW w:w="768" w:type="pct"/>
            <w:noWrap/>
            <w:vAlign w:val="center"/>
          </w:tcPr>
          <w:p w14:paraId="3D51D162">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90</w:t>
            </w:r>
          </w:p>
        </w:tc>
        <w:tc>
          <w:tcPr>
            <w:tcW w:w="955" w:type="pct"/>
            <w:vMerge w:val="restart"/>
            <w:noWrap/>
            <w:vAlign w:val="center"/>
          </w:tcPr>
          <w:p w14:paraId="06DA7578">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选用低噪声设备、</w:t>
            </w:r>
            <w:r>
              <w:rPr>
                <w:rFonts w:hint="eastAsia"/>
                <w:snapToGrid w:val="0"/>
                <w:color w:val="000000" w:themeColor="text1"/>
                <w:lang w:val="en-US" w:eastAsia="zh-CN"/>
                <w14:textFill>
                  <w14:solidFill>
                    <w14:schemeClr w14:val="tx1"/>
                  </w14:solidFill>
                </w14:textFill>
              </w:rPr>
              <w:t>隔声、</w:t>
            </w:r>
            <w:r>
              <w:rPr>
                <w:rFonts w:hint="eastAsia"/>
                <w:snapToGrid w:val="0"/>
                <w:color w:val="000000" w:themeColor="text1"/>
                <w14:textFill>
                  <w14:solidFill>
                    <w14:schemeClr w14:val="tx1"/>
                  </w14:solidFill>
                </w14:textFill>
              </w:rPr>
              <w:t>基础减振、加强场区绿化</w:t>
            </w:r>
          </w:p>
        </w:tc>
        <w:tc>
          <w:tcPr>
            <w:tcW w:w="463" w:type="pct"/>
            <w:vMerge w:val="restart"/>
            <w:noWrap/>
            <w:vAlign w:val="center"/>
          </w:tcPr>
          <w:p w14:paraId="05D94068">
            <w:pPr>
              <w:pStyle w:val="143"/>
              <w:rPr>
                <w:snapToGrid w:val="0"/>
                <w:color w:val="000000" w:themeColor="text1"/>
                <w:lang w:val="en-US"/>
                <w14:textFill>
                  <w14:solidFill>
                    <w14:schemeClr w14:val="tx1"/>
                  </w14:solidFill>
                </w14:textFill>
              </w:rPr>
            </w:pPr>
            <w:r>
              <w:rPr>
                <w:rFonts w:hint="eastAsia"/>
                <w:snapToGrid w:val="0"/>
                <w:color w:val="000000" w:themeColor="text1"/>
                <w:lang w:val="en-US"/>
                <w14:textFill>
                  <w14:solidFill>
                    <w14:schemeClr w14:val="tx1"/>
                  </w14:solidFill>
                </w14:textFill>
              </w:rPr>
              <w:t>昼间</w:t>
            </w:r>
          </w:p>
          <w:p w14:paraId="7A889804">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夜间</w:t>
            </w:r>
          </w:p>
        </w:tc>
      </w:tr>
      <w:tr w14:paraId="25130F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7" w:type="pct"/>
            <w:noWrap/>
            <w:vAlign w:val="center"/>
          </w:tcPr>
          <w:p w14:paraId="66CB883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w:t>
            </w:r>
          </w:p>
        </w:tc>
        <w:tc>
          <w:tcPr>
            <w:tcW w:w="812" w:type="pct"/>
            <w:noWrap/>
            <w:vAlign w:val="center"/>
          </w:tcPr>
          <w:p w14:paraId="293611B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锅炉风机</w:t>
            </w:r>
          </w:p>
        </w:tc>
        <w:tc>
          <w:tcPr>
            <w:tcW w:w="341" w:type="pct"/>
            <w:noWrap/>
            <w:vAlign w:val="center"/>
          </w:tcPr>
          <w:p w14:paraId="1A52112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p>
        </w:tc>
        <w:tc>
          <w:tcPr>
            <w:tcW w:w="512" w:type="pct"/>
            <w:noWrap/>
            <w:vAlign w:val="center"/>
          </w:tcPr>
          <w:p w14:paraId="59694BE0">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280</w:t>
            </w:r>
          </w:p>
        </w:tc>
        <w:tc>
          <w:tcPr>
            <w:tcW w:w="511" w:type="pct"/>
            <w:noWrap/>
            <w:vAlign w:val="center"/>
          </w:tcPr>
          <w:p w14:paraId="3790C57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95</w:t>
            </w:r>
          </w:p>
        </w:tc>
        <w:tc>
          <w:tcPr>
            <w:tcW w:w="341" w:type="pct"/>
            <w:noWrap/>
            <w:vAlign w:val="center"/>
          </w:tcPr>
          <w:p w14:paraId="47F52294">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p>
        </w:tc>
        <w:tc>
          <w:tcPr>
            <w:tcW w:w="768" w:type="pct"/>
            <w:noWrap/>
            <w:vAlign w:val="center"/>
          </w:tcPr>
          <w:p w14:paraId="223C5D43">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90</w:t>
            </w:r>
          </w:p>
        </w:tc>
        <w:tc>
          <w:tcPr>
            <w:tcW w:w="955" w:type="pct"/>
            <w:vMerge w:val="continue"/>
            <w:noWrap/>
            <w:vAlign w:val="center"/>
          </w:tcPr>
          <w:p w14:paraId="00D2907C">
            <w:pPr>
              <w:pStyle w:val="143"/>
              <w:rPr>
                <w:snapToGrid w:val="0"/>
                <w:color w:val="000000" w:themeColor="text1"/>
                <w14:textFill>
                  <w14:solidFill>
                    <w14:schemeClr w14:val="tx1"/>
                  </w14:solidFill>
                </w14:textFill>
              </w:rPr>
            </w:pPr>
          </w:p>
        </w:tc>
        <w:tc>
          <w:tcPr>
            <w:tcW w:w="463" w:type="pct"/>
            <w:vMerge w:val="continue"/>
            <w:noWrap/>
            <w:vAlign w:val="center"/>
          </w:tcPr>
          <w:p w14:paraId="28FDA0EB">
            <w:pPr>
              <w:pStyle w:val="143"/>
              <w:rPr>
                <w:snapToGrid w:val="0"/>
                <w:color w:val="000000" w:themeColor="text1"/>
                <w:lang w:val="en-US"/>
                <w14:textFill>
                  <w14:solidFill>
                    <w14:schemeClr w14:val="tx1"/>
                  </w14:solidFill>
                </w14:textFill>
              </w:rPr>
            </w:pPr>
          </w:p>
        </w:tc>
      </w:tr>
      <w:tr w14:paraId="51CA48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97" w:type="pct"/>
            <w:noWrap/>
            <w:vAlign w:val="center"/>
          </w:tcPr>
          <w:p w14:paraId="67549B5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w:t>
            </w:r>
          </w:p>
        </w:tc>
        <w:tc>
          <w:tcPr>
            <w:tcW w:w="812" w:type="pct"/>
            <w:noWrap/>
            <w:vAlign w:val="center"/>
          </w:tcPr>
          <w:p w14:paraId="33D83914">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污水处理站风机</w:t>
            </w:r>
          </w:p>
        </w:tc>
        <w:tc>
          <w:tcPr>
            <w:tcW w:w="341" w:type="pct"/>
            <w:noWrap/>
            <w:vAlign w:val="center"/>
          </w:tcPr>
          <w:p w14:paraId="0912759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p>
        </w:tc>
        <w:tc>
          <w:tcPr>
            <w:tcW w:w="851" w:type="dxa"/>
            <w:noWrap/>
            <w:vAlign w:val="center"/>
          </w:tcPr>
          <w:p w14:paraId="24367DC6">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295</w:t>
            </w:r>
          </w:p>
        </w:tc>
        <w:tc>
          <w:tcPr>
            <w:tcW w:w="849" w:type="dxa"/>
            <w:noWrap/>
            <w:vAlign w:val="center"/>
          </w:tcPr>
          <w:p w14:paraId="5983CCD3">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60</w:t>
            </w:r>
          </w:p>
        </w:tc>
        <w:tc>
          <w:tcPr>
            <w:tcW w:w="341" w:type="pct"/>
            <w:noWrap/>
            <w:vAlign w:val="center"/>
          </w:tcPr>
          <w:p w14:paraId="3055A7D3">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p>
        </w:tc>
        <w:tc>
          <w:tcPr>
            <w:tcW w:w="768" w:type="pct"/>
            <w:noWrap/>
            <w:vAlign w:val="center"/>
          </w:tcPr>
          <w:p w14:paraId="6114161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90</w:t>
            </w:r>
          </w:p>
        </w:tc>
        <w:tc>
          <w:tcPr>
            <w:tcW w:w="955" w:type="pct"/>
            <w:vMerge w:val="continue"/>
            <w:noWrap/>
            <w:vAlign w:val="center"/>
          </w:tcPr>
          <w:p w14:paraId="5A9FE198">
            <w:pPr>
              <w:pStyle w:val="143"/>
              <w:rPr>
                <w:snapToGrid w:val="0"/>
                <w:color w:val="000000" w:themeColor="text1"/>
                <w14:textFill>
                  <w14:solidFill>
                    <w14:schemeClr w14:val="tx1"/>
                  </w14:solidFill>
                </w14:textFill>
              </w:rPr>
            </w:pPr>
          </w:p>
        </w:tc>
        <w:tc>
          <w:tcPr>
            <w:tcW w:w="463" w:type="pct"/>
            <w:vMerge w:val="continue"/>
            <w:noWrap/>
            <w:vAlign w:val="center"/>
          </w:tcPr>
          <w:p w14:paraId="429E6660">
            <w:pPr>
              <w:pStyle w:val="143"/>
              <w:rPr>
                <w:snapToGrid w:val="0"/>
                <w:color w:val="000000" w:themeColor="text1"/>
                <w:lang w:val="en-US"/>
                <w14:textFill>
                  <w14:solidFill>
                    <w14:schemeClr w14:val="tx1"/>
                  </w14:solidFill>
                </w14:textFill>
              </w:rPr>
            </w:pPr>
          </w:p>
        </w:tc>
      </w:tr>
    </w:tbl>
    <w:p w14:paraId="345B6A75">
      <w:pPr>
        <w:pStyle w:val="85"/>
        <w:rPr>
          <w:snapToGrid w:val="0"/>
          <w:color w:val="000000" w:themeColor="text1"/>
          <w:kern w:val="0"/>
          <w:szCs w:val="24"/>
          <w14:textFill>
            <w14:solidFill>
              <w14:schemeClr w14:val="tx1"/>
            </w14:solidFill>
          </w14:textFill>
        </w:rPr>
      </w:pPr>
      <w:r>
        <w:rPr>
          <w:snapToGrid w:val="0"/>
          <w:color w:val="000000" w:themeColor="text1"/>
          <w:kern w:val="0"/>
          <w:szCs w:val="24"/>
          <w14:textFill>
            <w14:solidFill>
              <w14:schemeClr w14:val="tx1"/>
            </w14:solidFill>
          </w14:textFill>
        </w:rPr>
        <w:t>针对噪声源产生情况，项目采取以下防噪降噪措施：</w:t>
      </w:r>
    </w:p>
    <w:p w14:paraId="79AC89C7">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（1）选用低噪声设备，</w:t>
      </w:r>
      <w:r>
        <w:rPr>
          <w:rFonts w:hint="eastAsia"/>
          <w:snapToGrid w:val="0"/>
          <w:color w:val="000000" w:themeColor="text1"/>
          <w:lang w:val="en-US" w:eastAsia="zh-CN"/>
          <w14:textFill>
            <w14:solidFill>
              <w14:schemeClr w14:val="tx1"/>
            </w14:solidFill>
          </w14:textFill>
        </w:rPr>
        <w:t>水泵、风机</w:t>
      </w:r>
      <w:r>
        <w:rPr>
          <w:rFonts w:hint="eastAsia"/>
          <w:snapToGrid w:val="0"/>
          <w:color w:val="000000" w:themeColor="text1"/>
          <w14:textFill>
            <w14:solidFill>
              <w14:schemeClr w14:val="tx1"/>
            </w14:solidFill>
          </w14:textFill>
        </w:rPr>
        <w:t>采取隔声</w:t>
      </w:r>
      <w:r>
        <w:rPr>
          <w:rFonts w:hint="eastAsia"/>
          <w:snapToGrid w:val="0"/>
          <w:color w:val="000000" w:themeColor="text1"/>
          <w:lang w:val="en-US" w:eastAsia="zh-CN"/>
          <w14:textFill>
            <w14:solidFill>
              <w14:schemeClr w14:val="tx1"/>
            </w14:solidFill>
          </w14:textFill>
        </w:rPr>
        <w:t>罩等</w:t>
      </w:r>
      <w:r>
        <w:rPr>
          <w:rFonts w:hint="eastAsia"/>
          <w:snapToGrid w:val="0"/>
          <w:color w:val="000000" w:themeColor="text1"/>
          <w14:textFill>
            <w14:solidFill>
              <w14:schemeClr w14:val="tx1"/>
            </w14:solidFill>
          </w14:textFill>
        </w:rPr>
        <w:t>降噪措施，振动较大的设备采取独立基础，设置减振器等措施。</w:t>
      </w:r>
    </w:p>
    <w:p w14:paraId="6028BB67">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（2）厂区平面布置优化、合理布局，将高噪声设备尽量布置在远离厂界处。加强厂区绿化，利用树木吸声、消声作用，减少噪声对外环境的影响。</w:t>
      </w:r>
    </w:p>
    <w:p w14:paraId="25FAB607">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3.6.2.4</w:t>
      </w:r>
      <w:r>
        <w:rPr>
          <w:rFonts w:hint="eastAsia"/>
          <w:snapToGrid w:val="0"/>
          <w:color w:val="000000" w:themeColor="text1"/>
          <w14:textFill>
            <w14:solidFill>
              <w14:schemeClr w14:val="tx1"/>
            </w14:solidFill>
          </w14:textFill>
        </w:rPr>
        <w:t>固体废物</w:t>
      </w:r>
    </w:p>
    <w:p w14:paraId="0A99AAB7">
      <w:pPr>
        <w:spacing w:line="480" w:lineRule="exact"/>
        <w:rPr>
          <w:color w:val="000000" w:themeColor="text1"/>
          <w14:textFill>
            <w14:solidFill>
              <w14:schemeClr w14:val="tx1"/>
            </w14:solidFill>
          </w14:textFill>
        </w:rPr>
      </w:pPr>
      <w:bookmarkStart w:id="140" w:name="_Hlk205210287"/>
      <w:r>
        <w:rPr>
          <w:rFonts w:hint="eastAsia"/>
          <w:color w:val="000000" w:themeColor="text1"/>
          <w14:textFill>
            <w14:solidFill>
              <w14:schemeClr w14:val="tx1"/>
            </w14:solidFill>
          </w14:textFill>
        </w:rPr>
        <w:t>本项目固体废物主要为</w:t>
      </w:r>
      <w:r>
        <w:rPr>
          <w:rFonts w:hint="eastAsia"/>
          <w:color w:val="000000" w:themeColor="text1"/>
          <w:lang w:val="en-US" w:eastAsia="zh-CN"/>
          <w14:textFill>
            <w14:solidFill>
              <w14:schemeClr w14:val="tx1"/>
            </w14:solidFill>
          </w14:textFill>
        </w:rPr>
        <w:t>生活垃圾、餐厨废弃物以及废油脂、</w:t>
      </w:r>
      <w:r>
        <w:rPr>
          <w:color w:val="000000" w:themeColor="text1"/>
          <w14:textFill>
            <w14:solidFill>
              <w14:schemeClr w14:val="tx1"/>
            </w14:solidFill>
          </w14:textFill>
        </w:rPr>
        <w:t>杂质、酒糟及废酵母、除尘器收尘、废布袋、污水处理站污泥、废脱硫剂、废包装物、废活性炭、化验室废液、废过滤材料、废离子交换树脂</w:t>
      </w:r>
      <w:r>
        <w:rPr>
          <w:rFonts w:hint="eastAsia"/>
          <w:color w:val="000000" w:themeColor="text1"/>
          <w14:textFill>
            <w14:solidFill>
              <w14:schemeClr w14:val="tx1"/>
            </w14:solidFill>
          </w14:textFill>
        </w:rPr>
        <w:t>等。</w:t>
      </w:r>
    </w:p>
    <w:p w14:paraId="750B1E4B">
      <w:pPr>
        <w:spacing w:line="480" w:lineRule="exact"/>
        <w:rPr>
          <w:rFonts w:hint="default"/>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一、生活垃圾及餐厨废弃物</w:t>
      </w:r>
    </w:p>
    <w:p w14:paraId="02F0C001">
      <w:pPr>
        <w:spacing w:line="480" w:lineRule="exact"/>
        <w:rPr>
          <w:rFonts w:hint="default"/>
          <w:b w:val="0"/>
          <w:bCs w:val="0"/>
          <w:color w:val="000000" w:themeColor="text1"/>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1、生活垃圾</w:t>
      </w:r>
    </w:p>
    <w:p w14:paraId="301E6A98">
      <w:pPr>
        <w:spacing w:line="480" w:lineRule="exact"/>
        <w:rPr>
          <w:rFonts w:hint="eastAsia"/>
          <w:b w:val="0"/>
          <w:bCs w:val="0"/>
          <w:color w:val="000000" w:themeColor="text1"/>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项目职工人数为110人，人均生活垃圾产生量按0.5kg/d计，则生活垃圾产生量约0.055t/d，16.5t/a，经垃圾桶收集暂存后委托环卫部门集中处理。</w:t>
      </w:r>
    </w:p>
    <w:p w14:paraId="109115C0">
      <w:pPr>
        <w:numPr>
          <w:ilvl w:val="0"/>
          <w:numId w:val="8"/>
        </w:numPr>
        <w:spacing w:line="480" w:lineRule="exact"/>
        <w:ind w:left="0" w:leftChars="0" w:firstLine="480" w:firstLineChars="200"/>
        <w:rPr>
          <w:rFonts w:hint="default"/>
          <w:b w:val="0"/>
          <w:bCs w:val="0"/>
          <w:color w:val="000000" w:themeColor="text1"/>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餐厨垃圾</w:t>
      </w:r>
    </w:p>
    <w:p w14:paraId="132D8A88">
      <w:pPr>
        <w:pStyle w:val="29"/>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eastAsia="宋体"/>
          <w:color w:val="000000" w:themeColor="text1"/>
          <w:highlight w:val="none"/>
          <w:lang w:val="en-US" w:eastAsia="zh-CN"/>
          <w14:textFill>
            <w14:solidFill>
              <w14:schemeClr w14:val="tx1"/>
            </w14:solidFill>
          </w14:textFill>
        </w:rPr>
      </w:pPr>
      <w:r>
        <w:rPr>
          <w:rFonts w:hint="eastAsia"/>
          <w:color w:val="000000" w:themeColor="text1"/>
          <w:highlight w:val="none"/>
          <w14:textFill>
            <w14:solidFill>
              <w14:schemeClr w14:val="tx1"/>
            </w14:solidFill>
          </w14:textFill>
        </w:rPr>
        <w:t>餐厨垃圾按0.5kg/人•d计，本项目用餐人数为</w:t>
      </w:r>
      <w:r>
        <w:rPr>
          <w:rFonts w:hint="eastAsia"/>
          <w:color w:val="000000" w:themeColor="text1"/>
          <w:highlight w:val="none"/>
          <w:lang w:val="en-US" w:eastAsia="zh-CN"/>
          <w14:textFill>
            <w14:solidFill>
              <w14:schemeClr w14:val="tx1"/>
            </w14:solidFill>
          </w14:textFill>
        </w:rPr>
        <w:t>110</w:t>
      </w:r>
      <w:r>
        <w:rPr>
          <w:rFonts w:hint="eastAsia"/>
          <w:color w:val="000000" w:themeColor="text1"/>
          <w:highlight w:val="none"/>
          <w14:textFill>
            <w14:solidFill>
              <w14:schemeClr w14:val="tx1"/>
            </w14:solidFill>
          </w14:textFill>
        </w:rPr>
        <w:t>人，则本项目餐厨垃圾产生量为</w:t>
      </w:r>
      <w:r>
        <w:rPr>
          <w:rFonts w:hint="eastAsia"/>
          <w:color w:val="000000" w:themeColor="text1"/>
          <w:highlight w:val="none"/>
          <w:lang w:val="en-US" w:eastAsia="zh-CN"/>
          <w14:textFill>
            <w14:solidFill>
              <w14:schemeClr w14:val="tx1"/>
            </w14:solidFill>
          </w14:textFill>
        </w:rPr>
        <w:t>55</w:t>
      </w:r>
      <w:r>
        <w:rPr>
          <w:rFonts w:hint="eastAsia"/>
          <w:color w:val="000000" w:themeColor="text1"/>
          <w:highlight w:val="none"/>
          <w14:textFill>
            <w14:solidFill>
              <w14:schemeClr w14:val="tx1"/>
            </w14:solidFill>
          </w14:textFill>
        </w:rPr>
        <w:t>kg/d（</w:t>
      </w:r>
      <w:r>
        <w:rPr>
          <w:rFonts w:hint="eastAsia"/>
          <w:color w:val="000000" w:themeColor="text1"/>
          <w:highlight w:val="none"/>
          <w:lang w:val="en-US" w:eastAsia="zh-CN"/>
          <w14:textFill>
            <w14:solidFill>
              <w14:schemeClr w14:val="tx1"/>
            </w14:solidFill>
          </w14:textFill>
        </w:rPr>
        <w:t>16.5</w:t>
      </w:r>
      <w:r>
        <w:rPr>
          <w:rFonts w:hint="eastAsia"/>
          <w:color w:val="000000" w:themeColor="text1"/>
          <w:highlight w:val="none"/>
          <w14:textFill>
            <w14:solidFill>
              <w14:schemeClr w14:val="tx1"/>
            </w14:solidFill>
          </w14:textFill>
        </w:rPr>
        <w:t>t/a）；本项目年耗油脂量</w:t>
      </w:r>
      <w:r>
        <w:rPr>
          <w:rFonts w:hint="eastAsia"/>
          <w:color w:val="000000" w:themeColor="text1"/>
          <w:highlight w:val="none"/>
          <w:lang w:val="en-US" w:eastAsia="zh-CN"/>
          <w14:textFill>
            <w14:solidFill>
              <w14:schemeClr w14:val="tx1"/>
            </w14:solidFill>
          </w14:textFill>
        </w:rPr>
        <w:t>约</w:t>
      </w:r>
      <w:r>
        <w:rPr>
          <w:rFonts w:hint="eastAsia"/>
          <w:color w:val="000000" w:themeColor="text1"/>
          <w:highlight w:val="none"/>
          <w14:textFill>
            <w14:solidFill>
              <w14:schemeClr w14:val="tx1"/>
            </w14:solidFill>
          </w14:textFill>
        </w:rPr>
        <w:t>为</w:t>
      </w:r>
      <w:r>
        <w:rPr>
          <w:rFonts w:hint="eastAsia"/>
          <w:color w:val="000000" w:themeColor="text1"/>
          <w:highlight w:val="none"/>
          <w:lang w:val="en-US" w:eastAsia="zh-CN"/>
          <w14:textFill>
            <w14:solidFill>
              <w14:schemeClr w14:val="tx1"/>
            </w14:solidFill>
          </w14:textFill>
        </w:rPr>
        <w:t>1.0</w:t>
      </w:r>
      <w:r>
        <w:rPr>
          <w:rFonts w:hint="eastAsia"/>
          <w:color w:val="000000" w:themeColor="text1"/>
          <w:highlight w:val="none"/>
          <w14:textFill>
            <w14:solidFill>
              <w14:schemeClr w14:val="tx1"/>
            </w14:solidFill>
          </w14:textFill>
        </w:rPr>
        <w:t>t/a，本项目废油脂产生量按消耗油脂总量的3%计算，则本项目废油脂产生量为0.0</w:t>
      </w:r>
      <w:r>
        <w:rPr>
          <w:rFonts w:hint="eastAsia"/>
          <w:color w:val="000000" w:themeColor="text1"/>
          <w:highlight w:val="none"/>
          <w:lang w:val="en-US" w:eastAsia="zh-CN"/>
          <w14:textFill>
            <w14:solidFill>
              <w14:schemeClr w14:val="tx1"/>
            </w14:solidFill>
          </w14:textFill>
        </w:rPr>
        <w:t>3</w:t>
      </w:r>
      <w:r>
        <w:rPr>
          <w:rFonts w:hint="eastAsia"/>
          <w:color w:val="000000" w:themeColor="text1"/>
          <w:highlight w:val="none"/>
          <w14:textFill>
            <w14:solidFill>
              <w14:schemeClr w14:val="tx1"/>
            </w14:solidFill>
          </w14:textFill>
        </w:rPr>
        <w:t>t/a。</w:t>
      </w:r>
      <w:r>
        <w:rPr>
          <w:rFonts w:hint="eastAsia"/>
          <w:color w:val="000000" w:themeColor="text1"/>
          <w:highlight w:val="none"/>
          <w:lang w:val="en-US" w:eastAsia="zh-CN"/>
          <w14:textFill>
            <w14:solidFill>
              <w14:schemeClr w14:val="tx1"/>
            </w14:solidFill>
          </w14:textFill>
        </w:rPr>
        <w:t>集中收集，交由有资质单位处理。</w:t>
      </w:r>
    </w:p>
    <w:p w14:paraId="6040CB1F">
      <w:pPr>
        <w:spacing w:line="480" w:lineRule="exact"/>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二、一般工业固体废物</w:t>
      </w:r>
    </w:p>
    <w:p w14:paraId="0CF25188">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1、杂质</w:t>
      </w:r>
    </w:p>
    <w:p w14:paraId="59E737D1">
      <w:pPr>
        <w:spacing w:line="360" w:lineRule="auto"/>
        <w:rPr>
          <w:color w:val="auto"/>
        </w:rPr>
      </w:pPr>
      <w:r>
        <w:rPr>
          <w:rFonts w:hint="eastAsia"/>
          <w:color w:val="auto"/>
        </w:rPr>
        <w:t>本项目原料投料间加工麦芽</w:t>
      </w:r>
      <w:r>
        <w:rPr>
          <w:rFonts w:hint="eastAsia"/>
          <w:color w:val="auto"/>
          <w:lang w:eastAsia="zh-CN"/>
        </w:rPr>
        <w:t>、</w:t>
      </w:r>
      <w:r>
        <w:rPr>
          <w:rFonts w:hint="eastAsia"/>
          <w:color w:val="auto"/>
          <w:lang w:val="en-US" w:eastAsia="zh-CN"/>
        </w:rPr>
        <w:t>大米</w:t>
      </w:r>
      <w:r>
        <w:rPr>
          <w:rFonts w:hint="eastAsia"/>
          <w:color w:val="auto"/>
        </w:rPr>
        <w:t>产生杂质，根据物料平衡，本项目产生杂质</w:t>
      </w:r>
      <w:r>
        <w:rPr>
          <w:rFonts w:hint="eastAsia"/>
          <w:color w:val="auto"/>
          <w:lang w:val="en-US" w:eastAsia="zh-CN"/>
        </w:rPr>
        <w:t>199.92</w:t>
      </w:r>
      <w:r>
        <w:rPr>
          <w:rFonts w:hint="eastAsia"/>
          <w:color w:val="auto"/>
        </w:rPr>
        <w:t>t/a，集中收集，外售有机肥厂生产有机肥。</w:t>
      </w:r>
    </w:p>
    <w:p w14:paraId="5AF5A11B">
      <w:pPr>
        <w:spacing w:line="360" w:lineRule="auto"/>
        <w:rPr>
          <w:color w:val="auto"/>
        </w:rPr>
      </w:pPr>
      <w:r>
        <w:rPr>
          <w:color w:val="auto"/>
        </w:rPr>
        <w:t>2</w:t>
      </w:r>
      <w:r>
        <w:rPr>
          <w:rFonts w:hint="eastAsia"/>
          <w:color w:val="auto"/>
        </w:rPr>
        <w:t>、</w:t>
      </w:r>
      <w:r>
        <w:rPr>
          <w:rFonts w:hint="eastAsia"/>
          <w:color w:val="auto"/>
          <w:lang w:val="en-US" w:eastAsia="zh-CN"/>
        </w:rPr>
        <w:t>废</w:t>
      </w:r>
      <w:r>
        <w:rPr>
          <w:color w:val="auto"/>
        </w:rPr>
        <w:t>酒糟及废酵母</w:t>
      </w:r>
    </w:p>
    <w:p w14:paraId="12AB22EE">
      <w:pPr>
        <w:spacing w:line="360" w:lineRule="auto"/>
        <w:rPr>
          <w:color w:val="auto"/>
        </w:rPr>
      </w:pPr>
      <w:r>
        <w:rPr>
          <w:rFonts w:hint="eastAsia"/>
          <w:color w:val="auto"/>
        </w:rPr>
        <w:t>根据物料平衡，本项目产生</w:t>
      </w:r>
      <w:r>
        <w:rPr>
          <w:rFonts w:hint="eastAsia"/>
          <w:color w:val="auto"/>
          <w:lang w:val="en-US" w:eastAsia="zh-CN"/>
        </w:rPr>
        <w:t>废</w:t>
      </w:r>
      <w:r>
        <w:rPr>
          <w:rFonts w:hint="eastAsia"/>
          <w:color w:val="auto"/>
        </w:rPr>
        <w:t>酒糟</w:t>
      </w:r>
      <w:r>
        <w:rPr>
          <w:rFonts w:hint="eastAsia"/>
          <w:color w:val="auto"/>
          <w:lang w:val="en-US" w:eastAsia="zh-CN"/>
        </w:rPr>
        <w:t>1635.09</w:t>
      </w:r>
      <w:r>
        <w:rPr>
          <w:rFonts w:hint="eastAsia"/>
          <w:color w:val="auto"/>
        </w:rPr>
        <w:t>t/a</w:t>
      </w:r>
      <w:r>
        <w:rPr>
          <w:rFonts w:hint="eastAsia"/>
          <w:color w:val="auto"/>
          <w:lang w:eastAsia="zh-CN"/>
        </w:rPr>
        <w:t>、</w:t>
      </w:r>
      <w:r>
        <w:rPr>
          <w:rFonts w:hint="eastAsia"/>
          <w:color w:val="auto"/>
        </w:rPr>
        <w:t>废酵母</w:t>
      </w:r>
      <w:r>
        <w:rPr>
          <w:rFonts w:hint="eastAsia"/>
          <w:color w:val="auto"/>
          <w:lang w:val="en-US" w:eastAsia="zh-CN"/>
        </w:rPr>
        <w:t>570</w:t>
      </w:r>
      <w:r>
        <w:rPr>
          <w:rFonts w:hint="eastAsia"/>
          <w:color w:val="auto"/>
        </w:rPr>
        <w:t>t/a。本项目产生的</w:t>
      </w:r>
      <w:r>
        <w:rPr>
          <w:rFonts w:hint="eastAsia"/>
          <w:color w:val="auto"/>
          <w:lang w:val="en-US" w:eastAsia="zh-CN"/>
        </w:rPr>
        <w:t>废</w:t>
      </w:r>
      <w:r>
        <w:rPr>
          <w:color w:val="auto"/>
        </w:rPr>
        <w:t>酒糟及废酵母采用专用容器收集并加盖密封，外售作饲料，日产日清</w:t>
      </w:r>
      <w:r>
        <w:rPr>
          <w:rFonts w:hint="eastAsia"/>
          <w:color w:val="auto"/>
        </w:rPr>
        <w:t>。</w:t>
      </w:r>
    </w:p>
    <w:p w14:paraId="5D97EB84">
      <w:pPr>
        <w:numPr>
          <w:ilvl w:val="0"/>
          <w:numId w:val="0"/>
        </w:numPr>
        <w:spacing w:line="360" w:lineRule="auto"/>
        <w:ind w:left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3、废硅藻土</w:t>
      </w:r>
    </w:p>
    <w:p w14:paraId="7DE5BEEF">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啤酒过滤产生废硅藻土</w:t>
      </w:r>
      <w:r>
        <w:rPr>
          <w:rFonts w:hint="eastAsia"/>
          <w:color w:val="000000" w:themeColor="text1"/>
          <w:lang w:val="en-US" w:eastAsia="zh-CN"/>
          <w14:textFill>
            <w14:solidFill>
              <w14:schemeClr w14:val="tx1"/>
            </w14:solidFill>
          </w14:textFill>
        </w:rPr>
        <w:t>5</w:t>
      </w:r>
      <w:r>
        <w:rPr>
          <w:rFonts w:hint="default"/>
          <w:color w:val="000000" w:themeColor="text1"/>
          <w:lang w:val="en-US" w:eastAsia="zh-CN"/>
          <w14:textFill>
            <w14:solidFill>
              <w14:schemeClr w14:val="tx1"/>
            </w14:solidFill>
          </w14:textFill>
        </w:rPr>
        <w:t>0t/a，为一般工业固体废物，废硅藻土在过滤酒液时附着固态有机物质，含有一定量的有机物，该硅藻土是弱粘结分子组成的块状物，呈灰色，比重较轻，其化学组成为 SiO</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：79.92%、Al</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：6.58%、Fe</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：3.56%、MnO：9.98%、CaO：1.43%、Ti</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：0.48%，不含有毒有害成分，</w:t>
      </w:r>
      <w:r>
        <w:rPr>
          <w:rFonts w:hint="eastAsia"/>
          <w:color w:val="000000" w:themeColor="text1"/>
          <w:lang w:val="en-US" w:eastAsia="zh-CN"/>
          <w14:textFill>
            <w14:solidFill>
              <w14:schemeClr w14:val="tx1"/>
            </w14:solidFill>
          </w14:textFill>
        </w:rPr>
        <w:t>暂存在密闭废土罐中</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外售综合利用</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定期转运</w:t>
      </w:r>
      <w:r>
        <w:rPr>
          <w:rFonts w:hint="default"/>
          <w:color w:val="000000" w:themeColor="text1"/>
          <w:lang w:val="en-US" w:eastAsia="zh-CN"/>
          <w14:textFill>
            <w14:solidFill>
              <w14:schemeClr w14:val="tx1"/>
            </w14:solidFill>
          </w14:textFill>
        </w:rPr>
        <w:t>不在厂区长时间贮存。</w:t>
      </w:r>
    </w:p>
    <w:p w14:paraId="57A861D1">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w:t>
      </w:r>
      <w:r>
        <w:rPr>
          <w:rFonts w:hint="eastAsia"/>
          <w:color w:val="000000" w:themeColor="text1"/>
          <w14:textFill>
            <w14:solidFill>
              <w14:schemeClr w14:val="tx1"/>
            </w14:solidFill>
          </w14:textFill>
        </w:rPr>
        <w:t>、除尘器收尘</w:t>
      </w:r>
    </w:p>
    <w:p w14:paraId="08615FDB">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t>根据前文分析，</w:t>
      </w:r>
      <w:r>
        <w:rPr>
          <w:rFonts w:hint="eastAsia"/>
          <w:color w:val="000000" w:themeColor="text1"/>
          <w14:textFill>
            <w14:solidFill>
              <w14:schemeClr w14:val="tx1"/>
            </w14:solidFill>
          </w14:textFill>
        </w:rPr>
        <w:t>本项目处理原料处理间粉尘的布袋除尘器收尘产生量为</w:t>
      </w:r>
      <w:r>
        <w:rPr>
          <w:rFonts w:hint="eastAsia"/>
          <w:color w:val="000000" w:themeColor="text1"/>
          <w:lang w:val="en-US" w:eastAsia="zh-CN"/>
          <w14:textFill>
            <w14:solidFill>
              <w14:schemeClr w14:val="tx1"/>
            </w14:solidFill>
          </w14:textFill>
        </w:rPr>
        <w:t>2.059</w:t>
      </w:r>
      <w:r>
        <w:rPr>
          <w:rFonts w:hint="eastAsia"/>
          <w:color w:val="000000" w:themeColor="text1"/>
          <w14:textFill>
            <w14:solidFill>
              <w14:schemeClr w14:val="tx1"/>
            </w14:solidFill>
          </w14:textFill>
        </w:rPr>
        <w:t>t/a，集中收集，外售有机肥厂生产有机肥。</w:t>
      </w:r>
    </w:p>
    <w:p w14:paraId="0A3AFAF3">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、废布袋</w:t>
      </w:r>
    </w:p>
    <w:p w14:paraId="12F50994">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本项目废布袋产生量约为0</w:t>
      </w:r>
      <w:r>
        <w:rPr>
          <w:color w:val="000000" w:themeColor="text1"/>
          <w14:textFill>
            <w14:solidFill>
              <w14:schemeClr w14:val="tx1"/>
            </w14:solidFill>
          </w14:textFill>
        </w:rPr>
        <w:t>.0</w:t>
      </w: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t/a，更换时交厂家回收处置。</w:t>
      </w:r>
    </w:p>
    <w:p w14:paraId="5D8623ED">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6</w:t>
      </w:r>
      <w:r>
        <w:rPr>
          <w:rFonts w:hint="eastAsia"/>
          <w:color w:val="000000" w:themeColor="text1"/>
          <w14:textFill>
            <w14:solidFill>
              <w14:schemeClr w14:val="tx1"/>
            </w14:solidFill>
          </w14:textFill>
        </w:rPr>
        <w:t>、污水处理站污泥</w:t>
      </w:r>
    </w:p>
    <w:p w14:paraId="23F7984B">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t>项目厂区设有一座一体化污水处理站，对生产废水进行预处理，处理过程会产生污泥。参考《集中式污染治理设施产排污系数手册》（环境保护部华南环境科学研究所，2010年修订）中“表3城镇污水处理厂和工业废水集中处理设施的化学污泥产生系数”，取含水80%污泥产生系数为4.53t/万t-废水处理量。根据前文分析，本项目需处理废水共</w:t>
      </w:r>
      <w:r>
        <w:rPr>
          <w:rFonts w:hint="eastAsia"/>
          <w:color w:val="000000" w:themeColor="text1"/>
          <w:lang w:eastAsia="zh-CN"/>
          <w14:textFill>
            <w14:solidFill>
              <w14:schemeClr w14:val="tx1"/>
            </w14:solidFill>
          </w14:textFill>
        </w:rPr>
        <w:t>37067.84</w:t>
      </w:r>
      <w:r>
        <w:rPr>
          <w:color w:val="000000" w:themeColor="text1"/>
          <w14:textFill>
            <w14:solidFill>
              <w14:schemeClr w14:val="tx1"/>
            </w14:solidFill>
          </w14:textFill>
        </w:rPr>
        <w:t>m³/a，则产生含水率为80%的污泥产生量约为</w:t>
      </w:r>
      <w:r>
        <w:rPr>
          <w:rFonts w:hint="eastAsia"/>
          <w:color w:val="000000" w:themeColor="text1"/>
          <w:lang w:val="en-US" w:eastAsia="zh-CN"/>
          <w14:textFill>
            <w14:solidFill>
              <w14:schemeClr w14:val="tx1"/>
            </w14:solidFill>
          </w14:textFill>
        </w:rPr>
        <w:t>16.79</w:t>
      </w:r>
      <w:r>
        <w:rPr>
          <w:color w:val="000000" w:themeColor="text1"/>
          <w14:textFill>
            <w14:solidFill>
              <w14:schemeClr w14:val="tx1"/>
            </w14:solidFill>
          </w14:textFill>
        </w:rPr>
        <w:t>t/a，</w:t>
      </w:r>
      <w:r>
        <w:rPr>
          <w:rFonts w:hint="eastAsia"/>
          <w:color w:val="000000" w:themeColor="text1"/>
          <w14:textFill>
            <w14:solidFill>
              <w14:schemeClr w14:val="tx1"/>
            </w14:solidFill>
          </w14:textFill>
        </w:rPr>
        <w:t>污水处理站产生的污泥外运前应采取压滤脱水处理，确保含水率低于</w:t>
      </w:r>
      <w:r>
        <w:rPr>
          <w:color w:val="000000" w:themeColor="text1"/>
          <w14:textFill>
            <w14:solidFill>
              <w14:schemeClr w14:val="tx1"/>
            </w14:solidFill>
          </w14:textFill>
        </w:rPr>
        <w:t>60%</w:t>
      </w:r>
      <w:r>
        <w:rPr>
          <w:rFonts w:hint="eastAsia"/>
          <w:color w:val="000000" w:themeColor="text1"/>
          <w14:textFill>
            <w14:solidFill>
              <w14:schemeClr w14:val="tx1"/>
            </w14:solidFill>
          </w14:textFill>
        </w:rPr>
        <w:t>，则本项目污水处理站污泥产生量为</w:t>
      </w:r>
      <w:r>
        <w:rPr>
          <w:rFonts w:hint="eastAsia"/>
          <w:color w:val="000000" w:themeColor="text1"/>
          <w:lang w:val="en-US" w:eastAsia="zh-CN"/>
          <w14:textFill>
            <w14:solidFill>
              <w14:schemeClr w14:val="tx1"/>
            </w14:solidFill>
          </w14:textFill>
        </w:rPr>
        <w:t>8.395</w:t>
      </w:r>
      <w:r>
        <w:rPr>
          <w:rFonts w:hint="eastAsia"/>
          <w:color w:val="000000" w:themeColor="text1"/>
          <w14:textFill>
            <w14:solidFill>
              <w14:schemeClr w14:val="tx1"/>
            </w14:solidFill>
          </w14:textFill>
        </w:rPr>
        <w:t>t/a，定期</w:t>
      </w:r>
      <w:r>
        <w:rPr>
          <w:color w:val="000000" w:themeColor="text1"/>
          <w14:textFill>
            <w14:solidFill>
              <w14:schemeClr w14:val="tx1"/>
            </w14:solidFill>
          </w14:textFill>
        </w:rPr>
        <w:t>交由</w:t>
      </w:r>
      <w:r>
        <w:rPr>
          <w:rFonts w:hint="eastAsia"/>
          <w:color w:val="000000" w:themeColor="text1"/>
          <w14:textFill>
            <w14:solidFill>
              <w14:schemeClr w14:val="tx1"/>
            </w14:solidFill>
          </w14:textFill>
        </w:rPr>
        <w:t>市政部门统一处理。</w:t>
      </w:r>
    </w:p>
    <w:p w14:paraId="3C12545C">
      <w:pPr>
        <w:spacing w:line="360" w:lineRule="auto"/>
        <w:rPr>
          <w:color w:val="000000" w:themeColor="text1"/>
          <w:highlight w:val="none"/>
          <w14:textFill>
            <w14:solidFill>
              <w14:schemeClr w14:val="tx1"/>
            </w14:solidFill>
          </w14:textFill>
        </w:rPr>
      </w:pPr>
      <w:r>
        <w:rPr>
          <w:rFonts w:hint="eastAsia"/>
          <w:color w:val="000000" w:themeColor="text1"/>
          <w:highlight w:val="none"/>
          <w:lang w:val="en-US" w:eastAsia="zh-CN"/>
          <w14:textFill>
            <w14:solidFill>
              <w14:schemeClr w14:val="tx1"/>
            </w14:solidFill>
          </w14:textFill>
        </w:rPr>
        <w:t>7</w:t>
      </w:r>
      <w:r>
        <w:rPr>
          <w:rFonts w:hint="eastAsia"/>
          <w:color w:val="000000" w:themeColor="text1"/>
          <w:highlight w:val="none"/>
          <w14:textFill>
            <w14:solidFill>
              <w14:schemeClr w14:val="tx1"/>
            </w14:solidFill>
          </w14:textFill>
        </w:rPr>
        <w:t>、废脱硫剂</w:t>
      </w:r>
    </w:p>
    <w:p w14:paraId="751B44B5">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本项目利用氧化法脱除沼气中的硫，主要成分是三氧化二铁，沼气脱硫过程会产生废脱硫剂，其反应方程式为</w:t>
      </w:r>
    </w:p>
    <w:p w14:paraId="38B4E260">
      <w:pPr>
        <w:spacing w:line="360" w:lineRule="auto"/>
        <w:ind w:firstLine="0" w:firstLineChars="0"/>
        <w:jc w:val="center"/>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Fe</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O</w:t>
      </w:r>
      <w:r>
        <w:rPr>
          <w:rFonts w:cs="Times New Roman"/>
          <w:color w:val="000000" w:themeColor="text1"/>
          <w:vertAlign w:val="subscript"/>
          <w14:textFill>
            <w14:solidFill>
              <w14:schemeClr w14:val="tx1"/>
            </w14:solidFill>
          </w14:textFill>
        </w:rPr>
        <w:t>3</w:t>
      </w:r>
      <w:r>
        <w:rPr>
          <w:rFonts w:cs="Times New Roman"/>
          <w:color w:val="000000" w:themeColor="text1"/>
          <w14:textFill>
            <w14:solidFill>
              <w14:schemeClr w14:val="tx1"/>
            </w14:solidFill>
          </w14:textFill>
        </w:rPr>
        <w:t>·H</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O+3H</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S→Fe</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S</w:t>
      </w:r>
      <w:r>
        <w:rPr>
          <w:rFonts w:cs="Times New Roman"/>
          <w:color w:val="000000" w:themeColor="text1"/>
          <w:vertAlign w:val="subscript"/>
          <w14:textFill>
            <w14:solidFill>
              <w14:schemeClr w14:val="tx1"/>
            </w14:solidFill>
          </w14:textFill>
        </w:rPr>
        <w:t>3</w:t>
      </w:r>
      <w:r>
        <w:rPr>
          <w:rFonts w:cs="Times New Roman"/>
          <w:color w:val="000000" w:themeColor="text1"/>
          <w14:textFill>
            <w14:solidFill>
              <w14:schemeClr w14:val="tx1"/>
            </w14:solidFill>
          </w14:textFill>
        </w:rPr>
        <w:t>·H</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O +3H</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O</w:t>
      </w:r>
    </w:p>
    <w:p w14:paraId="0F572093">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由化学反应方程式可知，沼气中每脱去</w:t>
      </w:r>
      <w:r>
        <w:rPr>
          <w:color w:val="000000" w:themeColor="text1"/>
          <w14:textFill>
            <w14:solidFill>
              <w14:schemeClr w14:val="tx1"/>
            </w14:solidFill>
          </w14:textFill>
        </w:rPr>
        <w:t>1gH</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S</w:t>
      </w:r>
      <w:r>
        <w:rPr>
          <w:rFonts w:hint="eastAsia"/>
          <w:color w:val="000000" w:themeColor="text1"/>
          <w14:textFill>
            <w14:solidFill>
              <w14:schemeClr w14:val="tx1"/>
            </w14:solidFill>
          </w14:textFill>
        </w:rPr>
        <w:t>需要脱硫剂（</w:t>
      </w:r>
      <w:r>
        <w:rPr>
          <w:color w:val="000000" w:themeColor="text1"/>
          <w14:textFill>
            <w14:solidFill>
              <w14:schemeClr w14:val="tx1"/>
            </w14:solidFill>
          </w14:textFill>
        </w:rPr>
        <w:t>Fe</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O</w:t>
      </w:r>
      <w:r>
        <w:rPr>
          <w:color w:val="000000" w:themeColor="text1"/>
          <w:vertAlign w:val="subscript"/>
          <w14:textFill>
            <w14:solidFill>
              <w14:schemeClr w14:val="tx1"/>
            </w14:solidFill>
          </w14:textFill>
        </w:rPr>
        <w:t>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1.57g</w:t>
      </w:r>
      <w:r>
        <w:rPr>
          <w:rFonts w:hint="eastAsia"/>
          <w:color w:val="000000" w:themeColor="text1"/>
          <w14:textFill>
            <w14:solidFill>
              <w14:schemeClr w14:val="tx1"/>
            </w14:solidFill>
          </w14:textFill>
        </w:rPr>
        <w:t>，产生废脱硫剂（</w:t>
      </w:r>
      <w:r>
        <w:rPr>
          <w:color w:val="000000" w:themeColor="text1"/>
          <w14:textFill>
            <w14:solidFill>
              <w14:schemeClr w14:val="tx1"/>
            </w14:solidFill>
          </w14:textFill>
        </w:rPr>
        <w:t>Fe</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S</w:t>
      </w:r>
      <w:r>
        <w:rPr>
          <w:color w:val="000000" w:themeColor="text1"/>
          <w:vertAlign w:val="subscript"/>
          <w14:textFill>
            <w14:solidFill>
              <w14:schemeClr w14:val="tx1"/>
            </w14:solidFill>
          </w14:textFill>
        </w:rPr>
        <w:t>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2.04g</w:t>
      </w:r>
      <w:r>
        <w:rPr>
          <w:rFonts w:hint="eastAsia"/>
          <w:color w:val="000000" w:themeColor="text1"/>
          <w14:textFill>
            <w14:solidFill>
              <w14:schemeClr w14:val="tx1"/>
            </w14:solidFill>
          </w14:textFill>
        </w:rPr>
        <w:t>。本项目厌氧发酵过程中沼气产生量为</w:t>
      </w:r>
      <w:r>
        <w:rPr>
          <w:rFonts w:hint="eastAsia"/>
          <w:color w:val="000000" w:themeColor="text1"/>
          <w:lang w:val="en-US" w:eastAsia="zh-CN"/>
          <w14:textFill>
            <w14:solidFill>
              <w14:schemeClr w14:val="tx1"/>
            </w14:solidFill>
          </w14:textFill>
        </w:rPr>
        <w:t>44019</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。脱硫效率为</w:t>
      </w:r>
      <w:r>
        <w:rPr>
          <w:color w:val="000000" w:themeColor="text1"/>
          <w14:textFill>
            <w14:solidFill>
              <w14:schemeClr w14:val="tx1"/>
            </w14:solidFill>
          </w14:textFill>
        </w:rPr>
        <w:t>90%</w:t>
      </w:r>
      <w:r>
        <w:rPr>
          <w:rFonts w:hint="eastAsia"/>
          <w:color w:val="000000" w:themeColor="text1"/>
          <w14:textFill>
            <w14:solidFill>
              <w14:schemeClr w14:val="tx1"/>
            </w14:solidFill>
          </w14:textFill>
        </w:rPr>
        <w:t>，沼气中 H₂S 浓度参考《环境保护实用数据手册》（胡名操主编，机械工业出版社，1996），食品 / 啤酒废水厌氧消化产生的沼气</w:t>
      </w:r>
      <w:r>
        <w:rPr>
          <w:color w:val="000000" w:themeColor="text1"/>
          <w14:textFill>
            <w14:solidFill>
              <w14:schemeClr w14:val="tx1"/>
            </w14:solidFill>
          </w14:textFill>
        </w:rPr>
        <w:t>H</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S</w:t>
      </w:r>
      <w:r>
        <w:rPr>
          <w:rFonts w:hint="eastAsia"/>
          <w:color w:val="000000" w:themeColor="text1"/>
          <w14:textFill>
            <w14:solidFill>
              <w14:schemeClr w14:val="tx1"/>
            </w14:solidFill>
          </w14:textFill>
        </w:rPr>
        <w:t>浓度为500～2000 mg/m</w:t>
      </w:r>
      <w:r>
        <w:rPr>
          <w:rFonts w:hint="eastAsia"/>
          <w:color w:val="000000" w:themeColor="text1"/>
          <w:vertAlign w:val="superscript"/>
          <w:lang w:val="en-US" w:eastAsia="zh-CN"/>
          <w14:textFill>
            <w14:solidFill>
              <w14:schemeClr w14:val="tx1"/>
            </w14:solidFill>
          </w14:textFill>
        </w:rPr>
        <w:t>3</w:t>
      </w:r>
      <w:r>
        <w:rPr>
          <w:rFonts w:hint="eastAsia"/>
          <w:color w:val="000000" w:themeColor="text1"/>
          <w14:textFill>
            <w14:solidFill>
              <w14:schemeClr w14:val="tx1"/>
            </w14:solidFill>
          </w14:textFill>
        </w:rPr>
        <w:t>，本次环评取</w:t>
      </w:r>
      <w:r>
        <w:rPr>
          <w:rFonts w:hint="eastAsia"/>
          <w:color w:val="000000" w:themeColor="text1"/>
          <w:lang w:val="en-US" w:eastAsia="zh-CN"/>
          <w14:textFill>
            <w14:solidFill>
              <w14:schemeClr w14:val="tx1"/>
            </w14:solidFill>
          </w14:textFill>
        </w:rPr>
        <w:t>15</w:t>
      </w:r>
      <w:r>
        <w:rPr>
          <w:rFonts w:hint="eastAsia"/>
          <w:color w:val="000000" w:themeColor="text1"/>
          <w14:textFill>
            <w14:solidFill>
              <w14:schemeClr w14:val="tx1"/>
            </w14:solidFill>
          </w14:textFill>
        </w:rPr>
        <w:t>00 mg/m</w:t>
      </w:r>
      <w:r>
        <w:rPr>
          <w:rFonts w:hint="eastAsia"/>
          <w:color w:val="000000" w:themeColor="text1"/>
          <w:vertAlign w:val="superscript"/>
          <w:lang w:val="en-US" w:eastAsia="zh-CN"/>
          <w14:textFill>
            <w14:solidFill>
              <w14:schemeClr w14:val="tx1"/>
            </w14:solidFill>
          </w14:textFill>
        </w:rPr>
        <w:t>3</w:t>
      </w:r>
      <w:r>
        <w:rPr>
          <w:rFonts w:hint="eastAsia"/>
          <w:color w:val="000000" w:themeColor="text1"/>
          <w:vertAlign w:val="baseline"/>
          <w:lang w:val="en-US" w:eastAsia="zh-CN"/>
          <w14:textFill>
            <w14:solidFill>
              <w14:schemeClr w14:val="tx1"/>
            </w14:solidFill>
          </w14:textFill>
        </w:rPr>
        <w:t>，</w:t>
      </w:r>
      <w:r>
        <w:rPr>
          <w:rFonts w:hint="eastAsia"/>
          <w:color w:val="000000" w:themeColor="text1"/>
          <w14:textFill>
            <w14:solidFill>
              <w14:schemeClr w14:val="tx1"/>
            </w14:solidFill>
          </w14:textFill>
        </w:rPr>
        <w:t>脱硫剂使用情况见下表。</w:t>
      </w:r>
    </w:p>
    <w:p w14:paraId="1DCA025C">
      <w:pPr>
        <w:pStyle w:val="206"/>
        <w:rPr>
          <w:color w:val="000000" w:themeColor="text1"/>
          <w14:textFill>
            <w14:solidFill>
              <w14:schemeClr w14:val="tx1"/>
            </w14:solidFill>
          </w14:textFill>
        </w:rPr>
      </w:pPr>
      <w:r>
        <w:rPr>
          <w:rFonts w:hint="eastAsia"/>
          <w:color w:val="000000" w:themeColor="text1"/>
          <w14:textFill>
            <w14:solidFill>
              <w14:schemeClr w14:val="tx1"/>
            </w14:solidFill>
          </w14:textFill>
        </w:rPr>
        <w:t>表3-</w:t>
      </w:r>
      <w:r>
        <w:rPr>
          <w:color w:val="000000" w:themeColor="text1"/>
          <w14:textFill>
            <w14:solidFill>
              <w14:schemeClr w14:val="tx1"/>
            </w14:solidFill>
          </w14:textFill>
        </w:rPr>
        <w:t>6-1</w:t>
      </w:r>
      <w:r>
        <w:rPr>
          <w:rFonts w:hint="eastAsia"/>
          <w:color w:val="000000" w:themeColor="text1"/>
          <w:lang w:val="en-US" w:eastAsia="zh-CN"/>
          <w14:textFill>
            <w14:solidFill>
              <w14:schemeClr w14:val="tx1"/>
            </w14:solidFill>
          </w14:textFill>
        </w:rPr>
        <w:t>0</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本项目脱硫剂情况一览表</w:t>
      </w:r>
    </w:p>
    <w:tbl>
      <w:tblPr>
        <w:tblStyle w:val="49"/>
        <w:tblW w:w="830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8"/>
        <w:gridCol w:w="1417"/>
        <w:gridCol w:w="1133"/>
        <w:gridCol w:w="1562"/>
        <w:gridCol w:w="1415"/>
        <w:gridCol w:w="1361"/>
      </w:tblGrid>
      <w:tr w14:paraId="79A2D6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11" w:hRule="atLeast"/>
        </w:trPr>
        <w:tc>
          <w:tcPr>
            <w:tcW w:w="1418" w:type="dxa"/>
            <w:shd w:val="clear" w:color="auto" w:fill="auto"/>
            <w:vAlign w:val="center"/>
          </w:tcPr>
          <w:p w14:paraId="69C93D0A">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沼气量</w:t>
            </w:r>
          </w:p>
          <w:p w14:paraId="68379C9F">
            <w:pPr>
              <w:pStyle w:val="143"/>
              <w:rPr>
                <w:color w:val="000000" w:themeColor="text1"/>
                <w14:textFill>
                  <w14:solidFill>
                    <w14:schemeClr w14:val="tx1"/>
                  </w14:solidFill>
                </w14:textFill>
              </w:rPr>
            </w:pP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w:t>
            </w:r>
          </w:p>
        </w:tc>
        <w:tc>
          <w:tcPr>
            <w:tcW w:w="1417" w:type="dxa"/>
            <w:shd w:val="clear" w:color="auto" w:fill="auto"/>
            <w:vAlign w:val="center"/>
          </w:tcPr>
          <w:p w14:paraId="3880607F">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硫化氢含量</w:t>
            </w:r>
            <w:r>
              <w:rPr>
                <w:color w:val="000000" w:themeColor="text1"/>
                <w14:textFill>
                  <w14:solidFill>
                    <w14:schemeClr w14:val="tx1"/>
                  </w14:solidFill>
                </w14:textFill>
              </w:rPr>
              <w:t>t/a</w:t>
            </w:r>
          </w:p>
        </w:tc>
        <w:tc>
          <w:tcPr>
            <w:tcW w:w="1133" w:type="dxa"/>
            <w:shd w:val="clear" w:color="auto" w:fill="auto"/>
            <w:vAlign w:val="center"/>
          </w:tcPr>
          <w:p w14:paraId="3002AEB8">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脱硫效率</w:t>
            </w:r>
            <w:r>
              <w:rPr>
                <w:color w:val="000000" w:themeColor="text1"/>
                <w14:textFill>
                  <w14:solidFill>
                    <w14:schemeClr w14:val="tx1"/>
                  </w14:solidFill>
                </w14:textFill>
              </w:rPr>
              <w:t>%</w:t>
            </w:r>
          </w:p>
        </w:tc>
        <w:tc>
          <w:tcPr>
            <w:tcW w:w="1562" w:type="dxa"/>
            <w:shd w:val="clear" w:color="auto" w:fill="auto"/>
            <w:vAlign w:val="center"/>
          </w:tcPr>
          <w:p w14:paraId="71F5A6BA">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硫化氢去除量</w:t>
            </w:r>
            <w:r>
              <w:rPr>
                <w:color w:val="000000" w:themeColor="text1"/>
                <w14:textFill>
                  <w14:solidFill>
                    <w14:schemeClr w14:val="tx1"/>
                  </w14:solidFill>
                </w14:textFill>
              </w:rPr>
              <w:t>t/a</w:t>
            </w:r>
          </w:p>
        </w:tc>
        <w:tc>
          <w:tcPr>
            <w:tcW w:w="1415" w:type="dxa"/>
            <w:shd w:val="clear" w:color="auto" w:fill="auto"/>
            <w:vAlign w:val="center"/>
          </w:tcPr>
          <w:p w14:paraId="780A1E42">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脱硫剂量</w:t>
            </w:r>
          </w:p>
          <w:p w14:paraId="3737D15F">
            <w:pPr>
              <w:pStyle w:val="143"/>
              <w:rPr>
                <w:color w:val="000000" w:themeColor="text1"/>
                <w14:textFill>
                  <w14:solidFill>
                    <w14:schemeClr w14:val="tx1"/>
                  </w14:solidFill>
                </w14:textFill>
              </w:rPr>
            </w:pPr>
            <w:r>
              <w:rPr>
                <w:color w:val="000000" w:themeColor="text1"/>
                <w14:textFill>
                  <w14:solidFill>
                    <w14:schemeClr w14:val="tx1"/>
                  </w14:solidFill>
                </w14:textFill>
              </w:rPr>
              <w:t>t/a</w:t>
            </w:r>
          </w:p>
        </w:tc>
        <w:tc>
          <w:tcPr>
            <w:tcW w:w="1361" w:type="dxa"/>
            <w:shd w:val="clear" w:color="auto" w:fill="auto"/>
            <w:vAlign w:val="center"/>
          </w:tcPr>
          <w:p w14:paraId="73680C0A">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废脱硫剂量</w:t>
            </w:r>
            <w:r>
              <w:rPr>
                <w:color w:val="000000" w:themeColor="text1"/>
                <w14:textFill>
                  <w14:solidFill>
                    <w14:schemeClr w14:val="tx1"/>
                  </w14:solidFill>
                </w14:textFill>
              </w:rPr>
              <w:t>t/a</w:t>
            </w:r>
          </w:p>
        </w:tc>
      </w:tr>
      <w:tr w14:paraId="24DE6B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8" w:type="dxa"/>
            <w:shd w:val="clear" w:color="auto" w:fill="auto"/>
            <w:vAlign w:val="center"/>
          </w:tcPr>
          <w:p w14:paraId="77069C00">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44019</w:t>
            </w:r>
          </w:p>
        </w:tc>
        <w:tc>
          <w:tcPr>
            <w:tcW w:w="1417" w:type="dxa"/>
            <w:shd w:val="clear" w:color="auto" w:fill="auto"/>
            <w:vAlign w:val="center"/>
          </w:tcPr>
          <w:p w14:paraId="539BB3B2">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0.066</w:t>
            </w:r>
          </w:p>
        </w:tc>
        <w:tc>
          <w:tcPr>
            <w:tcW w:w="1133" w:type="dxa"/>
            <w:shd w:val="clear" w:color="auto" w:fill="auto"/>
            <w:vAlign w:val="center"/>
          </w:tcPr>
          <w:p w14:paraId="17498BB5">
            <w:pPr>
              <w:pStyle w:val="143"/>
              <w:rPr>
                <w:color w:val="000000" w:themeColor="text1"/>
                <w14:textFill>
                  <w14:solidFill>
                    <w14:schemeClr w14:val="tx1"/>
                  </w14:solidFill>
                </w14:textFill>
              </w:rPr>
            </w:pPr>
            <w:r>
              <w:rPr>
                <w:rFonts w:cs="Times New Roman"/>
                <w:color w:val="000000" w:themeColor="text1"/>
                <w:szCs w:val="21"/>
                <w14:textFill>
                  <w14:solidFill>
                    <w14:schemeClr w14:val="tx1"/>
                  </w14:solidFill>
                </w14:textFill>
              </w:rPr>
              <w:t>0.9</w:t>
            </w:r>
          </w:p>
        </w:tc>
        <w:tc>
          <w:tcPr>
            <w:tcW w:w="1562" w:type="dxa"/>
            <w:shd w:val="clear" w:color="auto" w:fill="auto"/>
            <w:vAlign w:val="center"/>
          </w:tcPr>
          <w:p w14:paraId="7B8162A3">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0.0594</w:t>
            </w:r>
          </w:p>
        </w:tc>
        <w:tc>
          <w:tcPr>
            <w:tcW w:w="1415" w:type="dxa"/>
            <w:shd w:val="clear" w:color="auto" w:fill="auto"/>
            <w:vAlign w:val="center"/>
          </w:tcPr>
          <w:p w14:paraId="2DB1F6C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0.0933</w:t>
            </w:r>
          </w:p>
        </w:tc>
        <w:tc>
          <w:tcPr>
            <w:tcW w:w="1361" w:type="dxa"/>
            <w:shd w:val="clear" w:color="auto" w:fill="auto"/>
            <w:vAlign w:val="center"/>
          </w:tcPr>
          <w:p w14:paraId="1F554255">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0.1212</w:t>
            </w:r>
          </w:p>
        </w:tc>
      </w:tr>
    </w:tbl>
    <w:p w14:paraId="5F055DAA">
      <w:pPr>
        <w:pStyle w:val="85"/>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综上所述，本项目废脱硫剂量产生</w:t>
      </w:r>
      <w:r>
        <w:rPr>
          <w:rFonts w:hint="eastAsia"/>
          <w:color w:val="000000" w:themeColor="text1"/>
          <w:lang w:val="en-US" w:eastAsia="zh-CN"/>
          <w14:textFill>
            <w14:solidFill>
              <w14:schemeClr w14:val="tx1"/>
            </w14:solidFill>
          </w14:textFill>
        </w:rPr>
        <w:t>0.1212</w:t>
      </w:r>
      <w:r>
        <w:rPr>
          <w:rFonts w:hint="eastAsia"/>
          <w:color w:val="000000" w:themeColor="text1"/>
          <w14:textFill>
            <w14:solidFill>
              <w14:schemeClr w14:val="tx1"/>
            </w14:solidFill>
          </w14:textFill>
        </w:rPr>
        <w:t>t/a，脱硫剂每年需更换2次，废脱硫剂</w:t>
      </w:r>
      <w:r>
        <w:rPr>
          <w:rFonts w:hint="eastAsia"/>
          <w:color w:val="000000" w:themeColor="text1"/>
          <w:lang w:val="en-US" w:eastAsia="zh-CN"/>
          <w14:textFill>
            <w14:solidFill>
              <w14:schemeClr w14:val="tx1"/>
            </w14:solidFill>
          </w14:textFill>
        </w:rPr>
        <w:t>更换时</w:t>
      </w:r>
      <w:r>
        <w:rPr>
          <w:rFonts w:hint="eastAsia"/>
          <w:color w:val="000000" w:themeColor="text1"/>
          <w14:textFill>
            <w14:solidFill>
              <w14:schemeClr w14:val="tx1"/>
            </w14:solidFill>
          </w14:textFill>
        </w:rPr>
        <w:t>由厂家回收。</w:t>
      </w:r>
    </w:p>
    <w:p w14:paraId="022F0B52">
      <w:pPr>
        <w:pStyle w:val="85"/>
        <w:spacing w:line="360" w:lineRule="auto"/>
        <w:rPr>
          <w:color w:val="000000" w:themeColor="text1"/>
          <w:highlight w:val="none"/>
          <w14:textFill>
            <w14:solidFill>
              <w14:schemeClr w14:val="tx1"/>
            </w14:solidFill>
          </w14:textFill>
        </w:rPr>
      </w:pPr>
      <w:r>
        <w:rPr>
          <w:rFonts w:hint="eastAsia"/>
          <w:color w:val="000000" w:themeColor="text1"/>
          <w:highlight w:val="none"/>
          <w:lang w:val="en-US" w:eastAsia="zh-CN"/>
          <w14:textFill>
            <w14:solidFill>
              <w14:schemeClr w14:val="tx1"/>
            </w14:solidFill>
          </w14:textFill>
        </w:rPr>
        <w:t>8</w:t>
      </w:r>
      <w:r>
        <w:rPr>
          <w:rFonts w:hint="eastAsia"/>
          <w:color w:val="000000" w:themeColor="text1"/>
          <w:highlight w:val="none"/>
          <w14:textFill>
            <w14:solidFill>
              <w14:schemeClr w14:val="tx1"/>
            </w14:solidFill>
          </w14:textFill>
        </w:rPr>
        <w:t>、废包装物</w:t>
      </w:r>
    </w:p>
    <w:p w14:paraId="3AEA478C">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本项目包装车间每年产生废酒瓶、废纸箱、废标签等废包装物</w:t>
      </w:r>
      <w:r>
        <w:rPr>
          <w:rFonts w:hint="eastAsia"/>
          <w:color w:val="000000" w:themeColor="text1"/>
          <w:lang w:val="en-US" w:eastAsia="zh-CN"/>
          <w14:textFill>
            <w14:solidFill>
              <w14:schemeClr w14:val="tx1"/>
            </w14:solidFill>
          </w14:textFill>
        </w:rPr>
        <w:t>约500</w:t>
      </w:r>
      <w:r>
        <w:rPr>
          <w:rFonts w:hint="eastAsia"/>
          <w:color w:val="000000" w:themeColor="text1"/>
          <w14:textFill>
            <w14:solidFill>
              <w14:schemeClr w14:val="tx1"/>
            </w14:solidFill>
          </w14:textFill>
        </w:rPr>
        <w:t>t/a，集中收集，外售废品收购站综合利用。</w:t>
      </w:r>
    </w:p>
    <w:p w14:paraId="0BA2A19A">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w:t>
      </w:r>
      <w:r>
        <w:rPr>
          <w:rFonts w:hint="eastAsia"/>
          <w:color w:val="000000" w:themeColor="text1"/>
          <w14:textFill>
            <w14:solidFill>
              <w14:schemeClr w14:val="tx1"/>
            </w14:solidFill>
          </w14:textFill>
        </w:rPr>
        <w:t>、废过滤材料</w:t>
      </w:r>
    </w:p>
    <w:p w14:paraId="00EDA1D0">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项目纯水制备设备在运行过程中产生的废过滤材料（废石英砂、废活性炭、废滤膜），收集后交由纯水设备公司回收处理。石英砂、活性炭、滤膜每半年更换一次，每次更换量约为0.1t，则废石英砂、废活性炭、废滤膜产生量约为0.2t/a，由纯水设备公司</w:t>
      </w:r>
      <w:r>
        <w:rPr>
          <w:rFonts w:hint="eastAsia"/>
          <w:color w:val="000000" w:themeColor="text1"/>
          <w:lang w:val="en-US" w:eastAsia="zh-CN"/>
          <w14:textFill>
            <w14:solidFill>
              <w14:schemeClr w14:val="tx1"/>
            </w14:solidFill>
          </w14:textFill>
        </w:rPr>
        <w:t>定期更换时</w:t>
      </w:r>
      <w:r>
        <w:rPr>
          <w:rFonts w:hint="eastAsia"/>
          <w:color w:val="000000" w:themeColor="text1"/>
          <w14:textFill>
            <w14:solidFill>
              <w14:schemeClr w14:val="tx1"/>
            </w14:solidFill>
          </w14:textFill>
        </w:rPr>
        <w:t>回收处理。</w:t>
      </w:r>
    </w:p>
    <w:p w14:paraId="178D27EB">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0</w:t>
      </w:r>
      <w:r>
        <w:rPr>
          <w:rFonts w:hint="eastAsia"/>
          <w:color w:val="000000" w:themeColor="text1"/>
          <w14:textFill>
            <w14:solidFill>
              <w14:schemeClr w14:val="tx1"/>
            </w14:solidFill>
          </w14:textFill>
        </w:rPr>
        <w:t>、废离子交换树脂</w:t>
      </w:r>
    </w:p>
    <w:p w14:paraId="4DB53363">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t>项目锅炉所用软水通过软水设备制备，离子交换树脂定期更换。树脂每半年更换一次，每次更换量约为0.025t，则废离子交换树脂产生量约0.05t/a，由软水设备</w:t>
      </w:r>
      <w:r>
        <w:rPr>
          <w:rFonts w:hint="eastAsia"/>
          <w:color w:val="000000" w:themeColor="text1"/>
          <w:lang w:val="en-US" w:eastAsia="zh-CN"/>
          <w14:textFill>
            <w14:solidFill>
              <w14:schemeClr w14:val="tx1"/>
            </w14:solidFill>
          </w14:textFill>
        </w:rPr>
        <w:t>公司更换时</w:t>
      </w:r>
      <w:r>
        <w:rPr>
          <w:color w:val="000000" w:themeColor="text1"/>
          <w14:textFill>
            <w14:solidFill>
              <w14:schemeClr w14:val="tx1"/>
            </w14:solidFill>
          </w14:textFill>
        </w:rPr>
        <w:t>回收处理。</w:t>
      </w:r>
      <w:bookmarkEnd w:id="140"/>
    </w:p>
    <w:p w14:paraId="33A10957">
      <w:pPr>
        <w:keepNext w:val="0"/>
        <w:keepLines w:val="0"/>
        <w:widowControl/>
        <w:suppressLineNumbers w:val="0"/>
        <w:spacing w:line="360" w:lineRule="auto"/>
        <w:jc w:val="left"/>
      </w:pPr>
      <w:r>
        <w:rPr>
          <w:rFonts w:hint="eastAsia"/>
          <w:color w:val="000000" w:themeColor="text1"/>
          <w:lang w:val="en-US" w:eastAsia="zh-CN"/>
          <w14:textFill>
            <w14:solidFill>
              <w14:schemeClr w14:val="tx1"/>
            </w14:solidFill>
          </w14:textFill>
        </w:rPr>
        <w:t>11、</w:t>
      </w:r>
      <w:r>
        <w:rPr>
          <w:rFonts w:hint="default" w:ascii="Times New Roman" w:hAnsi="Times New Roman" w:eastAsia="宋体" w:cs="Times New Roman"/>
          <w:b w:val="0"/>
          <w:bCs w:val="0"/>
          <w:color w:val="000000"/>
          <w:kern w:val="0"/>
          <w:sz w:val="24"/>
          <w:szCs w:val="24"/>
          <w:lang w:val="en-US" w:eastAsia="zh-CN" w:bidi="ar"/>
        </w:rPr>
        <w:t>CO</w:t>
      </w:r>
      <w:r>
        <w:rPr>
          <w:rFonts w:hint="default" w:ascii="Times New Roman" w:hAnsi="Times New Roman" w:eastAsia="宋体" w:cs="Times New Roman"/>
          <w:b w:val="0"/>
          <w:bCs w:val="0"/>
          <w:color w:val="000000"/>
          <w:kern w:val="0"/>
          <w:sz w:val="15"/>
          <w:szCs w:val="15"/>
          <w:lang w:val="en-US" w:eastAsia="zh-CN" w:bidi="ar"/>
        </w:rPr>
        <w:t>2</w:t>
      </w:r>
      <w:r>
        <w:rPr>
          <w:rFonts w:hint="eastAsia" w:ascii="宋体" w:hAnsi="宋体" w:eastAsia="宋体" w:cs="宋体"/>
          <w:b w:val="0"/>
          <w:bCs w:val="0"/>
          <w:color w:val="000000"/>
          <w:kern w:val="0"/>
          <w:sz w:val="24"/>
          <w:szCs w:val="24"/>
          <w:lang w:val="en-US" w:eastAsia="zh-CN" w:bidi="ar"/>
        </w:rPr>
        <w:t>回收系统的废吸附剂和干燥剂</w:t>
      </w:r>
    </w:p>
    <w:p w14:paraId="28D61700">
      <w:pPr>
        <w:keepNext w:val="0"/>
        <w:keepLines w:val="0"/>
        <w:widowControl/>
        <w:suppressLineNumbers w:val="0"/>
        <w:spacing w:line="360" w:lineRule="auto"/>
        <w:jc w:val="left"/>
      </w:pPr>
      <w:r>
        <w:rPr>
          <w:rFonts w:hint="eastAsia" w:ascii="宋体" w:hAnsi="宋体" w:eastAsia="宋体" w:cs="宋体"/>
          <w:color w:val="000000"/>
          <w:kern w:val="0"/>
          <w:sz w:val="24"/>
          <w:szCs w:val="24"/>
          <w:lang w:val="en-US" w:eastAsia="zh-CN" w:bidi="ar"/>
        </w:rPr>
        <w:t xml:space="preserve">项目 </w:t>
      </w:r>
      <w:r>
        <w:rPr>
          <w:rFonts w:hint="default" w:ascii="Times New Roman" w:hAnsi="Times New Roman" w:eastAsia="宋体" w:cs="Times New Roman"/>
          <w:color w:val="000000"/>
          <w:kern w:val="0"/>
          <w:sz w:val="24"/>
          <w:szCs w:val="24"/>
          <w:lang w:val="en-US" w:eastAsia="zh-CN" w:bidi="ar"/>
        </w:rPr>
        <w:t>CO</w:t>
      </w:r>
      <w:r>
        <w:rPr>
          <w:rFonts w:hint="default" w:ascii="Times New Roman" w:hAnsi="Times New Roman" w:eastAsia="宋体" w:cs="Times New Roman"/>
          <w:color w:val="000000"/>
          <w:kern w:val="0"/>
          <w:sz w:val="15"/>
          <w:szCs w:val="15"/>
          <w:lang w:val="en-US" w:eastAsia="zh-CN" w:bidi="ar"/>
        </w:rPr>
        <w:t>2</w:t>
      </w:r>
      <w:r>
        <w:rPr>
          <w:rFonts w:hint="eastAsia" w:ascii="宋体" w:hAnsi="宋体" w:eastAsia="宋体" w:cs="宋体"/>
          <w:color w:val="000000"/>
          <w:kern w:val="0"/>
          <w:sz w:val="24"/>
          <w:szCs w:val="24"/>
          <w:lang w:val="en-US" w:eastAsia="zh-CN" w:bidi="ar"/>
        </w:rPr>
        <w:t>回收系统吸附剂采用活性炭，每年更换一次，吸附剂填装量约为</w:t>
      </w:r>
      <w:r>
        <w:rPr>
          <w:rFonts w:hint="default" w:ascii="Times New Roman" w:hAnsi="Times New Roman" w:eastAsia="宋体" w:cs="Times New Roman"/>
          <w:color w:val="000000"/>
          <w:kern w:val="0"/>
          <w:sz w:val="24"/>
          <w:szCs w:val="24"/>
          <w:lang w:val="en-US" w:eastAsia="zh-CN" w:bidi="ar"/>
        </w:rPr>
        <w:t xml:space="preserve">0.5 </w:t>
      </w:r>
      <w:r>
        <w:rPr>
          <w:rFonts w:hint="eastAsia" w:ascii="宋体" w:hAnsi="宋体" w:eastAsia="宋体" w:cs="宋体"/>
          <w:color w:val="000000"/>
          <w:kern w:val="0"/>
          <w:sz w:val="24"/>
          <w:szCs w:val="24"/>
          <w:lang w:val="en-US" w:eastAsia="zh-CN" w:bidi="ar"/>
        </w:rPr>
        <w:t>吨，则废吸附剂（废活性炭）产生量为</w:t>
      </w:r>
      <w:r>
        <w:rPr>
          <w:rFonts w:hint="default" w:ascii="Times New Roman" w:hAnsi="Times New Roman" w:eastAsia="宋体" w:cs="Times New Roman"/>
          <w:color w:val="000000"/>
          <w:kern w:val="0"/>
          <w:sz w:val="24"/>
          <w:szCs w:val="24"/>
          <w:lang w:val="en-US" w:eastAsia="zh-CN" w:bidi="ar"/>
        </w:rPr>
        <w:t>0.5t/a</w:t>
      </w:r>
      <w:r>
        <w:rPr>
          <w:rFonts w:hint="eastAsia" w:ascii="宋体" w:hAnsi="宋体" w:eastAsia="宋体" w:cs="宋体"/>
          <w:color w:val="000000"/>
          <w:kern w:val="0"/>
          <w:sz w:val="24"/>
          <w:szCs w:val="24"/>
          <w:lang w:val="en-US" w:eastAsia="zh-CN" w:bidi="ar"/>
        </w:rPr>
        <w:t xml:space="preserve">。 </w:t>
      </w:r>
    </w:p>
    <w:p w14:paraId="6D1EDADF">
      <w:pPr>
        <w:keepNext w:val="0"/>
        <w:keepLines w:val="0"/>
        <w:widowControl/>
        <w:suppressLineNumbers w:val="0"/>
        <w:spacing w:line="360" w:lineRule="auto"/>
        <w:jc w:val="left"/>
      </w:pPr>
      <w:r>
        <w:rPr>
          <w:rFonts w:hint="eastAsia" w:ascii="宋体" w:hAnsi="宋体" w:eastAsia="宋体" w:cs="宋体"/>
          <w:color w:val="000000"/>
          <w:kern w:val="0"/>
          <w:sz w:val="24"/>
          <w:szCs w:val="24"/>
          <w:lang w:val="en-US" w:eastAsia="zh-CN" w:bidi="ar"/>
        </w:rPr>
        <w:t xml:space="preserve">项目 </w:t>
      </w:r>
      <w:r>
        <w:rPr>
          <w:rFonts w:hint="default" w:ascii="Times New Roman" w:hAnsi="Times New Roman" w:eastAsia="宋体" w:cs="Times New Roman"/>
          <w:color w:val="000000"/>
          <w:kern w:val="0"/>
          <w:sz w:val="24"/>
          <w:szCs w:val="24"/>
          <w:lang w:val="en-US" w:eastAsia="zh-CN" w:bidi="ar"/>
        </w:rPr>
        <w:t>CO</w:t>
      </w:r>
      <w:r>
        <w:rPr>
          <w:rFonts w:hint="default" w:ascii="Times New Roman" w:hAnsi="Times New Roman" w:eastAsia="宋体" w:cs="Times New Roman"/>
          <w:color w:val="000000"/>
          <w:kern w:val="0"/>
          <w:sz w:val="15"/>
          <w:szCs w:val="15"/>
          <w:lang w:val="en-US" w:eastAsia="zh-CN" w:bidi="ar"/>
        </w:rPr>
        <w:t>2</w:t>
      </w:r>
      <w:r>
        <w:rPr>
          <w:rFonts w:hint="eastAsia" w:ascii="宋体" w:hAnsi="宋体" w:eastAsia="宋体" w:cs="宋体"/>
          <w:color w:val="000000"/>
          <w:kern w:val="0"/>
          <w:sz w:val="24"/>
          <w:szCs w:val="24"/>
          <w:lang w:val="en-US" w:eastAsia="zh-CN" w:bidi="ar"/>
        </w:rPr>
        <w:t>回收系统采用分子筛干燥剂，</w:t>
      </w:r>
      <w:r>
        <w:rPr>
          <w:rFonts w:hint="eastAsia" w:ascii="宋体" w:hAnsi="宋体" w:cs="宋体"/>
          <w:color w:val="000000"/>
          <w:kern w:val="0"/>
          <w:sz w:val="24"/>
          <w:szCs w:val="24"/>
          <w:lang w:val="en-US" w:eastAsia="zh-CN" w:bidi="ar"/>
        </w:rPr>
        <w:t>分子筛</w:t>
      </w:r>
      <w:r>
        <w:rPr>
          <w:rFonts w:hint="eastAsia" w:ascii="宋体" w:hAnsi="宋体" w:eastAsia="宋体" w:cs="宋体"/>
          <w:color w:val="000000"/>
          <w:kern w:val="0"/>
          <w:sz w:val="24"/>
          <w:szCs w:val="24"/>
          <w:lang w:val="en-US" w:eastAsia="zh-CN" w:bidi="ar"/>
        </w:rPr>
        <w:t>是一种碱金属硅铝酸盐</w:t>
      </w:r>
      <w:r>
        <w:rPr>
          <w:rFonts w:hint="eastAsia" w:ascii="宋体" w:hAnsi="宋体" w:cs="宋体"/>
          <w:color w:val="000000"/>
          <w:kern w:val="0"/>
          <w:sz w:val="24"/>
          <w:szCs w:val="24"/>
          <w:lang w:val="en-US" w:eastAsia="zh-CN" w:bidi="ar"/>
        </w:rPr>
        <w:t>，具有立方晶格、微孔结构的白色粉末或颗粒，无味、无臭、无毒、无腐蚀性。</w:t>
      </w:r>
      <w:r>
        <w:rPr>
          <w:rFonts w:hint="eastAsia" w:ascii="宋体" w:hAnsi="宋体" w:eastAsia="宋体" w:cs="宋体"/>
          <w:color w:val="000000"/>
          <w:kern w:val="0"/>
          <w:sz w:val="24"/>
          <w:szCs w:val="24"/>
          <w:lang w:val="en-US" w:eastAsia="zh-CN" w:bidi="ar"/>
        </w:rPr>
        <w:t>每年更换一次，干燥剂填装量约为</w:t>
      </w:r>
      <w:r>
        <w:rPr>
          <w:rFonts w:hint="default" w:ascii="Times New Roman" w:hAnsi="Times New Roman" w:eastAsia="宋体" w:cs="Times New Roman"/>
          <w:color w:val="000000"/>
          <w:kern w:val="0"/>
          <w:sz w:val="24"/>
          <w:szCs w:val="24"/>
          <w:lang w:val="en-US" w:eastAsia="zh-CN" w:bidi="ar"/>
        </w:rPr>
        <w:t xml:space="preserve">0.5 </w:t>
      </w:r>
      <w:r>
        <w:rPr>
          <w:rFonts w:hint="eastAsia" w:ascii="宋体" w:hAnsi="宋体" w:eastAsia="宋体" w:cs="宋体"/>
          <w:color w:val="000000"/>
          <w:kern w:val="0"/>
          <w:sz w:val="24"/>
          <w:szCs w:val="24"/>
          <w:lang w:val="en-US" w:eastAsia="zh-CN" w:bidi="ar"/>
        </w:rPr>
        <w:t xml:space="preserve">吨，则废干燥剂产生量为 </w:t>
      </w:r>
      <w:r>
        <w:rPr>
          <w:rFonts w:hint="default" w:ascii="Times New Roman" w:hAnsi="Times New Roman" w:eastAsia="宋体" w:cs="Times New Roman"/>
          <w:color w:val="000000"/>
          <w:kern w:val="0"/>
          <w:sz w:val="24"/>
          <w:szCs w:val="24"/>
          <w:lang w:val="en-US" w:eastAsia="zh-CN" w:bidi="ar"/>
        </w:rPr>
        <w:t>0.5t/a</w:t>
      </w:r>
      <w:r>
        <w:rPr>
          <w:rFonts w:hint="eastAsia" w:ascii="宋体" w:hAnsi="宋体" w:eastAsia="宋体" w:cs="宋体"/>
          <w:color w:val="000000"/>
          <w:kern w:val="0"/>
          <w:sz w:val="24"/>
          <w:szCs w:val="24"/>
          <w:lang w:val="en-US" w:eastAsia="zh-CN" w:bidi="ar"/>
        </w:rPr>
        <w:t>。废分子筛和废活性炭属于一般固废，</w:t>
      </w: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r>
        <w:rPr>
          <w:rFonts w:hint="eastAsia" w:ascii="宋体" w:hAnsi="宋体" w:eastAsia="宋体" w:cs="宋体"/>
          <w:color w:val="000000"/>
          <w:kern w:val="0"/>
          <w:sz w:val="24"/>
          <w:szCs w:val="24"/>
          <w:lang w:val="en-US" w:eastAsia="zh-CN" w:bidi="ar"/>
        </w:rPr>
        <w:t>。</w:t>
      </w:r>
    </w:p>
    <w:p w14:paraId="0E89D6C6">
      <w:pPr>
        <w:spacing w:line="360" w:lineRule="auto"/>
        <w:rPr>
          <w:rFonts w:hint="eastAsia"/>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三、危险废物</w:t>
      </w:r>
    </w:p>
    <w:p w14:paraId="4856F2C9">
      <w:pPr>
        <w:spacing w:line="360" w:lineRule="auto"/>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1、废危化品包装材料</w:t>
      </w:r>
    </w:p>
    <w:p w14:paraId="378C0582">
      <w:pPr>
        <w:keepNext w:val="0"/>
        <w:keepLines w:val="0"/>
        <w:widowControl/>
        <w:suppressLineNumbers w:val="0"/>
        <w:jc w:val="left"/>
      </w:pPr>
      <w:r>
        <w:rPr>
          <w:rFonts w:hint="eastAsia" w:ascii="宋体" w:hAnsi="宋体" w:eastAsia="宋体" w:cs="宋体"/>
          <w:color w:val="000000"/>
          <w:kern w:val="0"/>
          <w:sz w:val="24"/>
          <w:szCs w:val="24"/>
          <w:lang w:val="en-US" w:eastAsia="zh-CN" w:bidi="ar"/>
        </w:rPr>
        <w:t xml:space="preserve">本项目使用的氢氧化钠、硝酸、过氧乙酸、盐酸等属于危化品，废危化品包装材料总重量约为 </w:t>
      </w:r>
      <w:r>
        <w:rPr>
          <w:rFonts w:hint="default" w:ascii="Times New Roman" w:hAnsi="Times New Roman" w:eastAsia="宋体" w:cs="Times New Roman"/>
          <w:color w:val="000000"/>
          <w:kern w:val="0"/>
          <w:sz w:val="24"/>
          <w:szCs w:val="24"/>
          <w:lang w:val="en-US" w:eastAsia="zh-CN" w:bidi="ar"/>
        </w:rPr>
        <w:t>0.5t/a</w:t>
      </w:r>
      <w:r>
        <w:rPr>
          <w:rFonts w:hint="eastAsia" w:ascii="宋体" w:hAnsi="宋体" w:eastAsia="宋体" w:cs="宋体"/>
          <w:color w:val="000000"/>
          <w:kern w:val="0"/>
          <w:sz w:val="24"/>
          <w:szCs w:val="24"/>
          <w:lang w:val="en-US" w:eastAsia="zh-CN" w:bidi="ar"/>
        </w:rPr>
        <w:t xml:space="preserve">。 </w:t>
      </w:r>
    </w:p>
    <w:p w14:paraId="578C8A0C">
      <w:pPr>
        <w:spacing w:line="360" w:lineRule="auto"/>
        <w:rPr>
          <w:color w:val="000000" w:themeColor="text1"/>
          <w14:textFill>
            <w14:solidFill>
              <w14:schemeClr w14:val="tx1"/>
            </w14:solidFill>
          </w14:textFill>
        </w:rPr>
      </w:pPr>
      <w:r>
        <w:rPr>
          <w:rFonts w:hint="eastAsia" w:ascii="宋体" w:hAnsi="宋体" w:eastAsia="宋体" w:cs="宋体"/>
          <w:color w:val="000000"/>
          <w:kern w:val="0"/>
          <w:sz w:val="24"/>
          <w:szCs w:val="24"/>
          <w:lang w:val="en-US" w:eastAsia="zh-CN" w:bidi="ar"/>
        </w:rPr>
        <w:t>根据《国家危险废物名录》（</w:t>
      </w:r>
      <w:r>
        <w:rPr>
          <w:rFonts w:hint="default" w:ascii="Times New Roman" w:hAnsi="Times New Roman" w:eastAsia="宋体" w:cs="Times New Roman"/>
          <w:color w:val="000000"/>
          <w:kern w:val="0"/>
          <w:sz w:val="24"/>
          <w:szCs w:val="24"/>
          <w:lang w:val="en-US" w:eastAsia="zh-CN" w:bidi="ar"/>
        </w:rPr>
        <w:t xml:space="preserve">2025 </w:t>
      </w:r>
      <w:r>
        <w:rPr>
          <w:rFonts w:hint="eastAsia" w:ascii="宋体" w:hAnsi="宋体" w:eastAsia="宋体" w:cs="宋体"/>
          <w:color w:val="000000"/>
          <w:kern w:val="0"/>
          <w:sz w:val="24"/>
          <w:szCs w:val="24"/>
          <w:lang w:val="en-US" w:eastAsia="zh-CN" w:bidi="ar"/>
        </w:rPr>
        <w:t xml:space="preserve">年版），废危化品包装材料属于危险废物，危废代码为 </w:t>
      </w:r>
      <w:r>
        <w:rPr>
          <w:rFonts w:hint="default" w:ascii="Times New Roman" w:hAnsi="Times New Roman" w:eastAsia="宋体" w:cs="Times New Roman"/>
          <w:color w:val="000000"/>
          <w:kern w:val="0"/>
          <w:sz w:val="24"/>
          <w:szCs w:val="24"/>
          <w:lang w:val="en-US" w:eastAsia="zh-CN" w:bidi="ar"/>
        </w:rPr>
        <w:t>900-041-49</w:t>
      </w:r>
      <w:r>
        <w:rPr>
          <w:rFonts w:hint="eastAsia" w:ascii="宋体" w:hAnsi="宋体" w:eastAsia="宋体" w:cs="宋体"/>
          <w:color w:val="000000"/>
          <w:kern w:val="0"/>
          <w:sz w:val="24"/>
          <w:szCs w:val="24"/>
          <w:lang w:val="en-US" w:eastAsia="zh-CN" w:bidi="ar"/>
        </w:rPr>
        <w:t>，</w:t>
      </w:r>
      <w:r>
        <w:rPr>
          <w:rFonts w:hint="eastAsia"/>
          <w:color w:val="000000" w:themeColor="text1"/>
          <w14:textFill>
            <w14:solidFill>
              <w14:schemeClr w14:val="tx1"/>
            </w14:solidFill>
          </w14:textFill>
        </w:rPr>
        <w:t>暂存于危险废物贮存点，定期委托有资质单位处置。</w:t>
      </w:r>
    </w:p>
    <w:p w14:paraId="55DD8D7F">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化验室废液</w:t>
      </w:r>
    </w:p>
    <w:p w14:paraId="6BEB3724">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本项目化验室废液产生量约为0.</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t/a，暂存于危险废物贮存点，定期委托有资质单位处置。</w:t>
      </w:r>
      <w:r>
        <w:rPr>
          <w:rFonts w:hint="eastAsia"/>
          <w:color w:val="000000" w:themeColor="text1"/>
          <w:lang w:val="en-US" w:eastAsia="zh-CN"/>
          <w14:textFill>
            <w14:solidFill>
              <w14:schemeClr w14:val="tx1"/>
            </w14:solidFill>
          </w14:textFill>
        </w:rPr>
        <w:t>根据《国家危险废物名录》（</w:t>
      </w:r>
      <w:r>
        <w:rPr>
          <w:rFonts w:hint="default"/>
          <w:color w:val="000000" w:themeColor="text1"/>
          <w:lang w:val="en-US" w:eastAsia="zh-CN"/>
          <w14:textFill>
            <w14:solidFill>
              <w14:schemeClr w14:val="tx1"/>
            </w14:solidFill>
          </w14:textFill>
        </w:rPr>
        <w:t xml:space="preserve">2025 </w:t>
      </w:r>
      <w:r>
        <w:rPr>
          <w:rFonts w:hint="eastAsia"/>
          <w:color w:val="000000" w:themeColor="text1"/>
          <w:lang w:val="en-US" w:eastAsia="zh-CN"/>
          <w14:textFill>
            <w14:solidFill>
              <w14:schemeClr w14:val="tx1"/>
            </w14:solidFill>
          </w14:textFill>
        </w:rPr>
        <w:t xml:space="preserve">年版），废危化品包装材料属于危险废物，危废代码为 </w:t>
      </w:r>
      <w:r>
        <w:rPr>
          <w:rFonts w:hint="default"/>
          <w:color w:val="000000" w:themeColor="text1"/>
          <w:lang w:val="en-US" w:eastAsia="zh-CN"/>
          <w14:textFill>
            <w14:solidFill>
              <w14:schemeClr w14:val="tx1"/>
            </w14:solidFill>
          </w14:textFill>
        </w:rPr>
        <w:t>900-04</w:t>
      </w:r>
      <w:r>
        <w:rPr>
          <w:rFonts w:hint="eastAsia"/>
          <w:color w:val="000000" w:themeColor="text1"/>
          <w:lang w:val="en-US" w:eastAsia="zh-CN"/>
          <w14:textFill>
            <w14:solidFill>
              <w14:schemeClr w14:val="tx1"/>
            </w14:solidFill>
          </w14:textFill>
        </w:rPr>
        <w:t>7</w:t>
      </w:r>
      <w:r>
        <w:rPr>
          <w:rFonts w:hint="default"/>
          <w:color w:val="000000" w:themeColor="text1"/>
          <w:lang w:val="en-US" w:eastAsia="zh-CN"/>
          <w14:textFill>
            <w14:solidFill>
              <w14:schemeClr w14:val="tx1"/>
            </w14:solidFill>
          </w14:textFill>
        </w:rPr>
        <w:t>-49</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暂存于危险废物贮存点，定期委托有资质单位处置。</w:t>
      </w:r>
    </w:p>
    <w:p w14:paraId="170E22A4">
      <w:pPr>
        <w:spacing w:line="360" w:lineRule="auto"/>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3、废机油</w:t>
      </w:r>
    </w:p>
    <w:p w14:paraId="01CDB7E0">
      <w:pPr>
        <w:keepNext w:val="0"/>
        <w:keepLines w:val="0"/>
        <w:widowControl/>
        <w:suppressLineNumbers w:val="0"/>
        <w:jc w:val="both"/>
      </w:pPr>
      <w:r>
        <w:rPr>
          <w:rFonts w:hint="eastAsia" w:ascii="宋体" w:hAnsi="宋体" w:eastAsia="宋体" w:cs="宋体"/>
          <w:color w:val="000000"/>
          <w:kern w:val="0"/>
          <w:sz w:val="24"/>
          <w:szCs w:val="24"/>
          <w:lang w:val="en-US" w:eastAsia="zh-CN" w:bidi="ar"/>
        </w:rPr>
        <w:t xml:space="preserve">本项目在设备维修保养过程中会产生废机油。本项目机油年用量为 </w:t>
      </w:r>
      <w:r>
        <w:rPr>
          <w:rFonts w:hint="default" w:ascii="Times New Roman" w:hAnsi="Times New Roman" w:eastAsia="宋体" w:cs="Times New Roman"/>
          <w:color w:val="000000"/>
          <w:kern w:val="0"/>
          <w:sz w:val="24"/>
          <w:szCs w:val="24"/>
          <w:lang w:val="en-US" w:eastAsia="zh-CN" w:bidi="ar"/>
        </w:rPr>
        <w:t>1t/a</w:t>
      </w:r>
      <w:r>
        <w:rPr>
          <w:rFonts w:hint="eastAsia" w:ascii="宋体" w:hAnsi="宋体" w:eastAsia="宋体" w:cs="宋体"/>
          <w:color w:val="000000"/>
          <w:kern w:val="0"/>
          <w:sz w:val="24"/>
          <w:szCs w:val="24"/>
          <w:lang w:val="en-US" w:eastAsia="zh-CN" w:bidi="ar"/>
        </w:rPr>
        <w:t xml:space="preserve">，废机油产生率为 </w:t>
      </w:r>
      <w:r>
        <w:rPr>
          <w:rFonts w:hint="default" w:ascii="Times New Roman" w:hAnsi="Times New Roman" w:eastAsia="宋体" w:cs="Times New Roman"/>
          <w:color w:val="000000"/>
          <w:kern w:val="0"/>
          <w:sz w:val="24"/>
          <w:szCs w:val="24"/>
          <w:lang w:val="en-US" w:eastAsia="zh-CN" w:bidi="ar"/>
        </w:rPr>
        <w:t>80%</w:t>
      </w:r>
      <w:r>
        <w:rPr>
          <w:rFonts w:hint="eastAsia" w:ascii="宋体" w:hAnsi="宋体" w:eastAsia="宋体" w:cs="宋体"/>
          <w:color w:val="000000"/>
          <w:kern w:val="0"/>
          <w:sz w:val="24"/>
          <w:szCs w:val="24"/>
          <w:lang w:val="en-US" w:eastAsia="zh-CN" w:bidi="ar"/>
        </w:rPr>
        <w:t xml:space="preserve">，则废机油产生量约为 </w:t>
      </w:r>
      <w:r>
        <w:rPr>
          <w:rFonts w:hint="default" w:ascii="Times New Roman" w:hAnsi="Times New Roman" w:eastAsia="宋体" w:cs="Times New Roman"/>
          <w:color w:val="000000"/>
          <w:kern w:val="0"/>
          <w:sz w:val="24"/>
          <w:szCs w:val="24"/>
          <w:lang w:val="en-US" w:eastAsia="zh-CN" w:bidi="ar"/>
        </w:rPr>
        <w:t>0.8t/a</w:t>
      </w:r>
      <w:r>
        <w:rPr>
          <w:rFonts w:hint="eastAsia" w:ascii="宋体" w:hAnsi="宋体" w:eastAsia="宋体" w:cs="宋体"/>
          <w:color w:val="000000"/>
          <w:kern w:val="0"/>
          <w:sz w:val="24"/>
          <w:szCs w:val="24"/>
          <w:lang w:val="en-US" w:eastAsia="zh-CN" w:bidi="ar"/>
        </w:rPr>
        <w:t xml:space="preserve">。 </w:t>
      </w:r>
    </w:p>
    <w:p w14:paraId="40D7DC2A">
      <w:pPr>
        <w:spacing w:line="360" w:lineRule="auto"/>
        <w:rPr>
          <w:color w:val="000000" w:themeColor="text1"/>
          <w14:textFill>
            <w14:solidFill>
              <w14:schemeClr w14:val="tx1"/>
            </w14:solidFill>
          </w14:textFill>
        </w:rPr>
      </w:pPr>
      <w:r>
        <w:rPr>
          <w:rFonts w:hint="eastAsia" w:ascii="宋体" w:hAnsi="宋体" w:eastAsia="宋体" w:cs="宋体"/>
          <w:color w:val="000000"/>
          <w:kern w:val="0"/>
          <w:sz w:val="24"/>
          <w:szCs w:val="24"/>
          <w:lang w:val="en-US" w:eastAsia="zh-CN" w:bidi="ar"/>
        </w:rPr>
        <w:t>根据《国家危险废物名录》（</w:t>
      </w:r>
      <w:r>
        <w:rPr>
          <w:rFonts w:hint="default" w:ascii="Times New Roman" w:hAnsi="Times New Roman" w:eastAsia="宋体" w:cs="Times New Roman"/>
          <w:color w:val="000000"/>
          <w:kern w:val="0"/>
          <w:sz w:val="24"/>
          <w:szCs w:val="24"/>
          <w:lang w:val="en-US" w:eastAsia="zh-CN" w:bidi="ar"/>
        </w:rPr>
        <w:t xml:space="preserve">2025 </w:t>
      </w:r>
      <w:r>
        <w:rPr>
          <w:rFonts w:hint="eastAsia" w:ascii="宋体" w:hAnsi="宋体" w:eastAsia="宋体" w:cs="宋体"/>
          <w:color w:val="000000"/>
          <w:kern w:val="0"/>
          <w:sz w:val="24"/>
          <w:szCs w:val="24"/>
          <w:lang w:val="en-US" w:eastAsia="zh-CN" w:bidi="ar"/>
        </w:rPr>
        <w:t xml:space="preserve">年版），废机油属于危险废物，危废代码为 </w:t>
      </w:r>
      <w:r>
        <w:rPr>
          <w:rFonts w:hint="default" w:ascii="Times New Roman" w:hAnsi="Times New Roman" w:eastAsia="宋体" w:cs="Times New Roman"/>
          <w:color w:val="000000"/>
          <w:kern w:val="0"/>
          <w:sz w:val="24"/>
          <w:szCs w:val="24"/>
          <w:lang w:val="en-US" w:eastAsia="zh-CN" w:bidi="ar"/>
        </w:rPr>
        <w:t>900-2</w:t>
      </w:r>
      <w:r>
        <w:rPr>
          <w:rFonts w:hint="eastAsia" w:cs="Times New Roman"/>
          <w:color w:val="000000"/>
          <w:kern w:val="0"/>
          <w:sz w:val="24"/>
          <w:szCs w:val="24"/>
          <w:lang w:val="en-US" w:eastAsia="zh-CN" w:bidi="ar"/>
        </w:rPr>
        <w:t>14</w:t>
      </w:r>
      <w:r>
        <w:rPr>
          <w:rFonts w:hint="default" w:ascii="Times New Roman" w:hAnsi="Times New Roman" w:eastAsia="宋体" w:cs="Times New Roman"/>
          <w:color w:val="000000"/>
          <w:kern w:val="0"/>
          <w:sz w:val="24"/>
          <w:szCs w:val="24"/>
          <w:lang w:val="en-US" w:eastAsia="zh-CN" w:bidi="ar"/>
        </w:rPr>
        <w:t>-08</w:t>
      </w:r>
      <w:r>
        <w:rPr>
          <w:rFonts w:hint="eastAsia" w:ascii="宋体" w:hAnsi="宋体" w:eastAsia="宋体" w:cs="宋体"/>
          <w:color w:val="000000"/>
          <w:kern w:val="0"/>
          <w:sz w:val="24"/>
          <w:szCs w:val="24"/>
          <w:lang w:val="en-US" w:eastAsia="zh-CN" w:bidi="ar"/>
        </w:rPr>
        <w:t>，</w:t>
      </w:r>
      <w:r>
        <w:rPr>
          <w:rFonts w:hint="eastAsia"/>
          <w:color w:val="000000" w:themeColor="text1"/>
          <w14:textFill>
            <w14:solidFill>
              <w14:schemeClr w14:val="tx1"/>
            </w14:solidFill>
          </w14:textFill>
        </w:rPr>
        <w:t>暂存于危险废物贮存点，定期委托有资质单位处置。</w:t>
      </w:r>
    </w:p>
    <w:p w14:paraId="588B6619">
      <w:pPr>
        <w:numPr>
          <w:ilvl w:val="0"/>
          <w:numId w:val="11"/>
        </w:numPr>
        <w:spacing w:line="360" w:lineRule="auto"/>
        <w:ind w:left="0" w:leftChars="0" w:firstLine="480" w:firstLine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废机油桶</w:t>
      </w:r>
    </w:p>
    <w:p w14:paraId="27BDB5CC">
      <w:pPr>
        <w:keepNext w:val="0"/>
        <w:keepLines w:val="0"/>
        <w:widowControl/>
        <w:suppressLineNumbers w:val="0"/>
        <w:jc w:val="both"/>
      </w:pPr>
      <w:r>
        <w:rPr>
          <w:rFonts w:hint="eastAsia" w:ascii="宋体" w:hAnsi="宋体" w:eastAsia="宋体" w:cs="宋体"/>
          <w:color w:val="000000"/>
          <w:kern w:val="0"/>
          <w:sz w:val="24"/>
          <w:szCs w:val="24"/>
          <w:lang w:val="en-US" w:eastAsia="zh-CN" w:bidi="ar"/>
        </w:rPr>
        <w:t xml:space="preserve">机油使用完后将产生一定量的废机油桶（铁质桶），有害成分为废矿物油。企业年用机油 </w:t>
      </w:r>
      <w:r>
        <w:rPr>
          <w:rFonts w:hint="default" w:ascii="Times New Roman" w:hAnsi="Times New Roman" w:eastAsia="宋体" w:cs="Times New Roman"/>
          <w:color w:val="000000"/>
          <w:kern w:val="0"/>
          <w:sz w:val="24"/>
          <w:szCs w:val="24"/>
          <w:lang w:val="en-US" w:eastAsia="zh-CN" w:bidi="ar"/>
        </w:rPr>
        <w:t>1t/a</w:t>
      </w:r>
      <w:r>
        <w:rPr>
          <w:rFonts w:hint="eastAsia" w:ascii="宋体" w:hAnsi="宋体" w:eastAsia="宋体" w:cs="宋体"/>
          <w:color w:val="000000"/>
          <w:kern w:val="0"/>
          <w:sz w:val="24"/>
          <w:szCs w:val="24"/>
          <w:lang w:val="en-US" w:eastAsia="zh-CN" w:bidi="ar"/>
        </w:rPr>
        <w:t xml:space="preserve">，包装规格为 </w:t>
      </w:r>
      <w:r>
        <w:rPr>
          <w:rFonts w:hint="default" w:ascii="Times New Roman" w:hAnsi="Times New Roman" w:eastAsia="宋体" w:cs="Times New Roman"/>
          <w:color w:val="000000"/>
          <w:kern w:val="0"/>
          <w:sz w:val="24"/>
          <w:szCs w:val="24"/>
          <w:lang w:val="en-US" w:eastAsia="zh-CN" w:bidi="ar"/>
        </w:rPr>
        <w:t>200kg/</w:t>
      </w:r>
      <w:r>
        <w:rPr>
          <w:rFonts w:hint="eastAsia" w:ascii="宋体" w:hAnsi="宋体" w:eastAsia="宋体" w:cs="宋体"/>
          <w:color w:val="000000"/>
          <w:kern w:val="0"/>
          <w:sz w:val="24"/>
          <w:szCs w:val="24"/>
          <w:lang w:val="en-US" w:eastAsia="zh-CN" w:bidi="ar"/>
        </w:rPr>
        <w:t xml:space="preserve">桶，则年产生废机油桶 </w:t>
      </w:r>
      <w:r>
        <w:rPr>
          <w:rFonts w:hint="default" w:ascii="Times New Roman" w:hAnsi="Times New Roman" w:eastAsia="宋体" w:cs="Times New Roman"/>
          <w:color w:val="000000"/>
          <w:kern w:val="0"/>
          <w:sz w:val="24"/>
          <w:szCs w:val="24"/>
          <w:lang w:val="en-US" w:eastAsia="zh-CN" w:bidi="ar"/>
        </w:rPr>
        <w:t xml:space="preserve">5 </w:t>
      </w:r>
      <w:r>
        <w:rPr>
          <w:rFonts w:hint="eastAsia" w:ascii="宋体" w:hAnsi="宋体" w:eastAsia="宋体" w:cs="宋体"/>
          <w:color w:val="000000"/>
          <w:kern w:val="0"/>
          <w:sz w:val="24"/>
          <w:szCs w:val="24"/>
          <w:lang w:val="en-US" w:eastAsia="zh-CN" w:bidi="ar"/>
        </w:rPr>
        <w:t xml:space="preserve">个，单个油桶约重 </w:t>
      </w:r>
      <w:r>
        <w:rPr>
          <w:rFonts w:hint="default" w:ascii="Times New Roman" w:hAnsi="Times New Roman" w:eastAsia="宋体" w:cs="Times New Roman"/>
          <w:color w:val="000000"/>
          <w:kern w:val="0"/>
          <w:sz w:val="24"/>
          <w:szCs w:val="24"/>
          <w:lang w:val="en-US" w:eastAsia="zh-CN" w:bidi="ar"/>
        </w:rPr>
        <w:t>20kg</w:t>
      </w:r>
      <w:r>
        <w:rPr>
          <w:rFonts w:hint="eastAsia" w:ascii="宋体" w:hAnsi="宋体" w:eastAsia="宋体" w:cs="宋体"/>
          <w:color w:val="000000"/>
          <w:kern w:val="0"/>
          <w:sz w:val="24"/>
          <w:szCs w:val="24"/>
          <w:lang w:val="en-US" w:eastAsia="zh-CN" w:bidi="ar"/>
        </w:rPr>
        <w:t xml:space="preserve">，年产生废机油桶 </w:t>
      </w:r>
      <w:r>
        <w:rPr>
          <w:rFonts w:hint="default" w:ascii="Times New Roman" w:hAnsi="Times New Roman" w:eastAsia="宋体" w:cs="Times New Roman"/>
          <w:color w:val="000000"/>
          <w:kern w:val="0"/>
          <w:sz w:val="24"/>
          <w:szCs w:val="24"/>
          <w:lang w:val="en-US" w:eastAsia="zh-CN" w:bidi="ar"/>
        </w:rPr>
        <w:t>0.1t/a</w:t>
      </w:r>
      <w:r>
        <w:rPr>
          <w:rFonts w:hint="eastAsia" w:ascii="宋体" w:hAnsi="宋体" w:eastAsia="宋体" w:cs="宋体"/>
          <w:color w:val="000000"/>
          <w:kern w:val="0"/>
          <w:sz w:val="24"/>
          <w:szCs w:val="24"/>
          <w:lang w:val="en-US" w:eastAsia="zh-CN" w:bidi="ar"/>
        </w:rPr>
        <w:t xml:space="preserve">。 </w:t>
      </w:r>
    </w:p>
    <w:p w14:paraId="481C802D">
      <w:pPr>
        <w:keepNext w:val="0"/>
        <w:keepLines w:val="0"/>
        <w:widowControl/>
        <w:suppressLineNumbers w:val="0"/>
        <w:jc w:val="left"/>
      </w:pPr>
      <w:r>
        <w:rPr>
          <w:rFonts w:hint="eastAsia" w:ascii="宋体" w:hAnsi="宋体" w:eastAsia="宋体" w:cs="宋体"/>
          <w:color w:val="000000"/>
          <w:kern w:val="0"/>
          <w:sz w:val="24"/>
          <w:szCs w:val="24"/>
          <w:lang w:val="en-US" w:eastAsia="zh-CN" w:bidi="ar"/>
        </w:rPr>
        <w:t>根据《国家危险废物名录》（</w:t>
      </w:r>
      <w:r>
        <w:rPr>
          <w:rFonts w:hint="default" w:ascii="Times New Roman" w:hAnsi="Times New Roman" w:eastAsia="宋体" w:cs="Times New Roman"/>
          <w:color w:val="000000"/>
          <w:kern w:val="0"/>
          <w:sz w:val="24"/>
          <w:szCs w:val="24"/>
          <w:lang w:val="en-US" w:eastAsia="zh-CN" w:bidi="ar"/>
        </w:rPr>
        <w:t xml:space="preserve">2025 </w:t>
      </w:r>
      <w:r>
        <w:rPr>
          <w:rFonts w:hint="eastAsia" w:ascii="宋体" w:hAnsi="宋体" w:eastAsia="宋体" w:cs="宋体"/>
          <w:color w:val="000000"/>
          <w:kern w:val="0"/>
          <w:sz w:val="24"/>
          <w:szCs w:val="24"/>
          <w:lang w:val="en-US" w:eastAsia="zh-CN" w:bidi="ar"/>
        </w:rPr>
        <w:t xml:space="preserve">年版），废机油桶属于危险废物，危废代码为 </w:t>
      </w:r>
      <w:r>
        <w:rPr>
          <w:rFonts w:hint="default" w:ascii="Times New Roman" w:hAnsi="Times New Roman" w:eastAsia="宋体" w:cs="Times New Roman"/>
          <w:color w:val="000000"/>
          <w:kern w:val="0"/>
          <w:sz w:val="24"/>
          <w:szCs w:val="24"/>
          <w:lang w:val="en-US" w:eastAsia="zh-CN" w:bidi="ar"/>
        </w:rPr>
        <w:t>900-249-08</w:t>
      </w:r>
      <w:r>
        <w:rPr>
          <w:rFonts w:hint="eastAsia" w:ascii="宋体" w:hAnsi="宋体" w:eastAsia="宋体" w:cs="宋体"/>
          <w:color w:val="000000"/>
          <w:kern w:val="0"/>
          <w:sz w:val="24"/>
          <w:szCs w:val="24"/>
          <w:lang w:val="en-US" w:eastAsia="zh-CN" w:bidi="ar"/>
        </w:rPr>
        <w:t>，</w:t>
      </w:r>
      <w:r>
        <w:rPr>
          <w:rFonts w:hint="eastAsia"/>
          <w:color w:val="000000" w:themeColor="text1"/>
          <w14:textFill>
            <w14:solidFill>
              <w14:schemeClr w14:val="tx1"/>
            </w14:solidFill>
          </w14:textFill>
        </w:rPr>
        <w:t>暂存于危险废物贮存点，定期委托有资质单位处置</w:t>
      </w:r>
      <w:r>
        <w:rPr>
          <w:rFonts w:hint="eastAsia" w:ascii="宋体" w:hAnsi="宋体" w:eastAsia="宋体" w:cs="宋体"/>
          <w:color w:val="000000"/>
          <w:kern w:val="0"/>
          <w:sz w:val="24"/>
          <w:szCs w:val="24"/>
          <w:lang w:val="en-US" w:eastAsia="zh-CN" w:bidi="ar"/>
        </w:rPr>
        <w:t>。</w:t>
      </w:r>
    </w:p>
    <w:p w14:paraId="29ECA12A">
      <w:pPr>
        <w:spacing w:line="360" w:lineRule="auto"/>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5、废含油抹布手套</w:t>
      </w:r>
    </w:p>
    <w:p w14:paraId="5E89DEEB">
      <w:pPr>
        <w:keepNext w:val="0"/>
        <w:keepLines w:val="0"/>
        <w:widowControl/>
        <w:suppressLineNumbers w:val="0"/>
        <w:jc w:val="left"/>
      </w:pPr>
      <w:r>
        <w:rPr>
          <w:rFonts w:hint="eastAsia" w:ascii="宋体" w:hAnsi="宋体" w:eastAsia="宋体" w:cs="宋体"/>
          <w:color w:val="000000"/>
          <w:kern w:val="0"/>
          <w:sz w:val="24"/>
          <w:szCs w:val="24"/>
          <w:lang w:val="en-US" w:eastAsia="zh-CN" w:bidi="ar"/>
        </w:rPr>
        <w:t xml:space="preserve">本项目在设备维修和保养过程将产生一定量的含机油抹布手套，年产生量约为 </w:t>
      </w:r>
      <w:r>
        <w:rPr>
          <w:rFonts w:hint="default" w:ascii="Times New Roman" w:hAnsi="Times New Roman" w:eastAsia="宋体" w:cs="Times New Roman"/>
          <w:color w:val="000000"/>
          <w:kern w:val="0"/>
          <w:sz w:val="24"/>
          <w:szCs w:val="24"/>
          <w:lang w:val="en-US" w:eastAsia="zh-CN" w:bidi="ar"/>
        </w:rPr>
        <w:t>0.2t/a</w:t>
      </w:r>
      <w:r>
        <w:rPr>
          <w:rFonts w:hint="eastAsia" w:ascii="宋体" w:hAnsi="宋体" w:eastAsia="宋体" w:cs="宋体"/>
          <w:color w:val="000000"/>
          <w:kern w:val="0"/>
          <w:sz w:val="24"/>
          <w:szCs w:val="24"/>
          <w:lang w:val="en-US" w:eastAsia="zh-CN" w:bidi="ar"/>
        </w:rPr>
        <w:t xml:space="preserve">。 </w:t>
      </w:r>
    </w:p>
    <w:p w14:paraId="6C4D63B4">
      <w:pPr>
        <w:keepNext w:val="0"/>
        <w:keepLines w:val="0"/>
        <w:widowControl/>
        <w:suppressLineNumbers w:val="0"/>
        <w:jc w:val="left"/>
      </w:pPr>
      <w:r>
        <w:rPr>
          <w:rFonts w:hint="eastAsia" w:ascii="宋体" w:hAnsi="宋体" w:eastAsia="宋体" w:cs="宋体"/>
          <w:color w:val="000000"/>
          <w:kern w:val="0"/>
          <w:sz w:val="24"/>
          <w:szCs w:val="24"/>
          <w:lang w:val="en-US" w:eastAsia="zh-CN" w:bidi="ar"/>
        </w:rPr>
        <w:t>根据《国家危险废物名录》（</w:t>
      </w:r>
      <w:r>
        <w:rPr>
          <w:rFonts w:hint="default" w:ascii="Times New Roman" w:hAnsi="Times New Roman" w:eastAsia="宋体" w:cs="Times New Roman"/>
          <w:color w:val="000000"/>
          <w:kern w:val="0"/>
          <w:sz w:val="24"/>
          <w:szCs w:val="24"/>
          <w:lang w:val="en-US" w:eastAsia="zh-CN" w:bidi="ar"/>
        </w:rPr>
        <w:t xml:space="preserve">2025 </w:t>
      </w:r>
      <w:r>
        <w:rPr>
          <w:rFonts w:hint="eastAsia" w:ascii="宋体" w:hAnsi="宋体" w:eastAsia="宋体" w:cs="宋体"/>
          <w:color w:val="000000"/>
          <w:kern w:val="0"/>
          <w:sz w:val="24"/>
          <w:szCs w:val="24"/>
          <w:lang w:val="en-US" w:eastAsia="zh-CN" w:bidi="ar"/>
        </w:rPr>
        <w:t xml:space="preserve">年版），废含油抹布手套属于危险废物，危废代码为 </w:t>
      </w:r>
      <w:r>
        <w:rPr>
          <w:rFonts w:hint="default" w:ascii="Times New Roman" w:hAnsi="Times New Roman" w:eastAsia="宋体" w:cs="Times New Roman"/>
          <w:color w:val="000000"/>
          <w:kern w:val="0"/>
          <w:sz w:val="24"/>
          <w:szCs w:val="24"/>
          <w:lang w:val="en-US" w:eastAsia="zh-CN" w:bidi="ar"/>
        </w:rPr>
        <w:t>900</w:t>
      </w:r>
      <w:r>
        <w:rPr>
          <w:rFonts w:hint="eastAsia" w:cs="Times New Roman"/>
          <w:color w:val="000000"/>
          <w:kern w:val="0"/>
          <w:sz w:val="24"/>
          <w:szCs w:val="24"/>
          <w:lang w:val="en-US" w:eastAsia="zh-CN" w:bidi="ar"/>
        </w:rPr>
        <w:t>-249-08</w:t>
      </w:r>
      <w:r>
        <w:rPr>
          <w:rFonts w:hint="eastAsia" w:ascii="宋体" w:hAnsi="宋体" w:eastAsia="宋体" w:cs="宋体"/>
          <w:color w:val="000000"/>
          <w:kern w:val="0"/>
          <w:sz w:val="24"/>
          <w:szCs w:val="24"/>
          <w:lang w:val="en-US" w:eastAsia="zh-CN" w:bidi="ar"/>
        </w:rPr>
        <w:t>，</w:t>
      </w:r>
      <w:r>
        <w:rPr>
          <w:rFonts w:hint="eastAsia"/>
          <w:color w:val="000000" w:themeColor="text1"/>
          <w14:textFill>
            <w14:solidFill>
              <w14:schemeClr w14:val="tx1"/>
            </w14:solidFill>
          </w14:textFill>
        </w:rPr>
        <w:t>暂存于危险废物贮存点，定期委托有资质单位处置</w:t>
      </w:r>
      <w:r>
        <w:rPr>
          <w:rFonts w:hint="eastAsia" w:ascii="宋体" w:hAnsi="宋体" w:eastAsia="宋体" w:cs="宋体"/>
          <w:color w:val="000000"/>
          <w:kern w:val="0"/>
          <w:sz w:val="24"/>
          <w:szCs w:val="24"/>
          <w:lang w:val="en-US" w:eastAsia="zh-CN" w:bidi="ar"/>
        </w:rPr>
        <w:t>。</w:t>
      </w:r>
    </w:p>
    <w:p w14:paraId="4E0D47A2">
      <w:pPr>
        <w:spacing w:line="360" w:lineRule="auto"/>
        <w:rPr>
          <w:color w:val="000000" w:themeColor="text1"/>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color w:val="000000" w:themeColor="text1"/>
          <w14:textFill>
            <w14:solidFill>
              <w14:schemeClr w14:val="tx1"/>
            </w14:solidFill>
          </w14:textFill>
        </w:rPr>
        <w:t>综上，本</w:t>
      </w:r>
      <w:r>
        <w:rPr>
          <w:color w:val="000000" w:themeColor="text1"/>
          <w14:textFill>
            <w14:solidFill>
              <w14:schemeClr w14:val="tx1"/>
            </w14:solidFill>
          </w14:textFill>
        </w:rPr>
        <w:t>项目固废产生及处置情况一览表</w:t>
      </w:r>
      <w:r>
        <w:rPr>
          <w:rFonts w:hint="eastAsia"/>
          <w:color w:val="000000" w:themeColor="text1"/>
          <w14:textFill>
            <w14:solidFill>
              <w14:schemeClr w14:val="tx1"/>
            </w14:solidFill>
          </w14:textFill>
        </w:rPr>
        <w:t>详见下表。</w:t>
      </w:r>
    </w:p>
    <w:p w14:paraId="696DC3C5">
      <w:pPr>
        <w:pStyle w:val="206"/>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表3</w:t>
      </w:r>
      <w:r>
        <w:rPr>
          <w:color w:val="000000" w:themeColor="text1"/>
          <w:highlight w:val="none"/>
          <w14:textFill>
            <w14:solidFill>
              <w14:schemeClr w14:val="tx1"/>
            </w14:solidFill>
          </w14:textFill>
        </w:rPr>
        <w:t>-6-1</w:t>
      </w:r>
      <w:r>
        <w:rPr>
          <w:rFonts w:hint="eastAsia"/>
          <w:color w:val="000000" w:themeColor="text1"/>
          <w:highlight w:val="none"/>
          <w:lang w:val="en-US" w:eastAsia="zh-CN"/>
          <w14:textFill>
            <w14:solidFill>
              <w14:schemeClr w14:val="tx1"/>
            </w14:solidFill>
          </w14:textFill>
        </w:rPr>
        <w:t>1</w:t>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本项目固废产生及处置情况一览表</w:t>
      </w:r>
    </w:p>
    <w:tbl>
      <w:tblPr>
        <w:tblStyle w:val="418"/>
        <w:tblW w:w="484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362"/>
        <w:gridCol w:w="1059"/>
        <w:gridCol w:w="1313"/>
        <w:gridCol w:w="931"/>
        <w:gridCol w:w="1172"/>
        <w:gridCol w:w="926"/>
        <w:gridCol w:w="4226"/>
        <w:gridCol w:w="1275"/>
      </w:tblGrid>
      <w:tr w14:paraId="4359A3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Merge w:val="restart"/>
            <w:vAlign w:val="center"/>
          </w:tcPr>
          <w:p w14:paraId="6833D19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工序/生产线</w:t>
            </w:r>
          </w:p>
        </w:tc>
        <w:tc>
          <w:tcPr>
            <w:tcW w:w="503" w:type="pct"/>
            <w:vMerge w:val="restart"/>
            <w:vAlign w:val="center"/>
          </w:tcPr>
          <w:p w14:paraId="26FC32A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装置</w:t>
            </w:r>
          </w:p>
        </w:tc>
        <w:tc>
          <w:tcPr>
            <w:tcW w:w="391" w:type="pct"/>
            <w:vMerge w:val="restart"/>
            <w:vAlign w:val="center"/>
          </w:tcPr>
          <w:p w14:paraId="342FC4E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固体废物名称</w:t>
            </w:r>
          </w:p>
        </w:tc>
        <w:tc>
          <w:tcPr>
            <w:tcW w:w="485" w:type="pct"/>
            <w:vMerge w:val="restart"/>
            <w:vAlign w:val="center"/>
          </w:tcPr>
          <w:p w14:paraId="0B5C8DBD">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固废代码</w:t>
            </w:r>
          </w:p>
        </w:tc>
        <w:tc>
          <w:tcPr>
            <w:tcW w:w="344" w:type="pct"/>
            <w:vMerge w:val="restart"/>
            <w:vAlign w:val="center"/>
          </w:tcPr>
          <w:p w14:paraId="27A1870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固废属性</w:t>
            </w:r>
          </w:p>
        </w:tc>
        <w:tc>
          <w:tcPr>
            <w:tcW w:w="775" w:type="pct"/>
            <w:gridSpan w:val="2"/>
            <w:vAlign w:val="center"/>
          </w:tcPr>
          <w:p w14:paraId="7AC6828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产生量</w:t>
            </w:r>
          </w:p>
        </w:tc>
        <w:tc>
          <w:tcPr>
            <w:tcW w:w="2032" w:type="pct"/>
            <w:gridSpan w:val="2"/>
            <w:vAlign w:val="center"/>
          </w:tcPr>
          <w:p w14:paraId="2C89F3C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处置措施</w:t>
            </w:r>
          </w:p>
        </w:tc>
      </w:tr>
      <w:tr w14:paraId="3E6330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Merge w:val="continue"/>
            <w:vAlign w:val="center"/>
          </w:tcPr>
          <w:p w14:paraId="60D33B24">
            <w:pPr>
              <w:pStyle w:val="143"/>
              <w:rPr>
                <w:bCs/>
                <w:snapToGrid w:val="0"/>
                <w:color w:val="000000" w:themeColor="text1"/>
                <w:kern w:val="0"/>
                <w14:textFill>
                  <w14:solidFill>
                    <w14:schemeClr w14:val="tx1"/>
                  </w14:solidFill>
                </w14:textFill>
              </w:rPr>
            </w:pPr>
          </w:p>
        </w:tc>
        <w:tc>
          <w:tcPr>
            <w:tcW w:w="503" w:type="pct"/>
            <w:vMerge w:val="continue"/>
            <w:vAlign w:val="center"/>
          </w:tcPr>
          <w:p w14:paraId="2290C958">
            <w:pPr>
              <w:pStyle w:val="143"/>
              <w:rPr>
                <w:bCs/>
                <w:snapToGrid w:val="0"/>
                <w:color w:val="000000" w:themeColor="text1"/>
                <w:kern w:val="0"/>
                <w14:textFill>
                  <w14:solidFill>
                    <w14:schemeClr w14:val="tx1"/>
                  </w14:solidFill>
                </w14:textFill>
              </w:rPr>
            </w:pPr>
          </w:p>
        </w:tc>
        <w:tc>
          <w:tcPr>
            <w:tcW w:w="391" w:type="pct"/>
            <w:vMerge w:val="continue"/>
            <w:vAlign w:val="center"/>
          </w:tcPr>
          <w:p w14:paraId="2788F2B6">
            <w:pPr>
              <w:pStyle w:val="143"/>
              <w:rPr>
                <w:bCs/>
                <w:snapToGrid w:val="0"/>
                <w:color w:val="000000" w:themeColor="text1"/>
                <w:kern w:val="0"/>
                <w14:textFill>
                  <w14:solidFill>
                    <w14:schemeClr w14:val="tx1"/>
                  </w14:solidFill>
                </w14:textFill>
              </w:rPr>
            </w:pPr>
          </w:p>
        </w:tc>
        <w:tc>
          <w:tcPr>
            <w:tcW w:w="485" w:type="pct"/>
            <w:vMerge w:val="continue"/>
            <w:vAlign w:val="center"/>
          </w:tcPr>
          <w:p w14:paraId="04336149">
            <w:pPr>
              <w:pStyle w:val="143"/>
              <w:rPr>
                <w:bCs/>
                <w:snapToGrid w:val="0"/>
                <w:color w:val="000000" w:themeColor="text1"/>
                <w:kern w:val="0"/>
                <w14:textFill>
                  <w14:solidFill>
                    <w14:schemeClr w14:val="tx1"/>
                  </w14:solidFill>
                </w14:textFill>
              </w:rPr>
            </w:pPr>
          </w:p>
        </w:tc>
        <w:tc>
          <w:tcPr>
            <w:tcW w:w="344" w:type="pct"/>
            <w:vMerge w:val="continue"/>
            <w:vAlign w:val="center"/>
          </w:tcPr>
          <w:p w14:paraId="4BD3FD5E">
            <w:pPr>
              <w:pStyle w:val="143"/>
              <w:rPr>
                <w:bCs/>
                <w:snapToGrid w:val="0"/>
                <w:color w:val="000000" w:themeColor="text1"/>
                <w:kern w:val="0"/>
                <w14:textFill>
                  <w14:solidFill>
                    <w14:schemeClr w14:val="tx1"/>
                  </w14:solidFill>
                </w14:textFill>
              </w:rPr>
            </w:pPr>
          </w:p>
        </w:tc>
        <w:tc>
          <w:tcPr>
            <w:tcW w:w="433" w:type="pct"/>
            <w:vAlign w:val="center"/>
          </w:tcPr>
          <w:p w14:paraId="1EABE36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核算方法</w:t>
            </w:r>
          </w:p>
        </w:tc>
        <w:tc>
          <w:tcPr>
            <w:tcW w:w="342" w:type="pct"/>
            <w:vAlign w:val="center"/>
          </w:tcPr>
          <w:p w14:paraId="433FC19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产生量（t/a）</w:t>
            </w:r>
          </w:p>
        </w:tc>
        <w:tc>
          <w:tcPr>
            <w:tcW w:w="1561" w:type="pct"/>
            <w:vAlign w:val="center"/>
          </w:tcPr>
          <w:p w14:paraId="7FF3335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工艺</w:t>
            </w:r>
          </w:p>
        </w:tc>
        <w:tc>
          <w:tcPr>
            <w:tcW w:w="471" w:type="pct"/>
            <w:vAlign w:val="center"/>
          </w:tcPr>
          <w:p w14:paraId="3004ACB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处置量（t/a）</w:t>
            </w:r>
          </w:p>
        </w:tc>
      </w:tr>
      <w:tr w14:paraId="22A08E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49F7D57E">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原料处理</w:t>
            </w:r>
          </w:p>
        </w:tc>
        <w:tc>
          <w:tcPr>
            <w:tcW w:w="503" w:type="pct"/>
            <w:vAlign w:val="center"/>
          </w:tcPr>
          <w:p w14:paraId="43C615DE">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原料处理间</w:t>
            </w:r>
          </w:p>
        </w:tc>
        <w:tc>
          <w:tcPr>
            <w:tcW w:w="391" w:type="pct"/>
            <w:vAlign w:val="center"/>
          </w:tcPr>
          <w:p w14:paraId="2141D059">
            <w:pPr>
              <w:pStyle w:val="143"/>
              <w:rPr>
                <w:bCs/>
                <w:snapToGrid w:val="0"/>
                <w:color w:val="000000" w:themeColor="text1"/>
                <w:kern w:val="0"/>
                <w:lang w:eastAsia="zh-CN"/>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杂质</w:t>
            </w:r>
          </w:p>
        </w:tc>
        <w:tc>
          <w:tcPr>
            <w:tcW w:w="485" w:type="pct"/>
            <w:vAlign w:val="center"/>
          </w:tcPr>
          <w:p w14:paraId="0EAA6B6A">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900-099-S59</w:t>
            </w:r>
          </w:p>
        </w:tc>
        <w:tc>
          <w:tcPr>
            <w:tcW w:w="344" w:type="pct"/>
            <w:vAlign w:val="center"/>
          </w:tcPr>
          <w:p w14:paraId="74E2B2FB">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37F9406B">
            <w:pPr>
              <w:pStyle w:val="143"/>
              <w:rPr>
                <w:snapToGrid w:val="0"/>
                <w:color w:val="000000" w:themeColor="text1"/>
                <w:kern w:val="0"/>
                <w14:textFill>
                  <w14:solidFill>
                    <w14:schemeClr w14:val="tx1"/>
                  </w14:solidFill>
                </w14:textFill>
              </w:rPr>
            </w:pPr>
            <w:r>
              <w:rPr>
                <w:bCs/>
                <w:snapToGrid w:val="0"/>
                <w:color w:val="000000" w:themeColor="text1"/>
                <w:kern w:val="0"/>
                <w:lang w:val="en-US"/>
                <w14:textFill>
                  <w14:solidFill>
                    <w14:schemeClr w14:val="tx1"/>
                  </w14:solidFill>
                </w14:textFill>
              </w:rPr>
              <w:t>物料衡算法</w:t>
            </w:r>
          </w:p>
        </w:tc>
        <w:tc>
          <w:tcPr>
            <w:tcW w:w="342" w:type="pct"/>
            <w:vAlign w:val="center"/>
          </w:tcPr>
          <w:p w14:paraId="70291ED0">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199.92</w:t>
            </w:r>
          </w:p>
        </w:tc>
        <w:tc>
          <w:tcPr>
            <w:tcW w:w="1561" w:type="pct"/>
            <w:vAlign w:val="center"/>
          </w:tcPr>
          <w:p w14:paraId="748FF883">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集中收集，外售有机肥厂生产有机肥</w:t>
            </w:r>
          </w:p>
        </w:tc>
        <w:tc>
          <w:tcPr>
            <w:tcW w:w="471" w:type="pct"/>
            <w:vAlign w:val="center"/>
          </w:tcPr>
          <w:p w14:paraId="523DA99B">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199.92</w:t>
            </w:r>
          </w:p>
        </w:tc>
      </w:tr>
      <w:tr w14:paraId="4BAA62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468" w:type="pct"/>
            <w:vMerge w:val="restart"/>
            <w:vAlign w:val="center"/>
          </w:tcPr>
          <w:p w14:paraId="7E4CD717">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发酵</w:t>
            </w:r>
          </w:p>
        </w:tc>
        <w:tc>
          <w:tcPr>
            <w:tcW w:w="503" w:type="pct"/>
            <w:vMerge w:val="restart"/>
            <w:vAlign w:val="center"/>
          </w:tcPr>
          <w:p w14:paraId="64E48850">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酿造</w:t>
            </w:r>
            <w:r>
              <w:rPr>
                <w:rFonts w:hint="eastAsia"/>
                <w:bCs/>
                <w:snapToGrid w:val="0"/>
                <w:color w:val="000000" w:themeColor="text1"/>
                <w:kern w:val="0"/>
                <w:lang w:eastAsia="zh-CN"/>
                <w14:textFill>
                  <w14:solidFill>
                    <w14:schemeClr w14:val="tx1"/>
                  </w14:solidFill>
                </w14:textFill>
              </w:rPr>
              <w:t>车间</w:t>
            </w:r>
          </w:p>
        </w:tc>
        <w:tc>
          <w:tcPr>
            <w:tcW w:w="391" w:type="pct"/>
            <w:vAlign w:val="center"/>
          </w:tcPr>
          <w:p w14:paraId="2E4E41C0">
            <w:pPr>
              <w:pStyle w:val="143"/>
              <w:rPr>
                <w:bCs/>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w:t>
            </w:r>
            <w:r>
              <w:rPr>
                <w:snapToGrid w:val="0"/>
                <w:color w:val="000000" w:themeColor="text1"/>
                <w:kern w:val="0"/>
                <w14:textFill>
                  <w14:solidFill>
                    <w14:schemeClr w14:val="tx1"/>
                  </w14:solidFill>
                </w14:textFill>
              </w:rPr>
              <w:t>酒糟</w:t>
            </w:r>
          </w:p>
        </w:tc>
        <w:tc>
          <w:tcPr>
            <w:tcW w:w="485" w:type="pct"/>
            <w:vAlign w:val="center"/>
          </w:tcPr>
          <w:p w14:paraId="5FC153B6">
            <w:pPr>
              <w:pStyle w:val="143"/>
              <w:rPr>
                <w:rFonts w:hint="eastAsia" w:eastAsia="宋体"/>
                <w:bCs/>
                <w:snapToGrid w:val="0"/>
                <w:color w:val="000000" w:themeColor="text1"/>
                <w:kern w:val="0"/>
                <w:lang w:eastAsia="zh-CN"/>
                <w14:textFill>
                  <w14:solidFill>
                    <w14:schemeClr w14:val="tx1"/>
                  </w14:solidFill>
                </w14:textFill>
              </w:rPr>
            </w:pPr>
            <w:r>
              <w:rPr>
                <w:rFonts w:hint="eastAsia"/>
                <w:bCs/>
                <w:snapToGrid w:val="0"/>
                <w:color w:val="000000" w:themeColor="text1"/>
                <w:kern w:val="0"/>
                <w:lang w:val="en-US"/>
                <w14:textFill>
                  <w14:solidFill>
                    <w14:schemeClr w14:val="tx1"/>
                  </w14:solidFill>
                </w14:textFill>
              </w:rPr>
              <w:t>151-00</w:t>
            </w:r>
            <w:r>
              <w:rPr>
                <w:rFonts w:hint="eastAsia"/>
                <w:bCs/>
                <w:snapToGrid w:val="0"/>
                <w:color w:val="000000" w:themeColor="text1"/>
                <w:kern w:val="0"/>
                <w:lang w:val="en-US" w:eastAsia="zh-CN"/>
                <w14:textFill>
                  <w14:solidFill>
                    <w14:schemeClr w14:val="tx1"/>
                  </w14:solidFill>
                </w14:textFill>
              </w:rPr>
              <w:t>2</w:t>
            </w:r>
            <w:r>
              <w:rPr>
                <w:rFonts w:hint="eastAsia"/>
                <w:bCs/>
                <w:snapToGrid w:val="0"/>
                <w:color w:val="000000" w:themeColor="text1"/>
                <w:kern w:val="0"/>
                <w:lang w:val="en-US"/>
                <w14:textFill>
                  <w14:solidFill>
                    <w14:schemeClr w14:val="tx1"/>
                  </w14:solidFill>
                </w14:textFill>
              </w:rPr>
              <w:t>-S1</w:t>
            </w:r>
            <w:r>
              <w:rPr>
                <w:rFonts w:hint="eastAsia"/>
                <w:bCs/>
                <w:snapToGrid w:val="0"/>
                <w:color w:val="000000" w:themeColor="text1"/>
                <w:kern w:val="0"/>
                <w:lang w:val="en-US" w:eastAsia="zh-CN"/>
                <w14:textFill>
                  <w14:solidFill>
                    <w14:schemeClr w14:val="tx1"/>
                  </w14:solidFill>
                </w14:textFill>
              </w:rPr>
              <w:t>3</w:t>
            </w:r>
          </w:p>
        </w:tc>
        <w:tc>
          <w:tcPr>
            <w:tcW w:w="344" w:type="pct"/>
            <w:vMerge w:val="restart"/>
            <w:vAlign w:val="center"/>
          </w:tcPr>
          <w:p w14:paraId="0B3D30AE">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Merge w:val="restart"/>
            <w:vAlign w:val="center"/>
          </w:tcPr>
          <w:p w14:paraId="45813317">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物料衡算法</w:t>
            </w:r>
          </w:p>
        </w:tc>
        <w:tc>
          <w:tcPr>
            <w:tcW w:w="342" w:type="pct"/>
            <w:vAlign w:val="center"/>
          </w:tcPr>
          <w:p w14:paraId="0891D5D2">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1635.09</w:t>
            </w:r>
          </w:p>
        </w:tc>
        <w:tc>
          <w:tcPr>
            <w:tcW w:w="1561" w:type="pct"/>
            <w:vMerge w:val="restart"/>
            <w:vAlign w:val="center"/>
          </w:tcPr>
          <w:p w14:paraId="5DC4924F">
            <w:pPr>
              <w:pStyle w:val="143"/>
              <w:rPr>
                <w:bCs/>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采用专用容器收集并加盖密封，暂存一般固废间，外售作饲料，日产日清</w:t>
            </w:r>
          </w:p>
        </w:tc>
        <w:tc>
          <w:tcPr>
            <w:tcW w:w="471" w:type="pct"/>
            <w:vAlign w:val="center"/>
          </w:tcPr>
          <w:p w14:paraId="592DC34E">
            <w:pPr>
              <w:pStyle w:val="143"/>
              <w:ind w:firstLine="0" w:firstLineChars="0"/>
              <w:rPr>
                <w:bCs/>
                <w:snapToGrid w:val="0"/>
                <w:color w:val="000000" w:themeColor="text1"/>
                <w:kern w:val="0"/>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1635.09</w:t>
            </w:r>
          </w:p>
        </w:tc>
      </w:tr>
      <w:tr w14:paraId="6551B6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468" w:type="pct"/>
            <w:vMerge w:val="continue"/>
            <w:vAlign w:val="center"/>
          </w:tcPr>
          <w:p w14:paraId="02053B07">
            <w:pPr>
              <w:pStyle w:val="143"/>
              <w:rPr>
                <w:snapToGrid w:val="0"/>
              </w:rPr>
            </w:pPr>
          </w:p>
        </w:tc>
        <w:tc>
          <w:tcPr>
            <w:tcW w:w="503" w:type="pct"/>
            <w:vMerge w:val="continue"/>
            <w:vAlign w:val="center"/>
          </w:tcPr>
          <w:p w14:paraId="595292A3">
            <w:pPr>
              <w:pStyle w:val="143"/>
              <w:rPr>
                <w:snapToGrid w:val="0"/>
              </w:rPr>
            </w:pPr>
          </w:p>
        </w:tc>
        <w:tc>
          <w:tcPr>
            <w:tcW w:w="391" w:type="pct"/>
            <w:vAlign w:val="center"/>
          </w:tcPr>
          <w:p w14:paraId="62B4E8F7">
            <w:pPr>
              <w:pStyle w:val="143"/>
              <w:rPr>
                <w:rFonts w:hint="eastAsia"/>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废酵母</w:t>
            </w:r>
          </w:p>
        </w:tc>
        <w:tc>
          <w:tcPr>
            <w:tcW w:w="485" w:type="pct"/>
            <w:vAlign w:val="center"/>
          </w:tcPr>
          <w:p w14:paraId="0480E318">
            <w:pPr>
              <w:pStyle w:val="143"/>
              <w:rPr>
                <w:rFonts w:hint="eastAsia"/>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14:textFill>
                  <w14:solidFill>
                    <w14:schemeClr w14:val="tx1"/>
                  </w14:solidFill>
                </w14:textFill>
              </w:rPr>
              <w:t>151-001-S1</w:t>
            </w:r>
            <w:r>
              <w:rPr>
                <w:bCs/>
                <w:snapToGrid w:val="0"/>
                <w:color w:val="000000" w:themeColor="text1"/>
                <w:kern w:val="0"/>
                <w:lang w:val="en-US"/>
                <w14:textFill>
                  <w14:solidFill>
                    <w14:schemeClr w14:val="tx1"/>
                  </w14:solidFill>
                </w14:textFill>
              </w:rPr>
              <w:t>3</w:t>
            </w:r>
          </w:p>
        </w:tc>
        <w:tc>
          <w:tcPr>
            <w:tcW w:w="344" w:type="pct"/>
            <w:vMerge w:val="continue"/>
            <w:vAlign w:val="center"/>
          </w:tcPr>
          <w:p w14:paraId="1FAD1693">
            <w:pPr>
              <w:pStyle w:val="143"/>
              <w:rPr>
                <w:rFonts w:hint="eastAsia"/>
                <w:snapToGrid w:val="0"/>
                <w:color w:val="000000" w:themeColor="text1"/>
                <w:kern w:val="0"/>
                <w:lang w:val="en-US" w:eastAsia="zh-CN"/>
                <w14:textFill>
                  <w14:solidFill>
                    <w14:schemeClr w14:val="tx1"/>
                  </w14:solidFill>
                </w14:textFill>
              </w:rPr>
            </w:pPr>
          </w:p>
        </w:tc>
        <w:tc>
          <w:tcPr>
            <w:tcW w:w="433" w:type="pct"/>
            <w:vMerge w:val="continue"/>
            <w:vAlign w:val="center"/>
          </w:tcPr>
          <w:p w14:paraId="5496268E">
            <w:pPr>
              <w:pStyle w:val="143"/>
              <w:rPr>
                <w:rFonts w:hint="eastAsia"/>
                <w:snapToGrid w:val="0"/>
                <w:color w:val="000000" w:themeColor="text1"/>
                <w:kern w:val="0"/>
                <w:lang w:val="en-US" w:eastAsia="zh-CN"/>
                <w14:textFill>
                  <w14:solidFill>
                    <w14:schemeClr w14:val="tx1"/>
                  </w14:solidFill>
                </w14:textFill>
              </w:rPr>
            </w:pPr>
          </w:p>
        </w:tc>
        <w:tc>
          <w:tcPr>
            <w:tcW w:w="342" w:type="pct"/>
            <w:vAlign w:val="center"/>
          </w:tcPr>
          <w:p w14:paraId="08E204FE">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570</w:t>
            </w:r>
          </w:p>
        </w:tc>
        <w:tc>
          <w:tcPr>
            <w:tcW w:w="1561" w:type="pct"/>
            <w:vMerge w:val="continue"/>
            <w:vAlign w:val="center"/>
          </w:tcPr>
          <w:p w14:paraId="55B9D809">
            <w:pPr>
              <w:pStyle w:val="143"/>
              <w:rPr>
                <w:rFonts w:hint="eastAsia"/>
                <w:snapToGrid w:val="0"/>
                <w:color w:val="000000" w:themeColor="text1"/>
                <w:kern w:val="0"/>
                <w:lang w:val="en-US" w:eastAsia="zh-CN"/>
                <w14:textFill>
                  <w14:solidFill>
                    <w14:schemeClr w14:val="tx1"/>
                  </w14:solidFill>
                </w14:textFill>
              </w:rPr>
            </w:pPr>
          </w:p>
        </w:tc>
        <w:tc>
          <w:tcPr>
            <w:tcW w:w="471" w:type="pct"/>
            <w:vAlign w:val="center"/>
          </w:tcPr>
          <w:p w14:paraId="7CE3F514">
            <w:pPr>
              <w:pStyle w:val="143"/>
              <w:ind w:firstLine="0" w:firstLineChars="0"/>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570</w:t>
            </w:r>
          </w:p>
        </w:tc>
      </w:tr>
      <w:tr w14:paraId="428FA7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468" w:type="pct"/>
            <w:vAlign w:val="center"/>
          </w:tcPr>
          <w:p w14:paraId="63AAF938">
            <w:pPr>
              <w:pStyle w:val="143"/>
              <w:rPr>
                <w:rFonts w:hint="eastAsia" w:eastAsia="宋体"/>
                <w:snapToGrid w:val="0"/>
                <w:lang w:val="en-US" w:eastAsia="zh-CN"/>
              </w:rPr>
            </w:pPr>
            <w:r>
              <w:rPr>
                <w:rFonts w:hint="eastAsia"/>
                <w:snapToGrid w:val="0"/>
                <w:lang w:val="en-US" w:eastAsia="zh-CN"/>
              </w:rPr>
              <w:t>过滤</w:t>
            </w:r>
          </w:p>
        </w:tc>
        <w:tc>
          <w:tcPr>
            <w:tcW w:w="503" w:type="pct"/>
            <w:vAlign w:val="center"/>
          </w:tcPr>
          <w:p w14:paraId="534796E7">
            <w:pPr>
              <w:pStyle w:val="143"/>
              <w:rPr>
                <w:snapToGrid w:val="0"/>
              </w:rPr>
            </w:pPr>
            <w:r>
              <w:rPr>
                <w:rFonts w:hint="eastAsia"/>
                <w:bCs/>
                <w:snapToGrid w:val="0"/>
                <w:color w:val="000000" w:themeColor="text1"/>
                <w:kern w:val="0"/>
                <w:lang w:val="en-US" w:eastAsia="zh-CN"/>
                <w14:textFill>
                  <w14:solidFill>
                    <w14:schemeClr w14:val="tx1"/>
                  </w14:solidFill>
                </w14:textFill>
              </w:rPr>
              <w:t>酿造</w:t>
            </w:r>
            <w:r>
              <w:rPr>
                <w:rFonts w:hint="eastAsia"/>
                <w:bCs/>
                <w:snapToGrid w:val="0"/>
                <w:color w:val="000000" w:themeColor="text1"/>
                <w:kern w:val="0"/>
                <w:lang w:eastAsia="zh-CN"/>
                <w14:textFill>
                  <w14:solidFill>
                    <w14:schemeClr w14:val="tx1"/>
                  </w14:solidFill>
                </w14:textFill>
              </w:rPr>
              <w:t>车间</w:t>
            </w:r>
          </w:p>
        </w:tc>
        <w:tc>
          <w:tcPr>
            <w:tcW w:w="391" w:type="pct"/>
            <w:vAlign w:val="center"/>
          </w:tcPr>
          <w:p w14:paraId="0CE1460D">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废硅藻土</w:t>
            </w:r>
          </w:p>
        </w:tc>
        <w:tc>
          <w:tcPr>
            <w:tcW w:w="485" w:type="pct"/>
            <w:vAlign w:val="center"/>
          </w:tcPr>
          <w:p w14:paraId="3D5E4AA8">
            <w:pPr>
              <w:pStyle w:val="143"/>
              <w:rPr>
                <w:rFonts w:hint="eastAsia"/>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14:textFill>
                  <w14:solidFill>
                    <w14:schemeClr w14:val="tx1"/>
                  </w14:solidFill>
                </w14:textFill>
              </w:rPr>
              <w:t>151-001-S1</w:t>
            </w:r>
            <w:r>
              <w:rPr>
                <w:bCs/>
                <w:snapToGrid w:val="0"/>
                <w:color w:val="000000" w:themeColor="text1"/>
                <w:kern w:val="0"/>
                <w:lang w:val="en-US"/>
                <w14:textFill>
                  <w14:solidFill>
                    <w14:schemeClr w14:val="tx1"/>
                  </w14:solidFill>
                </w14:textFill>
              </w:rPr>
              <w:t>3</w:t>
            </w:r>
          </w:p>
        </w:tc>
        <w:tc>
          <w:tcPr>
            <w:tcW w:w="344" w:type="pct"/>
            <w:vAlign w:val="center"/>
          </w:tcPr>
          <w:p w14:paraId="3624E2C4">
            <w:pPr>
              <w:pStyle w:val="143"/>
              <w:rPr>
                <w:rFonts w:hint="eastAsia"/>
                <w:snapToGrid w:val="0"/>
                <w:color w:val="000000" w:themeColor="text1"/>
                <w:kern w:val="0"/>
                <w:lang w:val="en-US" w:eastAsia="zh-CN"/>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4C89657D">
            <w:pPr>
              <w:pStyle w:val="143"/>
              <w:rPr>
                <w:rFonts w:hint="eastAsia"/>
                <w:snapToGrid w:val="0"/>
                <w:color w:val="000000" w:themeColor="text1"/>
                <w:kern w:val="0"/>
                <w:lang w:val="en-US" w:eastAsia="zh-CN"/>
                <w14:textFill>
                  <w14:solidFill>
                    <w14:schemeClr w14:val="tx1"/>
                  </w14:solidFill>
                </w14:textFill>
              </w:rPr>
            </w:pPr>
            <w:r>
              <w:rPr>
                <w:bCs/>
                <w:snapToGrid w:val="0"/>
                <w:color w:val="000000" w:themeColor="text1"/>
                <w:kern w:val="0"/>
                <w14:textFill>
                  <w14:solidFill>
                    <w14:schemeClr w14:val="tx1"/>
                  </w14:solidFill>
                </w14:textFill>
              </w:rPr>
              <w:t>物料衡算法</w:t>
            </w:r>
          </w:p>
        </w:tc>
        <w:tc>
          <w:tcPr>
            <w:tcW w:w="342" w:type="pct"/>
            <w:vAlign w:val="center"/>
          </w:tcPr>
          <w:p w14:paraId="6C57E73F">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50</w:t>
            </w:r>
          </w:p>
        </w:tc>
        <w:tc>
          <w:tcPr>
            <w:tcW w:w="1561" w:type="pct"/>
            <w:vAlign w:val="center"/>
          </w:tcPr>
          <w:p w14:paraId="148054EC">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暂存在密闭废土罐中</w:t>
            </w:r>
            <w:r>
              <w:rPr>
                <w:rFonts w:hint="default"/>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外售综合利用</w:t>
            </w:r>
            <w:r>
              <w:rPr>
                <w:rFonts w:hint="default"/>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定期转运</w:t>
            </w:r>
            <w:r>
              <w:rPr>
                <w:rFonts w:hint="default"/>
                <w:snapToGrid w:val="0"/>
                <w:color w:val="000000" w:themeColor="text1"/>
                <w:lang w:val="en-US" w:eastAsia="zh-CN"/>
                <w14:textFill>
                  <w14:solidFill>
                    <w14:schemeClr w14:val="tx1"/>
                  </w14:solidFill>
                </w14:textFill>
              </w:rPr>
              <w:t>不在厂区长时间贮存</w:t>
            </w:r>
          </w:p>
        </w:tc>
        <w:tc>
          <w:tcPr>
            <w:tcW w:w="471" w:type="pct"/>
            <w:vAlign w:val="center"/>
          </w:tcPr>
          <w:p w14:paraId="0E08B93F">
            <w:pPr>
              <w:pStyle w:val="143"/>
              <w:ind w:firstLine="0" w:firstLineChars="0"/>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50</w:t>
            </w:r>
          </w:p>
        </w:tc>
      </w:tr>
      <w:tr w14:paraId="2BE342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Merge w:val="restart"/>
            <w:vAlign w:val="center"/>
          </w:tcPr>
          <w:p w14:paraId="774C53EF">
            <w:pPr>
              <w:pStyle w:val="143"/>
              <w:rPr>
                <w:bCs/>
                <w:snapToGrid w:val="0"/>
                <w:color w:val="000000" w:themeColor="text1"/>
                <w:kern w:val="0"/>
                <w:lang w:eastAsia="zh-CN"/>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原料处理</w:t>
            </w:r>
          </w:p>
        </w:tc>
        <w:tc>
          <w:tcPr>
            <w:tcW w:w="503" w:type="pct"/>
            <w:vMerge w:val="restart"/>
            <w:vAlign w:val="center"/>
          </w:tcPr>
          <w:p w14:paraId="463CE66B">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原料处理间</w:t>
            </w:r>
          </w:p>
        </w:tc>
        <w:tc>
          <w:tcPr>
            <w:tcW w:w="391" w:type="pct"/>
            <w:vAlign w:val="center"/>
          </w:tcPr>
          <w:p w14:paraId="2960749C">
            <w:pPr>
              <w:pStyle w:val="143"/>
              <w:rPr>
                <w:bCs/>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除尘器</w:t>
            </w:r>
            <w:r>
              <w:rPr>
                <w:rFonts w:hint="eastAsia"/>
                <w:snapToGrid w:val="0"/>
                <w:color w:val="000000" w:themeColor="text1"/>
                <w:kern w:val="0"/>
                <w:lang w:eastAsia="zh-CN"/>
                <w14:textFill>
                  <w14:solidFill>
                    <w14:schemeClr w14:val="tx1"/>
                  </w14:solidFill>
                </w14:textFill>
              </w:rPr>
              <w:t>收尘</w:t>
            </w:r>
          </w:p>
        </w:tc>
        <w:tc>
          <w:tcPr>
            <w:tcW w:w="485" w:type="pct"/>
            <w:vAlign w:val="center"/>
          </w:tcPr>
          <w:p w14:paraId="483E3F53">
            <w:pPr>
              <w:pStyle w:val="143"/>
              <w:rPr>
                <w:bCs/>
                <w:snapToGrid w:val="0"/>
                <w:color w:val="000000" w:themeColor="text1"/>
                <w:kern w:val="0"/>
                <w:lang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900-099-S59</w:t>
            </w:r>
          </w:p>
        </w:tc>
        <w:tc>
          <w:tcPr>
            <w:tcW w:w="344" w:type="pct"/>
            <w:vAlign w:val="center"/>
          </w:tcPr>
          <w:p w14:paraId="74664110">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11DAEC17">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物料衡算法</w:t>
            </w:r>
          </w:p>
        </w:tc>
        <w:tc>
          <w:tcPr>
            <w:tcW w:w="342" w:type="pct"/>
            <w:vAlign w:val="center"/>
          </w:tcPr>
          <w:p w14:paraId="169FE9C7">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2.059</w:t>
            </w:r>
          </w:p>
        </w:tc>
        <w:tc>
          <w:tcPr>
            <w:tcW w:w="1561" w:type="pct"/>
            <w:vAlign w:val="center"/>
          </w:tcPr>
          <w:p w14:paraId="0FD82C58">
            <w:pPr>
              <w:pStyle w:val="143"/>
              <w:rPr>
                <w:bCs/>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集中外售</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14:textFill>
                  <w14:solidFill>
                    <w14:schemeClr w14:val="tx1"/>
                  </w14:solidFill>
                </w14:textFill>
              </w:rPr>
              <w:t>有机肥厂生产有机肥</w:t>
            </w:r>
          </w:p>
        </w:tc>
        <w:tc>
          <w:tcPr>
            <w:tcW w:w="471" w:type="pct"/>
            <w:vAlign w:val="center"/>
          </w:tcPr>
          <w:p w14:paraId="7329F685">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2.059</w:t>
            </w:r>
          </w:p>
        </w:tc>
      </w:tr>
      <w:tr w14:paraId="5DD344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Merge w:val="continue"/>
            <w:vAlign w:val="center"/>
          </w:tcPr>
          <w:p w14:paraId="48718DDB">
            <w:pPr>
              <w:pStyle w:val="143"/>
              <w:rPr>
                <w:bCs/>
                <w:snapToGrid w:val="0"/>
                <w:color w:val="000000" w:themeColor="text1"/>
                <w:kern w:val="0"/>
                <w:lang w:eastAsia="zh-CN"/>
                <w14:textFill>
                  <w14:solidFill>
                    <w14:schemeClr w14:val="tx1"/>
                  </w14:solidFill>
                </w14:textFill>
              </w:rPr>
            </w:pPr>
          </w:p>
        </w:tc>
        <w:tc>
          <w:tcPr>
            <w:tcW w:w="503" w:type="pct"/>
            <w:vMerge w:val="continue"/>
            <w:vAlign w:val="center"/>
          </w:tcPr>
          <w:p w14:paraId="475BE705">
            <w:pPr>
              <w:pStyle w:val="143"/>
              <w:rPr>
                <w:bCs/>
                <w:snapToGrid w:val="0"/>
                <w:color w:val="000000" w:themeColor="text1"/>
                <w:kern w:val="0"/>
                <w14:textFill>
                  <w14:solidFill>
                    <w14:schemeClr w14:val="tx1"/>
                  </w14:solidFill>
                </w14:textFill>
              </w:rPr>
            </w:pPr>
          </w:p>
        </w:tc>
        <w:tc>
          <w:tcPr>
            <w:tcW w:w="391" w:type="pct"/>
            <w:vAlign w:val="center"/>
          </w:tcPr>
          <w:p w14:paraId="2BBA8A34">
            <w:pPr>
              <w:pStyle w:val="143"/>
              <w:rPr>
                <w:bCs/>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废布袋</w:t>
            </w:r>
          </w:p>
        </w:tc>
        <w:tc>
          <w:tcPr>
            <w:tcW w:w="485" w:type="pct"/>
            <w:vAlign w:val="center"/>
          </w:tcPr>
          <w:p w14:paraId="62AC1D2B">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900-0</w:t>
            </w:r>
            <w:r>
              <w:rPr>
                <w:rFonts w:hint="eastAsia"/>
                <w:bCs/>
                <w:snapToGrid w:val="0"/>
                <w:color w:val="000000" w:themeColor="text1"/>
                <w:kern w:val="0"/>
                <w:lang w:val="en-US" w:eastAsia="zh-CN"/>
                <w14:textFill>
                  <w14:solidFill>
                    <w14:schemeClr w14:val="tx1"/>
                  </w14:solidFill>
                </w14:textFill>
              </w:rPr>
              <w:t>0</w:t>
            </w:r>
            <w:r>
              <w:rPr>
                <w:rFonts w:hint="eastAsia"/>
                <w:bCs/>
                <w:snapToGrid w:val="0"/>
                <w:color w:val="000000" w:themeColor="text1"/>
                <w:kern w:val="0"/>
                <w:lang w:val="en-US"/>
                <w14:textFill>
                  <w14:solidFill>
                    <w14:schemeClr w14:val="tx1"/>
                  </w14:solidFill>
                </w14:textFill>
              </w:rPr>
              <w:t>9-S59</w:t>
            </w:r>
          </w:p>
        </w:tc>
        <w:tc>
          <w:tcPr>
            <w:tcW w:w="344" w:type="pct"/>
            <w:vAlign w:val="center"/>
          </w:tcPr>
          <w:p w14:paraId="2E54A922">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00E958B1">
            <w:pPr>
              <w:pStyle w:val="143"/>
              <w:rPr>
                <w:bCs/>
                <w:snapToGrid w:val="0"/>
                <w:color w:val="000000" w:themeColor="text1"/>
                <w:kern w:val="0"/>
                <w:lang w:eastAsia="zh-CN"/>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类比法</w:t>
            </w:r>
          </w:p>
        </w:tc>
        <w:tc>
          <w:tcPr>
            <w:tcW w:w="342" w:type="pct"/>
            <w:vAlign w:val="center"/>
          </w:tcPr>
          <w:p w14:paraId="12FC41E4">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0.05</w:t>
            </w:r>
          </w:p>
        </w:tc>
        <w:tc>
          <w:tcPr>
            <w:tcW w:w="1561" w:type="pct"/>
            <w:vAlign w:val="center"/>
          </w:tcPr>
          <w:p w14:paraId="72787528">
            <w:pPr>
              <w:pStyle w:val="143"/>
              <w:rPr>
                <w:bCs/>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更换时交厂家回收处置</w:t>
            </w:r>
          </w:p>
        </w:tc>
        <w:tc>
          <w:tcPr>
            <w:tcW w:w="471" w:type="pct"/>
            <w:vAlign w:val="center"/>
          </w:tcPr>
          <w:p w14:paraId="1233871E">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0.05</w:t>
            </w:r>
          </w:p>
        </w:tc>
      </w:tr>
      <w:tr w14:paraId="510559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Merge w:val="restart"/>
            <w:vAlign w:val="center"/>
          </w:tcPr>
          <w:p w14:paraId="0CEED1A7">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污水处理</w:t>
            </w:r>
          </w:p>
        </w:tc>
        <w:tc>
          <w:tcPr>
            <w:tcW w:w="503" w:type="pct"/>
            <w:vAlign w:val="center"/>
          </w:tcPr>
          <w:p w14:paraId="40EDAB31">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污水处理</w:t>
            </w:r>
            <w:r>
              <w:rPr>
                <w:rFonts w:hint="eastAsia"/>
                <w:bCs/>
                <w:snapToGrid w:val="0"/>
                <w:color w:val="000000" w:themeColor="text1"/>
                <w:kern w:val="0"/>
                <w:lang w:eastAsia="zh-CN"/>
                <w14:textFill>
                  <w14:solidFill>
                    <w14:schemeClr w14:val="tx1"/>
                  </w14:solidFill>
                </w14:textFill>
              </w:rPr>
              <w:t>站</w:t>
            </w:r>
          </w:p>
        </w:tc>
        <w:tc>
          <w:tcPr>
            <w:tcW w:w="391" w:type="pct"/>
            <w:vAlign w:val="center"/>
          </w:tcPr>
          <w:p w14:paraId="78CD4120">
            <w:pPr>
              <w:pStyle w:val="143"/>
              <w:rPr>
                <w:bCs/>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污水处理污泥</w:t>
            </w:r>
          </w:p>
        </w:tc>
        <w:tc>
          <w:tcPr>
            <w:tcW w:w="485" w:type="pct"/>
            <w:vAlign w:val="center"/>
          </w:tcPr>
          <w:p w14:paraId="7DC86DC6">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150-001-S0</w:t>
            </w:r>
            <w:r>
              <w:rPr>
                <w:bCs/>
                <w:snapToGrid w:val="0"/>
                <w:color w:val="000000" w:themeColor="text1"/>
                <w:kern w:val="0"/>
                <w:lang w:val="en-US"/>
                <w14:textFill>
                  <w14:solidFill>
                    <w14:schemeClr w14:val="tx1"/>
                  </w14:solidFill>
                </w14:textFill>
              </w:rPr>
              <w:t>7</w:t>
            </w:r>
          </w:p>
        </w:tc>
        <w:tc>
          <w:tcPr>
            <w:tcW w:w="344" w:type="pct"/>
            <w:vAlign w:val="center"/>
          </w:tcPr>
          <w:p w14:paraId="75487004">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76FE5258">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产污</w:t>
            </w:r>
            <w:r>
              <w:rPr>
                <w:bCs/>
                <w:snapToGrid w:val="0"/>
                <w:color w:val="000000" w:themeColor="text1"/>
                <w:kern w:val="0"/>
                <w14:textFill>
                  <w14:solidFill>
                    <w14:schemeClr w14:val="tx1"/>
                  </w14:solidFill>
                </w14:textFill>
              </w:rPr>
              <w:t>系数法</w:t>
            </w:r>
          </w:p>
        </w:tc>
        <w:tc>
          <w:tcPr>
            <w:tcW w:w="342" w:type="pct"/>
            <w:vAlign w:val="center"/>
          </w:tcPr>
          <w:p w14:paraId="15A9F4C7">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8.395</w:t>
            </w:r>
          </w:p>
        </w:tc>
        <w:tc>
          <w:tcPr>
            <w:tcW w:w="1561" w:type="pct"/>
            <w:vAlign w:val="center"/>
          </w:tcPr>
          <w:p w14:paraId="3420450B">
            <w:pPr>
              <w:pStyle w:val="143"/>
              <w:rPr>
                <w:bCs/>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采取压滤脱水处理，确保含水率低于</w:t>
            </w:r>
            <w:r>
              <w:rPr>
                <w:snapToGrid w:val="0"/>
                <w:color w:val="000000" w:themeColor="text1"/>
                <w:kern w:val="0"/>
                <w:lang w:val="en-US"/>
                <w14:textFill>
                  <w14:solidFill>
                    <w14:schemeClr w14:val="tx1"/>
                  </w14:solidFill>
                </w14:textFill>
              </w:rPr>
              <w:t>60%，</w:t>
            </w:r>
            <w:r>
              <w:rPr>
                <w:rFonts w:hint="eastAsia"/>
                <w:snapToGrid w:val="0"/>
                <w:color w:val="000000" w:themeColor="text1"/>
                <w:kern w:val="0"/>
                <w:lang w:val="en-US"/>
                <w14:textFill>
                  <w14:solidFill>
                    <w14:schemeClr w14:val="tx1"/>
                  </w14:solidFill>
                </w14:textFill>
              </w:rPr>
              <w:t>定期</w:t>
            </w:r>
            <w:r>
              <w:rPr>
                <w:snapToGrid w:val="0"/>
                <w:color w:val="000000" w:themeColor="text1"/>
                <w:kern w:val="0"/>
                <w:lang w:val="en-US"/>
                <w14:textFill>
                  <w14:solidFill>
                    <w14:schemeClr w14:val="tx1"/>
                  </w14:solidFill>
                </w14:textFill>
              </w:rPr>
              <w:t>交由</w:t>
            </w:r>
            <w:r>
              <w:rPr>
                <w:rFonts w:hint="eastAsia"/>
                <w:snapToGrid w:val="0"/>
                <w:color w:val="000000" w:themeColor="text1"/>
                <w:kern w:val="0"/>
                <w:lang w:val="en-US"/>
                <w14:textFill>
                  <w14:solidFill>
                    <w14:schemeClr w14:val="tx1"/>
                  </w14:solidFill>
                </w14:textFill>
              </w:rPr>
              <w:t>市政部门统一处理</w:t>
            </w:r>
          </w:p>
        </w:tc>
        <w:tc>
          <w:tcPr>
            <w:tcW w:w="471" w:type="pct"/>
            <w:vAlign w:val="center"/>
          </w:tcPr>
          <w:p w14:paraId="55058D2A">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8.395</w:t>
            </w:r>
          </w:p>
        </w:tc>
      </w:tr>
      <w:tr w14:paraId="7CA2CB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Merge w:val="continue"/>
            <w:vAlign w:val="center"/>
          </w:tcPr>
          <w:p w14:paraId="5550FE41">
            <w:pPr>
              <w:pStyle w:val="143"/>
              <w:rPr>
                <w:bCs/>
                <w:snapToGrid w:val="0"/>
                <w:color w:val="000000" w:themeColor="text1"/>
                <w:kern w:val="0"/>
                <w14:textFill>
                  <w14:solidFill>
                    <w14:schemeClr w14:val="tx1"/>
                  </w14:solidFill>
                </w14:textFill>
              </w:rPr>
            </w:pPr>
          </w:p>
        </w:tc>
        <w:tc>
          <w:tcPr>
            <w:tcW w:w="503" w:type="pct"/>
            <w:vAlign w:val="center"/>
          </w:tcPr>
          <w:p w14:paraId="1F36E5D9">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沼气工程</w:t>
            </w:r>
          </w:p>
        </w:tc>
        <w:tc>
          <w:tcPr>
            <w:tcW w:w="391" w:type="pct"/>
            <w:vAlign w:val="center"/>
          </w:tcPr>
          <w:p w14:paraId="181C6E55">
            <w:pPr>
              <w:pStyle w:val="143"/>
              <w:rPr>
                <w:bCs/>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废脱硫剂</w:t>
            </w:r>
          </w:p>
        </w:tc>
        <w:tc>
          <w:tcPr>
            <w:tcW w:w="485" w:type="pct"/>
            <w:vAlign w:val="center"/>
          </w:tcPr>
          <w:p w14:paraId="5D6F7568">
            <w:pPr>
              <w:pStyle w:val="143"/>
              <w:rPr>
                <w:bCs/>
                <w:snapToGrid w:val="0"/>
                <w:color w:val="000000" w:themeColor="text1"/>
                <w:kern w:val="0"/>
                <w:lang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900-099-S59</w:t>
            </w:r>
          </w:p>
        </w:tc>
        <w:tc>
          <w:tcPr>
            <w:tcW w:w="344" w:type="pct"/>
            <w:vAlign w:val="center"/>
          </w:tcPr>
          <w:p w14:paraId="15C164B6">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37414594">
            <w:pPr>
              <w:pStyle w:val="143"/>
              <w:rPr>
                <w:bCs/>
                <w:snapToGrid w:val="0"/>
                <w:color w:val="000000" w:themeColor="text1"/>
                <w:kern w:val="0"/>
                <w14:textFill>
                  <w14:solidFill>
                    <w14:schemeClr w14:val="tx1"/>
                  </w14:solidFill>
                </w14:textFill>
              </w:rPr>
            </w:pPr>
            <w:r>
              <w:rPr>
                <w:bCs/>
                <w:snapToGrid w:val="0"/>
                <w:color w:val="000000" w:themeColor="text1"/>
                <w:kern w:val="0"/>
                <w:lang w:val="en-US"/>
                <w14:textFill>
                  <w14:solidFill>
                    <w14:schemeClr w14:val="tx1"/>
                  </w14:solidFill>
                </w14:textFill>
              </w:rPr>
              <w:t>类</w:t>
            </w:r>
            <w:r>
              <w:rPr>
                <w:rFonts w:hint="eastAsia"/>
                <w:bCs/>
                <w:snapToGrid w:val="0"/>
                <w:color w:val="000000" w:themeColor="text1"/>
                <w:kern w:val="0"/>
                <w:lang w:val="en-US"/>
                <w14:textFill>
                  <w14:solidFill>
                    <w14:schemeClr w14:val="tx1"/>
                  </w14:solidFill>
                </w14:textFill>
              </w:rPr>
              <w:t>比法</w:t>
            </w:r>
          </w:p>
        </w:tc>
        <w:tc>
          <w:tcPr>
            <w:tcW w:w="342" w:type="pct"/>
            <w:vAlign w:val="center"/>
          </w:tcPr>
          <w:p w14:paraId="5E16FFBA">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0.1212</w:t>
            </w:r>
          </w:p>
        </w:tc>
        <w:tc>
          <w:tcPr>
            <w:tcW w:w="1561" w:type="pct"/>
            <w:vAlign w:val="center"/>
          </w:tcPr>
          <w:p w14:paraId="335D6EEB">
            <w:pPr>
              <w:pStyle w:val="143"/>
              <w:rPr>
                <w:bCs/>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废脱硫剂更换</w:t>
            </w:r>
            <w:r>
              <w:rPr>
                <w:rFonts w:hint="eastAsia"/>
                <w:snapToGrid w:val="0"/>
                <w:color w:val="000000" w:themeColor="text1"/>
                <w:kern w:val="0"/>
                <w:lang w:eastAsia="zh-CN"/>
                <w14:textFill>
                  <w14:solidFill>
                    <w14:schemeClr w14:val="tx1"/>
                  </w14:solidFill>
                </w14:textFill>
              </w:rPr>
              <w:t>时</w:t>
            </w:r>
            <w:r>
              <w:rPr>
                <w:rFonts w:hint="eastAsia"/>
                <w:snapToGrid w:val="0"/>
                <w:color w:val="000000" w:themeColor="text1"/>
                <w:kern w:val="0"/>
                <w14:textFill>
                  <w14:solidFill>
                    <w14:schemeClr w14:val="tx1"/>
                  </w14:solidFill>
                </w14:textFill>
              </w:rPr>
              <w:t>由厂家回收。</w:t>
            </w:r>
          </w:p>
        </w:tc>
        <w:tc>
          <w:tcPr>
            <w:tcW w:w="471" w:type="pct"/>
            <w:vAlign w:val="center"/>
          </w:tcPr>
          <w:p w14:paraId="2274F9E0">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0.1212</w:t>
            </w:r>
          </w:p>
        </w:tc>
      </w:tr>
      <w:tr w14:paraId="6E790D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145CCB32">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包装</w:t>
            </w:r>
          </w:p>
        </w:tc>
        <w:tc>
          <w:tcPr>
            <w:tcW w:w="503" w:type="pct"/>
            <w:vAlign w:val="center"/>
          </w:tcPr>
          <w:p w14:paraId="46EC0073">
            <w:pPr>
              <w:pStyle w:val="143"/>
              <w:rPr>
                <w:bCs/>
                <w:snapToGrid w:val="0"/>
                <w:color w:val="000000" w:themeColor="text1"/>
                <w:kern w:val="0"/>
                <w14:textFill>
                  <w14:solidFill>
                    <w14:schemeClr w14:val="tx1"/>
                  </w14:solidFill>
                </w14:textFill>
              </w:rPr>
            </w:pPr>
            <w:r>
              <w:rPr>
                <w:bCs/>
                <w:snapToGrid w:val="0"/>
                <w:color w:val="000000" w:themeColor="text1"/>
                <w:kern w:val="0"/>
                <w:lang w:val="en-US"/>
                <w14:textFill>
                  <w14:solidFill>
                    <w14:schemeClr w14:val="tx1"/>
                  </w14:solidFill>
                </w14:textFill>
              </w:rPr>
              <w:t>包装车间</w:t>
            </w:r>
          </w:p>
        </w:tc>
        <w:tc>
          <w:tcPr>
            <w:tcW w:w="391" w:type="pct"/>
            <w:vAlign w:val="center"/>
          </w:tcPr>
          <w:p w14:paraId="66DA19F6">
            <w:pPr>
              <w:pStyle w:val="143"/>
              <w:rPr>
                <w:bCs/>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废包装物</w:t>
            </w:r>
          </w:p>
        </w:tc>
        <w:tc>
          <w:tcPr>
            <w:tcW w:w="485" w:type="pct"/>
            <w:vAlign w:val="center"/>
          </w:tcPr>
          <w:p w14:paraId="20635814">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900-005-S17</w:t>
            </w:r>
          </w:p>
        </w:tc>
        <w:tc>
          <w:tcPr>
            <w:tcW w:w="344" w:type="pct"/>
            <w:vAlign w:val="center"/>
          </w:tcPr>
          <w:p w14:paraId="5822D891">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4BDB2996">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类比法</w:t>
            </w:r>
          </w:p>
        </w:tc>
        <w:tc>
          <w:tcPr>
            <w:tcW w:w="342" w:type="pct"/>
            <w:vAlign w:val="center"/>
          </w:tcPr>
          <w:p w14:paraId="31D74373">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500</w:t>
            </w:r>
          </w:p>
        </w:tc>
        <w:tc>
          <w:tcPr>
            <w:tcW w:w="1561" w:type="pct"/>
            <w:vAlign w:val="center"/>
          </w:tcPr>
          <w:p w14:paraId="2A435218">
            <w:pPr>
              <w:pStyle w:val="143"/>
              <w:rPr>
                <w:bCs/>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集中外售，外售废品回收站</w:t>
            </w:r>
          </w:p>
        </w:tc>
        <w:tc>
          <w:tcPr>
            <w:tcW w:w="471" w:type="pct"/>
            <w:vAlign w:val="center"/>
          </w:tcPr>
          <w:p w14:paraId="73B128D9">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500</w:t>
            </w:r>
          </w:p>
        </w:tc>
      </w:tr>
      <w:tr w14:paraId="46AB6A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Merge w:val="restart"/>
            <w:vAlign w:val="center"/>
          </w:tcPr>
          <w:p w14:paraId="350CE2FC">
            <w:pPr>
              <w:pStyle w:val="143"/>
              <w:rPr>
                <w:bCs/>
                <w:snapToGrid w:val="0"/>
                <w:color w:val="000000" w:themeColor="text1"/>
                <w:kern w:val="0"/>
                <w14:textFill>
                  <w14:solidFill>
                    <w14:schemeClr w14:val="tx1"/>
                  </w14:solidFill>
                </w14:textFill>
              </w:rPr>
            </w:pPr>
            <w:r>
              <w:rPr>
                <w:rFonts w:hint="default"/>
                <w:bCs/>
                <w:snapToGrid w:val="0"/>
                <w:color w:val="000000" w:themeColor="text1"/>
                <w:kern w:val="0"/>
                <w:lang w:val="en-US" w:eastAsia="zh-CN"/>
                <w14:textFill>
                  <w14:solidFill>
                    <w14:schemeClr w14:val="tx1"/>
                  </w14:solidFill>
                </w14:textFill>
              </w:rPr>
              <w:t>CO</w:t>
            </w:r>
            <w:r>
              <w:rPr>
                <w:rFonts w:hint="default"/>
                <w:bCs/>
                <w:snapToGrid w:val="0"/>
                <w:color w:val="000000" w:themeColor="text1"/>
                <w:kern w:val="0"/>
                <w:vertAlign w:val="subscript"/>
                <w:lang w:val="en-US" w:eastAsia="zh-CN"/>
                <w14:textFill>
                  <w14:solidFill>
                    <w14:schemeClr w14:val="tx1"/>
                  </w14:solidFill>
                </w14:textFill>
              </w:rPr>
              <w:t>2</w:t>
            </w:r>
            <w:r>
              <w:rPr>
                <w:rFonts w:hint="eastAsia"/>
                <w:bCs/>
                <w:snapToGrid w:val="0"/>
                <w:color w:val="000000" w:themeColor="text1"/>
                <w:kern w:val="0"/>
                <w:lang w:val="en-US" w:eastAsia="zh-CN"/>
                <w14:textFill>
                  <w14:solidFill>
                    <w14:schemeClr w14:val="tx1"/>
                  </w14:solidFill>
                </w14:textFill>
              </w:rPr>
              <w:t>回收系统</w:t>
            </w:r>
          </w:p>
        </w:tc>
        <w:tc>
          <w:tcPr>
            <w:tcW w:w="503" w:type="pct"/>
            <w:vAlign w:val="center"/>
          </w:tcPr>
          <w:p w14:paraId="4A6C9D03">
            <w:pPr>
              <w:pStyle w:val="143"/>
              <w:rPr>
                <w:rFonts w:hint="default"/>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异味处理</w:t>
            </w:r>
          </w:p>
        </w:tc>
        <w:tc>
          <w:tcPr>
            <w:tcW w:w="391" w:type="pct"/>
            <w:vAlign w:val="center"/>
          </w:tcPr>
          <w:p w14:paraId="43D05029">
            <w:pPr>
              <w:pStyle w:val="143"/>
              <w:rPr>
                <w:bCs/>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废活性炭</w:t>
            </w:r>
          </w:p>
        </w:tc>
        <w:tc>
          <w:tcPr>
            <w:tcW w:w="485" w:type="pct"/>
            <w:vAlign w:val="center"/>
          </w:tcPr>
          <w:p w14:paraId="35B944BC">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900-008-S59</w:t>
            </w:r>
          </w:p>
        </w:tc>
        <w:tc>
          <w:tcPr>
            <w:tcW w:w="344" w:type="pct"/>
            <w:vAlign w:val="center"/>
          </w:tcPr>
          <w:p w14:paraId="29A00718">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7B3CE128">
            <w:pPr>
              <w:pStyle w:val="143"/>
              <w:rPr>
                <w:bCs/>
                <w:snapToGrid w:val="0"/>
                <w:color w:val="000000" w:themeColor="text1"/>
                <w:kern w:val="0"/>
                <w14:textFill>
                  <w14:solidFill>
                    <w14:schemeClr w14:val="tx1"/>
                  </w14:solidFill>
                </w14:textFill>
              </w:rPr>
            </w:pPr>
            <w:r>
              <w:rPr>
                <w:bCs/>
                <w:snapToGrid w:val="0"/>
                <w:color w:val="000000" w:themeColor="text1"/>
                <w:kern w:val="0"/>
                <w:lang w:val="en-US"/>
                <w14:textFill>
                  <w14:solidFill>
                    <w14:schemeClr w14:val="tx1"/>
                  </w14:solidFill>
                </w14:textFill>
              </w:rPr>
              <w:t>类比法</w:t>
            </w:r>
          </w:p>
        </w:tc>
        <w:tc>
          <w:tcPr>
            <w:tcW w:w="342" w:type="pct"/>
            <w:vAlign w:val="center"/>
          </w:tcPr>
          <w:p w14:paraId="6996B9A2">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0.5</w:t>
            </w:r>
          </w:p>
        </w:tc>
        <w:tc>
          <w:tcPr>
            <w:tcW w:w="1561" w:type="pct"/>
            <w:vMerge w:val="restart"/>
            <w:vAlign w:val="center"/>
          </w:tcPr>
          <w:p w14:paraId="565C70AA">
            <w:pPr>
              <w:pStyle w:val="143"/>
              <w:rPr>
                <w:bCs/>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由生产厂家回收处理</w:t>
            </w:r>
          </w:p>
        </w:tc>
        <w:tc>
          <w:tcPr>
            <w:tcW w:w="471" w:type="pct"/>
            <w:vAlign w:val="center"/>
          </w:tcPr>
          <w:p w14:paraId="335B0A6B">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0.5</w:t>
            </w:r>
          </w:p>
        </w:tc>
      </w:tr>
      <w:tr w14:paraId="7CE73F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Merge w:val="continue"/>
            <w:vAlign w:val="center"/>
          </w:tcPr>
          <w:p w14:paraId="71B49239">
            <w:pPr>
              <w:pStyle w:val="143"/>
              <w:rPr>
                <w:rFonts w:hint="eastAsia"/>
                <w:bCs/>
                <w:snapToGrid w:val="0"/>
                <w:color w:val="000000" w:themeColor="text1"/>
                <w:kern w:val="0"/>
                <w:lang w:eastAsia="zh-CN"/>
                <w14:textFill>
                  <w14:solidFill>
                    <w14:schemeClr w14:val="tx1"/>
                  </w14:solidFill>
                </w14:textFill>
              </w:rPr>
            </w:pPr>
          </w:p>
        </w:tc>
        <w:tc>
          <w:tcPr>
            <w:tcW w:w="503" w:type="pct"/>
            <w:vAlign w:val="center"/>
          </w:tcPr>
          <w:p w14:paraId="3869D6D1">
            <w:pPr>
              <w:pStyle w:val="143"/>
              <w:rPr>
                <w:rFonts w:hint="default"/>
                <w:bCs/>
                <w:snapToGrid w:val="0"/>
                <w:color w:val="000000" w:themeColor="text1"/>
                <w:kern w:val="0"/>
                <w:lang w:val="en-US" w:eastAsia="zh-CN"/>
                <w14:textFill>
                  <w14:solidFill>
                    <w14:schemeClr w14:val="tx1"/>
                  </w14:solidFill>
                </w14:textFill>
              </w:rPr>
            </w:pPr>
            <w:r>
              <w:rPr>
                <w:rFonts w:hint="default"/>
                <w:bCs/>
                <w:snapToGrid w:val="0"/>
                <w:color w:val="000000" w:themeColor="text1"/>
                <w:kern w:val="0"/>
                <w:lang w:val="en-US" w:eastAsia="zh-CN"/>
                <w14:textFill>
                  <w14:solidFill>
                    <w14:schemeClr w14:val="tx1"/>
                  </w14:solidFill>
                </w14:textFill>
              </w:rPr>
              <w:t>CO</w:t>
            </w:r>
            <w:r>
              <w:rPr>
                <w:rFonts w:hint="default"/>
                <w:bCs/>
                <w:snapToGrid w:val="0"/>
                <w:color w:val="000000" w:themeColor="text1"/>
                <w:kern w:val="0"/>
                <w:vertAlign w:val="subscript"/>
                <w:lang w:val="en-US" w:eastAsia="zh-CN"/>
                <w14:textFill>
                  <w14:solidFill>
                    <w14:schemeClr w14:val="tx1"/>
                  </w14:solidFill>
                </w14:textFill>
              </w:rPr>
              <w:t>2</w:t>
            </w:r>
            <w:r>
              <w:rPr>
                <w:rFonts w:hint="eastAsia"/>
                <w:bCs/>
                <w:snapToGrid w:val="0"/>
                <w:color w:val="000000" w:themeColor="text1"/>
                <w:kern w:val="0"/>
                <w:vertAlign w:val="baseline"/>
                <w:lang w:val="en-US" w:eastAsia="zh-CN"/>
                <w14:textFill>
                  <w14:solidFill>
                    <w14:schemeClr w14:val="tx1"/>
                  </w14:solidFill>
                </w14:textFill>
              </w:rPr>
              <w:t>干燥</w:t>
            </w:r>
          </w:p>
        </w:tc>
        <w:tc>
          <w:tcPr>
            <w:tcW w:w="391" w:type="pct"/>
            <w:vAlign w:val="center"/>
          </w:tcPr>
          <w:p w14:paraId="18BEB1E5">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废干燥剂</w:t>
            </w:r>
          </w:p>
        </w:tc>
        <w:tc>
          <w:tcPr>
            <w:tcW w:w="485" w:type="pct"/>
            <w:vAlign w:val="center"/>
          </w:tcPr>
          <w:p w14:paraId="381667AF">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900-005-S59</w:t>
            </w:r>
          </w:p>
        </w:tc>
        <w:tc>
          <w:tcPr>
            <w:tcW w:w="344" w:type="pct"/>
            <w:vAlign w:val="center"/>
          </w:tcPr>
          <w:p w14:paraId="1D80CB9C">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6B1FFF49">
            <w:pPr>
              <w:pStyle w:val="143"/>
              <w:ind w:firstLine="0" w:firstLineChars="0"/>
              <w:rPr>
                <w:bCs/>
                <w:snapToGrid w:val="0"/>
                <w:color w:val="000000" w:themeColor="text1"/>
                <w:kern w:val="0"/>
                <w:lang w:val="en-US"/>
                <w14:textFill>
                  <w14:solidFill>
                    <w14:schemeClr w14:val="tx1"/>
                  </w14:solidFill>
                </w14:textFill>
              </w:rPr>
            </w:pPr>
            <w:r>
              <w:rPr>
                <w:bCs/>
                <w:snapToGrid w:val="0"/>
                <w:color w:val="000000" w:themeColor="text1"/>
                <w:kern w:val="0"/>
                <w:lang w:val="en-US"/>
                <w14:textFill>
                  <w14:solidFill>
                    <w14:schemeClr w14:val="tx1"/>
                  </w14:solidFill>
                </w14:textFill>
              </w:rPr>
              <w:t>类比法</w:t>
            </w:r>
          </w:p>
        </w:tc>
        <w:tc>
          <w:tcPr>
            <w:tcW w:w="342" w:type="pct"/>
            <w:vAlign w:val="center"/>
          </w:tcPr>
          <w:p w14:paraId="6E1DEF7E">
            <w:pPr>
              <w:pStyle w:val="143"/>
              <w:ind w:firstLine="0" w:firstLineChars="0"/>
              <w:rPr>
                <w:rFonts w:hint="eastAsia"/>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0.5</w:t>
            </w:r>
          </w:p>
        </w:tc>
        <w:tc>
          <w:tcPr>
            <w:tcW w:w="1561" w:type="pct"/>
            <w:vMerge w:val="continue"/>
            <w:vAlign w:val="center"/>
          </w:tcPr>
          <w:p w14:paraId="3FF92276">
            <w:pPr>
              <w:pStyle w:val="143"/>
              <w:rPr>
                <w:snapToGrid w:val="0"/>
                <w:color w:val="000000" w:themeColor="text1"/>
                <w:kern w:val="0"/>
                <w14:textFill>
                  <w14:solidFill>
                    <w14:schemeClr w14:val="tx1"/>
                  </w14:solidFill>
                </w14:textFill>
              </w:rPr>
            </w:pPr>
          </w:p>
        </w:tc>
        <w:tc>
          <w:tcPr>
            <w:tcW w:w="471" w:type="pct"/>
            <w:vAlign w:val="center"/>
          </w:tcPr>
          <w:p w14:paraId="32431CAB">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0.5</w:t>
            </w:r>
          </w:p>
        </w:tc>
      </w:tr>
      <w:tr w14:paraId="666B6A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3F0CF801">
            <w:pPr>
              <w:pStyle w:val="143"/>
              <w:ind w:firstLine="0" w:firstLineChars="0"/>
              <w:rPr>
                <w:rFonts w:hint="eastAsia"/>
                <w:bCs/>
                <w:snapToGrid w:val="0"/>
                <w:color w:val="000000" w:themeColor="text1"/>
                <w:kern w:val="0"/>
                <w:lang w:eastAsia="zh-CN"/>
                <w14:textFill>
                  <w14:solidFill>
                    <w14:schemeClr w14:val="tx1"/>
                  </w14:solidFill>
                </w14:textFill>
              </w:rPr>
            </w:pPr>
            <w:r>
              <w:rPr>
                <w:bCs/>
                <w:snapToGrid w:val="0"/>
                <w:color w:val="000000" w:themeColor="text1"/>
                <w:kern w:val="0"/>
                <w14:textFill>
                  <w14:solidFill>
                    <w14:schemeClr w14:val="tx1"/>
                  </w14:solidFill>
                </w14:textFill>
              </w:rPr>
              <w:t>纯水制备</w:t>
            </w:r>
          </w:p>
        </w:tc>
        <w:tc>
          <w:tcPr>
            <w:tcW w:w="503" w:type="pct"/>
            <w:vAlign w:val="center"/>
          </w:tcPr>
          <w:p w14:paraId="51F9C973">
            <w:pPr>
              <w:pStyle w:val="143"/>
              <w:ind w:firstLine="0" w:firstLineChars="0"/>
              <w:rPr>
                <w:rFonts w:hint="default"/>
                <w:bCs/>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w:t>
            </w:r>
            <w:r>
              <w:rPr>
                <w:rFonts w:hint="eastAsia"/>
                <w:snapToGrid w:val="0"/>
                <w:color w:val="000000" w:themeColor="text1"/>
                <w:kern w:val="0"/>
                <w:lang w:eastAsia="zh-CN"/>
                <w14:textFill>
                  <w14:solidFill>
                    <w14:schemeClr w14:val="tx1"/>
                  </w14:solidFill>
                </w14:textFill>
              </w:rPr>
              <w:t>车间</w:t>
            </w:r>
          </w:p>
        </w:tc>
        <w:tc>
          <w:tcPr>
            <w:tcW w:w="391" w:type="pct"/>
            <w:vAlign w:val="center"/>
          </w:tcPr>
          <w:p w14:paraId="49D79FF0">
            <w:pPr>
              <w:pStyle w:val="143"/>
              <w:rPr>
                <w:rFonts w:hint="eastAsia"/>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废过滤材料</w:t>
            </w:r>
          </w:p>
        </w:tc>
        <w:tc>
          <w:tcPr>
            <w:tcW w:w="485" w:type="pct"/>
            <w:vAlign w:val="center"/>
          </w:tcPr>
          <w:p w14:paraId="2D34FF1F">
            <w:pPr>
              <w:pStyle w:val="143"/>
              <w:ind w:firstLine="0" w:firstLineChars="0"/>
              <w:rPr>
                <w:rFonts w:hint="eastAsia"/>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14:textFill>
                  <w14:solidFill>
                    <w14:schemeClr w14:val="tx1"/>
                  </w14:solidFill>
                </w14:textFill>
              </w:rPr>
              <w:t>900-009-S59</w:t>
            </w:r>
          </w:p>
        </w:tc>
        <w:tc>
          <w:tcPr>
            <w:tcW w:w="344" w:type="pct"/>
            <w:vAlign w:val="center"/>
          </w:tcPr>
          <w:p w14:paraId="7FA7ACE4">
            <w:pPr>
              <w:pStyle w:val="143"/>
              <w:ind w:firstLine="0" w:firstLineChars="0"/>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3C79C68B">
            <w:pPr>
              <w:pStyle w:val="143"/>
              <w:ind w:firstLine="0" w:firstLineChars="0"/>
              <w:rPr>
                <w:bCs/>
                <w:snapToGrid w:val="0"/>
                <w:color w:val="000000" w:themeColor="text1"/>
                <w:kern w:val="0"/>
                <w:lang w:val="en-US"/>
                <w14:textFill>
                  <w14:solidFill>
                    <w14:schemeClr w14:val="tx1"/>
                  </w14:solidFill>
                </w14:textFill>
              </w:rPr>
            </w:pPr>
            <w:r>
              <w:rPr>
                <w:bCs/>
                <w:snapToGrid w:val="0"/>
                <w:color w:val="000000" w:themeColor="text1"/>
                <w:kern w:val="0"/>
                <w:lang w:val="en-US"/>
                <w14:textFill>
                  <w14:solidFill>
                    <w14:schemeClr w14:val="tx1"/>
                  </w14:solidFill>
                </w14:textFill>
              </w:rPr>
              <w:t>类比法</w:t>
            </w:r>
          </w:p>
        </w:tc>
        <w:tc>
          <w:tcPr>
            <w:tcW w:w="342" w:type="pct"/>
            <w:vAlign w:val="center"/>
          </w:tcPr>
          <w:p w14:paraId="04DB3D21">
            <w:pPr>
              <w:pStyle w:val="143"/>
              <w:ind w:firstLine="0" w:firstLineChars="0"/>
              <w:rPr>
                <w:rFonts w:hint="eastAsia"/>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14:textFill>
                  <w14:solidFill>
                    <w14:schemeClr w14:val="tx1"/>
                  </w14:solidFill>
                </w14:textFill>
              </w:rPr>
              <w:t>0.2</w:t>
            </w:r>
          </w:p>
        </w:tc>
        <w:tc>
          <w:tcPr>
            <w:tcW w:w="1561" w:type="pct"/>
            <w:vAlign w:val="center"/>
          </w:tcPr>
          <w:p w14:paraId="01FB8D75">
            <w:pPr>
              <w:pStyle w:val="143"/>
              <w:rPr>
                <w:snapToGrid w:val="0"/>
                <w:color w:val="000000" w:themeColor="text1"/>
                <w:kern w:val="0"/>
                <w14:textFill>
                  <w14:solidFill>
                    <w14:schemeClr w14:val="tx1"/>
                  </w14:solidFill>
                </w14:textFill>
              </w:rPr>
            </w:pPr>
            <w:r>
              <w:rPr>
                <w:rFonts w:hint="eastAsia"/>
                <w:snapToGrid w:val="0"/>
                <w:color w:val="000000" w:themeColor="text1"/>
                <w14:textFill>
                  <w14:solidFill>
                    <w14:schemeClr w14:val="tx1"/>
                  </w14:solidFill>
                </w14:textFill>
              </w:rPr>
              <w:t>由纯水设备公司</w:t>
            </w:r>
            <w:r>
              <w:rPr>
                <w:rFonts w:hint="eastAsia"/>
                <w:snapToGrid w:val="0"/>
                <w:color w:val="000000" w:themeColor="text1"/>
                <w:lang w:val="en-US" w:eastAsia="zh-CN"/>
                <w14:textFill>
                  <w14:solidFill>
                    <w14:schemeClr w14:val="tx1"/>
                  </w14:solidFill>
                </w14:textFill>
              </w:rPr>
              <w:t>定期更换时</w:t>
            </w:r>
            <w:r>
              <w:rPr>
                <w:rFonts w:hint="eastAsia"/>
                <w:snapToGrid w:val="0"/>
                <w:color w:val="000000" w:themeColor="text1"/>
                <w14:textFill>
                  <w14:solidFill>
                    <w14:schemeClr w14:val="tx1"/>
                  </w14:solidFill>
                </w14:textFill>
              </w:rPr>
              <w:t>回收处理</w:t>
            </w:r>
          </w:p>
        </w:tc>
        <w:tc>
          <w:tcPr>
            <w:tcW w:w="471" w:type="pct"/>
            <w:vAlign w:val="center"/>
          </w:tcPr>
          <w:p w14:paraId="07EEF18B">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0.2</w:t>
            </w:r>
          </w:p>
        </w:tc>
      </w:tr>
      <w:tr w14:paraId="2F923E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1E8616EA">
            <w:pPr>
              <w:pStyle w:val="143"/>
              <w:ind w:firstLine="0" w:firstLineChars="0"/>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软水制备</w:t>
            </w:r>
          </w:p>
        </w:tc>
        <w:tc>
          <w:tcPr>
            <w:tcW w:w="503" w:type="pct"/>
            <w:vAlign w:val="center"/>
          </w:tcPr>
          <w:p w14:paraId="5C6C809E">
            <w:pPr>
              <w:pStyle w:val="143"/>
              <w:ind w:firstLine="0" w:firstLineChars="0"/>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锅炉房</w:t>
            </w:r>
          </w:p>
        </w:tc>
        <w:tc>
          <w:tcPr>
            <w:tcW w:w="391" w:type="pct"/>
            <w:vAlign w:val="center"/>
          </w:tcPr>
          <w:p w14:paraId="3165FA9F">
            <w:pPr>
              <w:pStyle w:val="143"/>
              <w:ind w:firstLine="0" w:firstLineChars="0"/>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废离子交换树脂</w:t>
            </w:r>
          </w:p>
        </w:tc>
        <w:tc>
          <w:tcPr>
            <w:tcW w:w="485" w:type="pct"/>
            <w:vAlign w:val="center"/>
          </w:tcPr>
          <w:p w14:paraId="3102FACB">
            <w:pPr>
              <w:pStyle w:val="143"/>
              <w:ind w:firstLine="0" w:firstLineChars="0"/>
              <w:rPr>
                <w:rFonts w:hint="eastAsia"/>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14:textFill>
                  <w14:solidFill>
                    <w14:schemeClr w14:val="tx1"/>
                  </w14:solidFill>
                </w14:textFill>
              </w:rPr>
              <w:t>900-008-S59</w:t>
            </w:r>
          </w:p>
        </w:tc>
        <w:tc>
          <w:tcPr>
            <w:tcW w:w="344" w:type="pct"/>
            <w:vAlign w:val="center"/>
          </w:tcPr>
          <w:p w14:paraId="165AF2D5">
            <w:pPr>
              <w:pStyle w:val="143"/>
              <w:ind w:firstLine="0" w:firstLineChars="0"/>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一般固废</w:t>
            </w:r>
          </w:p>
        </w:tc>
        <w:tc>
          <w:tcPr>
            <w:tcW w:w="433" w:type="pct"/>
            <w:vAlign w:val="center"/>
          </w:tcPr>
          <w:p w14:paraId="3E6AC584">
            <w:pPr>
              <w:pStyle w:val="143"/>
              <w:ind w:firstLine="0" w:firstLineChars="0"/>
              <w:rPr>
                <w:bCs/>
                <w:snapToGrid w:val="0"/>
                <w:color w:val="000000" w:themeColor="text1"/>
                <w:kern w:val="0"/>
                <w:lang w:val="en-US"/>
                <w14:textFill>
                  <w14:solidFill>
                    <w14:schemeClr w14:val="tx1"/>
                  </w14:solidFill>
                </w14:textFill>
              </w:rPr>
            </w:pPr>
            <w:r>
              <w:rPr>
                <w:bCs/>
                <w:snapToGrid w:val="0"/>
                <w:color w:val="000000" w:themeColor="text1"/>
                <w:kern w:val="0"/>
                <w:lang w:val="en-US"/>
                <w14:textFill>
                  <w14:solidFill>
                    <w14:schemeClr w14:val="tx1"/>
                  </w14:solidFill>
                </w14:textFill>
              </w:rPr>
              <w:t>类比法</w:t>
            </w:r>
          </w:p>
        </w:tc>
        <w:tc>
          <w:tcPr>
            <w:tcW w:w="342" w:type="pct"/>
            <w:vAlign w:val="center"/>
          </w:tcPr>
          <w:p w14:paraId="40A7BE4F">
            <w:pPr>
              <w:pStyle w:val="143"/>
              <w:ind w:firstLine="0" w:firstLineChars="0"/>
              <w:rPr>
                <w:rFonts w:hint="eastAsia"/>
                <w:bCs/>
                <w:snapToGrid w:val="0"/>
                <w:color w:val="000000" w:themeColor="text1"/>
                <w:kern w:val="0"/>
                <w:lang w:val="en-US"/>
                <w14:textFill>
                  <w14:solidFill>
                    <w14:schemeClr w14:val="tx1"/>
                  </w14:solidFill>
                </w14:textFill>
              </w:rPr>
            </w:pPr>
            <w:r>
              <w:rPr>
                <w:bCs/>
                <w:snapToGrid w:val="0"/>
                <w:color w:val="000000" w:themeColor="text1"/>
                <w:kern w:val="0"/>
                <w:lang w:val="en-US"/>
                <w14:textFill>
                  <w14:solidFill>
                    <w14:schemeClr w14:val="tx1"/>
                  </w14:solidFill>
                </w14:textFill>
              </w:rPr>
              <w:t>0.05</w:t>
            </w:r>
          </w:p>
        </w:tc>
        <w:tc>
          <w:tcPr>
            <w:tcW w:w="1561" w:type="pct"/>
            <w:vAlign w:val="center"/>
          </w:tcPr>
          <w:p w14:paraId="22ACC659">
            <w:pPr>
              <w:pStyle w:val="143"/>
              <w:ind w:firstLine="0" w:firstLineChars="0"/>
              <w:rPr>
                <w:rFonts w:hint="eastAsia"/>
                <w:snapToGrid w:val="0"/>
                <w:color w:val="000000" w:themeColor="text1"/>
                <w14:textFill>
                  <w14:solidFill>
                    <w14:schemeClr w14:val="tx1"/>
                  </w14:solidFill>
                </w14:textFill>
              </w:rPr>
            </w:pPr>
            <w:r>
              <w:rPr>
                <w:snapToGrid w:val="0"/>
                <w:color w:val="000000" w:themeColor="text1"/>
                <w14:textFill>
                  <w14:solidFill>
                    <w14:schemeClr w14:val="tx1"/>
                  </w14:solidFill>
                </w14:textFill>
              </w:rPr>
              <w:t>由软水设备</w:t>
            </w:r>
            <w:r>
              <w:rPr>
                <w:rFonts w:hint="eastAsia"/>
                <w:snapToGrid w:val="0"/>
                <w:color w:val="000000" w:themeColor="text1"/>
                <w:lang w:val="en-US" w:eastAsia="zh-CN"/>
                <w14:textFill>
                  <w14:solidFill>
                    <w14:schemeClr w14:val="tx1"/>
                  </w14:solidFill>
                </w14:textFill>
              </w:rPr>
              <w:t>公司更换时</w:t>
            </w:r>
            <w:r>
              <w:rPr>
                <w:snapToGrid w:val="0"/>
                <w:color w:val="000000" w:themeColor="text1"/>
                <w14:textFill>
                  <w14:solidFill>
                    <w14:schemeClr w14:val="tx1"/>
                  </w14:solidFill>
                </w14:textFill>
              </w:rPr>
              <w:t>回收处理</w:t>
            </w:r>
          </w:p>
        </w:tc>
        <w:tc>
          <w:tcPr>
            <w:tcW w:w="471" w:type="pct"/>
            <w:vAlign w:val="center"/>
          </w:tcPr>
          <w:p w14:paraId="319A6CD5">
            <w:pPr>
              <w:pStyle w:val="143"/>
              <w:ind w:firstLine="0" w:firstLineChars="0"/>
              <w:rPr>
                <w:rFonts w:hint="eastAsia"/>
                <w:bCs/>
                <w:snapToGrid w:val="0"/>
                <w:color w:val="000000" w:themeColor="text1"/>
                <w:kern w:val="0"/>
                <w:lang w:val="en-US" w:eastAsia="zh-CN"/>
                <w14:textFill>
                  <w14:solidFill>
                    <w14:schemeClr w14:val="tx1"/>
                  </w14:solidFill>
                </w14:textFill>
              </w:rPr>
            </w:pPr>
            <w:r>
              <w:rPr>
                <w:bCs/>
                <w:snapToGrid w:val="0"/>
                <w:color w:val="000000" w:themeColor="text1"/>
                <w:kern w:val="0"/>
                <w:lang w:val="en-US"/>
                <w14:textFill>
                  <w14:solidFill>
                    <w14:schemeClr w14:val="tx1"/>
                  </w14:solidFill>
                </w14:textFill>
              </w:rPr>
              <w:t>0.05</w:t>
            </w:r>
          </w:p>
        </w:tc>
      </w:tr>
      <w:tr w14:paraId="427AA3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8" w:type="pct"/>
            <w:vAlign w:val="center"/>
          </w:tcPr>
          <w:p w14:paraId="3920F90E">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生产</w:t>
            </w:r>
          </w:p>
        </w:tc>
        <w:tc>
          <w:tcPr>
            <w:tcW w:w="503" w:type="pct"/>
            <w:vAlign w:val="center"/>
          </w:tcPr>
          <w:p w14:paraId="40FF580A">
            <w:pPr>
              <w:pStyle w:val="143"/>
              <w:rPr>
                <w:rFonts w:hint="default"/>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酿造车间</w:t>
            </w:r>
          </w:p>
        </w:tc>
        <w:tc>
          <w:tcPr>
            <w:tcW w:w="391" w:type="pct"/>
            <w:vAlign w:val="center"/>
          </w:tcPr>
          <w:p w14:paraId="1EE15C30">
            <w:pPr>
              <w:pStyle w:val="143"/>
              <w:rPr>
                <w:bCs/>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废危化品包装材料</w:t>
            </w:r>
          </w:p>
        </w:tc>
        <w:tc>
          <w:tcPr>
            <w:tcW w:w="485" w:type="pct"/>
            <w:vAlign w:val="center"/>
          </w:tcPr>
          <w:p w14:paraId="37A39EF5">
            <w:pPr>
              <w:pStyle w:val="143"/>
              <w:rPr>
                <w:bCs/>
                <w:snapToGrid w:val="0"/>
                <w:color w:val="000000" w:themeColor="text1"/>
                <w:kern w:val="0"/>
                <w:lang w:val="en-US"/>
                <w14:textFill>
                  <w14:solidFill>
                    <w14:schemeClr w14:val="tx1"/>
                  </w14:solidFill>
                </w14:textFill>
              </w:rPr>
            </w:pPr>
            <w:r>
              <w:rPr>
                <w:bCs/>
                <w:snapToGrid w:val="0"/>
                <w:color w:val="000000" w:themeColor="text1"/>
                <w:kern w:val="0"/>
                <w:lang w:val="en-US"/>
                <w14:textFill>
                  <w14:solidFill>
                    <w14:schemeClr w14:val="tx1"/>
                  </w14:solidFill>
                </w14:textFill>
              </w:rPr>
              <w:t>HW49</w:t>
            </w:r>
          </w:p>
          <w:p w14:paraId="4059CFF7">
            <w:pPr>
              <w:pStyle w:val="143"/>
              <w:rPr>
                <w:bCs/>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900-04</w:t>
            </w:r>
            <w:r>
              <w:rPr>
                <w:rFonts w:hint="eastAsia"/>
                <w:bCs/>
                <w:snapToGrid w:val="0"/>
                <w:color w:val="000000" w:themeColor="text1"/>
                <w:kern w:val="0"/>
                <w:lang w:val="en-US" w:eastAsia="zh-CN"/>
                <w14:textFill>
                  <w14:solidFill>
                    <w14:schemeClr w14:val="tx1"/>
                  </w14:solidFill>
                </w14:textFill>
              </w:rPr>
              <w:t>1</w:t>
            </w:r>
            <w:r>
              <w:rPr>
                <w:rFonts w:hint="eastAsia"/>
                <w:bCs/>
                <w:snapToGrid w:val="0"/>
                <w:color w:val="000000" w:themeColor="text1"/>
                <w:kern w:val="0"/>
                <w:lang w:val="en-US"/>
                <w14:textFill>
                  <w14:solidFill>
                    <w14:schemeClr w14:val="tx1"/>
                  </w14:solidFill>
                </w14:textFill>
              </w:rPr>
              <w:t>-49</w:t>
            </w:r>
          </w:p>
        </w:tc>
        <w:tc>
          <w:tcPr>
            <w:tcW w:w="344" w:type="pct"/>
            <w:vAlign w:val="center"/>
          </w:tcPr>
          <w:p w14:paraId="469A6E23">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危险废物</w:t>
            </w:r>
          </w:p>
        </w:tc>
        <w:tc>
          <w:tcPr>
            <w:tcW w:w="433" w:type="pct"/>
            <w:vAlign w:val="center"/>
          </w:tcPr>
          <w:p w14:paraId="2D80003E">
            <w:pPr>
              <w:pStyle w:val="143"/>
              <w:rPr>
                <w:bCs/>
                <w:snapToGrid w:val="0"/>
                <w:color w:val="000000" w:themeColor="text1"/>
                <w:kern w:val="0"/>
                <w14:textFill>
                  <w14:solidFill>
                    <w14:schemeClr w14:val="tx1"/>
                  </w14:solidFill>
                </w14:textFill>
              </w:rPr>
            </w:pPr>
            <w:r>
              <w:rPr>
                <w:bCs/>
                <w:snapToGrid w:val="0"/>
                <w:color w:val="000000" w:themeColor="text1"/>
                <w:kern w:val="0"/>
                <w:lang w:val="en-US"/>
                <w14:textFill>
                  <w14:solidFill>
                    <w14:schemeClr w14:val="tx1"/>
                  </w14:solidFill>
                </w14:textFill>
              </w:rPr>
              <w:t>类比法</w:t>
            </w:r>
          </w:p>
        </w:tc>
        <w:tc>
          <w:tcPr>
            <w:tcW w:w="342" w:type="pct"/>
            <w:vAlign w:val="center"/>
          </w:tcPr>
          <w:p w14:paraId="229627F6">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0.5</w:t>
            </w:r>
          </w:p>
        </w:tc>
        <w:tc>
          <w:tcPr>
            <w:tcW w:w="1561" w:type="pct"/>
            <w:vMerge w:val="restart"/>
            <w:vAlign w:val="center"/>
          </w:tcPr>
          <w:p w14:paraId="7587CF3F">
            <w:pPr>
              <w:pStyle w:val="143"/>
              <w:jc w:val="center"/>
              <w:rPr>
                <w:bCs/>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暂存于危险废物贮存点后委托有资质单位处置</w:t>
            </w:r>
          </w:p>
        </w:tc>
        <w:tc>
          <w:tcPr>
            <w:tcW w:w="471" w:type="pct"/>
            <w:vAlign w:val="center"/>
          </w:tcPr>
          <w:p w14:paraId="76269DA4">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0.5</w:t>
            </w:r>
          </w:p>
        </w:tc>
      </w:tr>
      <w:tr w14:paraId="21A4FA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63A6F8FB">
            <w:pPr>
              <w:pStyle w:val="143"/>
              <w:ind w:firstLine="0" w:firstLineChars="0"/>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质检</w:t>
            </w:r>
          </w:p>
        </w:tc>
        <w:tc>
          <w:tcPr>
            <w:tcW w:w="503" w:type="pct"/>
            <w:vAlign w:val="center"/>
          </w:tcPr>
          <w:p w14:paraId="399A96AE">
            <w:pPr>
              <w:pStyle w:val="143"/>
              <w:ind w:firstLine="0" w:firstLineChars="0"/>
              <w:rPr>
                <w:rFonts w:hint="eastAsia"/>
                <w:bCs/>
                <w:snapToGrid w:val="0"/>
                <w:color w:val="000000" w:themeColor="text1"/>
                <w:kern w:val="0"/>
                <w:lang w:eastAsia="zh-CN"/>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化验室</w:t>
            </w:r>
          </w:p>
        </w:tc>
        <w:tc>
          <w:tcPr>
            <w:tcW w:w="391" w:type="pct"/>
            <w:vAlign w:val="center"/>
          </w:tcPr>
          <w:p w14:paraId="6F4DBFFE">
            <w:pPr>
              <w:pStyle w:val="143"/>
              <w:ind w:firstLine="0" w:firstLineChars="0"/>
              <w:rPr>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化验室废液</w:t>
            </w:r>
          </w:p>
        </w:tc>
        <w:tc>
          <w:tcPr>
            <w:tcW w:w="485" w:type="pct"/>
            <w:vAlign w:val="center"/>
          </w:tcPr>
          <w:p w14:paraId="0529FDF1">
            <w:pPr>
              <w:pStyle w:val="143"/>
              <w:rPr>
                <w:bCs/>
                <w:snapToGrid w:val="0"/>
                <w:color w:val="000000" w:themeColor="text1"/>
                <w:kern w:val="0"/>
                <w:lang w:val="en-US"/>
                <w14:textFill>
                  <w14:solidFill>
                    <w14:schemeClr w14:val="tx1"/>
                  </w14:solidFill>
                </w14:textFill>
              </w:rPr>
            </w:pPr>
            <w:r>
              <w:rPr>
                <w:bCs/>
                <w:snapToGrid w:val="0"/>
                <w:color w:val="000000" w:themeColor="text1"/>
                <w:kern w:val="0"/>
                <w:lang w:val="en-US"/>
                <w14:textFill>
                  <w14:solidFill>
                    <w14:schemeClr w14:val="tx1"/>
                  </w14:solidFill>
                </w14:textFill>
              </w:rPr>
              <w:t>HW49</w:t>
            </w:r>
          </w:p>
          <w:p w14:paraId="41F44213">
            <w:pPr>
              <w:pStyle w:val="143"/>
              <w:ind w:firstLine="0" w:firstLineChars="0"/>
              <w:rPr>
                <w:rFonts w:hint="eastAsia"/>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14:textFill>
                  <w14:solidFill>
                    <w14:schemeClr w14:val="tx1"/>
                  </w14:solidFill>
                </w14:textFill>
              </w:rPr>
              <w:t>900-047-49</w:t>
            </w:r>
          </w:p>
        </w:tc>
        <w:tc>
          <w:tcPr>
            <w:tcW w:w="344" w:type="pct"/>
            <w:vAlign w:val="center"/>
          </w:tcPr>
          <w:p w14:paraId="2DCAD63A">
            <w:pPr>
              <w:pStyle w:val="143"/>
              <w:ind w:firstLine="0" w:firstLineChars="0"/>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危险废物</w:t>
            </w:r>
          </w:p>
        </w:tc>
        <w:tc>
          <w:tcPr>
            <w:tcW w:w="433" w:type="pct"/>
            <w:vAlign w:val="center"/>
          </w:tcPr>
          <w:p w14:paraId="1102B7B5">
            <w:pPr>
              <w:pStyle w:val="143"/>
              <w:ind w:firstLine="0" w:firstLineChars="0"/>
              <w:rPr>
                <w:bCs/>
                <w:snapToGrid w:val="0"/>
                <w:color w:val="000000" w:themeColor="text1"/>
                <w:kern w:val="0"/>
                <w14:textFill>
                  <w14:solidFill>
                    <w14:schemeClr w14:val="tx1"/>
                  </w14:solidFill>
                </w14:textFill>
              </w:rPr>
            </w:pPr>
            <w:r>
              <w:rPr>
                <w:bCs/>
                <w:snapToGrid w:val="0"/>
                <w:color w:val="000000" w:themeColor="text1"/>
                <w:kern w:val="0"/>
                <w:lang w:val="en-US"/>
                <w14:textFill>
                  <w14:solidFill>
                    <w14:schemeClr w14:val="tx1"/>
                  </w14:solidFill>
                </w14:textFill>
              </w:rPr>
              <w:t>类比法</w:t>
            </w:r>
          </w:p>
        </w:tc>
        <w:tc>
          <w:tcPr>
            <w:tcW w:w="342" w:type="pct"/>
            <w:vAlign w:val="center"/>
          </w:tcPr>
          <w:p w14:paraId="634BBFBD">
            <w:pPr>
              <w:pStyle w:val="143"/>
              <w:ind w:firstLine="0" w:firstLineChars="0"/>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0.1</w:t>
            </w:r>
          </w:p>
        </w:tc>
        <w:tc>
          <w:tcPr>
            <w:tcW w:w="1561" w:type="pct"/>
            <w:vMerge w:val="continue"/>
            <w:vAlign w:val="center"/>
          </w:tcPr>
          <w:p w14:paraId="3603DD3A">
            <w:pPr>
              <w:pStyle w:val="143"/>
              <w:ind w:firstLine="0" w:firstLineChars="0"/>
              <w:rPr>
                <w:snapToGrid w:val="0"/>
                <w:color w:val="000000" w:themeColor="text1"/>
                <w:kern w:val="0"/>
                <w14:textFill>
                  <w14:solidFill>
                    <w14:schemeClr w14:val="tx1"/>
                  </w14:solidFill>
                </w14:textFill>
              </w:rPr>
            </w:pPr>
          </w:p>
        </w:tc>
        <w:tc>
          <w:tcPr>
            <w:tcW w:w="471" w:type="pct"/>
            <w:vAlign w:val="center"/>
          </w:tcPr>
          <w:p w14:paraId="5563D466">
            <w:pPr>
              <w:pStyle w:val="143"/>
              <w:ind w:firstLine="0" w:firstLineChars="0"/>
              <w:rPr>
                <w:rFonts w:hint="eastAsia"/>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14:textFill>
                  <w14:solidFill>
                    <w14:schemeClr w14:val="tx1"/>
                  </w14:solidFill>
                </w14:textFill>
              </w:rPr>
              <w:t>0.</w:t>
            </w:r>
            <w:r>
              <w:rPr>
                <w:bCs/>
                <w:snapToGrid w:val="0"/>
                <w:color w:val="000000" w:themeColor="text1"/>
                <w:kern w:val="0"/>
                <w:lang w:val="en-US"/>
                <w14:textFill>
                  <w14:solidFill>
                    <w14:schemeClr w14:val="tx1"/>
                  </w14:solidFill>
                </w14:textFill>
              </w:rPr>
              <w:t>1</w:t>
            </w:r>
          </w:p>
        </w:tc>
      </w:tr>
      <w:tr w14:paraId="611657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613D8174">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设备维修</w:t>
            </w:r>
          </w:p>
        </w:tc>
        <w:tc>
          <w:tcPr>
            <w:tcW w:w="503" w:type="pct"/>
            <w:vAlign w:val="center"/>
          </w:tcPr>
          <w:p w14:paraId="47A3F20F">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设备维修</w:t>
            </w:r>
          </w:p>
        </w:tc>
        <w:tc>
          <w:tcPr>
            <w:tcW w:w="391" w:type="pct"/>
            <w:vAlign w:val="center"/>
          </w:tcPr>
          <w:p w14:paraId="3300C3FC">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废机油</w:t>
            </w:r>
          </w:p>
        </w:tc>
        <w:tc>
          <w:tcPr>
            <w:tcW w:w="485" w:type="pct"/>
            <w:vAlign w:val="center"/>
          </w:tcPr>
          <w:p w14:paraId="56B6B2B3">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HW08</w:t>
            </w:r>
          </w:p>
          <w:p w14:paraId="1F339045">
            <w:pPr>
              <w:pStyle w:val="143"/>
              <w:rPr>
                <w:rFonts w:hint="eastAsia"/>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900-214-08</w:t>
            </w:r>
          </w:p>
        </w:tc>
        <w:tc>
          <w:tcPr>
            <w:tcW w:w="344" w:type="pct"/>
            <w:vAlign w:val="center"/>
          </w:tcPr>
          <w:p w14:paraId="6A544B95">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危险废物</w:t>
            </w:r>
          </w:p>
        </w:tc>
        <w:tc>
          <w:tcPr>
            <w:tcW w:w="433" w:type="pct"/>
            <w:vAlign w:val="center"/>
          </w:tcPr>
          <w:p w14:paraId="085B7476">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物料衡算法</w:t>
            </w:r>
          </w:p>
        </w:tc>
        <w:tc>
          <w:tcPr>
            <w:tcW w:w="342" w:type="pct"/>
            <w:vAlign w:val="center"/>
          </w:tcPr>
          <w:p w14:paraId="6471B20E">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0.8</w:t>
            </w:r>
          </w:p>
        </w:tc>
        <w:tc>
          <w:tcPr>
            <w:tcW w:w="1561" w:type="pct"/>
            <w:vMerge w:val="continue"/>
            <w:vAlign w:val="center"/>
          </w:tcPr>
          <w:p w14:paraId="1B6CF1A0">
            <w:pPr>
              <w:pStyle w:val="143"/>
              <w:rPr>
                <w:snapToGrid w:val="0"/>
                <w:color w:val="000000" w:themeColor="text1"/>
                <w:kern w:val="0"/>
                <w14:textFill>
                  <w14:solidFill>
                    <w14:schemeClr w14:val="tx1"/>
                  </w14:solidFill>
                </w14:textFill>
              </w:rPr>
            </w:pPr>
          </w:p>
        </w:tc>
        <w:tc>
          <w:tcPr>
            <w:tcW w:w="471" w:type="pct"/>
            <w:vAlign w:val="center"/>
          </w:tcPr>
          <w:p w14:paraId="3AFE7548">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0.8</w:t>
            </w:r>
          </w:p>
        </w:tc>
      </w:tr>
      <w:tr w14:paraId="71FAD0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6E1EEFEA">
            <w:pPr>
              <w:pStyle w:val="143"/>
              <w:ind w:firstLine="0" w:firstLineChars="0"/>
              <w:rPr>
                <w:bCs/>
                <w:snapToGrid w:val="0"/>
                <w:color w:val="000000" w:themeColor="text1"/>
                <w:kern w:val="0"/>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设备维修</w:t>
            </w:r>
          </w:p>
        </w:tc>
        <w:tc>
          <w:tcPr>
            <w:tcW w:w="503" w:type="pct"/>
            <w:vAlign w:val="center"/>
          </w:tcPr>
          <w:p w14:paraId="69636208">
            <w:pPr>
              <w:pStyle w:val="143"/>
              <w:ind w:firstLine="0" w:firstLineChars="0"/>
              <w:rPr>
                <w:rFonts w:hint="eastAsia"/>
                <w:bCs/>
                <w:snapToGrid w:val="0"/>
                <w:color w:val="000000" w:themeColor="text1"/>
                <w:kern w:val="0"/>
                <w:lang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设备维修</w:t>
            </w:r>
          </w:p>
        </w:tc>
        <w:tc>
          <w:tcPr>
            <w:tcW w:w="391" w:type="pct"/>
            <w:vAlign w:val="center"/>
          </w:tcPr>
          <w:p w14:paraId="23BFDEBA">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废机油桶</w:t>
            </w:r>
          </w:p>
        </w:tc>
        <w:tc>
          <w:tcPr>
            <w:tcW w:w="485" w:type="pct"/>
            <w:vAlign w:val="center"/>
          </w:tcPr>
          <w:p w14:paraId="54400633">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HW08</w:t>
            </w:r>
          </w:p>
          <w:p w14:paraId="19F59AC2">
            <w:pPr>
              <w:pStyle w:val="143"/>
              <w:rPr>
                <w:rFonts w:hint="eastAsia"/>
                <w:bCs/>
                <w:snapToGrid w:val="0"/>
                <w:color w:val="000000" w:themeColor="text1"/>
                <w:kern w:val="0"/>
                <w:lang w:val="en-US"/>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900-249-08</w:t>
            </w:r>
          </w:p>
        </w:tc>
        <w:tc>
          <w:tcPr>
            <w:tcW w:w="344" w:type="pct"/>
            <w:vAlign w:val="center"/>
          </w:tcPr>
          <w:p w14:paraId="383B09C7">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危险废物</w:t>
            </w:r>
          </w:p>
        </w:tc>
        <w:tc>
          <w:tcPr>
            <w:tcW w:w="433" w:type="pct"/>
            <w:vAlign w:val="center"/>
          </w:tcPr>
          <w:p w14:paraId="7EB343CE">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物料衡算法</w:t>
            </w:r>
          </w:p>
        </w:tc>
        <w:tc>
          <w:tcPr>
            <w:tcW w:w="342" w:type="pct"/>
            <w:vAlign w:val="center"/>
          </w:tcPr>
          <w:p w14:paraId="337DBEB9">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0.1</w:t>
            </w:r>
          </w:p>
        </w:tc>
        <w:tc>
          <w:tcPr>
            <w:tcW w:w="1561" w:type="pct"/>
            <w:vMerge w:val="continue"/>
            <w:vAlign w:val="center"/>
          </w:tcPr>
          <w:p w14:paraId="4E694EBF">
            <w:pPr>
              <w:pStyle w:val="143"/>
              <w:rPr>
                <w:snapToGrid w:val="0"/>
                <w:color w:val="000000" w:themeColor="text1"/>
                <w:kern w:val="0"/>
                <w14:textFill>
                  <w14:solidFill>
                    <w14:schemeClr w14:val="tx1"/>
                  </w14:solidFill>
                </w14:textFill>
              </w:rPr>
            </w:pPr>
          </w:p>
        </w:tc>
        <w:tc>
          <w:tcPr>
            <w:tcW w:w="471" w:type="pct"/>
            <w:vAlign w:val="center"/>
          </w:tcPr>
          <w:p w14:paraId="5E78960A">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0.1</w:t>
            </w:r>
          </w:p>
        </w:tc>
      </w:tr>
      <w:tr w14:paraId="26B856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059B40F6">
            <w:pPr>
              <w:pStyle w:val="143"/>
              <w:ind w:firstLine="0" w:firstLineChars="0"/>
              <w:rPr>
                <w:rFonts w:hint="eastAsia"/>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设备维修</w:t>
            </w:r>
          </w:p>
        </w:tc>
        <w:tc>
          <w:tcPr>
            <w:tcW w:w="503" w:type="pct"/>
            <w:vAlign w:val="center"/>
          </w:tcPr>
          <w:p w14:paraId="6BC8FE38">
            <w:pPr>
              <w:pStyle w:val="143"/>
              <w:ind w:firstLine="0" w:firstLineChars="0"/>
              <w:rPr>
                <w:rFonts w:hint="eastAsia"/>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设备维修</w:t>
            </w:r>
          </w:p>
        </w:tc>
        <w:tc>
          <w:tcPr>
            <w:tcW w:w="391" w:type="pct"/>
            <w:vAlign w:val="center"/>
          </w:tcPr>
          <w:p w14:paraId="0C1C3E5B">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w:t>
            </w:r>
            <w:r>
              <w:rPr>
                <w:rFonts w:hint="eastAsia"/>
                <w:snapToGrid w:val="0"/>
                <w:color w:val="000000" w:themeColor="text1"/>
                <w:lang w:val="en-US" w:eastAsia="zh-CN"/>
                <w14:textFill>
                  <w14:solidFill>
                    <w14:schemeClr w14:val="tx1"/>
                  </w14:solidFill>
                </w14:textFill>
              </w:rPr>
              <w:t>含油抹布手套</w:t>
            </w:r>
          </w:p>
        </w:tc>
        <w:tc>
          <w:tcPr>
            <w:tcW w:w="485" w:type="pct"/>
            <w:vAlign w:val="center"/>
          </w:tcPr>
          <w:p w14:paraId="420A4C20">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HW08</w:t>
            </w:r>
          </w:p>
          <w:p w14:paraId="75B173BE">
            <w:pPr>
              <w:pStyle w:val="143"/>
              <w:rPr>
                <w:rFonts w:hint="eastAsia"/>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900-249-08</w:t>
            </w:r>
          </w:p>
        </w:tc>
        <w:tc>
          <w:tcPr>
            <w:tcW w:w="344" w:type="pct"/>
            <w:vAlign w:val="center"/>
          </w:tcPr>
          <w:p w14:paraId="2EBA3493">
            <w:pPr>
              <w:pStyle w:val="143"/>
              <w:rPr>
                <w:bCs/>
                <w:snapToGrid w:val="0"/>
                <w:color w:val="000000" w:themeColor="text1"/>
                <w:kern w:val="0"/>
                <w14:textFill>
                  <w14:solidFill>
                    <w14:schemeClr w14:val="tx1"/>
                  </w14:solidFill>
                </w14:textFill>
              </w:rPr>
            </w:pPr>
            <w:r>
              <w:rPr>
                <w:bCs/>
                <w:snapToGrid w:val="0"/>
                <w:color w:val="000000" w:themeColor="text1"/>
                <w:kern w:val="0"/>
                <w14:textFill>
                  <w14:solidFill>
                    <w14:schemeClr w14:val="tx1"/>
                  </w14:solidFill>
                </w14:textFill>
              </w:rPr>
              <w:t>危险废物</w:t>
            </w:r>
          </w:p>
        </w:tc>
        <w:tc>
          <w:tcPr>
            <w:tcW w:w="433" w:type="pct"/>
            <w:vAlign w:val="center"/>
          </w:tcPr>
          <w:p w14:paraId="365CAE0F">
            <w:pPr>
              <w:pStyle w:val="143"/>
              <w:rPr>
                <w:bCs/>
                <w:snapToGrid w:val="0"/>
                <w:color w:val="000000" w:themeColor="text1"/>
                <w:kern w:val="0"/>
                <w14:textFill>
                  <w14:solidFill>
                    <w14:schemeClr w14:val="tx1"/>
                  </w14:solidFill>
                </w14:textFill>
              </w:rPr>
            </w:pPr>
            <w:r>
              <w:rPr>
                <w:bCs/>
                <w:snapToGrid w:val="0"/>
                <w:color w:val="000000" w:themeColor="text1"/>
                <w:kern w:val="0"/>
                <w:lang w:val="en-US"/>
                <w14:textFill>
                  <w14:solidFill>
                    <w14:schemeClr w14:val="tx1"/>
                  </w14:solidFill>
                </w14:textFill>
              </w:rPr>
              <w:t>类比法</w:t>
            </w:r>
          </w:p>
        </w:tc>
        <w:tc>
          <w:tcPr>
            <w:tcW w:w="342" w:type="pct"/>
            <w:vAlign w:val="center"/>
          </w:tcPr>
          <w:p w14:paraId="2ABA1EC0">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0.2</w:t>
            </w:r>
          </w:p>
        </w:tc>
        <w:tc>
          <w:tcPr>
            <w:tcW w:w="1561" w:type="pct"/>
            <w:vMerge w:val="continue"/>
            <w:vAlign w:val="center"/>
          </w:tcPr>
          <w:p w14:paraId="570225F9">
            <w:pPr>
              <w:pStyle w:val="143"/>
              <w:rPr>
                <w:snapToGrid w:val="0"/>
                <w:color w:val="000000" w:themeColor="text1"/>
                <w:kern w:val="0"/>
                <w14:textFill>
                  <w14:solidFill>
                    <w14:schemeClr w14:val="tx1"/>
                  </w14:solidFill>
                </w14:textFill>
              </w:rPr>
            </w:pPr>
          </w:p>
        </w:tc>
        <w:tc>
          <w:tcPr>
            <w:tcW w:w="471" w:type="pct"/>
            <w:vAlign w:val="center"/>
          </w:tcPr>
          <w:p w14:paraId="68583712">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0.2</w:t>
            </w:r>
          </w:p>
        </w:tc>
      </w:tr>
      <w:tr w14:paraId="4FF08D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6BC34BE3">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职工</w:t>
            </w:r>
          </w:p>
        </w:tc>
        <w:tc>
          <w:tcPr>
            <w:tcW w:w="503" w:type="pct"/>
            <w:vAlign w:val="center"/>
          </w:tcPr>
          <w:p w14:paraId="34950791">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职工</w:t>
            </w:r>
          </w:p>
        </w:tc>
        <w:tc>
          <w:tcPr>
            <w:tcW w:w="391" w:type="pct"/>
            <w:vAlign w:val="center"/>
          </w:tcPr>
          <w:p w14:paraId="46843C5D">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生活垃圾</w:t>
            </w:r>
          </w:p>
        </w:tc>
        <w:tc>
          <w:tcPr>
            <w:tcW w:w="485" w:type="pct"/>
            <w:vAlign w:val="center"/>
          </w:tcPr>
          <w:p w14:paraId="276995A5">
            <w:pPr>
              <w:pStyle w:val="143"/>
              <w:rPr>
                <w:rFonts w:hint="eastAsia"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w:t>
            </w:r>
          </w:p>
        </w:tc>
        <w:tc>
          <w:tcPr>
            <w:tcW w:w="344" w:type="pct"/>
            <w:vAlign w:val="center"/>
          </w:tcPr>
          <w:p w14:paraId="5CDD7147">
            <w:pPr>
              <w:pStyle w:val="143"/>
              <w:ind w:firstLine="0" w:firstLineChars="0"/>
              <w:rPr>
                <w:bCs/>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生活垃圾</w:t>
            </w:r>
          </w:p>
        </w:tc>
        <w:tc>
          <w:tcPr>
            <w:tcW w:w="433" w:type="pct"/>
            <w:vAlign w:val="center"/>
          </w:tcPr>
          <w:p w14:paraId="4994494C">
            <w:pPr>
              <w:pStyle w:val="143"/>
              <w:rPr>
                <w:bCs/>
                <w:snapToGrid w:val="0"/>
                <w:color w:val="000000" w:themeColor="text1"/>
                <w:kern w:val="0"/>
                <w:lang w:val="en-US"/>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产污</w:t>
            </w:r>
            <w:r>
              <w:rPr>
                <w:bCs/>
                <w:snapToGrid w:val="0"/>
                <w:color w:val="000000" w:themeColor="text1"/>
                <w:kern w:val="0"/>
                <w14:textFill>
                  <w14:solidFill>
                    <w14:schemeClr w14:val="tx1"/>
                  </w14:solidFill>
                </w14:textFill>
              </w:rPr>
              <w:t>系数法</w:t>
            </w:r>
          </w:p>
        </w:tc>
        <w:tc>
          <w:tcPr>
            <w:tcW w:w="342" w:type="pct"/>
            <w:vAlign w:val="center"/>
          </w:tcPr>
          <w:p w14:paraId="02AED2E3">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16.5</w:t>
            </w:r>
          </w:p>
        </w:tc>
        <w:tc>
          <w:tcPr>
            <w:tcW w:w="1561" w:type="pct"/>
            <w:vAlign w:val="center"/>
          </w:tcPr>
          <w:p w14:paraId="769A4143">
            <w:pPr>
              <w:pStyle w:val="143"/>
              <w:rPr>
                <w:snapToGrid w:val="0"/>
                <w:color w:val="000000" w:themeColor="text1"/>
                <w:kern w:val="0"/>
                <w14:textFill>
                  <w14:solidFill>
                    <w14:schemeClr w14:val="tx1"/>
                  </w14:solidFill>
                </w14:textFill>
              </w:rPr>
            </w:pPr>
            <w:r>
              <w:rPr>
                <w:rFonts w:hint="eastAsia"/>
                <w:b w:val="0"/>
                <w:bCs w:val="0"/>
                <w:snapToGrid w:val="0"/>
                <w:color w:val="000000" w:themeColor="text1"/>
                <w:lang w:val="en-US" w:eastAsia="zh-CN"/>
                <w14:textFill>
                  <w14:solidFill>
                    <w14:schemeClr w14:val="tx1"/>
                  </w14:solidFill>
                </w14:textFill>
              </w:rPr>
              <w:t>经垃圾桶收集暂存后委托环卫部门集中处理</w:t>
            </w:r>
          </w:p>
        </w:tc>
        <w:tc>
          <w:tcPr>
            <w:tcW w:w="471" w:type="pct"/>
            <w:vAlign w:val="center"/>
          </w:tcPr>
          <w:p w14:paraId="6E3AF75A">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16.5</w:t>
            </w:r>
          </w:p>
        </w:tc>
      </w:tr>
      <w:tr w14:paraId="19CC0D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468" w:type="pct"/>
            <w:vAlign w:val="center"/>
          </w:tcPr>
          <w:p w14:paraId="4127D822">
            <w:pPr>
              <w:pStyle w:val="143"/>
              <w:rPr>
                <w:rFonts w:hint="eastAsia"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食堂</w:t>
            </w:r>
          </w:p>
        </w:tc>
        <w:tc>
          <w:tcPr>
            <w:tcW w:w="503" w:type="pct"/>
            <w:vAlign w:val="center"/>
          </w:tcPr>
          <w:p w14:paraId="3A3B44A6">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灶头</w:t>
            </w:r>
          </w:p>
        </w:tc>
        <w:tc>
          <w:tcPr>
            <w:tcW w:w="391" w:type="pct"/>
            <w:vAlign w:val="center"/>
          </w:tcPr>
          <w:p w14:paraId="005A3680">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餐厨垃圾</w:t>
            </w:r>
          </w:p>
        </w:tc>
        <w:tc>
          <w:tcPr>
            <w:tcW w:w="485" w:type="pct"/>
            <w:vAlign w:val="center"/>
          </w:tcPr>
          <w:p w14:paraId="14B54F28">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900-002-S61</w:t>
            </w:r>
          </w:p>
        </w:tc>
        <w:tc>
          <w:tcPr>
            <w:tcW w:w="344" w:type="pct"/>
            <w:vAlign w:val="center"/>
          </w:tcPr>
          <w:p w14:paraId="14306D22">
            <w:pPr>
              <w:pStyle w:val="143"/>
              <w:ind w:firstLine="0" w:firstLineChars="0"/>
              <w:rPr>
                <w:bCs/>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餐厨垃圾</w:t>
            </w:r>
          </w:p>
        </w:tc>
        <w:tc>
          <w:tcPr>
            <w:tcW w:w="433" w:type="pct"/>
            <w:vAlign w:val="center"/>
          </w:tcPr>
          <w:p w14:paraId="0016D919">
            <w:pPr>
              <w:pStyle w:val="143"/>
              <w:rPr>
                <w:bCs/>
                <w:snapToGrid w:val="0"/>
                <w:color w:val="000000" w:themeColor="text1"/>
                <w:kern w:val="0"/>
                <w:lang w:val="en-US"/>
                <w14:textFill>
                  <w14:solidFill>
                    <w14:schemeClr w14:val="tx1"/>
                  </w14:solidFill>
                </w14:textFill>
              </w:rPr>
            </w:pPr>
            <w:r>
              <w:rPr>
                <w:bCs/>
                <w:snapToGrid w:val="0"/>
                <w:color w:val="000000" w:themeColor="text1"/>
                <w:kern w:val="0"/>
                <w14:textFill>
                  <w14:solidFill>
                    <w14:schemeClr w14:val="tx1"/>
                  </w14:solidFill>
                </w14:textFill>
              </w:rPr>
              <w:t>物料衡算法</w:t>
            </w:r>
          </w:p>
        </w:tc>
        <w:tc>
          <w:tcPr>
            <w:tcW w:w="342" w:type="pct"/>
            <w:vAlign w:val="center"/>
          </w:tcPr>
          <w:p w14:paraId="5C7845A2">
            <w:pPr>
              <w:pStyle w:val="143"/>
              <w:rPr>
                <w:rFonts w:hint="default"/>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0.03</w:t>
            </w:r>
          </w:p>
        </w:tc>
        <w:tc>
          <w:tcPr>
            <w:tcW w:w="1561" w:type="pct"/>
            <w:vAlign w:val="center"/>
          </w:tcPr>
          <w:p w14:paraId="09A53203">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集中收集，交由有资质单位处理</w:t>
            </w:r>
          </w:p>
        </w:tc>
        <w:tc>
          <w:tcPr>
            <w:tcW w:w="471" w:type="pct"/>
            <w:vAlign w:val="center"/>
          </w:tcPr>
          <w:p w14:paraId="4753359F">
            <w:pPr>
              <w:pStyle w:val="143"/>
              <w:rPr>
                <w:rFonts w:hint="default" w:eastAsia="宋体"/>
                <w:bCs/>
                <w:snapToGrid w:val="0"/>
                <w:color w:val="000000" w:themeColor="text1"/>
                <w:kern w:val="0"/>
                <w:lang w:val="en-US" w:eastAsia="zh-CN"/>
                <w14:textFill>
                  <w14:solidFill>
                    <w14:schemeClr w14:val="tx1"/>
                  </w14:solidFill>
                </w14:textFill>
              </w:rPr>
            </w:pPr>
            <w:r>
              <w:rPr>
                <w:rFonts w:hint="eastAsia"/>
                <w:bCs/>
                <w:snapToGrid w:val="0"/>
                <w:color w:val="000000" w:themeColor="text1"/>
                <w:kern w:val="0"/>
                <w:lang w:val="en-US" w:eastAsia="zh-CN"/>
                <w14:textFill>
                  <w14:solidFill>
                    <w14:schemeClr w14:val="tx1"/>
                  </w14:solidFill>
                </w14:textFill>
              </w:rPr>
              <w:t>0.03</w:t>
            </w:r>
          </w:p>
        </w:tc>
      </w:tr>
    </w:tbl>
    <w:p w14:paraId="7D7E1101">
      <w:pPr>
        <w:pStyle w:val="143"/>
        <w:rPr>
          <w:color w:val="000000" w:themeColor="text1"/>
          <w14:textFill>
            <w14:solidFill>
              <w14:schemeClr w14:val="tx1"/>
            </w14:solidFill>
          </w14:textFill>
        </w:rPr>
      </w:pPr>
    </w:p>
    <w:p w14:paraId="7E56A410">
      <w:pPr>
        <w:spacing w:line="480" w:lineRule="exact"/>
        <w:rPr>
          <w:color w:val="000000" w:themeColor="text1"/>
          <w14:textFill>
            <w14:solidFill>
              <w14:schemeClr w14:val="tx1"/>
            </w14:solidFill>
          </w14:textFill>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26" w:charSpace="0"/>
        </w:sectPr>
      </w:pPr>
    </w:p>
    <w:p w14:paraId="3770CA24">
      <w:pPr>
        <w:pStyle w:val="7"/>
        <w:pageBreakBefore w:val="0"/>
        <w:kinsoku/>
        <w:wordWrap/>
        <w:overflowPunct/>
        <w:topLinePunct w:val="0"/>
        <w:autoSpaceDE/>
        <w:autoSpaceDN/>
        <w:bidi w:val="0"/>
        <w:spacing w:line="360" w:lineRule="auto"/>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6</w:t>
      </w:r>
      <w:r>
        <w:rPr>
          <w:rFonts w:hint="eastAsia"/>
          <w:snapToGrid w:val="0"/>
          <w:color w:val="000000" w:themeColor="text1"/>
          <w14:textFill>
            <w14:solidFill>
              <w14:schemeClr w14:val="tx1"/>
            </w14:solidFill>
          </w14:textFill>
        </w:rPr>
        <w:t>.2.5地下水</w:t>
      </w:r>
    </w:p>
    <w:p w14:paraId="3A231B48">
      <w:pPr>
        <w:pageBreakBefore w:val="0"/>
        <w:kinsoku/>
        <w:wordWrap/>
        <w:overflowPunct/>
        <w:topLinePunct w:val="0"/>
        <w:autoSpaceDE/>
        <w:autoSpaceDN/>
        <w:bidi w:val="0"/>
        <w:spacing w:line="360" w:lineRule="auto"/>
        <w:ind w:firstLine="480" w:firstLineChars="200"/>
        <w:rPr>
          <w:rFonts w:hint="eastAsia" w:ascii="Times New Roman"/>
          <w:color w:val="000000"/>
        </w:rPr>
      </w:pPr>
      <w:r>
        <w:rPr>
          <w:rFonts w:hint="eastAsia" w:ascii="Times New Roman"/>
          <w:color w:val="000000"/>
        </w:rPr>
        <w:t>根据《给水排水构筑物工程施工及验收规范》（</w:t>
      </w:r>
      <w:r>
        <w:rPr>
          <w:rFonts w:ascii="Times New Roman"/>
          <w:color w:val="000000"/>
        </w:rPr>
        <w:t>GB50141-2009</w:t>
      </w:r>
      <w:r>
        <w:rPr>
          <w:rFonts w:hint="eastAsia" w:ascii="Times New Roman"/>
          <w:color w:val="000000"/>
        </w:rPr>
        <w:t>），水池渗水量计算应按池壁（不含内隔墙）和池底的浸湿面积计算；钢筋混凝土结构水池渗水量不得超过</w:t>
      </w:r>
      <w:r>
        <w:rPr>
          <w:rFonts w:ascii="Times New Roman"/>
          <w:color w:val="000000"/>
        </w:rPr>
        <w:t>2 L/m</w:t>
      </w:r>
      <w:r>
        <w:rPr>
          <w:rFonts w:ascii="Times New Roman"/>
          <w:color w:val="000000"/>
          <w:vertAlign w:val="superscript"/>
        </w:rPr>
        <w:t>2</w:t>
      </w:r>
      <w:r>
        <w:rPr>
          <w:rFonts w:ascii="Times New Roman"/>
          <w:color w:val="000000"/>
        </w:rPr>
        <w:t>·d</w:t>
      </w:r>
      <w:r>
        <w:rPr>
          <w:rFonts w:hint="eastAsia" w:ascii="Times New Roman"/>
          <w:color w:val="000000"/>
        </w:rPr>
        <w:t>，非正常状况按</w:t>
      </w:r>
      <w:r>
        <w:rPr>
          <w:rFonts w:ascii="Times New Roman"/>
          <w:color w:val="000000"/>
        </w:rPr>
        <w:t>10</w:t>
      </w:r>
      <w:r>
        <w:rPr>
          <w:rFonts w:hint="eastAsia" w:ascii="Times New Roman"/>
          <w:color w:val="000000"/>
        </w:rPr>
        <w:t>倍漏损率渗漏量计算。泄漏污水污染物最大浓度为</w:t>
      </w:r>
      <w:r>
        <w:rPr>
          <w:rFonts w:ascii="Times New Roman"/>
          <w:color w:val="000000"/>
        </w:rPr>
        <w:t>COD</w:t>
      </w:r>
      <w:r>
        <w:rPr>
          <w:rFonts w:hint="eastAsia" w:ascii="Times New Roman"/>
          <w:color w:val="000000"/>
        </w:rPr>
        <w:t xml:space="preserve"> </w:t>
      </w:r>
      <w:r>
        <w:rPr>
          <w:rFonts w:hint="eastAsia" w:ascii="Times New Roman"/>
          <w:color w:val="000000"/>
          <w:lang w:val="en-US" w:eastAsia="zh-CN"/>
        </w:rPr>
        <w:t>2500</w:t>
      </w:r>
      <w:r>
        <w:rPr>
          <w:rFonts w:ascii="Times New Roman"/>
          <w:color w:val="000000"/>
        </w:rPr>
        <w:t>mg/L</w:t>
      </w:r>
      <w:r>
        <w:rPr>
          <w:rFonts w:hint="eastAsia" w:ascii="Times New Roman"/>
          <w:color w:val="000000"/>
        </w:rPr>
        <w:t>，氨氮</w:t>
      </w:r>
      <w:r>
        <w:rPr>
          <w:rFonts w:hint="eastAsia" w:ascii="Times New Roman"/>
          <w:color w:val="000000"/>
          <w:lang w:val="en-US" w:eastAsia="zh-CN"/>
        </w:rPr>
        <w:t>90</w:t>
      </w:r>
      <w:r>
        <w:rPr>
          <w:rFonts w:ascii="Times New Roman"/>
          <w:color w:val="000000"/>
        </w:rPr>
        <w:t>mg/L</w:t>
      </w:r>
      <w:r>
        <w:rPr>
          <w:rFonts w:hint="eastAsia" w:ascii="Times New Roman"/>
          <w:color w:val="000000"/>
        </w:rPr>
        <w:t>。</w:t>
      </w:r>
    </w:p>
    <w:p w14:paraId="7CAE6270">
      <w:pPr>
        <w:pageBreakBefore w:val="0"/>
        <w:widowControl/>
        <w:kinsoku/>
        <w:wordWrap/>
        <w:overflowPunct/>
        <w:topLinePunct w:val="0"/>
        <w:autoSpaceDE/>
        <w:autoSpaceDN/>
        <w:bidi w:val="0"/>
        <w:snapToGrid w:val="0"/>
        <w:spacing w:line="360" w:lineRule="auto"/>
        <w:ind w:firstLine="480" w:firstLineChars="200"/>
        <w:textAlignment w:val="baseline"/>
        <w:rPr>
          <w:rFonts w:ascii="Times New Roman"/>
          <w:color w:val="000000"/>
          <w:szCs w:val="24"/>
        </w:rPr>
      </w:pPr>
      <w:r>
        <w:rPr>
          <w:rFonts w:ascii="Times New Roman"/>
          <w:color w:val="000000"/>
          <w:szCs w:val="24"/>
        </w:rPr>
        <w:t>在非正常状况下，以</w:t>
      </w:r>
      <w:r>
        <w:rPr>
          <w:rFonts w:hint="eastAsia" w:ascii="Times New Roman"/>
          <w:color w:val="000000"/>
          <w:szCs w:val="24"/>
        </w:rPr>
        <w:t>污水处理站单个调节池</w:t>
      </w:r>
      <w:r>
        <w:rPr>
          <w:rFonts w:ascii="Times New Roman"/>
          <w:color w:val="000000"/>
          <w:szCs w:val="24"/>
        </w:rPr>
        <w:t>为</w:t>
      </w:r>
      <w:r>
        <w:rPr>
          <w:rFonts w:hint="eastAsia" w:ascii="Times New Roman"/>
          <w:color w:val="000000"/>
          <w:szCs w:val="24"/>
        </w:rPr>
        <w:t>泄漏源</w:t>
      </w:r>
      <w:r>
        <w:rPr>
          <w:rFonts w:ascii="Times New Roman"/>
          <w:color w:val="000000"/>
          <w:szCs w:val="24"/>
        </w:rPr>
        <w:t>进行预测</w:t>
      </w:r>
      <w:r>
        <w:rPr>
          <w:rFonts w:hint="eastAsia" w:ascii="Times New Roman"/>
          <w:color w:val="000000"/>
          <w:szCs w:val="24"/>
        </w:rPr>
        <w:t>。调节池</w:t>
      </w:r>
      <w:r>
        <w:rPr>
          <w:rFonts w:ascii="Times New Roman"/>
          <w:color w:val="000000"/>
          <w:szCs w:val="24"/>
        </w:rPr>
        <w:t>尺寸为L×B×H＝</w:t>
      </w:r>
      <w:r>
        <w:rPr>
          <w:rFonts w:hint="eastAsia" w:ascii="Times New Roman"/>
          <w:color w:val="000000"/>
          <w:szCs w:val="24"/>
        </w:rPr>
        <w:t>20</w:t>
      </w:r>
      <w:r>
        <w:rPr>
          <w:rFonts w:ascii="Times New Roman"/>
          <w:color w:val="000000"/>
          <w:szCs w:val="24"/>
        </w:rPr>
        <w:t>×</w:t>
      </w:r>
      <w:r>
        <w:rPr>
          <w:rFonts w:hint="eastAsia" w:ascii="Times New Roman"/>
          <w:color w:val="000000"/>
          <w:szCs w:val="24"/>
        </w:rPr>
        <w:t>1</w:t>
      </w:r>
      <w:r>
        <w:rPr>
          <w:rFonts w:hint="eastAsia" w:ascii="Times New Roman"/>
          <w:color w:val="000000"/>
          <w:szCs w:val="24"/>
          <w:lang w:val="en-US" w:eastAsia="zh-CN"/>
        </w:rPr>
        <w:t>0</w:t>
      </w:r>
      <w:r>
        <w:rPr>
          <w:rFonts w:ascii="Times New Roman"/>
          <w:color w:val="000000"/>
          <w:szCs w:val="24"/>
        </w:rPr>
        <w:t>×</w:t>
      </w:r>
      <w:r>
        <w:rPr>
          <w:rFonts w:hint="eastAsia" w:ascii="Times New Roman"/>
          <w:color w:val="000000"/>
          <w:szCs w:val="24"/>
        </w:rPr>
        <w:t>5.0</w:t>
      </w:r>
      <w:r>
        <w:rPr>
          <w:rFonts w:ascii="Times New Roman"/>
          <w:color w:val="000000"/>
          <w:szCs w:val="24"/>
        </w:rPr>
        <w:t>m。</w:t>
      </w:r>
    </w:p>
    <w:p w14:paraId="5CA09C10">
      <w:pPr>
        <w:pageBreakBefore w:val="0"/>
        <w:widowControl/>
        <w:kinsoku/>
        <w:wordWrap/>
        <w:overflowPunct/>
        <w:topLinePunct w:val="0"/>
        <w:autoSpaceDE/>
        <w:autoSpaceDN/>
        <w:bidi w:val="0"/>
        <w:snapToGrid w:val="0"/>
        <w:spacing w:line="360" w:lineRule="auto"/>
        <w:ind w:firstLine="480" w:firstLineChars="200"/>
        <w:textAlignment w:val="baseline"/>
        <w:rPr>
          <w:rFonts w:ascii="Times New Roman"/>
          <w:color w:val="000000"/>
          <w:szCs w:val="24"/>
        </w:rPr>
      </w:pPr>
      <w:r>
        <w:rPr>
          <w:rFonts w:ascii="Times New Roman"/>
          <w:color w:val="000000"/>
          <w:szCs w:val="24"/>
        </w:rPr>
        <w:t>则</w:t>
      </w:r>
      <w:r>
        <w:rPr>
          <w:rFonts w:hint="eastAsia" w:ascii="Times New Roman"/>
          <w:color w:val="000000"/>
          <w:szCs w:val="24"/>
        </w:rPr>
        <w:t>调节池</w:t>
      </w:r>
      <w:r>
        <w:rPr>
          <w:rFonts w:ascii="Times New Roman"/>
          <w:color w:val="000000"/>
          <w:szCs w:val="24"/>
        </w:rPr>
        <w:t>渗漏面积为：</w:t>
      </w:r>
    </w:p>
    <w:p w14:paraId="3533CE98">
      <w:pPr>
        <w:pageBreakBefore w:val="0"/>
        <w:widowControl/>
        <w:kinsoku/>
        <w:wordWrap/>
        <w:overflowPunct/>
        <w:topLinePunct w:val="0"/>
        <w:autoSpaceDE/>
        <w:autoSpaceDN/>
        <w:bidi w:val="0"/>
        <w:snapToGrid w:val="0"/>
        <w:spacing w:line="360" w:lineRule="auto"/>
        <w:ind w:firstLine="480" w:firstLineChars="200"/>
        <w:jc w:val="left"/>
        <w:textAlignment w:val="baseline"/>
        <w:rPr>
          <w:rFonts w:ascii="Times New Roman"/>
          <w:color w:val="000000"/>
          <w:szCs w:val="24"/>
        </w:rPr>
      </w:pPr>
      <w:r>
        <w:rPr>
          <w:rFonts w:ascii="Times New Roman"/>
          <w:color w:val="000000"/>
          <w:szCs w:val="24"/>
        </w:rPr>
        <w:t>池底面积+池壁面积=</w:t>
      </w:r>
      <w:r>
        <w:rPr>
          <w:rFonts w:hint="eastAsia" w:ascii="Times New Roman"/>
          <w:color w:val="000000"/>
          <w:szCs w:val="24"/>
        </w:rPr>
        <w:t>20</w:t>
      </w:r>
      <w:r>
        <w:rPr>
          <w:rFonts w:ascii="Times New Roman"/>
          <w:color w:val="000000"/>
          <w:szCs w:val="24"/>
        </w:rPr>
        <w:t>×</w:t>
      </w:r>
      <w:r>
        <w:rPr>
          <w:rFonts w:hint="eastAsia" w:ascii="Times New Roman"/>
          <w:color w:val="000000"/>
          <w:szCs w:val="24"/>
        </w:rPr>
        <w:t>1</w:t>
      </w:r>
      <w:r>
        <w:rPr>
          <w:rFonts w:hint="eastAsia" w:ascii="Times New Roman"/>
          <w:color w:val="000000"/>
          <w:szCs w:val="24"/>
          <w:lang w:val="en-US" w:eastAsia="zh-CN"/>
        </w:rPr>
        <w:t>0</w:t>
      </w:r>
      <w:r>
        <w:rPr>
          <w:rFonts w:hint="eastAsia" w:ascii="Times New Roman"/>
          <w:color w:val="000000"/>
          <w:szCs w:val="24"/>
        </w:rPr>
        <w:t>+1</w:t>
      </w:r>
      <w:r>
        <w:rPr>
          <w:rFonts w:hint="eastAsia" w:ascii="Times New Roman"/>
          <w:color w:val="000000"/>
          <w:szCs w:val="24"/>
          <w:lang w:val="en-US" w:eastAsia="zh-CN"/>
        </w:rPr>
        <w:t>0</w:t>
      </w:r>
      <w:r>
        <w:rPr>
          <w:rFonts w:ascii="Times New Roman"/>
          <w:color w:val="000000"/>
          <w:szCs w:val="24"/>
        </w:rPr>
        <w:t>×</w:t>
      </w:r>
      <w:r>
        <w:rPr>
          <w:rFonts w:hint="eastAsia" w:ascii="Times New Roman"/>
          <w:color w:val="000000"/>
          <w:szCs w:val="24"/>
        </w:rPr>
        <w:t>5</w:t>
      </w:r>
      <w:r>
        <w:rPr>
          <w:rFonts w:ascii="Times New Roman"/>
          <w:color w:val="000000"/>
          <w:szCs w:val="24"/>
        </w:rPr>
        <w:t>×</w:t>
      </w:r>
      <w:r>
        <w:rPr>
          <w:rFonts w:hint="eastAsia" w:ascii="Times New Roman"/>
          <w:color w:val="000000"/>
          <w:szCs w:val="24"/>
        </w:rPr>
        <w:t>2+20×5×2=</w:t>
      </w:r>
      <w:r>
        <w:rPr>
          <w:rFonts w:hint="eastAsia" w:ascii="Times New Roman"/>
          <w:color w:val="000000"/>
          <w:szCs w:val="24"/>
          <w:lang w:val="en-US" w:eastAsia="zh-CN"/>
        </w:rPr>
        <w:t>500</w:t>
      </w:r>
      <w:r>
        <w:rPr>
          <w:rFonts w:ascii="Times New Roman"/>
          <w:color w:val="000000"/>
          <w:szCs w:val="24"/>
        </w:rPr>
        <w:t>m</w:t>
      </w:r>
      <w:r>
        <w:rPr>
          <w:rFonts w:ascii="Times New Roman"/>
          <w:color w:val="000000"/>
          <w:szCs w:val="24"/>
          <w:vertAlign w:val="superscript"/>
        </w:rPr>
        <w:t>2</w:t>
      </w:r>
    </w:p>
    <w:p w14:paraId="563CD8FB">
      <w:pPr>
        <w:pageBreakBefore w:val="0"/>
        <w:widowControl/>
        <w:kinsoku/>
        <w:wordWrap/>
        <w:overflowPunct/>
        <w:topLinePunct w:val="0"/>
        <w:autoSpaceDE/>
        <w:autoSpaceDN/>
        <w:bidi w:val="0"/>
        <w:snapToGrid w:val="0"/>
        <w:spacing w:line="360" w:lineRule="auto"/>
        <w:ind w:firstLine="480" w:firstLineChars="200"/>
        <w:textAlignment w:val="baseline"/>
        <w:rPr>
          <w:rFonts w:ascii="Times New Roman"/>
          <w:color w:val="000000"/>
          <w:szCs w:val="24"/>
        </w:rPr>
      </w:pPr>
      <w:r>
        <w:rPr>
          <w:rFonts w:ascii="Times New Roman"/>
          <w:color w:val="000000"/>
          <w:szCs w:val="24"/>
        </w:rPr>
        <w:t>则</w:t>
      </w:r>
      <w:r>
        <w:rPr>
          <w:rFonts w:hint="eastAsia" w:ascii="Times New Roman"/>
          <w:color w:val="000000"/>
          <w:szCs w:val="24"/>
        </w:rPr>
        <w:t>调节池</w:t>
      </w:r>
      <w:r>
        <w:rPr>
          <w:rFonts w:ascii="Times New Roman"/>
          <w:color w:val="000000"/>
          <w:szCs w:val="24"/>
        </w:rPr>
        <w:t>每日的最大允许污水渗透量Q计算如下：</w:t>
      </w:r>
    </w:p>
    <w:p w14:paraId="2CA2DFF7">
      <w:pPr>
        <w:pageBreakBefore w:val="0"/>
        <w:widowControl/>
        <w:kinsoku/>
        <w:wordWrap/>
        <w:overflowPunct/>
        <w:topLinePunct w:val="0"/>
        <w:autoSpaceDE/>
        <w:autoSpaceDN/>
        <w:bidi w:val="0"/>
        <w:snapToGrid w:val="0"/>
        <w:spacing w:line="360" w:lineRule="auto"/>
        <w:ind w:firstLine="480" w:firstLineChars="200"/>
        <w:textAlignment w:val="baseline"/>
        <w:rPr>
          <w:rFonts w:ascii="Times New Roman"/>
          <w:color w:val="000000"/>
          <w:szCs w:val="24"/>
        </w:rPr>
      </w:pPr>
      <w:r>
        <w:rPr>
          <w:rFonts w:ascii="Times New Roman"/>
          <w:color w:val="000000"/>
          <w:szCs w:val="24"/>
        </w:rPr>
        <w:t>渗漏量=渗漏面积×渗漏强度=2L/（m</w:t>
      </w:r>
      <w:r>
        <w:rPr>
          <w:rFonts w:ascii="Times New Roman"/>
          <w:color w:val="000000"/>
          <w:szCs w:val="24"/>
          <w:vertAlign w:val="superscript"/>
        </w:rPr>
        <w:t>2</w:t>
      </w:r>
      <w:r>
        <w:rPr>
          <w:rFonts w:ascii="Times New Roman"/>
          <w:color w:val="000000"/>
          <w:szCs w:val="24"/>
        </w:rPr>
        <w:t>•d）×</w:t>
      </w:r>
      <w:r>
        <w:rPr>
          <w:rFonts w:hint="eastAsia" w:ascii="Times New Roman"/>
          <w:color w:val="000000"/>
          <w:szCs w:val="24"/>
          <w:lang w:val="en-US" w:eastAsia="zh-CN"/>
        </w:rPr>
        <w:t>500</w:t>
      </w:r>
      <w:r>
        <w:rPr>
          <w:rFonts w:ascii="Times New Roman"/>
          <w:color w:val="000000"/>
          <w:szCs w:val="24"/>
        </w:rPr>
        <w:t>m</w:t>
      </w:r>
      <w:r>
        <w:rPr>
          <w:rFonts w:ascii="Times New Roman"/>
          <w:color w:val="000000"/>
          <w:szCs w:val="24"/>
          <w:vertAlign w:val="superscript"/>
        </w:rPr>
        <w:t>2</w:t>
      </w:r>
      <w:r>
        <w:rPr>
          <w:rFonts w:ascii="Times New Roman"/>
          <w:color w:val="000000"/>
          <w:szCs w:val="24"/>
        </w:rPr>
        <w:t>=</w:t>
      </w:r>
      <w:r>
        <w:rPr>
          <w:rFonts w:hint="eastAsia" w:ascii="Times New Roman"/>
          <w:color w:val="000000"/>
          <w:szCs w:val="24"/>
        </w:rPr>
        <w:t>1</w:t>
      </w:r>
      <w:r>
        <w:rPr>
          <w:rFonts w:hint="eastAsia" w:ascii="Times New Roman"/>
          <w:color w:val="000000"/>
          <w:szCs w:val="24"/>
          <w:lang w:val="en-US" w:eastAsia="zh-CN"/>
        </w:rPr>
        <w:t>00</w:t>
      </w:r>
      <w:r>
        <w:rPr>
          <w:rFonts w:hint="eastAsia" w:ascii="Times New Roman"/>
          <w:color w:val="000000"/>
          <w:szCs w:val="24"/>
        </w:rPr>
        <w:t>0</w:t>
      </w:r>
      <w:r>
        <w:rPr>
          <w:rFonts w:ascii="Times New Roman"/>
          <w:color w:val="000000"/>
          <w:szCs w:val="24"/>
        </w:rPr>
        <w:t>L/d</w:t>
      </w:r>
    </w:p>
    <w:p w14:paraId="428DDC02">
      <w:pPr>
        <w:pageBreakBefore w:val="0"/>
        <w:kinsoku/>
        <w:wordWrap/>
        <w:overflowPunct/>
        <w:topLinePunct w:val="0"/>
        <w:autoSpaceDE/>
        <w:autoSpaceDN/>
        <w:bidi w:val="0"/>
        <w:spacing w:line="360" w:lineRule="auto"/>
        <w:ind w:firstLine="480" w:firstLineChars="200"/>
        <w:rPr>
          <w:rFonts w:ascii="Times New Roman"/>
          <w:color w:val="000000"/>
          <w:szCs w:val="24"/>
        </w:rPr>
      </w:pPr>
      <w:r>
        <w:rPr>
          <w:rFonts w:ascii="Times New Roman"/>
          <w:color w:val="000000"/>
          <w:szCs w:val="24"/>
        </w:rPr>
        <w:t>非正常状况下，工艺设备或地下水环境保护措施因系统老化或腐蚀，</w:t>
      </w:r>
      <w:r>
        <w:rPr>
          <w:rFonts w:hint="eastAsia" w:ascii="Times New Roman"/>
          <w:color w:val="000000"/>
          <w:szCs w:val="24"/>
        </w:rPr>
        <w:t>调节池</w:t>
      </w:r>
      <w:r>
        <w:rPr>
          <w:rFonts w:ascii="Times New Roman"/>
          <w:color w:val="000000"/>
          <w:szCs w:val="24"/>
        </w:rPr>
        <w:t>渗漏量取最大允许渗漏量的10倍，为</w:t>
      </w:r>
      <w:r>
        <w:rPr>
          <w:rFonts w:hint="eastAsia" w:ascii="Times New Roman"/>
          <w:color w:val="000000"/>
          <w:szCs w:val="24"/>
        </w:rPr>
        <w:t>1</w:t>
      </w:r>
      <w:r>
        <w:rPr>
          <w:rFonts w:hint="eastAsia" w:ascii="Times New Roman"/>
          <w:color w:val="000000"/>
          <w:szCs w:val="24"/>
          <w:lang w:val="en-US" w:eastAsia="zh-CN"/>
        </w:rPr>
        <w:t>00</w:t>
      </w:r>
      <w:r>
        <w:rPr>
          <w:rFonts w:hint="eastAsia" w:ascii="Times New Roman"/>
          <w:color w:val="000000"/>
          <w:szCs w:val="24"/>
        </w:rPr>
        <w:t>00</w:t>
      </w:r>
      <w:r>
        <w:rPr>
          <w:rFonts w:ascii="Times New Roman"/>
          <w:color w:val="000000"/>
          <w:szCs w:val="24"/>
        </w:rPr>
        <w:t>L/d。</w:t>
      </w:r>
    </w:p>
    <w:p w14:paraId="5647BA86">
      <w:pPr>
        <w:pageBreakBefore w:val="0"/>
        <w:widowControl/>
        <w:kinsoku/>
        <w:wordWrap/>
        <w:overflowPunct/>
        <w:topLinePunct w:val="0"/>
        <w:autoSpaceDE/>
        <w:autoSpaceDN/>
        <w:bidi w:val="0"/>
        <w:snapToGrid w:val="0"/>
        <w:spacing w:line="360" w:lineRule="auto"/>
        <w:ind w:firstLine="480" w:firstLineChars="200"/>
        <w:jc w:val="left"/>
        <w:textAlignment w:val="baseline"/>
        <w:rPr>
          <w:rFonts w:ascii="Times New Roman"/>
          <w:color w:val="000000"/>
          <w:szCs w:val="24"/>
        </w:rPr>
      </w:pPr>
      <w:r>
        <w:rPr>
          <w:rFonts w:ascii="Times New Roman"/>
          <w:color w:val="000000"/>
          <w:szCs w:val="24"/>
        </w:rPr>
        <w:t>每日渗入含水层中的</w:t>
      </w:r>
      <w:r>
        <w:rPr>
          <w:rFonts w:hint="eastAsia" w:ascii="Times New Roman"/>
          <w:color w:val="000000"/>
          <w:szCs w:val="24"/>
        </w:rPr>
        <w:t>氨氮</w:t>
      </w:r>
      <w:r>
        <w:rPr>
          <w:rFonts w:ascii="Times New Roman"/>
          <w:color w:val="000000"/>
          <w:szCs w:val="24"/>
        </w:rPr>
        <w:t>含量为：</w:t>
      </w:r>
    </w:p>
    <w:p w14:paraId="17DFA9FC">
      <w:pPr>
        <w:pageBreakBefore w:val="0"/>
        <w:widowControl/>
        <w:kinsoku/>
        <w:wordWrap/>
        <w:overflowPunct/>
        <w:topLinePunct w:val="0"/>
        <w:autoSpaceDE/>
        <w:autoSpaceDN/>
        <w:bidi w:val="0"/>
        <w:snapToGrid w:val="0"/>
        <w:spacing w:line="360" w:lineRule="auto"/>
        <w:ind w:firstLine="480" w:firstLineChars="200"/>
        <w:jc w:val="left"/>
        <w:textAlignment w:val="baseline"/>
        <w:rPr>
          <w:color w:val="000000"/>
        </w:rPr>
      </w:pPr>
      <w:r>
        <w:rPr>
          <w:rFonts w:ascii="Times New Roman"/>
          <w:color w:val="000000"/>
          <w:szCs w:val="24"/>
        </w:rPr>
        <w:t>M</w:t>
      </w:r>
      <w:r>
        <w:rPr>
          <w:rFonts w:hint="eastAsia" w:ascii="Times New Roman"/>
          <w:color w:val="000000"/>
          <w:szCs w:val="24"/>
          <w:vertAlign w:val="subscript"/>
        </w:rPr>
        <w:t>氨氮</w:t>
      </w:r>
      <w:r>
        <w:rPr>
          <w:rFonts w:ascii="Times New Roman"/>
          <w:color w:val="000000"/>
          <w:szCs w:val="24"/>
        </w:rPr>
        <w:t>=</w:t>
      </w:r>
      <w:r>
        <w:rPr>
          <w:rFonts w:hint="eastAsia" w:ascii="Times New Roman"/>
          <w:color w:val="000000"/>
          <w:szCs w:val="24"/>
          <w:lang w:val="en-US" w:eastAsia="zh-CN"/>
        </w:rPr>
        <w:t>90</w:t>
      </w:r>
      <w:r>
        <w:rPr>
          <w:rFonts w:ascii="Times New Roman"/>
          <w:color w:val="000000"/>
          <w:szCs w:val="24"/>
        </w:rPr>
        <w:t>mg/L×</w:t>
      </w:r>
      <w:r>
        <w:rPr>
          <w:rFonts w:hint="eastAsia" w:ascii="Times New Roman"/>
          <w:color w:val="000000"/>
          <w:szCs w:val="24"/>
        </w:rPr>
        <w:t>1</w:t>
      </w:r>
      <w:r>
        <w:rPr>
          <w:rFonts w:hint="eastAsia" w:ascii="Times New Roman"/>
          <w:color w:val="000000"/>
          <w:szCs w:val="24"/>
          <w:lang w:val="en-US" w:eastAsia="zh-CN"/>
        </w:rPr>
        <w:t>00</w:t>
      </w:r>
      <w:r>
        <w:rPr>
          <w:rFonts w:hint="eastAsia" w:ascii="Times New Roman"/>
          <w:color w:val="000000"/>
          <w:szCs w:val="24"/>
        </w:rPr>
        <w:t>00</w:t>
      </w:r>
      <w:r>
        <w:rPr>
          <w:rFonts w:ascii="Times New Roman"/>
          <w:color w:val="000000"/>
          <w:szCs w:val="24"/>
        </w:rPr>
        <w:t>L/d×</w:t>
      </w:r>
      <w:r>
        <w:rPr>
          <w:rFonts w:hint="eastAsia" w:ascii="Times New Roman"/>
          <w:color w:val="000000"/>
          <w:szCs w:val="24"/>
        </w:rPr>
        <w:t>10</w:t>
      </w:r>
      <w:r>
        <w:rPr>
          <w:rFonts w:hint="eastAsia" w:ascii="Times New Roman"/>
          <w:color w:val="000000"/>
          <w:szCs w:val="24"/>
          <w:vertAlign w:val="superscript"/>
        </w:rPr>
        <w:t>-6</w:t>
      </w:r>
      <w:r>
        <w:rPr>
          <w:rFonts w:ascii="Times New Roman"/>
          <w:color w:val="000000"/>
          <w:szCs w:val="24"/>
        </w:rPr>
        <w:t>=</w:t>
      </w:r>
      <w:r>
        <w:rPr>
          <w:rFonts w:hint="eastAsia" w:ascii="Times New Roman"/>
          <w:color w:val="000000"/>
          <w:szCs w:val="24"/>
          <w:lang w:val="en-US" w:eastAsia="zh-CN"/>
        </w:rPr>
        <w:t>0.9</w:t>
      </w:r>
      <w:r>
        <w:rPr>
          <w:rFonts w:ascii="Times New Roman"/>
          <w:color w:val="000000"/>
          <w:szCs w:val="24"/>
        </w:rPr>
        <w:t>kg/d</w:t>
      </w:r>
    </w:p>
    <w:p w14:paraId="1D19A641">
      <w:pPr>
        <w:pageBreakBefore w:val="0"/>
        <w:widowControl/>
        <w:kinsoku/>
        <w:wordWrap/>
        <w:overflowPunct/>
        <w:topLinePunct w:val="0"/>
        <w:autoSpaceDE/>
        <w:autoSpaceDN/>
        <w:bidi w:val="0"/>
        <w:snapToGrid w:val="0"/>
        <w:spacing w:line="360" w:lineRule="auto"/>
        <w:ind w:firstLine="480" w:firstLineChars="200"/>
        <w:jc w:val="left"/>
        <w:textAlignment w:val="baseline"/>
        <w:rPr>
          <w:rFonts w:hint="eastAsia" w:ascii="Times New Roman"/>
          <w:color w:val="000000"/>
          <w:szCs w:val="24"/>
        </w:rPr>
      </w:pPr>
      <w:r>
        <w:rPr>
          <w:rFonts w:hint="eastAsia" w:ascii="Times New Roman"/>
          <w:color w:val="000000"/>
          <w:szCs w:val="24"/>
        </w:rPr>
        <w:t>M</w:t>
      </w:r>
      <w:r>
        <w:rPr>
          <w:rFonts w:hint="eastAsia" w:ascii="Times New Roman"/>
          <w:color w:val="000000"/>
          <w:szCs w:val="24"/>
          <w:vertAlign w:val="subscript"/>
        </w:rPr>
        <w:t>COD</w:t>
      </w:r>
      <w:r>
        <w:rPr>
          <w:rFonts w:hint="eastAsia" w:ascii="Times New Roman"/>
          <w:color w:val="000000"/>
          <w:szCs w:val="24"/>
        </w:rPr>
        <w:t>=</w:t>
      </w:r>
      <w:r>
        <w:rPr>
          <w:rFonts w:hint="eastAsia" w:ascii="Times New Roman"/>
          <w:color w:val="000000"/>
          <w:szCs w:val="24"/>
          <w:lang w:val="en-US" w:eastAsia="zh-CN"/>
        </w:rPr>
        <w:t>2500</w:t>
      </w:r>
      <w:r>
        <w:rPr>
          <w:rFonts w:hint="eastAsia" w:ascii="Times New Roman"/>
          <w:color w:val="000000"/>
          <w:szCs w:val="24"/>
        </w:rPr>
        <w:t>mg/L×1</w:t>
      </w:r>
      <w:r>
        <w:rPr>
          <w:rFonts w:hint="eastAsia" w:ascii="Times New Roman"/>
          <w:color w:val="000000"/>
          <w:szCs w:val="24"/>
          <w:lang w:val="en-US" w:eastAsia="zh-CN"/>
        </w:rPr>
        <w:t>00</w:t>
      </w:r>
      <w:r>
        <w:rPr>
          <w:rFonts w:hint="eastAsia" w:ascii="Times New Roman"/>
          <w:color w:val="000000"/>
          <w:szCs w:val="24"/>
        </w:rPr>
        <w:t>00L/d×10</w:t>
      </w:r>
      <w:r>
        <w:rPr>
          <w:rFonts w:hint="eastAsia" w:ascii="Times New Roman"/>
          <w:color w:val="000000"/>
          <w:szCs w:val="24"/>
          <w:vertAlign w:val="superscript"/>
        </w:rPr>
        <w:t>-6</w:t>
      </w:r>
      <w:r>
        <w:rPr>
          <w:rFonts w:hint="eastAsia" w:ascii="Times New Roman"/>
          <w:color w:val="000000"/>
          <w:szCs w:val="24"/>
        </w:rPr>
        <w:t>=2</w:t>
      </w:r>
      <w:r>
        <w:rPr>
          <w:rFonts w:hint="eastAsia" w:ascii="Times New Roman"/>
          <w:color w:val="000000"/>
          <w:szCs w:val="24"/>
          <w:lang w:val="en-US" w:eastAsia="zh-CN"/>
        </w:rPr>
        <w:t>5.0</w:t>
      </w:r>
      <w:r>
        <w:rPr>
          <w:rFonts w:hint="eastAsia" w:ascii="Times New Roman"/>
          <w:color w:val="000000"/>
          <w:szCs w:val="24"/>
        </w:rPr>
        <w:t>kg/d</w:t>
      </w:r>
    </w:p>
    <w:p w14:paraId="2822CB06">
      <w:pPr>
        <w:pStyle w:val="85"/>
        <w:pageBreakBefore w:val="0"/>
        <w:kinsoku/>
        <w:wordWrap/>
        <w:overflowPunct/>
        <w:topLinePunct w:val="0"/>
        <w:autoSpaceDE/>
        <w:autoSpaceDN/>
        <w:bidi w:val="0"/>
        <w:spacing w:line="360" w:lineRule="auto"/>
        <w:ind w:firstLine="48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本项目非正常状况下地下水污染源强见下表。</w:t>
      </w:r>
    </w:p>
    <w:p w14:paraId="13714187">
      <w:pPr>
        <w:pStyle w:val="206"/>
        <w:pageBreakBefore w:val="0"/>
        <w:kinsoku/>
        <w:wordWrap/>
        <w:overflowPunct/>
        <w:topLinePunct w:val="0"/>
        <w:autoSpaceDE/>
        <w:autoSpaceDN/>
        <w:bidi w:val="0"/>
        <w:spacing w:line="360" w:lineRule="auto"/>
        <w:ind w:firstLine="48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表3-6-</w:t>
      </w:r>
      <w:r>
        <w:rPr>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 xml:space="preserve"> </w:t>
      </w:r>
      <w:r>
        <w:rPr>
          <w:rFonts w:hint="eastAsia"/>
          <w:color w:val="000000" w:themeColor="text1"/>
          <w:lang w:eastAsia="zh-CN"/>
          <w14:textFill>
            <w14:solidFill>
              <w14:schemeClr w14:val="tx1"/>
            </w14:solidFill>
          </w14:textFill>
        </w:rPr>
        <w:t>非正常状况下地下水污染源强渗漏量计算</w:t>
      </w:r>
      <w:r>
        <w:rPr>
          <w:rFonts w:hint="eastAsia"/>
          <w:color w:val="000000" w:themeColor="text1"/>
          <w14:textFill>
            <w14:solidFill>
              <w14:schemeClr w14:val="tx1"/>
            </w14:solidFill>
          </w14:textFill>
        </w:rPr>
        <w:t>表</w:t>
      </w:r>
    </w:p>
    <w:tbl>
      <w:tblPr>
        <w:tblStyle w:val="4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3506"/>
        <w:gridCol w:w="1417"/>
        <w:gridCol w:w="3380"/>
      </w:tblGrid>
      <w:tr w14:paraId="2895E3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0" w:hRule="atLeast"/>
          <w:jc w:val="center"/>
        </w:trPr>
        <w:tc>
          <w:tcPr>
            <w:tcW w:w="2964" w:type="pct"/>
            <w:gridSpan w:val="2"/>
            <w:noWrap w:val="0"/>
            <w:vAlign w:val="center"/>
          </w:tcPr>
          <w:p w14:paraId="2114615C">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项目名称</w:t>
            </w:r>
          </w:p>
        </w:tc>
        <w:tc>
          <w:tcPr>
            <w:tcW w:w="2035" w:type="pct"/>
            <w:noWrap w:val="0"/>
            <w:vAlign w:val="center"/>
          </w:tcPr>
          <w:p w14:paraId="514D52C6">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olor w:val="000000"/>
                <w:sz w:val="21"/>
                <w:szCs w:val="21"/>
              </w:rPr>
            </w:pPr>
            <w:r>
              <w:rPr>
                <w:rFonts w:hint="eastAsia" w:ascii="Times New Roman"/>
                <w:snapToGrid w:val="0"/>
                <w:color w:val="000000"/>
                <w:sz w:val="21"/>
                <w:szCs w:val="21"/>
              </w:rPr>
              <w:t>污水调节池</w:t>
            </w:r>
          </w:p>
        </w:tc>
      </w:tr>
      <w:tr w14:paraId="5F4A36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0" w:hRule="atLeast"/>
          <w:jc w:val="center"/>
        </w:trPr>
        <w:tc>
          <w:tcPr>
            <w:tcW w:w="2964" w:type="pct"/>
            <w:gridSpan w:val="2"/>
            <w:noWrap w:val="0"/>
            <w:vAlign w:val="center"/>
          </w:tcPr>
          <w:p w14:paraId="4EB4491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长</w:t>
            </w:r>
          </w:p>
        </w:tc>
        <w:tc>
          <w:tcPr>
            <w:tcW w:w="2035" w:type="pct"/>
            <w:noWrap w:val="0"/>
            <w:vAlign w:val="center"/>
          </w:tcPr>
          <w:p w14:paraId="78A5FD7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hint="eastAsia" w:ascii="Times New Roman"/>
                <w:color w:val="000000"/>
                <w:sz w:val="21"/>
                <w:szCs w:val="21"/>
              </w:rPr>
              <w:t>20</w:t>
            </w:r>
            <w:r>
              <w:rPr>
                <w:rFonts w:ascii="Times New Roman"/>
                <w:color w:val="000000"/>
                <w:sz w:val="21"/>
                <w:szCs w:val="21"/>
              </w:rPr>
              <w:t>m</w:t>
            </w:r>
          </w:p>
        </w:tc>
      </w:tr>
      <w:tr w14:paraId="0CEFFB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0" w:hRule="atLeast"/>
          <w:jc w:val="center"/>
        </w:trPr>
        <w:tc>
          <w:tcPr>
            <w:tcW w:w="2964" w:type="pct"/>
            <w:gridSpan w:val="2"/>
            <w:noWrap w:val="0"/>
            <w:vAlign w:val="center"/>
          </w:tcPr>
          <w:p w14:paraId="6C791D3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宽</w:t>
            </w:r>
          </w:p>
        </w:tc>
        <w:tc>
          <w:tcPr>
            <w:tcW w:w="2035" w:type="pct"/>
            <w:noWrap w:val="0"/>
            <w:vAlign w:val="center"/>
          </w:tcPr>
          <w:p w14:paraId="233DC577">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hint="eastAsia" w:ascii="Times New Roman"/>
                <w:color w:val="000000"/>
                <w:sz w:val="21"/>
                <w:szCs w:val="21"/>
              </w:rPr>
              <w:t>1</w:t>
            </w:r>
            <w:r>
              <w:rPr>
                <w:rFonts w:hint="eastAsia" w:ascii="Times New Roman"/>
                <w:color w:val="000000"/>
                <w:sz w:val="21"/>
                <w:szCs w:val="21"/>
                <w:lang w:val="en-US" w:eastAsia="zh-CN"/>
              </w:rPr>
              <w:t>0</w:t>
            </w:r>
            <w:r>
              <w:rPr>
                <w:rFonts w:ascii="Times New Roman"/>
                <w:color w:val="000000"/>
                <w:sz w:val="21"/>
                <w:szCs w:val="21"/>
              </w:rPr>
              <w:t>m</w:t>
            </w:r>
          </w:p>
        </w:tc>
      </w:tr>
      <w:tr w14:paraId="47A155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0" w:hRule="atLeast"/>
          <w:jc w:val="center"/>
        </w:trPr>
        <w:tc>
          <w:tcPr>
            <w:tcW w:w="2964" w:type="pct"/>
            <w:gridSpan w:val="2"/>
            <w:noWrap w:val="0"/>
            <w:vAlign w:val="center"/>
          </w:tcPr>
          <w:p w14:paraId="4692B57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高</w:t>
            </w:r>
          </w:p>
        </w:tc>
        <w:tc>
          <w:tcPr>
            <w:tcW w:w="2035" w:type="pct"/>
            <w:noWrap w:val="0"/>
            <w:vAlign w:val="center"/>
          </w:tcPr>
          <w:p w14:paraId="0D4929F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hint="eastAsia" w:ascii="Times New Roman"/>
                <w:color w:val="000000"/>
                <w:sz w:val="21"/>
                <w:szCs w:val="21"/>
              </w:rPr>
              <w:t>5</w:t>
            </w:r>
            <w:r>
              <w:rPr>
                <w:rFonts w:ascii="Times New Roman"/>
                <w:color w:val="000000"/>
                <w:sz w:val="21"/>
                <w:szCs w:val="21"/>
              </w:rPr>
              <w:t>m</w:t>
            </w:r>
          </w:p>
        </w:tc>
      </w:tr>
      <w:tr w14:paraId="3868EA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4" w:hRule="atLeast"/>
          <w:jc w:val="center"/>
        </w:trPr>
        <w:tc>
          <w:tcPr>
            <w:tcW w:w="2111" w:type="pct"/>
            <w:noWrap w:val="0"/>
            <w:vAlign w:val="center"/>
          </w:tcPr>
          <w:p w14:paraId="24ED4A0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正常状况</w:t>
            </w:r>
          </w:p>
        </w:tc>
        <w:tc>
          <w:tcPr>
            <w:tcW w:w="853" w:type="pct"/>
            <w:noWrap w:val="0"/>
            <w:vAlign w:val="center"/>
          </w:tcPr>
          <w:p w14:paraId="38DAD7E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渗漏量</w:t>
            </w:r>
          </w:p>
        </w:tc>
        <w:tc>
          <w:tcPr>
            <w:tcW w:w="2035" w:type="pct"/>
            <w:noWrap w:val="0"/>
            <w:vAlign w:val="center"/>
          </w:tcPr>
          <w:p w14:paraId="77604BA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hint="eastAsia" w:ascii="Times New Roman"/>
                <w:snapToGrid w:val="0"/>
                <w:color w:val="000000"/>
                <w:sz w:val="21"/>
                <w:szCs w:val="21"/>
              </w:rPr>
              <w:t>1</w:t>
            </w:r>
            <w:r>
              <w:rPr>
                <w:rFonts w:hint="eastAsia" w:ascii="Times New Roman"/>
                <w:snapToGrid w:val="0"/>
                <w:color w:val="000000"/>
                <w:sz w:val="21"/>
                <w:szCs w:val="21"/>
                <w:lang w:val="en-US" w:eastAsia="zh-CN"/>
              </w:rPr>
              <w:t>000</w:t>
            </w:r>
            <w:r>
              <w:rPr>
                <w:rFonts w:ascii="Times New Roman"/>
                <w:snapToGrid w:val="0"/>
                <w:color w:val="000000"/>
                <w:sz w:val="21"/>
                <w:szCs w:val="21"/>
              </w:rPr>
              <w:t>L/d</w:t>
            </w:r>
          </w:p>
        </w:tc>
      </w:tr>
      <w:tr w14:paraId="5D7E96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30" w:hRule="atLeast"/>
          <w:jc w:val="center"/>
        </w:trPr>
        <w:tc>
          <w:tcPr>
            <w:tcW w:w="2111" w:type="pct"/>
            <w:noWrap w:val="0"/>
            <w:vAlign w:val="center"/>
          </w:tcPr>
          <w:p w14:paraId="4CA2118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非正常状况泄漏量</w:t>
            </w:r>
          </w:p>
        </w:tc>
        <w:tc>
          <w:tcPr>
            <w:tcW w:w="853" w:type="pct"/>
            <w:noWrap w:val="0"/>
            <w:vAlign w:val="center"/>
          </w:tcPr>
          <w:p w14:paraId="6DEF93A6">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10倍</w:t>
            </w:r>
          </w:p>
        </w:tc>
        <w:tc>
          <w:tcPr>
            <w:tcW w:w="2035" w:type="pct"/>
            <w:noWrap w:val="0"/>
            <w:vAlign w:val="center"/>
          </w:tcPr>
          <w:p w14:paraId="26DAF52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hint="eastAsia" w:ascii="Times New Roman"/>
                <w:snapToGrid w:val="0"/>
                <w:color w:val="000000"/>
                <w:sz w:val="21"/>
                <w:szCs w:val="21"/>
                <w:lang w:val="en-US" w:eastAsia="zh-CN"/>
              </w:rPr>
              <w:t>10000</w:t>
            </w:r>
            <w:r>
              <w:rPr>
                <w:rFonts w:ascii="Times New Roman"/>
                <w:snapToGrid w:val="0"/>
                <w:color w:val="000000"/>
                <w:sz w:val="21"/>
                <w:szCs w:val="21"/>
              </w:rPr>
              <w:t>L/d</w:t>
            </w:r>
          </w:p>
        </w:tc>
      </w:tr>
      <w:tr w14:paraId="5A7A80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0" w:hRule="atLeast"/>
          <w:jc w:val="center"/>
        </w:trPr>
        <w:tc>
          <w:tcPr>
            <w:tcW w:w="2964" w:type="pct"/>
            <w:gridSpan w:val="2"/>
            <w:noWrap w:val="0"/>
            <w:vAlign w:val="center"/>
          </w:tcPr>
          <w:p w14:paraId="2E47C51F">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氨氮</w:t>
            </w:r>
          </w:p>
        </w:tc>
        <w:tc>
          <w:tcPr>
            <w:tcW w:w="2035" w:type="pct"/>
            <w:noWrap w:val="0"/>
            <w:vAlign w:val="center"/>
          </w:tcPr>
          <w:p w14:paraId="6D2E7B2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hint="eastAsia" w:ascii="Times New Roman"/>
                <w:color w:val="000000"/>
                <w:sz w:val="21"/>
                <w:szCs w:val="21"/>
                <w:lang w:val="en-US" w:eastAsia="zh-CN" w:bidi="ar"/>
              </w:rPr>
              <w:t>90</w:t>
            </w:r>
            <w:r>
              <w:rPr>
                <w:rFonts w:ascii="Times New Roman"/>
                <w:bCs/>
                <w:color w:val="000000"/>
                <w:sz w:val="21"/>
                <w:szCs w:val="21"/>
              </w:rPr>
              <w:t>mg/L</w:t>
            </w:r>
          </w:p>
        </w:tc>
      </w:tr>
      <w:tr w14:paraId="02E13A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80" w:hRule="atLeast"/>
          <w:jc w:val="center"/>
        </w:trPr>
        <w:tc>
          <w:tcPr>
            <w:tcW w:w="2964" w:type="pct"/>
            <w:gridSpan w:val="2"/>
            <w:noWrap w:val="0"/>
            <w:vAlign w:val="center"/>
          </w:tcPr>
          <w:p w14:paraId="7457EC4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rPr>
            </w:pPr>
            <w:r>
              <w:rPr>
                <w:rFonts w:ascii="Times New Roman"/>
                <w:color w:val="000000"/>
                <w:sz w:val="21"/>
                <w:szCs w:val="21"/>
              </w:rPr>
              <w:t>COD</w:t>
            </w:r>
          </w:p>
        </w:tc>
        <w:tc>
          <w:tcPr>
            <w:tcW w:w="2035" w:type="pct"/>
            <w:noWrap w:val="0"/>
            <w:vAlign w:val="center"/>
          </w:tcPr>
          <w:p w14:paraId="0BFACC0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color w:val="000000"/>
                <w:sz w:val="21"/>
                <w:szCs w:val="21"/>
                <w:lang w:bidi="ar"/>
              </w:rPr>
            </w:pPr>
            <w:r>
              <w:rPr>
                <w:rFonts w:hint="eastAsia" w:ascii="Times New Roman"/>
                <w:color w:val="000000"/>
                <w:sz w:val="21"/>
                <w:szCs w:val="21"/>
                <w:lang w:val="en-US" w:eastAsia="zh-CN" w:bidi="ar"/>
              </w:rPr>
              <w:t>2500</w:t>
            </w:r>
            <w:r>
              <w:rPr>
                <w:rFonts w:hint="eastAsia" w:ascii="Times New Roman"/>
                <w:snapToGrid w:val="0"/>
                <w:color w:val="000000"/>
                <w:sz w:val="21"/>
                <w:szCs w:val="21"/>
              </w:rPr>
              <w:t>mg/L</w:t>
            </w:r>
          </w:p>
        </w:tc>
      </w:tr>
    </w:tbl>
    <w:p w14:paraId="6DB54FC4">
      <w:pPr>
        <w:pStyle w:val="6"/>
        <w:rPr>
          <w:snapToGrid w:val="0"/>
          <w:color w:val="000000" w:themeColor="text1"/>
          <w:highlight w:val="none"/>
          <w14:textFill>
            <w14:solidFill>
              <w14:schemeClr w14:val="tx1"/>
            </w14:solidFill>
          </w14:textFill>
        </w:rPr>
      </w:pPr>
      <w:bookmarkStart w:id="141" w:name="_Toc15980"/>
      <w:bookmarkStart w:id="142" w:name="_Toc438119590"/>
      <w:bookmarkStart w:id="143" w:name="_Toc469426613"/>
      <w:r>
        <w:rPr>
          <w:snapToGrid w:val="0"/>
          <w:color w:val="000000" w:themeColor="text1"/>
          <w:highlight w:val="none"/>
          <w14:textFill>
            <w14:solidFill>
              <w14:schemeClr w14:val="tx1"/>
            </w14:solidFill>
          </w14:textFill>
        </w:rPr>
        <w:t>3.6.3</w:t>
      </w:r>
      <w:r>
        <w:rPr>
          <w:rFonts w:hint="eastAsia"/>
          <w:snapToGrid w:val="0"/>
          <w:color w:val="000000" w:themeColor="text1"/>
          <w:highlight w:val="none"/>
          <w14:textFill>
            <w14:solidFill>
              <w14:schemeClr w14:val="tx1"/>
            </w14:solidFill>
          </w14:textFill>
        </w:rPr>
        <w:t>环境</w:t>
      </w:r>
      <w:r>
        <w:rPr>
          <w:snapToGrid w:val="0"/>
          <w:color w:val="000000" w:themeColor="text1"/>
          <w:highlight w:val="none"/>
          <w14:textFill>
            <w14:solidFill>
              <w14:schemeClr w14:val="tx1"/>
            </w14:solidFill>
          </w14:textFill>
        </w:rPr>
        <w:t>风险</w:t>
      </w:r>
      <w:bookmarkEnd w:id="141"/>
    </w:p>
    <w:bookmarkEnd w:id="142"/>
    <w:bookmarkEnd w:id="143"/>
    <w:p w14:paraId="788CBC26">
      <w:pPr>
        <w:pStyle w:val="7"/>
        <w:rPr>
          <w:snapToGrid w:val="0"/>
          <w:color w:val="000000" w:themeColor="text1"/>
          <w14:textFill>
            <w14:solidFill>
              <w14:schemeClr w14:val="tx1"/>
            </w14:solidFill>
          </w14:textFill>
        </w:rPr>
      </w:pPr>
      <w:bookmarkStart w:id="144" w:name="_Hlk523072576"/>
      <w:bookmarkStart w:id="145" w:name="_Hlk522287141"/>
      <w:bookmarkStart w:id="146" w:name="_Hlk522450603"/>
      <w:bookmarkStart w:id="147" w:name="_Hlk523068405"/>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.6.3.1</w:t>
      </w:r>
      <w:r>
        <w:rPr>
          <w:rFonts w:hint="eastAsia"/>
          <w:snapToGrid w:val="0"/>
          <w:color w:val="000000" w:themeColor="text1"/>
          <w:lang w:eastAsia="zh-CN"/>
          <w14:textFill>
            <w14:solidFill>
              <w14:schemeClr w14:val="tx1"/>
            </w14:solidFill>
          </w14:textFill>
        </w:rPr>
        <w:t>风险识别内容</w:t>
      </w:r>
    </w:p>
    <w:p w14:paraId="6CA12D7E">
      <w:pPr>
        <w:pStyle w:val="85"/>
        <w:rPr>
          <w:rFonts w:cs="宋体"/>
          <w:bCs/>
          <w:snapToGrid w:val="0"/>
          <w:color w:val="000000" w:themeColor="text1"/>
          <w:szCs w:val="24"/>
          <w14:textFill>
            <w14:solidFill>
              <w14:schemeClr w14:val="tx1"/>
            </w14:solidFill>
          </w14:textFill>
        </w:rPr>
      </w:pPr>
      <w:r>
        <w:rPr>
          <w:rFonts w:hint="eastAsia"/>
          <w:snapToGrid w:val="0"/>
          <w:color w:val="000000" w:themeColor="text1"/>
          <w14:textFill>
            <w14:solidFill>
              <w14:schemeClr w14:val="tx1"/>
            </w14:solidFill>
          </w14:textFill>
        </w:rPr>
        <w:t>1、</w:t>
      </w:r>
      <w:r>
        <w:rPr>
          <w:rFonts w:hint="eastAsia" w:cs="宋体"/>
          <w:bCs/>
          <w:snapToGrid w:val="0"/>
          <w:color w:val="000000" w:themeColor="text1"/>
          <w:szCs w:val="24"/>
          <w14:textFill>
            <w14:solidFill>
              <w14:schemeClr w14:val="tx1"/>
            </w14:solidFill>
          </w14:textFill>
        </w:rPr>
        <w:t>工艺风险识别</w:t>
      </w:r>
    </w:p>
    <w:p w14:paraId="7B8E84EE">
      <w:pPr>
        <w:pStyle w:val="85"/>
        <w:adjustRightInd w:val="0"/>
        <w:snapToGrid w:val="0"/>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本项目为啤酒生产制造项目，项目在营运过程中CIP清洗系统和啤酒灌装清洗使用碱性清洗剂（</w:t>
      </w:r>
      <w:r>
        <w:rPr>
          <w:rFonts w:hint="eastAsia" w:cs="宋体"/>
          <w:bCs/>
          <w:snapToGrid w:val="0"/>
          <w:color w:val="000000" w:themeColor="text1"/>
          <w:szCs w:val="24"/>
          <w:lang w:val="en-US" w:eastAsia="zh-CN"/>
          <w14:textFill>
            <w14:solidFill>
              <w14:schemeClr w14:val="tx1"/>
            </w14:solidFill>
          </w14:textFill>
        </w:rPr>
        <w:t>96</w:t>
      </w:r>
      <w:r>
        <w:rPr>
          <w:rFonts w:cs="宋体"/>
          <w:bCs/>
          <w:snapToGrid w:val="0"/>
          <w:color w:val="000000" w:themeColor="text1"/>
          <w:szCs w:val="24"/>
          <w14:textFill>
            <w14:solidFill>
              <w14:schemeClr w14:val="tx1"/>
            </w14:solidFill>
          </w14:textFill>
        </w:rPr>
        <w:t>%NaOH）、酸性清洁剂（</w:t>
      </w:r>
      <w:r>
        <w:rPr>
          <w:rFonts w:hint="eastAsia" w:cs="宋体"/>
          <w:bCs/>
          <w:snapToGrid w:val="0"/>
          <w:color w:val="000000" w:themeColor="text1"/>
          <w:szCs w:val="24"/>
          <w:lang w:val="en-US" w:eastAsia="zh-CN"/>
          <w14:textFill>
            <w14:solidFill>
              <w14:schemeClr w14:val="tx1"/>
            </w14:solidFill>
          </w14:textFill>
        </w:rPr>
        <w:t>5</w:t>
      </w:r>
      <w:r>
        <w:rPr>
          <w:rFonts w:cs="宋体"/>
          <w:bCs/>
          <w:snapToGrid w:val="0"/>
          <w:color w:val="000000" w:themeColor="text1"/>
          <w:szCs w:val="24"/>
          <w14:textFill>
            <w14:solidFill>
              <w14:schemeClr w14:val="tx1"/>
            </w14:solidFill>
          </w14:textFill>
        </w:rPr>
        <w:t>0%</w:t>
      </w:r>
      <w:r>
        <w:rPr>
          <w:rFonts w:hint="eastAsia" w:cs="宋体"/>
          <w:bCs/>
          <w:snapToGrid w:val="0"/>
          <w:color w:val="000000" w:themeColor="text1"/>
          <w:szCs w:val="24"/>
          <w:lang w:val="en-US" w:eastAsia="zh-CN"/>
          <w14:textFill>
            <w14:solidFill>
              <w14:schemeClr w14:val="tx1"/>
            </w14:solidFill>
          </w14:textFill>
        </w:rPr>
        <w:t>~60%</w:t>
      </w:r>
      <w:r>
        <w:rPr>
          <w:rFonts w:cs="宋体"/>
          <w:bCs/>
          <w:snapToGrid w:val="0"/>
          <w:color w:val="000000" w:themeColor="text1"/>
          <w:szCs w:val="24"/>
          <w14:textFill>
            <w14:solidFill>
              <w14:schemeClr w14:val="tx1"/>
            </w14:solidFill>
          </w14:textFill>
        </w:rPr>
        <w:t>HNO</w:t>
      </w:r>
      <w:r>
        <w:rPr>
          <w:rFonts w:cs="宋体"/>
          <w:bCs/>
          <w:snapToGrid w:val="0"/>
          <w:color w:val="000000" w:themeColor="text1"/>
          <w:szCs w:val="24"/>
          <w:vertAlign w:val="subscript"/>
          <w14:textFill>
            <w14:solidFill>
              <w14:schemeClr w14:val="tx1"/>
            </w14:solidFill>
          </w14:textFill>
        </w:rPr>
        <w:t>3</w:t>
      </w:r>
      <w:r>
        <w:rPr>
          <w:rFonts w:cs="宋体"/>
          <w:bCs/>
          <w:snapToGrid w:val="0"/>
          <w:color w:val="000000" w:themeColor="text1"/>
          <w:szCs w:val="24"/>
          <w14:textFill>
            <w14:solidFill>
              <w14:schemeClr w14:val="tx1"/>
            </w14:solidFill>
          </w14:textFill>
        </w:rPr>
        <w:t>）、过氧乙酸消毒剂（15%过氧乙酸），清洗时对清洗剂进行调配，调配后溶液浓度为NaOH（质量浓度</w:t>
      </w:r>
      <w:r>
        <w:rPr>
          <w:snapToGrid w:val="0"/>
          <w:color w:val="000000" w:themeColor="text1"/>
          <w14:textFill>
            <w14:solidFill>
              <w14:schemeClr w14:val="tx1"/>
            </w14:solidFill>
          </w14:textFill>
        </w:rPr>
        <w:t>1.0%~2.0</w:t>
      </w:r>
      <w:r>
        <w:rPr>
          <w:rFonts w:cs="宋体"/>
          <w:bCs/>
          <w:snapToGrid w:val="0"/>
          <w:color w:val="000000" w:themeColor="text1"/>
          <w:szCs w:val="24"/>
          <w14:textFill>
            <w14:solidFill>
              <w14:schemeClr w14:val="tx1"/>
            </w14:solidFill>
          </w14:textFill>
        </w:rPr>
        <w:t>%）、HNO</w:t>
      </w:r>
      <w:r>
        <w:rPr>
          <w:rFonts w:cs="宋体"/>
          <w:bCs/>
          <w:snapToGrid w:val="0"/>
          <w:color w:val="000000" w:themeColor="text1"/>
          <w:szCs w:val="24"/>
          <w:vertAlign w:val="subscript"/>
          <w14:textFill>
            <w14:solidFill>
              <w14:schemeClr w14:val="tx1"/>
            </w14:solidFill>
          </w14:textFill>
        </w:rPr>
        <w:t>3</w:t>
      </w:r>
      <w:r>
        <w:rPr>
          <w:rFonts w:cs="宋体"/>
          <w:bCs/>
          <w:snapToGrid w:val="0"/>
          <w:color w:val="000000" w:themeColor="text1"/>
          <w:szCs w:val="24"/>
          <w14:textFill>
            <w14:solidFill>
              <w14:schemeClr w14:val="tx1"/>
            </w14:solidFill>
          </w14:textFill>
        </w:rPr>
        <w:t>（质量浓度</w:t>
      </w:r>
      <w:r>
        <w:rPr>
          <w:rFonts w:hint="eastAsia"/>
          <w:snapToGrid w:val="0"/>
          <w:color w:val="000000" w:themeColor="text1"/>
          <w:lang w:val="zh-CN"/>
          <w14:textFill>
            <w14:solidFill>
              <w14:schemeClr w14:val="tx1"/>
            </w14:solidFill>
          </w14:textFill>
        </w:rPr>
        <w:t>1.0%~</w:t>
      </w:r>
      <w:r>
        <w:rPr>
          <w:rFonts w:hint="eastAsia"/>
          <w:snapToGrid w:val="0"/>
          <w:color w:val="000000" w:themeColor="text1"/>
          <w:lang w:val="en-US" w:eastAsia="zh-CN"/>
          <w14:textFill>
            <w14:solidFill>
              <w14:schemeClr w14:val="tx1"/>
            </w14:solidFill>
          </w14:textFill>
        </w:rPr>
        <w:t>1.5</w:t>
      </w:r>
      <w:r>
        <w:rPr>
          <w:rFonts w:hint="eastAsia"/>
          <w:snapToGrid w:val="0"/>
          <w:color w:val="000000" w:themeColor="text1"/>
          <w:lang w:val="zh-CN"/>
          <w14:textFill>
            <w14:solidFill>
              <w14:schemeClr w14:val="tx1"/>
            </w14:solidFill>
          </w14:textFill>
        </w:rPr>
        <w:t>%</w:t>
      </w:r>
      <w:r>
        <w:rPr>
          <w:rFonts w:cs="宋体"/>
          <w:bCs/>
          <w:snapToGrid w:val="0"/>
          <w:color w:val="000000" w:themeColor="text1"/>
          <w:szCs w:val="24"/>
          <w14:textFill>
            <w14:solidFill>
              <w14:schemeClr w14:val="tx1"/>
            </w14:solidFill>
          </w14:textFill>
        </w:rPr>
        <w:t>）、过氧乙酸溶液（质量浓度</w:t>
      </w:r>
      <w:r>
        <w:rPr>
          <w:rFonts w:hint="eastAsia"/>
          <w:snapToGrid w:val="0"/>
          <w:color w:val="000000" w:themeColor="text1"/>
          <w:lang w:val="zh-CN"/>
          <w14:textFill>
            <w14:solidFill>
              <w14:schemeClr w14:val="tx1"/>
            </w14:solidFill>
          </w14:textFill>
        </w:rPr>
        <w:t>0.</w:t>
      </w:r>
      <w:r>
        <w:rPr>
          <w:rFonts w:hint="eastAsia"/>
          <w:snapToGrid w:val="0"/>
          <w:color w:val="000000" w:themeColor="text1"/>
          <w:lang w:val="en-US" w:eastAsia="zh-CN"/>
          <w14:textFill>
            <w14:solidFill>
              <w14:schemeClr w14:val="tx1"/>
            </w14:solidFill>
          </w14:textFill>
        </w:rPr>
        <w:t>1</w:t>
      </w:r>
      <w:r>
        <w:rPr>
          <w:rFonts w:hint="eastAsia"/>
          <w:snapToGrid w:val="0"/>
          <w:color w:val="000000" w:themeColor="text1"/>
          <w:lang w:val="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~0.3%</w:t>
      </w:r>
      <w:r>
        <w:rPr>
          <w:rFonts w:cs="宋体"/>
          <w:bCs/>
          <w:snapToGrid w:val="0"/>
          <w:color w:val="000000" w:themeColor="text1"/>
          <w:szCs w:val="24"/>
          <w14:textFill>
            <w14:solidFill>
              <w14:schemeClr w14:val="tx1"/>
            </w14:solidFill>
          </w14:textFill>
        </w:rPr>
        <w:t>），制冷系统制冷剂为</w:t>
      </w:r>
      <w:r>
        <w:rPr>
          <w:rFonts w:hint="eastAsia" w:cs="宋体"/>
          <w:bCs/>
          <w:snapToGrid w:val="0"/>
          <w:color w:val="000000" w:themeColor="text1"/>
          <w:szCs w:val="24"/>
          <w14:textFill>
            <w14:solidFill>
              <w14:schemeClr w14:val="tx1"/>
            </w14:solidFill>
          </w14:textFill>
        </w:rPr>
        <w:t>R</w:t>
      </w:r>
      <w:r>
        <w:rPr>
          <w:rFonts w:cs="宋体"/>
          <w:bCs/>
          <w:snapToGrid w:val="0"/>
          <w:color w:val="000000" w:themeColor="text1"/>
          <w:szCs w:val="24"/>
          <w14:textFill>
            <w14:solidFill>
              <w14:schemeClr w14:val="tx1"/>
            </w14:solidFill>
          </w14:textFill>
        </w:rPr>
        <w:t>410A。根据建设单位提供资料，本项目酸碱清洗剂采取少量存贮，即用即买的方式，其中碱性清洗剂最大存储约</w:t>
      </w:r>
      <w:r>
        <w:rPr>
          <w:rFonts w:hint="eastAsia" w:cs="宋体"/>
          <w:bCs/>
          <w:snapToGrid w:val="0"/>
          <w:color w:val="000000" w:themeColor="text1"/>
          <w:szCs w:val="24"/>
          <w:lang w:val="en-US" w:eastAsia="zh-CN"/>
          <w14:textFill>
            <w14:solidFill>
              <w14:schemeClr w14:val="tx1"/>
            </w14:solidFill>
          </w14:textFill>
        </w:rPr>
        <w:t>1.5</w:t>
      </w:r>
      <w:r>
        <w:rPr>
          <w:rFonts w:cs="宋体"/>
          <w:bCs/>
          <w:snapToGrid w:val="0"/>
          <w:color w:val="000000" w:themeColor="text1"/>
          <w:szCs w:val="24"/>
          <w14:textFill>
            <w14:solidFill>
              <w14:schemeClr w14:val="tx1"/>
            </w14:solidFill>
          </w14:textFill>
        </w:rPr>
        <w:t>吨、酸性清洁剂最大存储约</w:t>
      </w:r>
      <w:r>
        <w:rPr>
          <w:rFonts w:hint="eastAsia" w:cs="宋体"/>
          <w:bCs/>
          <w:snapToGrid w:val="0"/>
          <w:color w:val="000000" w:themeColor="text1"/>
          <w:szCs w:val="24"/>
          <w:lang w:val="en-US" w:eastAsia="zh-CN"/>
          <w14:textFill>
            <w14:solidFill>
              <w14:schemeClr w14:val="tx1"/>
            </w14:solidFill>
          </w14:textFill>
        </w:rPr>
        <w:t>1.2</w:t>
      </w:r>
      <w:r>
        <w:rPr>
          <w:rFonts w:cs="宋体"/>
          <w:bCs/>
          <w:snapToGrid w:val="0"/>
          <w:color w:val="000000" w:themeColor="text1"/>
          <w:szCs w:val="24"/>
          <w14:textFill>
            <w14:solidFill>
              <w14:schemeClr w14:val="tx1"/>
            </w14:solidFill>
          </w14:textFill>
        </w:rPr>
        <w:t>吨，过氧乙酸消毒剂最大存储约0.</w:t>
      </w:r>
      <w:r>
        <w:rPr>
          <w:rFonts w:hint="eastAsia" w:cs="宋体"/>
          <w:bCs/>
          <w:snapToGrid w:val="0"/>
          <w:color w:val="000000" w:themeColor="text1"/>
          <w:szCs w:val="24"/>
          <w:lang w:val="en-US" w:eastAsia="zh-CN"/>
          <w14:textFill>
            <w14:solidFill>
              <w14:schemeClr w14:val="tx1"/>
            </w14:solidFill>
          </w14:textFill>
        </w:rPr>
        <w:t>12</w:t>
      </w:r>
      <w:r>
        <w:rPr>
          <w:rFonts w:cs="宋体"/>
          <w:bCs/>
          <w:snapToGrid w:val="0"/>
          <w:color w:val="000000" w:themeColor="text1"/>
          <w:szCs w:val="24"/>
          <w14:textFill>
            <w14:solidFill>
              <w14:schemeClr w14:val="tx1"/>
            </w14:solidFill>
          </w14:textFill>
        </w:rPr>
        <w:t>吨</w:t>
      </w:r>
      <w:r>
        <w:rPr>
          <w:rFonts w:hint="eastAsia" w:cs="宋体"/>
          <w:bCs/>
          <w:snapToGrid w:val="0"/>
          <w:color w:val="000000" w:themeColor="text1"/>
          <w:szCs w:val="24"/>
          <w14:textFill>
            <w14:solidFill>
              <w14:schemeClr w14:val="tx1"/>
            </w14:solidFill>
          </w14:textFill>
        </w:rPr>
        <w:t>。</w:t>
      </w:r>
    </w:p>
    <w:p w14:paraId="2AA4DF96">
      <w:pPr>
        <w:pStyle w:val="85"/>
        <w:adjustRightInd w:val="0"/>
        <w:snapToGrid w:val="0"/>
        <w:rPr>
          <w:rFonts w:cs="宋体"/>
          <w:bCs/>
          <w:snapToGrid w:val="0"/>
          <w:color w:val="000000" w:themeColor="text1"/>
          <w:szCs w:val="24"/>
          <w14:textFill>
            <w14:solidFill>
              <w14:schemeClr w14:val="tx1"/>
            </w14:solidFill>
          </w14:textFill>
        </w:rPr>
      </w:pPr>
      <w:r>
        <w:rPr>
          <w:rFonts w:hint="eastAsia" w:cs="宋体"/>
          <w:bCs/>
          <w:snapToGrid w:val="0"/>
          <w:color w:val="000000" w:themeColor="text1"/>
          <w:szCs w:val="24"/>
          <w:lang w:val="en-US" w:eastAsia="zh-CN"/>
          <w14:textFill>
            <w14:solidFill>
              <w14:schemeClr w14:val="tx1"/>
            </w14:solidFill>
          </w14:textFill>
        </w:rPr>
        <w:t>项目柴油发电机设置</w:t>
      </w:r>
      <w:r>
        <w:rPr>
          <w:rFonts w:cs="宋体"/>
          <w:bCs/>
          <w:snapToGrid w:val="0"/>
          <w:color w:val="000000" w:themeColor="text1"/>
          <w:szCs w:val="24"/>
          <w14:textFill>
            <w14:solidFill>
              <w14:schemeClr w14:val="tx1"/>
            </w14:solidFill>
          </w14:textFill>
        </w:rPr>
        <w:t>柴油储罐</w:t>
      </w:r>
      <w:r>
        <w:rPr>
          <w:rFonts w:hint="eastAsia" w:cs="宋体"/>
          <w:bCs/>
          <w:snapToGrid w:val="0"/>
          <w:color w:val="000000" w:themeColor="text1"/>
          <w:szCs w:val="24"/>
          <w:lang w:eastAsia="zh-CN"/>
          <w14:textFill>
            <w14:solidFill>
              <w14:schemeClr w14:val="tx1"/>
            </w14:solidFill>
          </w14:textFill>
        </w:rPr>
        <w:t>，</w:t>
      </w:r>
      <w:r>
        <w:rPr>
          <w:rFonts w:hint="eastAsia" w:cs="宋体"/>
          <w:bCs/>
          <w:snapToGrid w:val="0"/>
          <w:color w:val="000000" w:themeColor="text1"/>
          <w:szCs w:val="24"/>
          <w:lang w:val="en-US" w:eastAsia="zh-CN"/>
          <w14:textFill>
            <w14:solidFill>
              <w14:schemeClr w14:val="tx1"/>
            </w14:solidFill>
          </w14:textFill>
        </w:rPr>
        <w:t>储罐内</w:t>
      </w:r>
      <w:r>
        <w:rPr>
          <w:rFonts w:hint="eastAsia" w:cs="宋体"/>
          <w:bCs/>
          <w:snapToGrid w:val="0"/>
          <w:color w:val="000000" w:themeColor="text1"/>
          <w:szCs w:val="24"/>
          <w14:textFill>
            <w14:solidFill>
              <w14:schemeClr w14:val="tx1"/>
            </w14:solidFill>
          </w14:textFill>
        </w:rPr>
        <w:t>柴油最大贮存量为</w:t>
      </w:r>
      <w:r>
        <w:rPr>
          <w:rFonts w:hint="eastAsia" w:cs="宋体"/>
          <w:bCs/>
          <w:snapToGrid w:val="0"/>
          <w:color w:val="000000" w:themeColor="text1"/>
          <w:szCs w:val="24"/>
          <w:lang w:val="en-US" w:eastAsia="zh-CN"/>
          <w14:textFill>
            <w14:solidFill>
              <w14:schemeClr w14:val="tx1"/>
            </w14:solidFill>
          </w14:textFill>
        </w:rPr>
        <w:t>2m</w:t>
      </w:r>
      <w:r>
        <w:rPr>
          <w:rFonts w:hint="eastAsia" w:cs="宋体"/>
          <w:bCs/>
          <w:snapToGrid w:val="0"/>
          <w:color w:val="000000" w:themeColor="text1"/>
          <w:szCs w:val="24"/>
          <w:vertAlign w:val="superscript"/>
          <w:lang w:val="en-US" w:eastAsia="zh-CN"/>
          <w14:textFill>
            <w14:solidFill>
              <w14:schemeClr w14:val="tx1"/>
            </w14:solidFill>
          </w14:textFill>
        </w:rPr>
        <w:t>3</w:t>
      </w:r>
      <w:r>
        <w:rPr>
          <w:rFonts w:hint="eastAsia" w:cs="宋体"/>
          <w:bCs/>
          <w:snapToGrid w:val="0"/>
          <w:color w:val="000000" w:themeColor="text1"/>
          <w:szCs w:val="24"/>
          <w:vertAlign w:val="baseline"/>
          <w:lang w:val="en-US" w:eastAsia="zh-CN"/>
          <w14:textFill>
            <w14:solidFill>
              <w14:schemeClr w14:val="tx1"/>
            </w14:solidFill>
          </w14:textFill>
        </w:rPr>
        <w:t>，柴油密度取0.85kg/m</w:t>
      </w:r>
      <w:r>
        <w:rPr>
          <w:rFonts w:hint="eastAsia" w:cs="宋体"/>
          <w:bCs/>
          <w:snapToGrid w:val="0"/>
          <w:color w:val="000000" w:themeColor="text1"/>
          <w:szCs w:val="24"/>
          <w:vertAlign w:val="superscript"/>
          <w:lang w:val="en-US" w:eastAsia="zh-CN"/>
          <w14:textFill>
            <w14:solidFill>
              <w14:schemeClr w14:val="tx1"/>
            </w14:solidFill>
          </w14:textFill>
        </w:rPr>
        <w:t>3</w:t>
      </w:r>
      <w:r>
        <w:rPr>
          <w:rFonts w:cs="宋体"/>
          <w:bCs/>
          <w:snapToGrid w:val="0"/>
          <w:color w:val="000000" w:themeColor="text1"/>
          <w:szCs w:val="24"/>
          <w14:textFill>
            <w14:solidFill>
              <w14:schemeClr w14:val="tx1"/>
            </w14:solidFill>
          </w14:textFill>
        </w:rPr>
        <w:t>。</w:t>
      </w:r>
    </w:p>
    <w:p w14:paraId="4738AF2F">
      <w:pPr>
        <w:pStyle w:val="85"/>
        <w:adjustRightInd w:val="0"/>
        <w:snapToGrid w:val="0"/>
        <w:rPr>
          <w:rFonts w:hint="eastAsia" w:cs="宋体"/>
          <w:bCs/>
          <w:snapToGrid w:val="0"/>
          <w:color w:val="000000" w:themeColor="text1"/>
          <w:szCs w:val="24"/>
          <w14:textFill>
            <w14:solidFill>
              <w14:schemeClr w14:val="tx1"/>
            </w14:solidFill>
          </w14:textFill>
        </w:rPr>
      </w:pPr>
      <w:r>
        <w:rPr>
          <w:rFonts w:hint="eastAsia" w:cs="宋体"/>
          <w:bCs/>
          <w:snapToGrid w:val="0"/>
          <w:color w:val="000000" w:themeColor="text1"/>
          <w:szCs w:val="24"/>
          <w14:textFill>
            <w14:solidFill>
              <w14:schemeClr w14:val="tx1"/>
            </w14:solidFill>
          </w14:textFill>
        </w:rPr>
        <w:t>本项目新建</w:t>
      </w:r>
      <w:r>
        <w:rPr>
          <w:rFonts w:hint="eastAsia" w:cs="宋体"/>
          <w:bCs/>
          <w:snapToGrid w:val="0"/>
          <w:color w:val="000000" w:themeColor="text1"/>
          <w:szCs w:val="24"/>
          <w:lang w:val="en-US" w:eastAsia="zh-CN"/>
          <w14:textFill>
            <w14:solidFill>
              <w14:schemeClr w14:val="tx1"/>
            </w14:solidFill>
          </w14:textFill>
        </w:rPr>
        <w:t>30</w:t>
      </w:r>
      <w:r>
        <w:rPr>
          <w:rFonts w:hint="eastAsia" w:cs="宋体"/>
          <w:bCs/>
          <w:snapToGrid w:val="0"/>
          <w:color w:val="000000" w:themeColor="text1"/>
          <w:szCs w:val="24"/>
          <w14:textFill>
            <w14:solidFill>
              <w14:schemeClr w14:val="tx1"/>
            </w14:solidFill>
          </w14:textFill>
        </w:rPr>
        <w:t>m</w:t>
      </w:r>
      <w:r>
        <w:rPr>
          <w:rFonts w:cs="宋体"/>
          <w:bCs/>
          <w:snapToGrid w:val="0"/>
          <w:color w:val="000000" w:themeColor="text1"/>
          <w:szCs w:val="24"/>
          <w:vertAlign w:val="superscript"/>
          <w14:textFill>
            <w14:solidFill>
              <w14:schemeClr w14:val="tx1"/>
            </w14:solidFill>
          </w14:textFill>
        </w:rPr>
        <w:t>3</w:t>
      </w:r>
      <w:r>
        <w:rPr>
          <w:rFonts w:hint="eastAsia" w:cs="宋体"/>
          <w:bCs/>
          <w:snapToGrid w:val="0"/>
          <w:color w:val="000000" w:themeColor="text1"/>
          <w:szCs w:val="24"/>
          <w14:textFill>
            <w14:solidFill>
              <w14:schemeClr w14:val="tx1"/>
            </w14:solidFill>
          </w14:textFill>
        </w:rPr>
        <w:t>沼气气室，理论上沼气中</w:t>
      </w:r>
      <w:r>
        <w:rPr>
          <w:rFonts w:cs="宋体"/>
          <w:bCs/>
          <w:snapToGrid w:val="0"/>
          <w:color w:val="000000" w:themeColor="text1"/>
          <w:szCs w:val="24"/>
          <w14:textFill>
            <w14:solidFill>
              <w14:schemeClr w14:val="tx1"/>
            </w14:solidFill>
          </w14:textFill>
        </w:rPr>
        <w:t>CH</w:t>
      </w:r>
      <w:r>
        <w:rPr>
          <w:rFonts w:cs="宋体"/>
          <w:bCs/>
          <w:snapToGrid w:val="0"/>
          <w:color w:val="000000" w:themeColor="text1"/>
          <w:szCs w:val="24"/>
          <w:vertAlign w:val="subscript"/>
          <w14:textFill>
            <w14:solidFill>
              <w14:schemeClr w14:val="tx1"/>
            </w14:solidFill>
          </w14:textFill>
        </w:rPr>
        <w:t>4</w:t>
      </w:r>
      <w:r>
        <w:rPr>
          <w:rFonts w:hint="eastAsia" w:cs="宋体"/>
          <w:bCs/>
          <w:snapToGrid w:val="0"/>
          <w:color w:val="000000" w:themeColor="text1"/>
          <w:szCs w:val="24"/>
          <w14:textFill>
            <w14:solidFill>
              <w14:schemeClr w14:val="tx1"/>
            </w14:solidFill>
          </w14:textFill>
        </w:rPr>
        <w:t>含量为</w:t>
      </w:r>
      <w:r>
        <w:rPr>
          <w:rFonts w:cs="宋体"/>
          <w:bCs/>
          <w:snapToGrid w:val="0"/>
          <w:color w:val="000000" w:themeColor="text1"/>
          <w:szCs w:val="24"/>
          <w14:textFill>
            <w14:solidFill>
              <w14:schemeClr w14:val="tx1"/>
            </w14:solidFill>
          </w14:textFill>
        </w:rPr>
        <w:t>69%</w:t>
      </w:r>
      <w:r>
        <w:rPr>
          <w:rFonts w:hint="eastAsia" w:cs="宋体"/>
          <w:bCs/>
          <w:snapToGrid w:val="0"/>
          <w:color w:val="000000" w:themeColor="text1"/>
          <w:szCs w:val="24"/>
          <w14:textFill>
            <w14:solidFill>
              <w14:schemeClr w14:val="tx1"/>
            </w14:solidFill>
          </w14:textFill>
        </w:rPr>
        <w:t>，</w:t>
      </w:r>
      <w:r>
        <w:rPr>
          <w:rFonts w:hint="eastAsia" w:cs="宋体"/>
          <w:bCs/>
          <w:snapToGrid w:val="0"/>
          <w:color w:val="000000" w:themeColor="text1"/>
          <w:szCs w:val="24"/>
          <w:lang w:val="en-US" w:eastAsia="zh-CN"/>
          <w14:textFill>
            <w14:solidFill>
              <w14:schemeClr w14:val="tx1"/>
            </w14:solidFill>
          </w14:textFill>
        </w:rPr>
        <w:t>沼气</w:t>
      </w:r>
      <w:r>
        <w:rPr>
          <w:rFonts w:hint="eastAsia" w:cs="宋体"/>
          <w:bCs/>
          <w:snapToGrid w:val="0"/>
          <w:color w:val="000000" w:themeColor="text1"/>
          <w:szCs w:val="24"/>
          <w14:textFill>
            <w14:solidFill>
              <w14:schemeClr w14:val="tx1"/>
            </w14:solidFill>
          </w14:textFill>
        </w:rPr>
        <w:t>密度</w:t>
      </w:r>
      <w:r>
        <w:rPr>
          <w:rFonts w:hint="eastAsia" w:cs="宋体"/>
          <w:bCs/>
          <w:snapToGrid w:val="0"/>
          <w:color w:val="000000" w:themeColor="text1"/>
          <w:szCs w:val="24"/>
          <w:lang w:val="en-US" w:eastAsia="zh-CN"/>
          <w14:textFill>
            <w14:solidFill>
              <w14:schemeClr w14:val="tx1"/>
            </w14:solidFill>
          </w14:textFill>
        </w:rPr>
        <w:t>取1.22</w:t>
      </w:r>
      <w:r>
        <w:rPr>
          <w:rFonts w:hint="eastAsia" w:cs="宋体"/>
          <w:bCs/>
          <w:snapToGrid w:val="0"/>
          <w:color w:val="000000" w:themeColor="text1"/>
          <w:szCs w:val="24"/>
          <w14:textFill>
            <w14:solidFill>
              <w14:schemeClr w14:val="tx1"/>
            </w14:solidFill>
          </w14:textFill>
        </w:rPr>
        <w:t>kg</w:t>
      </w:r>
      <w:r>
        <w:rPr>
          <w:rFonts w:cs="宋体"/>
          <w:bCs/>
          <w:snapToGrid w:val="0"/>
          <w:color w:val="000000" w:themeColor="text1"/>
          <w:szCs w:val="24"/>
          <w14:textFill>
            <w14:solidFill>
              <w14:schemeClr w14:val="tx1"/>
            </w14:solidFill>
          </w14:textFill>
        </w:rPr>
        <w:t>/</w:t>
      </w:r>
      <w:r>
        <w:rPr>
          <w:rFonts w:hint="eastAsia" w:cs="宋体"/>
          <w:bCs/>
          <w:snapToGrid w:val="0"/>
          <w:color w:val="000000" w:themeColor="text1"/>
          <w:szCs w:val="24"/>
          <w14:textFill>
            <w14:solidFill>
              <w14:schemeClr w14:val="tx1"/>
            </w14:solidFill>
          </w14:textFill>
        </w:rPr>
        <w:t>m</w:t>
      </w:r>
      <w:r>
        <w:rPr>
          <w:rFonts w:cs="宋体"/>
          <w:bCs/>
          <w:snapToGrid w:val="0"/>
          <w:color w:val="000000" w:themeColor="text1"/>
          <w:szCs w:val="24"/>
          <w:vertAlign w:val="superscript"/>
          <w14:textFill>
            <w14:solidFill>
              <w14:schemeClr w14:val="tx1"/>
            </w14:solidFill>
          </w14:textFill>
        </w:rPr>
        <w:t>3</w:t>
      </w:r>
      <w:r>
        <w:rPr>
          <w:rFonts w:hint="eastAsia" w:cs="宋体"/>
          <w:bCs/>
          <w:snapToGrid w:val="0"/>
          <w:color w:val="000000" w:themeColor="text1"/>
          <w:szCs w:val="24"/>
          <w14:textFill>
            <w14:solidFill>
              <w14:schemeClr w14:val="tx1"/>
            </w14:solidFill>
          </w14:textFill>
        </w:rPr>
        <w:t>，则本项目C</w:t>
      </w:r>
      <w:r>
        <w:rPr>
          <w:rFonts w:cs="宋体"/>
          <w:bCs/>
          <w:snapToGrid w:val="0"/>
          <w:color w:val="000000" w:themeColor="text1"/>
          <w:szCs w:val="24"/>
          <w14:textFill>
            <w14:solidFill>
              <w14:schemeClr w14:val="tx1"/>
            </w14:solidFill>
          </w14:textFill>
        </w:rPr>
        <w:t>H</w:t>
      </w:r>
      <w:r>
        <w:rPr>
          <w:rFonts w:cs="宋体"/>
          <w:bCs/>
          <w:snapToGrid w:val="0"/>
          <w:color w:val="000000" w:themeColor="text1"/>
          <w:szCs w:val="24"/>
          <w:vertAlign w:val="subscript"/>
          <w14:textFill>
            <w14:solidFill>
              <w14:schemeClr w14:val="tx1"/>
            </w14:solidFill>
          </w14:textFill>
        </w:rPr>
        <w:t>4</w:t>
      </w:r>
      <w:r>
        <w:rPr>
          <w:rFonts w:hint="eastAsia" w:cs="宋体"/>
          <w:bCs/>
          <w:snapToGrid w:val="0"/>
          <w:color w:val="000000" w:themeColor="text1"/>
          <w:szCs w:val="24"/>
          <w14:textFill>
            <w14:solidFill>
              <w14:schemeClr w14:val="tx1"/>
            </w14:solidFill>
          </w14:textFill>
        </w:rPr>
        <w:t>的最大储存量为</w:t>
      </w:r>
      <w:r>
        <w:rPr>
          <w:rFonts w:hint="eastAsia" w:cs="宋体"/>
          <w:bCs/>
          <w:snapToGrid w:val="0"/>
          <w:color w:val="000000" w:themeColor="text1"/>
          <w:szCs w:val="24"/>
          <w:lang w:val="en-US" w:eastAsia="zh-CN"/>
          <w14:textFill>
            <w14:solidFill>
              <w14:schemeClr w14:val="tx1"/>
            </w14:solidFill>
          </w14:textFill>
        </w:rPr>
        <w:t>0.025</w:t>
      </w:r>
      <w:r>
        <w:rPr>
          <w:rFonts w:hint="eastAsia" w:cs="宋体"/>
          <w:bCs/>
          <w:snapToGrid w:val="0"/>
          <w:color w:val="000000" w:themeColor="text1"/>
          <w:szCs w:val="24"/>
          <w14:textFill>
            <w14:solidFill>
              <w14:schemeClr w14:val="tx1"/>
            </w14:solidFill>
          </w14:textFill>
        </w:rPr>
        <w:t>t。</w:t>
      </w:r>
    </w:p>
    <w:p w14:paraId="4C1091BD">
      <w:pPr>
        <w:pStyle w:val="85"/>
        <w:adjustRightInd w:val="0"/>
        <w:snapToGrid w:val="0"/>
        <w:rPr>
          <w:rFonts w:hint="eastAsia" w:cs="宋体"/>
          <w:bCs/>
          <w:snapToGrid w:val="0"/>
          <w:color w:val="000000" w:themeColor="text1"/>
          <w:szCs w:val="24"/>
          <w14:textFill>
            <w14:solidFill>
              <w14:schemeClr w14:val="tx1"/>
            </w14:solidFill>
          </w14:textFill>
        </w:rPr>
      </w:pPr>
      <w:r>
        <w:rPr>
          <w:rFonts w:hint="eastAsia" w:cs="宋体"/>
          <w:bCs/>
          <w:snapToGrid w:val="0"/>
          <w:color w:val="000000" w:themeColor="text1"/>
          <w:szCs w:val="24"/>
          <w:lang w:val="en-US" w:eastAsia="zh-CN"/>
          <w14:textFill>
            <w14:solidFill>
              <w14:schemeClr w14:val="tx1"/>
            </w14:solidFill>
          </w14:textFill>
        </w:rPr>
        <w:t>本项目锅炉使用天然气，厂区不设置储气罐，厂区内天然气管道长度约为100m，天然气管道0.1m，天然气中</w:t>
      </w:r>
      <w:r>
        <w:rPr>
          <w:rFonts w:cs="宋体"/>
          <w:bCs/>
          <w:snapToGrid w:val="0"/>
          <w:color w:val="000000" w:themeColor="text1"/>
          <w:szCs w:val="24"/>
          <w14:textFill>
            <w14:solidFill>
              <w14:schemeClr w14:val="tx1"/>
            </w14:solidFill>
          </w14:textFill>
        </w:rPr>
        <w:t>CH</w:t>
      </w:r>
      <w:r>
        <w:rPr>
          <w:rFonts w:cs="宋体"/>
          <w:bCs/>
          <w:snapToGrid w:val="0"/>
          <w:color w:val="000000" w:themeColor="text1"/>
          <w:szCs w:val="24"/>
          <w:vertAlign w:val="subscript"/>
          <w14:textFill>
            <w14:solidFill>
              <w14:schemeClr w14:val="tx1"/>
            </w14:solidFill>
          </w14:textFill>
        </w:rPr>
        <w:t>4</w:t>
      </w:r>
      <w:r>
        <w:rPr>
          <w:rFonts w:hint="eastAsia" w:cs="宋体"/>
          <w:bCs/>
          <w:snapToGrid w:val="0"/>
          <w:color w:val="000000" w:themeColor="text1"/>
          <w:szCs w:val="24"/>
          <w14:textFill>
            <w14:solidFill>
              <w14:schemeClr w14:val="tx1"/>
            </w14:solidFill>
          </w14:textFill>
        </w:rPr>
        <w:t>含量为</w:t>
      </w:r>
      <w:r>
        <w:rPr>
          <w:rFonts w:hint="eastAsia" w:cs="宋体"/>
          <w:bCs/>
          <w:snapToGrid w:val="0"/>
          <w:color w:val="000000" w:themeColor="text1"/>
          <w:szCs w:val="24"/>
          <w:lang w:val="en-US" w:eastAsia="zh-CN"/>
          <w14:textFill>
            <w14:solidFill>
              <w14:schemeClr w14:val="tx1"/>
            </w14:solidFill>
          </w14:textFill>
        </w:rPr>
        <w:t>90</w:t>
      </w:r>
      <w:r>
        <w:rPr>
          <w:rFonts w:cs="宋体"/>
          <w:bCs/>
          <w:snapToGrid w:val="0"/>
          <w:color w:val="000000" w:themeColor="text1"/>
          <w:szCs w:val="24"/>
          <w14:textFill>
            <w14:solidFill>
              <w14:schemeClr w14:val="tx1"/>
            </w14:solidFill>
          </w14:textFill>
        </w:rPr>
        <w:t>%</w:t>
      </w:r>
      <w:r>
        <w:rPr>
          <w:rFonts w:hint="eastAsia" w:cs="宋体"/>
          <w:bCs/>
          <w:snapToGrid w:val="0"/>
          <w:color w:val="000000" w:themeColor="text1"/>
          <w:szCs w:val="24"/>
          <w14:textFill>
            <w14:solidFill>
              <w14:schemeClr w14:val="tx1"/>
            </w14:solidFill>
          </w14:textFill>
        </w:rPr>
        <w:t>，天然气密度为</w:t>
      </w:r>
      <w:r>
        <w:rPr>
          <w:rFonts w:hint="eastAsia" w:cs="宋体"/>
          <w:bCs/>
          <w:snapToGrid w:val="0"/>
          <w:color w:val="000000" w:themeColor="text1"/>
          <w:szCs w:val="24"/>
          <w:lang w:val="en-US" w:eastAsia="zh-CN"/>
          <w14:textFill>
            <w14:solidFill>
              <w14:schemeClr w14:val="tx1"/>
            </w14:solidFill>
          </w14:textFill>
        </w:rPr>
        <w:t>0.7174</w:t>
      </w:r>
      <w:r>
        <w:rPr>
          <w:rFonts w:hint="eastAsia" w:cs="宋体"/>
          <w:bCs/>
          <w:snapToGrid w:val="0"/>
          <w:color w:val="000000" w:themeColor="text1"/>
          <w:szCs w:val="24"/>
          <w14:textFill>
            <w14:solidFill>
              <w14:schemeClr w14:val="tx1"/>
            </w14:solidFill>
          </w14:textFill>
        </w:rPr>
        <w:t>kg</w:t>
      </w:r>
      <w:r>
        <w:rPr>
          <w:rFonts w:cs="宋体"/>
          <w:bCs/>
          <w:snapToGrid w:val="0"/>
          <w:color w:val="000000" w:themeColor="text1"/>
          <w:szCs w:val="24"/>
          <w14:textFill>
            <w14:solidFill>
              <w14:schemeClr w14:val="tx1"/>
            </w14:solidFill>
          </w14:textFill>
        </w:rPr>
        <w:t>/</w:t>
      </w:r>
      <w:r>
        <w:rPr>
          <w:rFonts w:hint="eastAsia" w:cs="宋体"/>
          <w:bCs/>
          <w:snapToGrid w:val="0"/>
          <w:color w:val="000000" w:themeColor="text1"/>
          <w:szCs w:val="24"/>
          <w14:textFill>
            <w14:solidFill>
              <w14:schemeClr w14:val="tx1"/>
            </w14:solidFill>
          </w14:textFill>
        </w:rPr>
        <w:t>m</w:t>
      </w:r>
      <w:r>
        <w:rPr>
          <w:rFonts w:cs="宋体"/>
          <w:bCs/>
          <w:snapToGrid w:val="0"/>
          <w:color w:val="000000" w:themeColor="text1"/>
          <w:szCs w:val="24"/>
          <w:vertAlign w:val="superscript"/>
          <w14:textFill>
            <w14:solidFill>
              <w14:schemeClr w14:val="tx1"/>
            </w14:solidFill>
          </w14:textFill>
        </w:rPr>
        <w:t>3</w:t>
      </w:r>
      <w:r>
        <w:rPr>
          <w:rFonts w:hint="eastAsia" w:cs="宋体"/>
          <w:bCs/>
          <w:snapToGrid w:val="0"/>
          <w:color w:val="000000" w:themeColor="text1"/>
          <w:szCs w:val="24"/>
          <w14:textFill>
            <w14:solidFill>
              <w14:schemeClr w14:val="tx1"/>
            </w14:solidFill>
          </w14:textFill>
        </w:rPr>
        <w:t>，则本项目C</w:t>
      </w:r>
      <w:r>
        <w:rPr>
          <w:rFonts w:cs="宋体"/>
          <w:bCs/>
          <w:snapToGrid w:val="0"/>
          <w:color w:val="000000" w:themeColor="text1"/>
          <w:szCs w:val="24"/>
          <w14:textFill>
            <w14:solidFill>
              <w14:schemeClr w14:val="tx1"/>
            </w14:solidFill>
          </w14:textFill>
        </w:rPr>
        <w:t>H</w:t>
      </w:r>
      <w:r>
        <w:rPr>
          <w:rFonts w:cs="宋体"/>
          <w:bCs/>
          <w:snapToGrid w:val="0"/>
          <w:color w:val="000000" w:themeColor="text1"/>
          <w:szCs w:val="24"/>
          <w:vertAlign w:val="subscript"/>
          <w14:textFill>
            <w14:solidFill>
              <w14:schemeClr w14:val="tx1"/>
            </w14:solidFill>
          </w14:textFill>
        </w:rPr>
        <w:t>4</w:t>
      </w:r>
      <w:r>
        <w:rPr>
          <w:rFonts w:hint="eastAsia" w:cs="宋体"/>
          <w:bCs/>
          <w:snapToGrid w:val="0"/>
          <w:color w:val="000000" w:themeColor="text1"/>
          <w:szCs w:val="24"/>
          <w14:textFill>
            <w14:solidFill>
              <w14:schemeClr w14:val="tx1"/>
            </w14:solidFill>
          </w14:textFill>
        </w:rPr>
        <w:t>的最大储存量为</w:t>
      </w:r>
      <w:r>
        <w:rPr>
          <w:rFonts w:hint="eastAsia" w:cs="宋体"/>
          <w:bCs/>
          <w:snapToGrid w:val="0"/>
          <w:color w:val="000000" w:themeColor="text1"/>
          <w:szCs w:val="24"/>
          <w:lang w:val="en-US" w:eastAsia="zh-CN"/>
          <w14:textFill>
            <w14:solidFill>
              <w14:schemeClr w14:val="tx1"/>
            </w14:solidFill>
          </w14:textFill>
        </w:rPr>
        <w:t>5.07×10</w:t>
      </w:r>
      <w:r>
        <w:rPr>
          <w:rFonts w:hint="eastAsia" w:cs="宋体"/>
          <w:bCs/>
          <w:snapToGrid w:val="0"/>
          <w:color w:val="000000" w:themeColor="text1"/>
          <w:szCs w:val="24"/>
          <w:vertAlign w:val="superscript"/>
          <w:lang w:val="en-US" w:eastAsia="zh-CN"/>
          <w14:textFill>
            <w14:solidFill>
              <w14:schemeClr w14:val="tx1"/>
            </w14:solidFill>
          </w14:textFill>
        </w:rPr>
        <w:t>-4</w:t>
      </w:r>
      <w:r>
        <w:rPr>
          <w:rFonts w:hint="eastAsia" w:cs="宋体"/>
          <w:bCs/>
          <w:snapToGrid w:val="0"/>
          <w:color w:val="000000" w:themeColor="text1"/>
          <w:szCs w:val="24"/>
          <w14:textFill>
            <w14:solidFill>
              <w14:schemeClr w14:val="tx1"/>
            </w14:solidFill>
          </w14:textFill>
        </w:rPr>
        <w:t>t。</w:t>
      </w:r>
    </w:p>
    <w:p w14:paraId="736F43BE">
      <w:pPr>
        <w:pStyle w:val="85"/>
        <w:adjustRightInd w:val="0"/>
        <w:snapToGrid w:val="0"/>
        <w:rPr>
          <w:rFonts w:hint="default" w:eastAsia="宋体" w:cs="宋体"/>
          <w:bCs/>
          <w:snapToGrid w:val="0"/>
          <w:color w:val="000000" w:themeColor="text1"/>
          <w:szCs w:val="24"/>
          <w:lang w:val="en-US" w:eastAsia="zh-CN"/>
          <w14:textFill>
            <w14:solidFill>
              <w14:schemeClr w14:val="tx1"/>
            </w14:solidFill>
          </w14:textFill>
        </w:rPr>
      </w:pPr>
      <w:r>
        <w:rPr>
          <w:rFonts w:hint="eastAsia" w:cs="宋体"/>
          <w:bCs/>
          <w:snapToGrid w:val="0"/>
          <w:color w:val="000000" w:themeColor="text1"/>
          <w:szCs w:val="24"/>
          <w:lang w:val="en-US" w:eastAsia="zh-CN"/>
          <w14:textFill>
            <w14:solidFill>
              <w14:schemeClr w14:val="tx1"/>
            </w14:solidFill>
          </w14:textFill>
        </w:rPr>
        <w:t>本项目机油</w:t>
      </w:r>
      <w:r>
        <w:rPr>
          <w:rFonts w:hint="eastAsia" w:cs="宋体"/>
          <w:bCs/>
          <w:snapToGrid w:val="0"/>
          <w:color w:val="000000" w:themeColor="text1"/>
          <w:szCs w:val="24"/>
          <w14:textFill>
            <w14:solidFill>
              <w14:schemeClr w14:val="tx1"/>
            </w14:solidFill>
          </w14:textFill>
        </w:rPr>
        <w:t>最大储存量为</w:t>
      </w:r>
      <w:r>
        <w:rPr>
          <w:rFonts w:hint="eastAsia" w:cs="宋体"/>
          <w:bCs/>
          <w:snapToGrid w:val="0"/>
          <w:color w:val="000000" w:themeColor="text1"/>
          <w:szCs w:val="24"/>
          <w:lang w:val="en-US" w:eastAsia="zh-CN"/>
          <w14:textFill>
            <w14:solidFill>
              <w14:schemeClr w14:val="tx1"/>
            </w14:solidFill>
          </w14:textFill>
        </w:rPr>
        <w:t>1t。</w:t>
      </w:r>
    </w:p>
    <w:p w14:paraId="1E08C0D0">
      <w:pPr>
        <w:pStyle w:val="85"/>
        <w:adjustRightInd w:val="0"/>
        <w:snapToGrid w:val="0"/>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本工程主要原辅材料</w:t>
      </w:r>
      <w:r>
        <w:rPr>
          <w:rFonts w:hint="eastAsia" w:cs="宋体"/>
          <w:bCs/>
          <w:snapToGrid w:val="0"/>
          <w:color w:val="000000" w:themeColor="text1"/>
          <w:szCs w:val="24"/>
          <w14:textFill>
            <w14:solidFill>
              <w14:schemeClr w14:val="tx1"/>
            </w14:solidFill>
          </w14:textFill>
        </w:rPr>
        <w:t>危险物质的</w:t>
      </w:r>
      <w:r>
        <w:rPr>
          <w:rFonts w:cs="宋体"/>
          <w:bCs/>
          <w:snapToGrid w:val="0"/>
          <w:color w:val="000000" w:themeColor="text1"/>
          <w:szCs w:val="24"/>
          <w14:textFill>
            <w14:solidFill>
              <w14:schemeClr w14:val="tx1"/>
            </w14:solidFill>
          </w14:textFill>
        </w:rPr>
        <w:t>物化性质、危险类别见下表。</w:t>
      </w:r>
    </w:p>
    <w:p w14:paraId="009F83A6">
      <w:pPr>
        <w:pStyle w:val="85"/>
        <w:adjustRightInd w:val="0"/>
        <w:snapToGrid w:val="0"/>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评价工作等级划分标准见下表。</w:t>
      </w:r>
    </w:p>
    <w:p w14:paraId="6507A93C">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表3-6-1</w:t>
      </w:r>
      <w:r>
        <w:rPr>
          <w:rFonts w:hint="eastAsia"/>
          <w:snapToGrid w:val="0"/>
          <w:color w:val="000000" w:themeColor="text1"/>
          <w:lang w:val="en-US" w:eastAsia="zh-CN"/>
          <w14:textFill>
            <w14:solidFill>
              <w14:schemeClr w14:val="tx1"/>
            </w14:solidFill>
          </w14:textFill>
        </w:rPr>
        <w:t>3</w:t>
      </w:r>
      <w:r>
        <w:rPr>
          <w:snapToGrid w:val="0"/>
          <w:color w:val="000000" w:themeColor="text1"/>
          <w14:textFill>
            <w14:solidFill>
              <w14:schemeClr w14:val="tx1"/>
            </w14:solidFill>
          </w14:textFill>
        </w:rPr>
        <w:t xml:space="preserve">  主要原辅材料</w:t>
      </w:r>
      <w:r>
        <w:rPr>
          <w:bCs/>
          <w:snapToGrid w:val="0"/>
          <w:color w:val="000000" w:themeColor="text1"/>
          <w:lang w:val="en-US"/>
          <w14:textFill>
            <w14:solidFill>
              <w14:schemeClr w14:val="tx1"/>
            </w14:solidFill>
          </w14:textFill>
        </w:rPr>
        <w:t>危险物质的</w:t>
      </w:r>
      <w:r>
        <w:rPr>
          <w:snapToGrid w:val="0"/>
          <w:color w:val="000000" w:themeColor="text1"/>
          <w14:textFill>
            <w14:solidFill>
              <w14:schemeClr w14:val="tx1"/>
            </w14:solidFill>
          </w14:textFill>
        </w:rPr>
        <w:t>物化性质、危险类别一览表</w:t>
      </w:r>
    </w:p>
    <w:tbl>
      <w:tblPr>
        <w:tblStyle w:val="49"/>
        <w:tblW w:w="0" w:type="auto"/>
        <w:jc w:val="center"/>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Layout w:type="autofit"/>
        <w:tblCellMar>
          <w:top w:w="0" w:type="dxa"/>
          <w:left w:w="0" w:type="dxa"/>
          <w:bottom w:w="0" w:type="dxa"/>
          <w:right w:w="0" w:type="dxa"/>
        </w:tblCellMar>
      </w:tblPr>
      <w:tblGrid>
        <w:gridCol w:w="578"/>
        <w:gridCol w:w="2659"/>
        <w:gridCol w:w="2165"/>
        <w:gridCol w:w="2904"/>
      </w:tblGrid>
      <w:tr w14:paraId="6F4C289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0" w:type="dxa"/>
            <w:bottom w:w="0" w:type="dxa"/>
            <w:right w:w="0" w:type="dxa"/>
          </w:tblCellMar>
        </w:tblPrEx>
        <w:trPr>
          <w:trHeight w:val="90" w:hRule="atLeast"/>
          <w:jc w:val="center"/>
        </w:trPr>
        <w:tc>
          <w:tcPr>
            <w:tcW w:w="0" w:type="auto"/>
            <w:tcBorders>
              <w:tl2br w:val="nil"/>
              <w:tr2bl w:val="nil"/>
            </w:tcBorders>
            <w:shd w:val="clear" w:color="auto" w:fill="D7D7D7" w:themeFill="background1" w:themeFillShade="D8"/>
            <w:vAlign w:val="center"/>
          </w:tcPr>
          <w:p w14:paraId="71F4425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物质名称</w:t>
            </w:r>
          </w:p>
        </w:tc>
        <w:tc>
          <w:tcPr>
            <w:tcW w:w="0" w:type="auto"/>
            <w:tcBorders>
              <w:tl2br w:val="nil"/>
              <w:tr2bl w:val="nil"/>
            </w:tcBorders>
            <w:shd w:val="clear" w:color="auto" w:fill="D7D7D7" w:themeFill="background1" w:themeFillShade="D8"/>
            <w:vAlign w:val="center"/>
          </w:tcPr>
          <w:p w14:paraId="42A1810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理化特性</w:t>
            </w:r>
          </w:p>
        </w:tc>
        <w:tc>
          <w:tcPr>
            <w:tcW w:w="0" w:type="auto"/>
            <w:tcBorders>
              <w:tl2br w:val="nil"/>
              <w:tr2bl w:val="nil"/>
            </w:tcBorders>
            <w:shd w:val="clear" w:color="auto" w:fill="D7D7D7" w:themeFill="background1" w:themeFillShade="D8"/>
            <w:vAlign w:val="center"/>
          </w:tcPr>
          <w:p w14:paraId="48E0EFB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危险识别</w:t>
            </w:r>
          </w:p>
        </w:tc>
        <w:tc>
          <w:tcPr>
            <w:tcW w:w="0" w:type="auto"/>
            <w:tcBorders>
              <w:tl2br w:val="nil"/>
              <w:tr2bl w:val="nil"/>
            </w:tcBorders>
            <w:shd w:val="clear" w:color="auto" w:fill="D7D7D7" w:themeFill="background1" w:themeFillShade="D8"/>
            <w:vAlign w:val="center"/>
          </w:tcPr>
          <w:p w14:paraId="785851E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危险性类别</w:t>
            </w:r>
          </w:p>
        </w:tc>
      </w:tr>
      <w:tr w14:paraId="50A2A41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0" w:type="dxa"/>
            <w:bottom w:w="0" w:type="dxa"/>
            <w:right w:w="0" w:type="dxa"/>
          </w:tblCellMar>
        </w:tblPrEx>
        <w:trPr>
          <w:trHeight w:val="90" w:hRule="atLeast"/>
          <w:jc w:val="center"/>
        </w:trPr>
        <w:tc>
          <w:tcPr>
            <w:tcW w:w="0" w:type="auto"/>
            <w:tcBorders>
              <w:tl2br w:val="nil"/>
              <w:tr2bl w:val="nil"/>
            </w:tcBorders>
            <w:vAlign w:val="center"/>
          </w:tcPr>
          <w:p w14:paraId="03B8546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NaOH</w:t>
            </w:r>
          </w:p>
        </w:tc>
        <w:tc>
          <w:tcPr>
            <w:tcW w:w="0" w:type="auto"/>
            <w:tcBorders>
              <w:tl2br w:val="nil"/>
              <w:tr2bl w:val="nil"/>
            </w:tcBorders>
            <w:vAlign w:val="center"/>
          </w:tcPr>
          <w:p w14:paraId="518B340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白色不透明固体，易潮解；熔点为318.1℃；沸点为1390℃；易溶于水、乙醇、甘油；不溶于丙酮；相对密度为2.12；饱和蒸汽压（KPa）为0.13（739℃）</w:t>
            </w:r>
          </w:p>
        </w:tc>
        <w:tc>
          <w:tcPr>
            <w:tcW w:w="0" w:type="auto"/>
            <w:tcBorders>
              <w:tl2br w:val="nil"/>
              <w:tr2bl w:val="nil"/>
            </w:tcBorders>
            <w:vAlign w:val="center"/>
          </w:tcPr>
          <w:p w14:paraId="6458FD3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与酸发生中和反应并放热。遇潮时对铝、锌和锡有腐蚀性，并放出易燃易爆的氢气。本品不会燃烧，遇水和水蒸气大量放热，形成腐蚀性溶液。具有强腐蚀性</w:t>
            </w:r>
          </w:p>
        </w:tc>
        <w:tc>
          <w:tcPr>
            <w:tcW w:w="0" w:type="auto"/>
            <w:tcBorders>
              <w:tl2br w:val="nil"/>
              <w:tr2bl w:val="nil"/>
            </w:tcBorders>
            <w:vAlign w:val="center"/>
          </w:tcPr>
          <w:p w14:paraId="44F6F1A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皮肤腐蚀/刺激，类别1A；眼损伤/眼刺激，类别1</w:t>
            </w:r>
          </w:p>
        </w:tc>
      </w:tr>
      <w:tr w14:paraId="0C159A2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0" w:type="dxa"/>
            <w:bottom w:w="0" w:type="dxa"/>
            <w:right w:w="0" w:type="dxa"/>
          </w:tblCellMar>
        </w:tblPrEx>
        <w:trPr>
          <w:trHeight w:val="90" w:hRule="atLeast"/>
          <w:jc w:val="center"/>
        </w:trPr>
        <w:tc>
          <w:tcPr>
            <w:tcW w:w="0" w:type="auto"/>
            <w:tcBorders>
              <w:tl2br w:val="nil"/>
              <w:tr2bl w:val="nil"/>
            </w:tcBorders>
            <w:vAlign w:val="center"/>
          </w:tcPr>
          <w:p w14:paraId="0A7DADD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硝酸</w:t>
            </w:r>
          </w:p>
        </w:tc>
        <w:tc>
          <w:tcPr>
            <w:tcW w:w="0" w:type="auto"/>
            <w:tcBorders>
              <w:tl2br w:val="nil"/>
              <w:tr2bl w:val="nil"/>
            </w:tcBorders>
            <w:vAlign w:val="center"/>
          </w:tcPr>
          <w:p w14:paraId="128306B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常温下纯硝酸无色透明、具有强氧化性、腐蚀性；易溶于水；熔点</w:t>
            </w:r>
          </w:p>
          <w:p w14:paraId="47A6879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（℃）-42；沸点（℃）120.5；相对密度（水=1）1.41；</w:t>
            </w:r>
          </w:p>
        </w:tc>
        <w:tc>
          <w:tcPr>
            <w:tcW w:w="0" w:type="auto"/>
            <w:tcBorders>
              <w:tl2br w:val="nil"/>
              <w:tr2bl w:val="nil"/>
            </w:tcBorders>
            <w:vAlign w:val="center"/>
          </w:tcPr>
          <w:p w14:paraId="5AAD245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强氧化剂。能与多种物质如金属粉末、电石、硫化氢、松节油等猛烈反应，甚至发生爆炸。与还原剂、可燃物如糖、纤维素、木屑、棉花、稻草或废纱头等接触，引起燃烧并散发出剧毒的棕色烟雾。具有强腐蚀性。</w:t>
            </w:r>
          </w:p>
        </w:tc>
        <w:tc>
          <w:tcPr>
            <w:tcW w:w="0" w:type="auto"/>
            <w:tcBorders>
              <w:tl2br w:val="nil"/>
              <w:tr2bl w:val="nil"/>
            </w:tcBorders>
            <w:vAlign w:val="center"/>
          </w:tcPr>
          <w:p w14:paraId="3F571D8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氧化性液体、类别3；皮肤腐蚀/刺激，类别1A；眼损伤/眼刺激，类别1</w:t>
            </w:r>
          </w:p>
        </w:tc>
      </w:tr>
      <w:tr w14:paraId="1AFA113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0" w:type="dxa"/>
            <w:bottom w:w="0" w:type="dxa"/>
            <w:right w:w="0" w:type="dxa"/>
          </w:tblCellMar>
        </w:tblPrEx>
        <w:trPr>
          <w:trHeight w:val="90" w:hRule="atLeast"/>
          <w:jc w:val="center"/>
        </w:trPr>
        <w:tc>
          <w:tcPr>
            <w:tcW w:w="0" w:type="auto"/>
            <w:tcBorders>
              <w:tl2br w:val="nil"/>
              <w:tr2bl w:val="nil"/>
            </w:tcBorders>
            <w:vAlign w:val="center"/>
          </w:tcPr>
          <w:p w14:paraId="33C8255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过氧乙酸</w:t>
            </w:r>
          </w:p>
        </w:tc>
        <w:tc>
          <w:tcPr>
            <w:tcW w:w="0" w:type="auto"/>
            <w:tcBorders>
              <w:tl2br w:val="nil"/>
              <w:tr2bl w:val="nil"/>
            </w:tcBorders>
            <w:vAlign w:val="center"/>
          </w:tcPr>
          <w:p w14:paraId="204D132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熔点：0.1℃</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沸点：105℃</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闪点：40.5℃</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密度：1.19g/cm</w:t>
            </w:r>
            <w:r>
              <w:rPr>
                <w:rFonts w:hint="eastAsia"/>
                <w:snapToGrid w:val="0"/>
                <w:color w:val="000000" w:themeColor="text1"/>
                <w:vertAlign w:val="superscript"/>
                <w14:textFill>
                  <w14:solidFill>
                    <w14:schemeClr w14:val="tx1"/>
                  </w14:solidFill>
                </w14:textFill>
              </w:rPr>
              <w:t>3</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临界压力：6.4M</w:t>
            </w:r>
            <w:r>
              <w:rPr>
                <w:snapToGrid w:val="0"/>
                <w:color w:val="000000" w:themeColor="text1"/>
                <w14:textFill>
                  <w14:solidFill>
                    <w14:schemeClr w14:val="tx1"/>
                  </w14:solidFill>
                </w14:textFill>
              </w:rPr>
              <w:t>p</w:t>
            </w:r>
            <w:r>
              <w:rPr>
                <w:rFonts w:hint="eastAsia"/>
                <w:snapToGrid w:val="0"/>
                <w:color w:val="000000" w:themeColor="text1"/>
                <w14:textFill>
                  <w14:solidFill>
                    <w14:schemeClr w14:val="tx1"/>
                  </w14:solidFill>
                </w14:textFill>
              </w:rPr>
              <w:t>a</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引燃温度：200℃</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饱和蒸气压：2.6kPa（20℃）</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外观：无色液体，有强烈刺激性气味</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溶解性：溶于水，溶于乙醇、乙醚、硫酸</w:t>
            </w:r>
          </w:p>
        </w:tc>
        <w:tc>
          <w:tcPr>
            <w:tcW w:w="0" w:type="auto"/>
            <w:tcBorders>
              <w:tl2br w:val="nil"/>
              <w:tr2bl w:val="nil"/>
            </w:tcBorders>
            <w:vAlign w:val="center"/>
          </w:tcPr>
          <w:p w14:paraId="47E5BBB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易燃，加热至100℃时即猛烈分解，遇火或受热、受震都可起爆。与还原剂、促进剂、有机物、可燃物等接触剧烈反应，有燃烧爆炸的危险。有强腐蚀性。</w:t>
            </w:r>
          </w:p>
        </w:tc>
        <w:tc>
          <w:tcPr>
            <w:tcW w:w="0" w:type="auto"/>
            <w:tcBorders>
              <w:tl2br w:val="nil"/>
              <w:tr2bl w:val="nil"/>
            </w:tcBorders>
            <w:vAlign w:val="center"/>
          </w:tcPr>
          <w:p w14:paraId="535FBD9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皮肤腐蚀/刺激，类别1A；眼损伤/眼刺激，类别1；特定目标器官毒性单次接触：呼吸道刺激，类别3；危害水生环境-急毒性，类别1</w:t>
            </w:r>
          </w:p>
        </w:tc>
      </w:tr>
      <w:tr w14:paraId="48559EDC">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0" w:type="dxa"/>
            <w:bottom w:w="0" w:type="dxa"/>
            <w:right w:w="0" w:type="dxa"/>
          </w:tblCellMar>
        </w:tblPrEx>
        <w:trPr>
          <w:trHeight w:val="90" w:hRule="atLeast"/>
          <w:jc w:val="center"/>
        </w:trPr>
        <w:tc>
          <w:tcPr>
            <w:tcW w:w="0" w:type="auto"/>
            <w:tcBorders>
              <w:tl2br w:val="nil"/>
              <w:tr2bl w:val="nil"/>
            </w:tcBorders>
            <w:vAlign w:val="center"/>
          </w:tcPr>
          <w:p w14:paraId="493D6EFD">
            <w:pPr>
              <w:pStyle w:val="143"/>
              <w:rPr>
                <w:snapToGrid w:val="0"/>
                <w:color w:val="000000" w:themeColor="text1"/>
                <w:vertAlign w:val="subscript"/>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C</w:t>
            </w:r>
            <w:r>
              <w:rPr>
                <w:snapToGrid w:val="0"/>
                <w:color w:val="000000" w:themeColor="text1"/>
                <w:lang w:eastAsia="zh-CN"/>
                <w14:textFill>
                  <w14:solidFill>
                    <w14:schemeClr w14:val="tx1"/>
                  </w14:solidFill>
                </w14:textFill>
              </w:rPr>
              <w:t>H</w:t>
            </w:r>
            <w:r>
              <w:rPr>
                <w:snapToGrid w:val="0"/>
                <w:color w:val="000000" w:themeColor="text1"/>
                <w:vertAlign w:val="subscript"/>
                <w:lang w:eastAsia="zh-CN"/>
                <w14:textFill>
                  <w14:solidFill>
                    <w14:schemeClr w14:val="tx1"/>
                  </w14:solidFill>
                </w14:textFill>
              </w:rPr>
              <w:t>4</w:t>
            </w:r>
          </w:p>
        </w:tc>
        <w:tc>
          <w:tcPr>
            <w:tcW w:w="0" w:type="auto"/>
            <w:tcBorders>
              <w:tl2br w:val="nil"/>
              <w:tr2bl w:val="nil"/>
            </w:tcBorders>
            <w:vAlign w:val="center"/>
          </w:tcPr>
          <w:p w14:paraId="54D7BAA6">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无色、可燃、无毒气体，沸点是-161.49℃。甲烷对空气的重量比是0.54，溶解度差</w:t>
            </w:r>
            <w:r>
              <w:rPr>
                <w:rFonts w:hint="eastAsia"/>
                <w:snapToGrid w:val="0"/>
                <w:color w:val="000000" w:themeColor="text1"/>
                <w:lang w:val="en-US" w:eastAsia="zh-CN"/>
                <w14:textFill>
                  <w14:solidFill>
                    <w14:schemeClr w14:val="tx1"/>
                  </w14:solidFill>
                </w14:textFill>
              </w:rPr>
              <w:t>。</w:t>
            </w:r>
          </w:p>
        </w:tc>
        <w:tc>
          <w:tcPr>
            <w:tcW w:w="0" w:type="auto"/>
            <w:tcBorders>
              <w:tl2br w:val="nil"/>
              <w:tr2bl w:val="nil"/>
            </w:tcBorders>
            <w:vAlign w:val="center"/>
          </w:tcPr>
          <w:p w14:paraId="73204ADE">
            <w:pPr>
              <w:pStyle w:val="143"/>
              <w:jc w:val="both"/>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与空气混合能形成爆炸性混合物；遇明火、高热会引起燃烧爆炸。</w:t>
            </w:r>
          </w:p>
        </w:tc>
        <w:tc>
          <w:tcPr>
            <w:tcW w:w="0" w:type="auto"/>
            <w:tcBorders>
              <w:tl2br w:val="nil"/>
              <w:tr2bl w:val="nil"/>
            </w:tcBorders>
            <w:vAlign w:val="center"/>
          </w:tcPr>
          <w:p w14:paraId="38E51B50">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空气中甲烷浓度过高，能使人窒息。当空气中甲烷达25-30%时，可引起头痛、头晕、乏力、注意力不集中、呼吸和心跳加速、精细动作障碍等，甚至因缺氧而窒息、昏迷。</w:t>
            </w:r>
          </w:p>
        </w:tc>
      </w:tr>
      <w:tr w14:paraId="3A6F038A">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0" w:type="dxa"/>
            <w:bottom w:w="0" w:type="dxa"/>
            <w:right w:w="0" w:type="dxa"/>
          </w:tblCellMar>
        </w:tblPrEx>
        <w:trPr>
          <w:trHeight w:val="90" w:hRule="atLeast"/>
          <w:jc w:val="center"/>
        </w:trPr>
        <w:tc>
          <w:tcPr>
            <w:tcW w:w="0" w:type="auto"/>
            <w:tcBorders>
              <w:tl2br w:val="nil"/>
              <w:tr2bl w:val="nil"/>
            </w:tcBorders>
            <w:vAlign w:val="center"/>
          </w:tcPr>
          <w:p w14:paraId="036E8BC7">
            <w:pPr>
              <w:pStyle w:val="143"/>
              <w:rPr>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柴油</w:t>
            </w:r>
          </w:p>
        </w:tc>
        <w:tc>
          <w:tcPr>
            <w:tcW w:w="0" w:type="auto"/>
            <w:tcBorders>
              <w:tl2br w:val="nil"/>
              <w:tr2bl w:val="nil"/>
            </w:tcBorders>
            <w:vAlign w:val="center"/>
          </w:tcPr>
          <w:p w14:paraId="42F501D9">
            <w:pPr>
              <w:pStyle w:val="143"/>
              <w:rPr>
                <w:snapToGrid w:val="0"/>
                <w:color w:val="000000" w:themeColor="text1"/>
                <w:lang w:val="en-US"/>
                <w14:textFill>
                  <w14:solidFill>
                    <w14:schemeClr w14:val="tx1"/>
                  </w14:solidFill>
                </w14:textFill>
              </w:rPr>
            </w:pPr>
            <w:r>
              <w:rPr>
                <w:rFonts w:hint="eastAsia"/>
                <w:snapToGrid w:val="0"/>
                <w:color w:val="000000" w:themeColor="text1"/>
                <w:lang w:val="en-US"/>
                <w14:textFill>
                  <w14:solidFill>
                    <w14:schemeClr w14:val="tx1"/>
                  </w14:solidFill>
                </w14:textFill>
              </w:rPr>
              <w:t>物质状态：液态</w:t>
            </w:r>
            <w:r>
              <w:rPr>
                <w:rFonts w:hint="eastAsia"/>
                <w:snapToGrid w:val="0"/>
                <w:color w:val="000000" w:themeColor="text1"/>
                <w:lang w:val="en-US" w:eastAsia="zh-CN"/>
                <w14:textFill>
                  <w14:solidFill>
                    <w14:schemeClr w14:val="tx1"/>
                  </w14:solidFill>
                </w14:textFill>
              </w:rPr>
              <w:t>，</w:t>
            </w:r>
            <w:r>
              <w:rPr>
                <w:rFonts w:hint="eastAsia"/>
                <w:snapToGrid w:val="0"/>
                <w:color w:val="000000" w:themeColor="text1"/>
                <w:lang w:val="en-US"/>
                <w14:textFill>
                  <w14:solidFill>
                    <w14:schemeClr w14:val="tx1"/>
                  </w14:solidFill>
                </w14:textFill>
              </w:rPr>
              <w:t>形状：淡黄色透明油液</w:t>
            </w:r>
            <w:r>
              <w:rPr>
                <w:rFonts w:hint="eastAsia"/>
                <w:snapToGrid w:val="0"/>
                <w:color w:val="000000" w:themeColor="text1"/>
                <w:lang w:val="en-US" w:eastAsia="zh-CN"/>
                <w14:textFill>
                  <w14:solidFill>
                    <w14:schemeClr w14:val="tx1"/>
                  </w14:solidFill>
                </w14:textFill>
              </w:rPr>
              <w:t>，</w:t>
            </w:r>
            <w:r>
              <w:rPr>
                <w:rFonts w:hint="eastAsia"/>
                <w:snapToGrid w:val="0"/>
                <w:color w:val="000000" w:themeColor="text1"/>
                <w:lang w:val="en-US"/>
                <w14:textFill>
                  <w14:solidFill>
                    <w14:schemeClr w14:val="tx1"/>
                  </w14:solidFill>
                </w14:textFill>
              </w:rPr>
              <w:t>颜色：淡黄色</w:t>
            </w:r>
            <w:r>
              <w:rPr>
                <w:rFonts w:hint="eastAsia"/>
                <w:snapToGrid w:val="0"/>
                <w:color w:val="000000" w:themeColor="text1"/>
                <w:lang w:val="en-US" w:eastAsia="zh-CN"/>
                <w14:textFill>
                  <w14:solidFill>
                    <w14:schemeClr w14:val="tx1"/>
                  </w14:solidFill>
                </w14:textFill>
              </w:rPr>
              <w:t>，</w:t>
            </w:r>
            <w:r>
              <w:rPr>
                <w:rFonts w:hint="eastAsia"/>
                <w:snapToGrid w:val="0"/>
                <w:color w:val="000000" w:themeColor="text1"/>
                <w:lang w:val="en-US"/>
                <w14:textFill>
                  <w14:solidFill>
                    <w14:schemeClr w14:val="tx1"/>
                  </w14:solidFill>
                </w14:textFill>
              </w:rPr>
              <w:t>气味：轻微石油味道</w:t>
            </w:r>
            <w:r>
              <w:rPr>
                <w:rFonts w:hint="eastAsia"/>
                <w:snapToGrid w:val="0"/>
                <w:color w:val="000000" w:themeColor="text1"/>
                <w:lang w:val="en-US" w:eastAsia="zh-CN"/>
                <w14:textFill>
                  <w14:solidFill>
                    <w14:schemeClr w14:val="tx1"/>
                  </w14:solidFill>
                </w14:textFill>
              </w:rPr>
              <w:t>，溶解度：不溶解于水，闪火点：＞52℃。</w:t>
            </w:r>
          </w:p>
        </w:tc>
        <w:tc>
          <w:tcPr>
            <w:tcW w:w="0" w:type="auto"/>
            <w:tcBorders>
              <w:tl2br w:val="nil"/>
              <w:tr2bl w:val="nil"/>
            </w:tcBorders>
            <w:vAlign w:val="center"/>
          </w:tcPr>
          <w:p w14:paraId="4C54B048">
            <w:pPr>
              <w:pStyle w:val="143"/>
              <w:jc w:val="both"/>
              <w:rPr>
                <w:snapToGrid w:val="0"/>
                <w:color w:val="000000" w:themeColor="text1"/>
                <w:lang w:val="en-US"/>
                <w14:textFill>
                  <w14:solidFill>
                    <w14:schemeClr w14:val="tx1"/>
                  </w14:solidFill>
                </w14:textFill>
              </w:rPr>
            </w:pPr>
            <w:r>
              <w:rPr>
                <w:rFonts w:hint="eastAsia"/>
                <w:snapToGrid w:val="0"/>
                <w:color w:val="000000" w:themeColor="text1"/>
                <w:lang w:val="en-US"/>
                <w14:textFill>
                  <w14:solidFill>
                    <w14:schemeClr w14:val="tx1"/>
                  </w14:solidFill>
                </w14:textFill>
              </w:rPr>
              <w:t>安定性：常温常压下稳定</w:t>
            </w:r>
            <w:r>
              <w:rPr>
                <w:rFonts w:hint="eastAsia"/>
                <w:snapToGrid w:val="0"/>
                <w:color w:val="000000" w:themeColor="text1"/>
                <w:lang w:val="en-US" w:eastAsia="zh-CN"/>
                <w14:textFill>
                  <w14:solidFill>
                    <w14:schemeClr w14:val="tx1"/>
                  </w14:solidFill>
                </w14:textFill>
              </w:rPr>
              <w:t>，避免热、火焰、火花及其他燃烧物质。若曝露于热源，容器会破裂或爆炸。有害气体会累积在密闭空间。</w:t>
            </w:r>
          </w:p>
        </w:tc>
        <w:tc>
          <w:tcPr>
            <w:tcW w:w="0" w:type="auto"/>
            <w:tcBorders>
              <w:tl2br w:val="nil"/>
              <w:tr2bl w:val="nil"/>
            </w:tcBorders>
            <w:vAlign w:val="center"/>
          </w:tcPr>
          <w:p w14:paraId="67FB9AD0">
            <w:pPr>
              <w:pStyle w:val="143"/>
              <w:jc w:val="both"/>
              <w:rPr>
                <w:snapToGrid w:val="0"/>
                <w:color w:val="000000" w:themeColor="text1"/>
                <w:lang w:val="en-US"/>
                <w14:textFill>
                  <w14:solidFill>
                    <w14:schemeClr w14:val="tx1"/>
                  </w14:solidFill>
                </w14:textFill>
              </w:rPr>
            </w:pPr>
            <w:r>
              <w:rPr>
                <w:rFonts w:hint="eastAsia"/>
                <w:snapToGrid w:val="0"/>
                <w:color w:val="000000" w:themeColor="text1"/>
                <w:lang w:val="en-US"/>
                <w14:textFill>
                  <w14:solidFill>
                    <w14:schemeClr w14:val="tx1"/>
                  </w14:solidFill>
                </w14:textFill>
              </w:rPr>
              <w:t>1、食入：在食入期间甚至小量的吸入或呕吐会导致严重肺部刺激，而带有咳嗽、反胃、呼吸困难、肺部浮肿、肺炎与死亡。2、吸入：蒸汽或油雾会引起呼吸道刺激。人类曝露会导致立即咳嗽、呼吸困难且一小时的无知觉。3、皮肤：会引起痛苦与刺激。4、眼睛：液体或蒸气会引起轻微刺激。</w:t>
            </w:r>
          </w:p>
        </w:tc>
      </w:tr>
      <w:tr w14:paraId="2EBFFFE4">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0" w:type="dxa"/>
            <w:bottom w:w="0" w:type="dxa"/>
            <w:right w:w="0" w:type="dxa"/>
          </w:tblCellMar>
        </w:tblPrEx>
        <w:trPr>
          <w:trHeight w:val="90" w:hRule="atLeast"/>
          <w:jc w:val="center"/>
        </w:trPr>
        <w:tc>
          <w:tcPr>
            <w:tcW w:w="0" w:type="auto"/>
            <w:tcBorders>
              <w:tl2br w:val="nil"/>
              <w:tr2bl w:val="nil"/>
            </w:tcBorders>
            <w:vAlign w:val="center"/>
          </w:tcPr>
          <w:p w14:paraId="4A2DACA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机油</w:t>
            </w:r>
          </w:p>
        </w:tc>
        <w:tc>
          <w:tcPr>
            <w:tcW w:w="0" w:type="auto"/>
            <w:tcBorders>
              <w:tl2br w:val="nil"/>
              <w:tr2bl w:val="nil"/>
            </w:tcBorders>
            <w:vAlign w:val="center"/>
          </w:tcPr>
          <w:p w14:paraId="1FD41D16">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14:textFill>
                  <w14:solidFill>
                    <w14:schemeClr w14:val="tx1"/>
                  </w14:solidFill>
                </w14:textFill>
              </w:rPr>
              <w:t>浅黄色粘稠液体</w:t>
            </w:r>
            <w:r>
              <w:rPr>
                <w:rFonts w:hint="eastAsia"/>
                <w:snapToGrid w:val="0"/>
                <w:color w:val="000000" w:themeColor="text1"/>
                <w:lang w:val="en-US" w:eastAsia="zh-CN"/>
                <w14:textFill>
                  <w14:solidFill>
                    <w14:schemeClr w14:val="tx1"/>
                  </w14:solidFill>
                </w14:textFill>
              </w:rPr>
              <w:t>、</w:t>
            </w:r>
            <w:r>
              <w:rPr>
                <w:rFonts w:hint="eastAsia"/>
                <w:snapToGrid w:val="0"/>
                <w:color w:val="000000" w:themeColor="text1"/>
                <w:lang w:val="en-US"/>
                <w14:textFill>
                  <w14:solidFill>
                    <w14:schemeClr w14:val="tx1"/>
                  </w14:solidFill>
                </w14:textFill>
              </w:rPr>
              <w:t>常温 20℃，矿物机油：0.84～0.89 g/cm³（840～890 kg/m³）</w:t>
            </w:r>
            <w:r>
              <w:rPr>
                <w:rFonts w:hint="eastAsia"/>
                <w:snapToGrid w:val="0"/>
                <w:color w:val="000000" w:themeColor="text1"/>
                <w:lang w:val="en-US" w:eastAsia="zh-CN"/>
                <w14:textFill>
                  <w14:solidFill>
                    <w14:schemeClr w14:val="tx1"/>
                  </w14:solidFill>
                </w14:textFill>
              </w:rPr>
              <w:t>，可燃，闪点185℃</w:t>
            </w:r>
          </w:p>
        </w:tc>
        <w:tc>
          <w:tcPr>
            <w:tcW w:w="0" w:type="auto"/>
            <w:tcBorders>
              <w:tl2br w:val="nil"/>
              <w:tr2bl w:val="nil"/>
            </w:tcBorders>
            <w:vAlign w:val="center"/>
          </w:tcPr>
          <w:p w14:paraId="7062AA2D">
            <w:pPr>
              <w:pStyle w:val="143"/>
              <w:jc w:val="both"/>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禁忌物：硝酸、高锰酸钾等强氧化物；可燃液体，火灾危险为丙类；遇明火、高热可燃；</w:t>
            </w:r>
          </w:p>
        </w:tc>
        <w:tc>
          <w:tcPr>
            <w:tcW w:w="0" w:type="auto"/>
            <w:tcBorders>
              <w:tl2br w:val="nil"/>
              <w:tr2bl w:val="nil"/>
            </w:tcBorders>
            <w:vAlign w:val="center"/>
          </w:tcPr>
          <w:p w14:paraId="69D48A83">
            <w:pPr>
              <w:pStyle w:val="143"/>
              <w:jc w:val="both"/>
              <w:rPr>
                <w:rFonts w:hint="eastAsia"/>
                <w:snapToGrid w:val="0"/>
                <w:color w:val="000000" w:themeColor="text1"/>
                <w:lang w:val="en-US"/>
                <w14:textFill>
                  <w14:solidFill>
                    <w14:schemeClr w14:val="tx1"/>
                  </w14:solidFill>
                </w14:textFill>
              </w:rPr>
            </w:pPr>
            <w:r>
              <w:rPr>
                <w:rFonts w:hint="eastAsia"/>
                <w:snapToGrid w:val="0"/>
                <w:color w:val="000000" w:themeColor="text1"/>
                <w:lang w:val="en-US"/>
                <w14:textFill>
                  <w14:solidFill>
                    <w14:schemeClr w14:val="tx1"/>
                  </w14:solidFill>
                </w14:textFill>
              </w:rPr>
              <w:t>急性吸入，可出现乏力、头晕、头痛、恶心，严重者引起油脂性肺炎。慢性接触者，暴露部位可发生油性痤疮和接触性皮炎，可引起神经衰弱综合症，呼吸道和刺激性症状及慢性油脂性肺炎。</w:t>
            </w:r>
          </w:p>
        </w:tc>
      </w:tr>
    </w:tbl>
    <w:p w14:paraId="7E4D81D1">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根据《建设项目环境风险评价技术导则》（HJ169-2018）及物质危险性标准可知，本项目列入环境风险评价范围内的物质主要为氢氧化钠溶液、硝酸溶液、过氧乙酸溶液</w:t>
      </w:r>
      <w:r>
        <w:rPr>
          <w:rFonts w:hint="eastAsia" w:cs="宋体"/>
          <w:bCs/>
          <w:snapToGrid w:val="0"/>
          <w:color w:val="000000" w:themeColor="text1"/>
          <w:szCs w:val="24"/>
          <w:lang w:val="en-US" w:eastAsia="zh-CN"/>
          <w14:textFill>
            <w14:solidFill>
              <w14:schemeClr w14:val="tx1"/>
            </w14:solidFill>
          </w14:textFill>
        </w:rPr>
        <w:t>、柴油以及机油</w:t>
      </w:r>
      <w:r>
        <w:rPr>
          <w:rFonts w:cs="宋体"/>
          <w:bCs/>
          <w:snapToGrid w:val="0"/>
          <w:color w:val="000000" w:themeColor="text1"/>
          <w:szCs w:val="24"/>
          <w14:textFill>
            <w14:solidFill>
              <w14:schemeClr w14:val="tx1"/>
            </w14:solidFill>
          </w14:textFill>
        </w:rPr>
        <w:t>。《建设项目环境风险评价技术导则》（HJ169-2018）附录A中物质危险性标准见下表。</w:t>
      </w:r>
    </w:p>
    <w:p w14:paraId="7E7A1832">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w:t>
      </w:r>
      <w:r>
        <w:rPr>
          <w:snapToGrid w:val="0"/>
          <w:color w:val="000000" w:themeColor="text1"/>
          <w:lang w:val="en-US"/>
          <w14:textFill>
            <w14:solidFill>
              <w14:schemeClr w14:val="tx1"/>
            </w14:solidFill>
          </w14:textFill>
        </w:rPr>
        <w:t>3-6-1</w:t>
      </w:r>
      <w:r>
        <w:rPr>
          <w:rFonts w:hint="eastAsia"/>
          <w:snapToGrid w:val="0"/>
          <w:color w:val="000000" w:themeColor="text1"/>
          <w:lang w:val="en-US" w:eastAsia="zh-CN"/>
          <w14:textFill>
            <w14:solidFill>
              <w14:schemeClr w14:val="tx1"/>
            </w14:solidFill>
          </w14:textFill>
        </w:rPr>
        <w:t>4</w:t>
      </w:r>
      <w:r>
        <w:rPr>
          <w:snapToGrid w:val="0"/>
          <w:color w:val="000000" w:themeColor="text1"/>
          <w14:textFill>
            <w14:solidFill>
              <w14:schemeClr w14:val="tx1"/>
            </w14:solidFill>
          </w14:textFill>
        </w:rPr>
        <w:t xml:space="preserve">  物质危险性标准</w:t>
      </w:r>
    </w:p>
    <w:tbl>
      <w:tblPr>
        <w:tblStyle w:val="49"/>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719"/>
        <w:gridCol w:w="627"/>
        <w:gridCol w:w="2183"/>
        <w:gridCol w:w="2185"/>
        <w:gridCol w:w="2559"/>
      </w:tblGrid>
      <w:tr w14:paraId="446ADD7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435" w:type="pct"/>
            <w:tcBorders>
              <w:left w:val="nil"/>
              <w:bottom w:val="single" w:color="000000" w:sz="4" w:space="0"/>
              <w:right w:val="single" w:color="000000" w:sz="8" w:space="0"/>
            </w:tcBorders>
            <w:shd w:val="clear" w:color="auto" w:fill="D7D7D7" w:themeFill="background1" w:themeFillShade="D8"/>
            <w:vAlign w:val="center"/>
          </w:tcPr>
          <w:p w14:paraId="2CFF3E4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物质类别</w:t>
            </w:r>
          </w:p>
        </w:tc>
        <w:tc>
          <w:tcPr>
            <w:tcW w:w="379" w:type="pct"/>
            <w:tcBorders>
              <w:left w:val="single" w:color="000000" w:sz="8" w:space="0"/>
              <w:bottom w:val="single" w:color="000000" w:sz="4" w:space="0"/>
              <w:right w:val="single" w:color="000000" w:sz="8" w:space="0"/>
            </w:tcBorders>
            <w:shd w:val="clear" w:color="auto" w:fill="D7D7D7" w:themeFill="background1" w:themeFillShade="D8"/>
            <w:vAlign w:val="center"/>
          </w:tcPr>
          <w:p w14:paraId="5706383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等级</w:t>
            </w:r>
          </w:p>
        </w:tc>
        <w:tc>
          <w:tcPr>
            <w:tcW w:w="1319" w:type="pct"/>
            <w:tcBorders>
              <w:left w:val="single" w:color="000000" w:sz="8" w:space="0"/>
              <w:bottom w:val="single" w:color="000000" w:sz="4" w:space="0"/>
              <w:right w:val="single" w:color="000000" w:sz="8" w:space="0"/>
            </w:tcBorders>
            <w:shd w:val="clear" w:color="auto" w:fill="D7D7D7" w:themeFill="background1" w:themeFillShade="D8"/>
            <w:vAlign w:val="center"/>
          </w:tcPr>
          <w:p w14:paraId="24A65AF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LD50（大鼠经口）（mg/kg）</w:t>
            </w:r>
          </w:p>
        </w:tc>
        <w:tc>
          <w:tcPr>
            <w:tcW w:w="1320" w:type="pct"/>
            <w:tcBorders>
              <w:left w:val="single" w:color="000000" w:sz="8" w:space="0"/>
              <w:bottom w:val="single" w:color="000000" w:sz="4" w:space="0"/>
              <w:right w:val="single" w:color="000000" w:sz="8" w:space="0"/>
            </w:tcBorders>
            <w:shd w:val="clear" w:color="auto" w:fill="D7D7D7" w:themeFill="background1" w:themeFillShade="D8"/>
            <w:vAlign w:val="center"/>
          </w:tcPr>
          <w:p w14:paraId="1CFC5AD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LD50（大鼠经皮）（mg/kg）</w:t>
            </w:r>
          </w:p>
        </w:tc>
        <w:tc>
          <w:tcPr>
            <w:tcW w:w="1545" w:type="pct"/>
            <w:tcBorders>
              <w:left w:val="single" w:color="000000" w:sz="8" w:space="0"/>
              <w:bottom w:val="single" w:color="000000" w:sz="4" w:space="0"/>
              <w:right w:val="nil"/>
            </w:tcBorders>
            <w:shd w:val="clear" w:color="auto" w:fill="D7D7D7" w:themeFill="background1" w:themeFillShade="D8"/>
            <w:vAlign w:val="center"/>
          </w:tcPr>
          <w:p w14:paraId="183500C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LC50（小鼠吸入，4h）（mg/L）</w:t>
            </w:r>
          </w:p>
        </w:tc>
      </w:tr>
      <w:tr w14:paraId="5A4E4D9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435" w:type="pct"/>
            <w:vMerge w:val="restart"/>
            <w:tcBorders>
              <w:top w:val="single" w:color="000000" w:sz="4" w:space="0"/>
              <w:left w:val="nil"/>
              <w:bottom w:val="single" w:color="000000" w:sz="4" w:space="0"/>
              <w:right w:val="single" w:color="000000" w:sz="8" w:space="0"/>
            </w:tcBorders>
            <w:vAlign w:val="center"/>
          </w:tcPr>
          <w:p w14:paraId="52BF8AB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有毒物质</w:t>
            </w:r>
          </w:p>
        </w:tc>
        <w:tc>
          <w:tcPr>
            <w:tcW w:w="379" w:type="pct"/>
            <w:tcBorders>
              <w:top w:val="single" w:color="000000" w:sz="4" w:space="0"/>
              <w:left w:val="single" w:color="000000" w:sz="8" w:space="0"/>
              <w:bottom w:val="single" w:color="000000" w:sz="4" w:space="0"/>
              <w:right w:val="single" w:color="000000" w:sz="8" w:space="0"/>
            </w:tcBorders>
            <w:vAlign w:val="center"/>
          </w:tcPr>
          <w:p w14:paraId="1938FF1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p>
        </w:tc>
        <w:tc>
          <w:tcPr>
            <w:tcW w:w="1319" w:type="pct"/>
            <w:tcBorders>
              <w:top w:val="single" w:color="000000" w:sz="4" w:space="0"/>
              <w:left w:val="single" w:color="000000" w:sz="8" w:space="0"/>
              <w:bottom w:val="single" w:color="000000" w:sz="4" w:space="0"/>
              <w:right w:val="single" w:color="000000" w:sz="8" w:space="0"/>
            </w:tcBorders>
            <w:vAlign w:val="center"/>
          </w:tcPr>
          <w:p w14:paraId="3AA0190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w:t>
            </w:r>
          </w:p>
        </w:tc>
        <w:tc>
          <w:tcPr>
            <w:tcW w:w="1320" w:type="pct"/>
            <w:tcBorders>
              <w:top w:val="single" w:color="000000" w:sz="4" w:space="0"/>
              <w:left w:val="single" w:color="000000" w:sz="8" w:space="0"/>
              <w:bottom w:val="single" w:color="000000" w:sz="4" w:space="0"/>
              <w:right w:val="single" w:color="000000" w:sz="8" w:space="0"/>
            </w:tcBorders>
            <w:vAlign w:val="center"/>
          </w:tcPr>
          <w:p w14:paraId="2AED40C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p>
        </w:tc>
        <w:tc>
          <w:tcPr>
            <w:tcW w:w="1545" w:type="pct"/>
            <w:tcBorders>
              <w:top w:val="single" w:color="000000" w:sz="4" w:space="0"/>
              <w:left w:val="single" w:color="000000" w:sz="8" w:space="0"/>
              <w:bottom w:val="single" w:color="000000" w:sz="4" w:space="0"/>
              <w:right w:val="nil"/>
            </w:tcBorders>
            <w:vAlign w:val="center"/>
          </w:tcPr>
          <w:p w14:paraId="6ADA788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＜0.01</w:t>
            </w:r>
          </w:p>
        </w:tc>
      </w:tr>
      <w:tr w14:paraId="0CAF08C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435" w:type="pct"/>
            <w:vMerge w:val="continue"/>
            <w:tcBorders>
              <w:top w:val="nil"/>
              <w:left w:val="nil"/>
              <w:bottom w:val="single" w:color="000000" w:sz="4" w:space="0"/>
              <w:right w:val="single" w:color="000000" w:sz="8" w:space="0"/>
            </w:tcBorders>
            <w:vAlign w:val="center"/>
          </w:tcPr>
          <w:p w14:paraId="0902D05B">
            <w:pPr>
              <w:pStyle w:val="143"/>
              <w:rPr>
                <w:snapToGrid w:val="0"/>
                <w:color w:val="000000" w:themeColor="text1"/>
                <w14:textFill>
                  <w14:solidFill>
                    <w14:schemeClr w14:val="tx1"/>
                  </w14:solidFill>
                </w14:textFill>
              </w:rPr>
            </w:pPr>
          </w:p>
        </w:tc>
        <w:tc>
          <w:tcPr>
            <w:tcW w:w="379" w:type="pct"/>
            <w:tcBorders>
              <w:top w:val="single" w:color="000000" w:sz="4" w:space="0"/>
              <w:left w:val="single" w:color="000000" w:sz="8" w:space="0"/>
              <w:bottom w:val="single" w:color="000000" w:sz="4" w:space="0"/>
              <w:right w:val="single" w:color="000000" w:sz="8" w:space="0"/>
            </w:tcBorders>
            <w:vAlign w:val="center"/>
          </w:tcPr>
          <w:p w14:paraId="4BFFDF4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w:t>
            </w:r>
          </w:p>
        </w:tc>
        <w:tc>
          <w:tcPr>
            <w:tcW w:w="1319" w:type="pct"/>
            <w:tcBorders>
              <w:top w:val="single" w:color="000000" w:sz="4" w:space="0"/>
              <w:left w:val="single" w:color="000000" w:sz="8" w:space="0"/>
              <w:bottom w:val="single" w:color="000000" w:sz="4" w:space="0"/>
              <w:right w:val="single" w:color="000000" w:sz="8" w:space="0"/>
            </w:tcBorders>
            <w:vAlign w:val="center"/>
          </w:tcPr>
          <w:p w14:paraId="322513F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5＜LD50＜25</w:t>
            </w:r>
          </w:p>
        </w:tc>
        <w:tc>
          <w:tcPr>
            <w:tcW w:w="1320" w:type="pct"/>
            <w:tcBorders>
              <w:top w:val="single" w:color="000000" w:sz="4" w:space="0"/>
              <w:left w:val="single" w:color="000000" w:sz="8" w:space="0"/>
              <w:bottom w:val="single" w:color="000000" w:sz="4" w:space="0"/>
              <w:right w:val="single" w:color="000000" w:sz="8" w:space="0"/>
            </w:tcBorders>
            <w:vAlign w:val="center"/>
          </w:tcPr>
          <w:p w14:paraId="537C940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10＜LD50＜50</w:t>
            </w:r>
          </w:p>
        </w:tc>
        <w:tc>
          <w:tcPr>
            <w:tcW w:w="1545" w:type="pct"/>
            <w:tcBorders>
              <w:top w:val="single" w:color="000000" w:sz="4" w:space="0"/>
              <w:left w:val="single" w:color="000000" w:sz="8" w:space="0"/>
              <w:bottom w:val="single" w:color="000000" w:sz="4" w:space="0"/>
              <w:right w:val="nil"/>
            </w:tcBorders>
            <w:vAlign w:val="center"/>
          </w:tcPr>
          <w:p w14:paraId="6D48609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0.1＜LC50＜0.5</w:t>
            </w:r>
          </w:p>
        </w:tc>
      </w:tr>
      <w:tr w14:paraId="771CB03E">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435" w:type="pct"/>
            <w:vMerge w:val="continue"/>
            <w:tcBorders>
              <w:top w:val="nil"/>
              <w:left w:val="nil"/>
              <w:bottom w:val="single" w:color="000000" w:sz="4" w:space="0"/>
              <w:right w:val="single" w:color="000000" w:sz="8" w:space="0"/>
            </w:tcBorders>
            <w:vAlign w:val="center"/>
          </w:tcPr>
          <w:p w14:paraId="31EFA410">
            <w:pPr>
              <w:pStyle w:val="143"/>
              <w:rPr>
                <w:snapToGrid w:val="0"/>
                <w:color w:val="000000" w:themeColor="text1"/>
                <w14:textFill>
                  <w14:solidFill>
                    <w14:schemeClr w14:val="tx1"/>
                  </w14:solidFill>
                </w14:textFill>
              </w:rPr>
            </w:pPr>
          </w:p>
        </w:tc>
        <w:tc>
          <w:tcPr>
            <w:tcW w:w="379" w:type="pct"/>
            <w:tcBorders>
              <w:top w:val="single" w:color="000000" w:sz="4" w:space="0"/>
              <w:left w:val="single" w:color="000000" w:sz="8" w:space="0"/>
              <w:bottom w:val="single" w:color="000000" w:sz="4" w:space="0"/>
              <w:right w:val="single" w:color="000000" w:sz="8" w:space="0"/>
            </w:tcBorders>
            <w:vAlign w:val="center"/>
          </w:tcPr>
          <w:p w14:paraId="5175CC6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w:t>
            </w:r>
          </w:p>
        </w:tc>
        <w:tc>
          <w:tcPr>
            <w:tcW w:w="1319" w:type="pct"/>
            <w:tcBorders>
              <w:top w:val="single" w:color="000000" w:sz="4" w:space="0"/>
              <w:left w:val="single" w:color="000000" w:sz="8" w:space="0"/>
              <w:bottom w:val="single" w:color="000000" w:sz="4" w:space="0"/>
              <w:right w:val="single" w:color="000000" w:sz="8" w:space="0"/>
            </w:tcBorders>
            <w:vAlign w:val="center"/>
          </w:tcPr>
          <w:p w14:paraId="2F2EABE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25＜LD50＜200</w:t>
            </w:r>
          </w:p>
        </w:tc>
        <w:tc>
          <w:tcPr>
            <w:tcW w:w="1320" w:type="pct"/>
            <w:tcBorders>
              <w:top w:val="single" w:color="000000" w:sz="4" w:space="0"/>
              <w:left w:val="single" w:color="000000" w:sz="8" w:space="0"/>
              <w:bottom w:val="single" w:color="000000" w:sz="4" w:space="0"/>
              <w:right w:val="single" w:color="000000" w:sz="8" w:space="0"/>
            </w:tcBorders>
            <w:vAlign w:val="center"/>
          </w:tcPr>
          <w:p w14:paraId="2C84E69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50＜LD50＜400</w:t>
            </w:r>
          </w:p>
        </w:tc>
        <w:tc>
          <w:tcPr>
            <w:tcW w:w="1545" w:type="pct"/>
            <w:tcBorders>
              <w:top w:val="single" w:color="000000" w:sz="4" w:space="0"/>
              <w:left w:val="single" w:color="000000" w:sz="8" w:space="0"/>
              <w:bottom w:val="single" w:color="000000" w:sz="4" w:space="0"/>
              <w:right w:val="nil"/>
            </w:tcBorders>
            <w:vAlign w:val="center"/>
          </w:tcPr>
          <w:p w14:paraId="018F723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0.5＜LC50＜2</w:t>
            </w:r>
          </w:p>
        </w:tc>
      </w:tr>
      <w:tr w14:paraId="6B37D31D">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435" w:type="pct"/>
            <w:vMerge w:val="restart"/>
            <w:tcBorders>
              <w:top w:val="single" w:color="000000" w:sz="4" w:space="0"/>
              <w:left w:val="nil"/>
              <w:bottom w:val="single" w:color="000000" w:sz="4" w:space="0"/>
              <w:right w:val="single" w:color="000000" w:sz="8" w:space="0"/>
            </w:tcBorders>
            <w:vAlign w:val="center"/>
          </w:tcPr>
          <w:p w14:paraId="22A230B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易燃物质</w:t>
            </w:r>
          </w:p>
        </w:tc>
        <w:tc>
          <w:tcPr>
            <w:tcW w:w="379" w:type="pct"/>
            <w:tcBorders>
              <w:top w:val="single" w:color="000000" w:sz="4" w:space="0"/>
              <w:left w:val="single" w:color="000000" w:sz="8" w:space="0"/>
              <w:bottom w:val="single" w:color="000000" w:sz="4" w:space="0"/>
              <w:right w:val="single" w:color="000000" w:sz="8" w:space="0"/>
            </w:tcBorders>
            <w:vAlign w:val="center"/>
          </w:tcPr>
          <w:p w14:paraId="4332A03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p>
        </w:tc>
        <w:tc>
          <w:tcPr>
            <w:tcW w:w="4185" w:type="pct"/>
            <w:gridSpan w:val="3"/>
            <w:tcBorders>
              <w:top w:val="single" w:color="000000" w:sz="4" w:space="0"/>
              <w:left w:val="single" w:color="000000" w:sz="8" w:space="0"/>
              <w:bottom w:val="single" w:color="000000" w:sz="4" w:space="0"/>
              <w:right w:val="nil"/>
            </w:tcBorders>
            <w:vAlign w:val="center"/>
          </w:tcPr>
          <w:p w14:paraId="0838198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可燃气体：在常压下以气态存在并与空气混合形成可燃混合物；其沸点（常压下）是20℃或20℃以下的物质</w:t>
            </w:r>
          </w:p>
        </w:tc>
      </w:tr>
      <w:tr w14:paraId="23BA38E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435" w:type="pct"/>
            <w:vMerge w:val="continue"/>
            <w:tcBorders>
              <w:top w:val="nil"/>
              <w:left w:val="nil"/>
              <w:bottom w:val="single" w:color="000000" w:sz="4" w:space="0"/>
              <w:right w:val="single" w:color="000000" w:sz="8" w:space="0"/>
            </w:tcBorders>
            <w:vAlign w:val="center"/>
          </w:tcPr>
          <w:p w14:paraId="57AAEA88">
            <w:pPr>
              <w:pStyle w:val="143"/>
              <w:rPr>
                <w:snapToGrid w:val="0"/>
                <w:color w:val="000000" w:themeColor="text1"/>
                <w14:textFill>
                  <w14:solidFill>
                    <w14:schemeClr w14:val="tx1"/>
                  </w14:solidFill>
                </w14:textFill>
              </w:rPr>
            </w:pPr>
          </w:p>
        </w:tc>
        <w:tc>
          <w:tcPr>
            <w:tcW w:w="379" w:type="pct"/>
            <w:tcBorders>
              <w:top w:val="single" w:color="000000" w:sz="4" w:space="0"/>
              <w:left w:val="single" w:color="000000" w:sz="8" w:space="0"/>
              <w:bottom w:val="single" w:color="000000" w:sz="4" w:space="0"/>
              <w:right w:val="single" w:color="000000" w:sz="8" w:space="0"/>
            </w:tcBorders>
            <w:vAlign w:val="center"/>
          </w:tcPr>
          <w:p w14:paraId="52F44BE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w:t>
            </w:r>
          </w:p>
        </w:tc>
        <w:tc>
          <w:tcPr>
            <w:tcW w:w="4185" w:type="pct"/>
            <w:gridSpan w:val="3"/>
            <w:tcBorders>
              <w:top w:val="single" w:color="000000" w:sz="4" w:space="0"/>
              <w:left w:val="single" w:color="000000" w:sz="8" w:space="0"/>
              <w:bottom w:val="single" w:color="000000" w:sz="4" w:space="0"/>
              <w:right w:val="nil"/>
            </w:tcBorders>
            <w:vAlign w:val="center"/>
          </w:tcPr>
          <w:p w14:paraId="0111D23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易燃液体：闪点低于21℃，沸点高于20℃的物质</w:t>
            </w:r>
          </w:p>
        </w:tc>
      </w:tr>
      <w:tr w14:paraId="18483FD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435" w:type="pct"/>
            <w:vMerge w:val="continue"/>
            <w:tcBorders>
              <w:top w:val="nil"/>
              <w:left w:val="nil"/>
              <w:bottom w:val="single" w:color="000000" w:sz="4" w:space="0"/>
              <w:right w:val="single" w:color="000000" w:sz="8" w:space="0"/>
            </w:tcBorders>
            <w:vAlign w:val="center"/>
          </w:tcPr>
          <w:p w14:paraId="3A260D93">
            <w:pPr>
              <w:pStyle w:val="143"/>
              <w:rPr>
                <w:snapToGrid w:val="0"/>
                <w:color w:val="000000" w:themeColor="text1"/>
                <w14:textFill>
                  <w14:solidFill>
                    <w14:schemeClr w14:val="tx1"/>
                  </w14:solidFill>
                </w14:textFill>
              </w:rPr>
            </w:pPr>
          </w:p>
        </w:tc>
        <w:tc>
          <w:tcPr>
            <w:tcW w:w="379" w:type="pct"/>
            <w:tcBorders>
              <w:top w:val="single" w:color="000000" w:sz="4" w:space="0"/>
              <w:left w:val="single" w:color="000000" w:sz="8" w:space="0"/>
              <w:bottom w:val="single" w:color="000000" w:sz="4" w:space="0"/>
              <w:right w:val="single" w:color="000000" w:sz="8" w:space="0"/>
            </w:tcBorders>
            <w:vAlign w:val="center"/>
          </w:tcPr>
          <w:p w14:paraId="60E397F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w:t>
            </w:r>
          </w:p>
        </w:tc>
        <w:tc>
          <w:tcPr>
            <w:tcW w:w="4185" w:type="pct"/>
            <w:gridSpan w:val="3"/>
            <w:tcBorders>
              <w:top w:val="single" w:color="000000" w:sz="4" w:space="0"/>
              <w:left w:val="single" w:color="000000" w:sz="8" w:space="0"/>
              <w:bottom w:val="single" w:color="000000" w:sz="4" w:space="0"/>
              <w:right w:val="nil"/>
            </w:tcBorders>
            <w:vAlign w:val="center"/>
          </w:tcPr>
          <w:p w14:paraId="1649622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可燃液体：闪点低于55℃，压力下保持液态，在实际操作条件下（如高温高压）可以引起重大事故的物质</w:t>
            </w:r>
          </w:p>
        </w:tc>
      </w:tr>
      <w:tr w14:paraId="2C9CBB71">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814" w:type="pct"/>
            <w:gridSpan w:val="2"/>
            <w:tcBorders>
              <w:top w:val="single" w:color="000000" w:sz="4" w:space="0"/>
              <w:left w:val="nil"/>
              <w:right w:val="single" w:color="000000" w:sz="8" w:space="0"/>
            </w:tcBorders>
            <w:vAlign w:val="center"/>
          </w:tcPr>
          <w:p w14:paraId="26C5559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爆炸性物质</w:t>
            </w:r>
          </w:p>
        </w:tc>
        <w:tc>
          <w:tcPr>
            <w:tcW w:w="4185" w:type="pct"/>
            <w:gridSpan w:val="3"/>
            <w:tcBorders>
              <w:top w:val="single" w:color="000000" w:sz="4" w:space="0"/>
              <w:left w:val="single" w:color="000000" w:sz="8" w:space="0"/>
              <w:right w:val="nil"/>
            </w:tcBorders>
            <w:vAlign w:val="center"/>
          </w:tcPr>
          <w:p w14:paraId="7B70ACA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在火焰影响下可以爆炸，或者对冲击、摩擦比硝基苯更为敏感的物质</w:t>
            </w:r>
          </w:p>
        </w:tc>
      </w:tr>
    </w:tbl>
    <w:p w14:paraId="13CFB532">
      <w:pPr>
        <w:pStyle w:val="85"/>
        <w:rPr>
          <w:rFonts w:cs="宋体"/>
          <w:snapToGrid w:val="0"/>
          <w:color w:val="000000" w:themeColor="text1"/>
          <w:szCs w:val="24"/>
          <w14:textFill>
            <w14:solidFill>
              <w14:schemeClr w14:val="tx1"/>
            </w14:solidFill>
          </w14:textFill>
        </w:rPr>
      </w:pPr>
      <w:bookmarkStart w:id="148" w:name="_Toc15468"/>
      <w:bookmarkStart w:id="149" w:name="_Toc20165"/>
      <w:r>
        <w:rPr>
          <w:rFonts w:cs="宋体"/>
          <w:snapToGrid w:val="0"/>
          <w:color w:val="000000" w:themeColor="text1"/>
          <w:szCs w:val="24"/>
          <w14:textFill>
            <w14:solidFill>
              <w14:schemeClr w14:val="tx1"/>
            </w14:solidFill>
          </w14:textFill>
        </w:rPr>
        <w:t>2、工程涉及风险因素的识别</w:t>
      </w:r>
      <w:bookmarkEnd w:id="148"/>
      <w:bookmarkEnd w:id="149"/>
    </w:p>
    <w:p w14:paraId="2266FC28">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根据工程特点，本工程可能发生的危险因素分析详见下表。</w:t>
      </w:r>
    </w:p>
    <w:p w14:paraId="768025E5">
      <w:pPr>
        <w:pStyle w:val="206"/>
        <w:rPr>
          <w:snapToGrid w:val="0"/>
          <w:color w:val="000000" w:themeColor="text1"/>
          <w14:textFill>
            <w14:solidFill>
              <w14:schemeClr w14:val="tx1"/>
            </w14:solidFill>
          </w14:textFill>
        </w:rPr>
      </w:pPr>
    </w:p>
    <w:p w14:paraId="63E45ED3">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w:t>
      </w:r>
      <w:r>
        <w:rPr>
          <w:snapToGrid w:val="0"/>
          <w:color w:val="000000" w:themeColor="text1"/>
          <w:lang w:val="en-US"/>
          <w14:textFill>
            <w14:solidFill>
              <w14:schemeClr w14:val="tx1"/>
            </w14:solidFill>
          </w14:textFill>
        </w:rPr>
        <w:t>3-6-1</w:t>
      </w:r>
      <w:r>
        <w:rPr>
          <w:rFonts w:hint="eastAsia"/>
          <w:snapToGrid w:val="0"/>
          <w:color w:val="000000" w:themeColor="text1"/>
          <w:lang w:val="en-US" w:eastAsia="zh-CN"/>
          <w14:textFill>
            <w14:solidFill>
              <w14:schemeClr w14:val="tx1"/>
            </w14:solidFill>
          </w14:textFill>
        </w:rPr>
        <w:t>5</w:t>
      </w:r>
      <w:r>
        <w:rPr>
          <w:snapToGrid w:val="0"/>
          <w:color w:val="000000" w:themeColor="text1"/>
          <w14:textFill>
            <w14:solidFill>
              <w14:schemeClr w14:val="tx1"/>
            </w14:solidFill>
          </w14:textFill>
        </w:rPr>
        <w:t xml:space="preserve">  工程潜在主要风险因素识别</w:t>
      </w:r>
    </w:p>
    <w:tbl>
      <w:tblPr>
        <w:tblStyle w:val="49"/>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388"/>
        <w:gridCol w:w="2217"/>
        <w:gridCol w:w="4668"/>
      </w:tblGrid>
      <w:tr w14:paraId="4B0E37F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839" w:type="pct"/>
            <w:tcBorders>
              <w:left w:val="nil"/>
              <w:bottom w:val="single" w:color="000000" w:sz="8" w:space="0"/>
              <w:right w:val="single" w:color="000000" w:sz="8" w:space="0"/>
            </w:tcBorders>
            <w:shd w:val="clear" w:color="auto" w:fill="D7D7D7" w:themeFill="background1" w:themeFillShade="D8"/>
            <w:vAlign w:val="center"/>
          </w:tcPr>
          <w:p w14:paraId="4B16ABC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事故发生环节</w:t>
            </w:r>
          </w:p>
        </w:tc>
        <w:tc>
          <w:tcPr>
            <w:tcW w:w="1340" w:type="pct"/>
            <w:tcBorders>
              <w:left w:val="single" w:color="000000" w:sz="8" w:space="0"/>
              <w:bottom w:val="single" w:color="000000" w:sz="8" w:space="0"/>
              <w:right w:val="single" w:color="000000" w:sz="8" w:space="0"/>
            </w:tcBorders>
            <w:shd w:val="clear" w:color="auto" w:fill="D7D7D7" w:themeFill="background1" w:themeFillShade="D8"/>
            <w:vAlign w:val="center"/>
          </w:tcPr>
          <w:p w14:paraId="3FC7E28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类型</w:t>
            </w:r>
          </w:p>
        </w:tc>
        <w:tc>
          <w:tcPr>
            <w:tcW w:w="2821" w:type="pct"/>
            <w:tcBorders>
              <w:left w:val="single" w:color="000000" w:sz="8" w:space="0"/>
              <w:bottom w:val="single" w:color="000000" w:sz="8" w:space="0"/>
              <w:right w:val="nil"/>
            </w:tcBorders>
            <w:shd w:val="clear" w:color="auto" w:fill="D7D7D7" w:themeFill="background1" w:themeFillShade="D8"/>
            <w:vAlign w:val="center"/>
          </w:tcPr>
          <w:p w14:paraId="724B3A7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原因</w:t>
            </w:r>
          </w:p>
        </w:tc>
      </w:tr>
      <w:tr w14:paraId="53D6EF5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839" w:type="pct"/>
            <w:vMerge w:val="restart"/>
            <w:tcBorders>
              <w:top w:val="single" w:color="000000" w:sz="8" w:space="0"/>
              <w:left w:val="nil"/>
              <w:bottom w:val="single" w:color="000000" w:sz="8" w:space="0"/>
              <w:right w:val="single" w:color="000000" w:sz="8" w:space="0"/>
            </w:tcBorders>
            <w:vAlign w:val="center"/>
          </w:tcPr>
          <w:p w14:paraId="7B854DF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贮存、生产</w:t>
            </w:r>
          </w:p>
        </w:tc>
        <w:tc>
          <w:tcPr>
            <w:tcW w:w="1340" w:type="pct"/>
            <w:tcBorders>
              <w:top w:val="single" w:color="000000" w:sz="8" w:space="0"/>
              <w:left w:val="single" w:color="000000" w:sz="8" w:space="0"/>
              <w:bottom w:val="single" w:color="000000" w:sz="8" w:space="0"/>
              <w:right w:val="single" w:color="000000" w:sz="8" w:space="0"/>
            </w:tcBorders>
            <w:vAlign w:val="center"/>
          </w:tcPr>
          <w:p w14:paraId="440C59F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泄漏</w:t>
            </w:r>
          </w:p>
        </w:tc>
        <w:tc>
          <w:tcPr>
            <w:tcW w:w="2821" w:type="pct"/>
            <w:tcBorders>
              <w:top w:val="single" w:color="000000" w:sz="8" w:space="0"/>
              <w:left w:val="single" w:color="000000" w:sz="8" w:space="0"/>
              <w:bottom w:val="single" w:color="000000" w:sz="8" w:space="0"/>
              <w:right w:val="nil"/>
            </w:tcBorders>
            <w:vAlign w:val="center"/>
          </w:tcPr>
          <w:p w14:paraId="28E427C8">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操作使用不当</w:t>
            </w:r>
          </w:p>
        </w:tc>
      </w:tr>
      <w:tr w14:paraId="05785BA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839" w:type="pct"/>
            <w:vMerge w:val="continue"/>
            <w:tcBorders>
              <w:top w:val="nil"/>
              <w:left w:val="nil"/>
              <w:bottom w:val="single" w:color="000000" w:sz="8" w:space="0"/>
              <w:right w:val="single" w:color="000000" w:sz="8" w:space="0"/>
            </w:tcBorders>
            <w:vAlign w:val="center"/>
          </w:tcPr>
          <w:p w14:paraId="77A87B40">
            <w:pPr>
              <w:pStyle w:val="143"/>
              <w:rPr>
                <w:snapToGrid w:val="0"/>
                <w:color w:val="000000" w:themeColor="text1"/>
                <w14:textFill>
                  <w14:solidFill>
                    <w14:schemeClr w14:val="tx1"/>
                  </w14:solidFill>
                </w14:textFill>
              </w:rPr>
            </w:pPr>
          </w:p>
        </w:tc>
        <w:tc>
          <w:tcPr>
            <w:tcW w:w="1340" w:type="pct"/>
            <w:tcBorders>
              <w:top w:val="single" w:color="000000" w:sz="8" w:space="0"/>
              <w:left w:val="single" w:color="000000" w:sz="8" w:space="0"/>
              <w:bottom w:val="single" w:color="000000" w:sz="8" w:space="0"/>
              <w:right w:val="single" w:color="000000" w:sz="8" w:space="0"/>
            </w:tcBorders>
            <w:vAlign w:val="center"/>
          </w:tcPr>
          <w:p w14:paraId="158D2B4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火灾、爆炸</w:t>
            </w:r>
          </w:p>
        </w:tc>
        <w:tc>
          <w:tcPr>
            <w:tcW w:w="2821" w:type="pct"/>
            <w:tcBorders>
              <w:top w:val="single" w:color="000000" w:sz="8" w:space="0"/>
              <w:left w:val="single" w:color="000000" w:sz="8" w:space="0"/>
              <w:bottom w:val="single" w:color="000000" w:sz="8" w:space="0"/>
              <w:right w:val="nil"/>
            </w:tcBorders>
            <w:vAlign w:val="center"/>
          </w:tcPr>
          <w:p w14:paraId="63C130C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物料发生泄漏，遇明火、高热等</w:t>
            </w:r>
          </w:p>
        </w:tc>
      </w:tr>
      <w:tr w14:paraId="7CA960D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jc w:val="center"/>
        </w:trPr>
        <w:tc>
          <w:tcPr>
            <w:tcW w:w="839" w:type="pct"/>
            <w:tcBorders>
              <w:top w:val="single" w:color="000000" w:sz="8" w:space="0"/>
              <w:left w:val="nil"/>
              <w:right w:val="single" w:color="000000" w:sz="8" w:space="0"/>
            </w:tcBorders>
            <w:vAlign w:val="center"/>
          </w:tcPr>
          <w:p w14:paraId="4B34501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生产</w:t>
            </w:r>
          </w:p>
        </w:tc>
        <w:tc>
          <w:tcPr>
            <w:tcW w:w="1340" w:type="pct"/>
            <w:tcBorders>
              <w:top w:val="single" w:color="000000" w:sz="8" w:space="0"/>
              <w:left w:val="single" w:color="000000" w:sz="8" w:space="0"/>
              <w:right w:val="single" w:color="000000" w:sz="8" w:space="0"/>
            </w:tcBorders>
            <w:vAlign w:val="center"/>
          </w:tcPr>
          <w:p w14:paraId="30F1A9D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废水事故排放</w:t>
            </w:r>
          </w:p>
        </w:tc>
        <w:tc>
          <w:tcPr>
            <w:tcW w:w="2821" w:type="pct"/>
            <w:tcBorders>
              <w:top w:val="single" w:color="000000" w:sz="8" w:space="0"/>
              <w:left w:val="single" w:color="000000" w:sz="8" w:space="0"/>
              <w:right w:val="nil"/>
            </w:tcBorders>
            <w:vAlign w:val="center"/>
          </w:tcPr>
          <w:p w14:paraId="420CB5D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废水处理设施故障</w:t>
            </w:r>
          </w:p>
        </w:tc>
      </w:tr>
    </w:tbl>
    <w:p w14:paraId="08F5AAA5">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由上表可知，工程存在的主要危险因素有两种，一是自然因素，如高温等自然因素可能引发事故；另一种是人为因素引发事故。人为因素是一种动态的、难以控制的因素，因此人为因素是引发事故的主要因素，特别是放松安全管理、违章操作或违反安全管理规程，均可能发生事故。</w:t>
      </w:r>
    </w:p>
    <w:p w14:paraId="53A043CC">
      <w:pPr>
        <w:pStyle w:val="85"/>
        <w:rPr>
          <w:rFonts w:cs="宋体"/>
          <w:snapToGrid w:val="0"/>
          <w:color w:val="000000" w:themeColor="text1"/>
          <w:szCs w:val="24"/>
          <w14:textFill>
            <w14:solidFill>
              <w14:schemeClr w14:val="tx1"/>
            </w14:solidFill>
          </w14:textFill>
        </w:rPr>
      </w:pPr>
      <w:bookmarkStart w:id="150" w:name="_Toc29639"/>
      <w:bookmarkStart w:id="151" w:name="_Toc3252"/>
      <w:r>
        <w:rPr>
          <w:rFonts w:cs="宋体"/>
          <w:snapToGrid w:val="0"/>
          <w:color w:val="000000" w:themeColor="text1"/>
          <w:szCs w:val="24"/>
          <w14:textFill>
            <w14:solidFill>
              <w14:schemeClr w14:val="tx1"/>
            </w14:solidFill>
          </w14:textFill>
        </w:rPr>
        <w:t>（1）生产过程潜在危险因素分析</w:t>
      </w:r>
      <w:bookmarkEnd w:id="150"/>
      <w:bookmarkEnd w:id="151"/>
    </w:p>
    <w:p w14:paraId="4655CA5E">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风险识别范围一般包括：主要生产装置、贮运系统、公用工程系统、工程环保设施及辅助生产设施等。对于本项目主要危险设施为生产装置及本项目生产过程使用的物料含有有毒物质，根据所涉及的物料和工艺特点，生产过程中可能发生的主要危险为：</w:t>
      </w:r>
    </w:p>
    <w:p w14:paraId="64414925">
      <w:pPr>
        <w:pStyle w:val="85"/>
        <w:rPr>
          <w:rFonts w:cs="宋体"/>
          <w:bCs/>
          <w:snapToGrid w:val="0"/>
          <w:color w:val="000000" w:themeColor="text1"/>
          <w:szCs w:val="24"/>
          <w14:textFill>
            <w14:solidFill>
              <w14:schemeClr w14:val="tx1"/>
            </w14:solidFill>
          </w14:textFill>
        </w:rPr>
      </w:pPr>
      <w:r>
        <w:rPr>
          <w:rFonts w:hint="eastAsia" w:ascii="宋体" w:hAnsi="宋体" w:cs="宋体"/>
          <w:bCs/>
          <w:snapToGrid w:val="0"/>
          <w:color w:val="000000" w:themeColor="text1"/>
          <w:szCs w:val="24"/>
          <w14:textFill>
            <w14:solidFill>
              <w14:schemeClr w14:val="tx1"/>
            </w14:solidFill>
          </w14:textFill>
        </w:rPr>
        <w:t>①</w:t>
      </w:r>
      <w:r>
        <w:rPr>
          <w:rFonts w:cs="宋体"/>
          <w:bCs/>
          <w:snapToGrid w:val="0"/>
          <w:color w:val="000000" w:themeColor="text1"/>
          <w:szCs w:val="24"/>
          <w14:textFill>
            <w14:solidFill>
              <w14:schemeClr w14:val="tx1"/>
            </w14:solidFill>
          </w14:textFill>
        </w:rPr>
        <w:t>废水处理设施，泵等设备缺乏维护保养或操作失误，造成化学品泄漏以及污水处理装置破损或裂缝造成的泄漏，从而对周围环境空气、地下水及人产生影响；</w:t>
      </w:r>
    </w:p>
    <w:p w14:paraId="379FF7D8">
      <w:pPr>
        <w:pStyle w:val="85"/>
        <w:rPr>
          <w:rFonts w:cs="宋体"/>
          <w:bCs/>
          <w:snapToGrid w:val="0"/>
          <w:color w:val="000000" w:themeColor="text1"/>
          <w:szCs w:val="24"/>
          <w14:textFill>
            <w14:solidFill>
              <w14:schemeClr w14:val="tx1"/>
            </w14:solidFill>
          </w14:textFill>
        </w:rPr>
      </w:pPr>
      <w:r>
        <w:rPr>
          <w:rFonts w:hint="eastAsia" w:ascii="宋体" w:hAnsi="宋体" w:cs="宋体"/>
          <w:bCs/>
          <w:snapToGrid w:val="0"/>
          <w:color w:val="000000" w:themeColor="text1"/>
          <w:szCs w:val="24"/>
          <w14:textFill>
            <w14:solidFill>
              <w14:schemeClr w14:val="tx1"/>
            </w14:solidFill>
          </w14:textFill>
        </w:rPr>
        <w:t>②</w:t>
      </w:r>
      <w:r>
        <w:rPr>
          <w:rFonts w:cs="宋体"/>
          <w:bCs/>
          <w:snapToGrid w:val="0"/>
          <w:color w:val="000000" w:themeColor="text1"/>
          <w:szCs w:val="24"/>
          <w14:textFill>
            <w14:solidFill>
              <w14:schemeClr w14:val="tx1"/>
            </w14:solidFill>
          </w14:textFill>
        </w:rPr>
        <w:t>在生产场所，如果违章动火、防爆电器仪表失效或存在非防爆电器设备、电缆防爆绝缘等级不够出现电器火花，没有对设备管道进行可靠接地，防护设施存在缺陷均会导致火灾爆炸事故的发生。</w:t>
      </w:r>
    </w:p>
    <w:p w14:paraId="0EF3E66C">
      <w:pPr>
        <w:pStyle w:val="85"/>
        <w:rPr>
          <w:rFonts w:cs="宋体"/>
          <w:snapToGrid w:val="0"/>
          <w:color w:val="000000" w:themeColor="text1"/>
          <w:szCs w:val="24"/>
          <w14:textFill>
            <w14:solidFill>
              <w14:schemeClr w14:val="tx1"/>
            </w14:solidFill>
          </w14:textFill>
        </w:rPr>
      </w:pPr>
      <w:bookmarkStart w:id="152" w:name="_Toc23492"/>
      <w:bookmarkStart w:id="153" w:name="_Toc5398"/>
      <w:r>
        <w:rPr>
          <w:rFonts w:cs="宋体"/>
          <w:snapToGrid w:val="0"/>
          <w:color w:val="000000" w:themeColor="text1"/>
          <w:szCs w:val="24"/>
          <w14:textFill>
            <w14:solidFill>
              <w14:schemeClr w14:val="tx1"/>
            </w14:solidFill>
          </w14:textFill>
        </w:rPr>
        <w:t>（2）贮存潜在危险因素分析</w:t>
      </w:r>
      <w:bookmarkEnd w:id="152"/>
      <w:bookmarkEnd w:id="153"/>
    </w:p>
    <w:p w14:paraId="3DDB859E">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本项目原料库贮存过程中的主要风险为泄漏和火灾，以及由此间接造成的人员中毒。一旦罐体破裂、管道、阀门损坏发生泄漏，</w:t>
      </w:r>
      <w:r>
        <w:rPr>
          <w:rFonts w:hint="eastAsia" w:cs="宋体"/>
          <w:bCs/>
          <w:snapToGrid w:val="0"/>
          <w:color w:val="000000" w:themeColor="text1"/>
          <w:szCs w:val="24"/>
          <w14:textFill>
            <w14:solidFill>
              <w14:schemeClr w14:val="tx1"/>
            </w14:solidFill>
          </w14:textFill>
        </w:rPr>
        <w:t>危险物质</w:t>
      </w:r>
      <w:r>
        <w:rPr>
          <w:rFonts w:cs="宋体"/>
          <w:bCs/>
          <w:snapToGrid w:val="0"/>
          <w:color w:val="000000" w:themeColor="text1"/>
          <w:szCs w:val="24"/>
          <w14:textFill>
            <w14:solidFill>
              <w14:schemeClr w14:val="tx1"/>
            </w14:solidFill>
          </w14:textFill>
        </w:rPr>
        <w:t>逸散将对厂区附近环境产生危害。</w:t>
      </w:r>
    </w:p>
    <w:p w14:paraId="29A1C3B5">
      <w:pPr>
        <w:pStyle w:val="85"/>
        <w:rPr>
          <w:rFonts w:cs="宋体"/>
          <w:snapToGrid w:val="0"/>
          <w:color w:val="000000" w:themeColor="text1"/>
          <w:szCs w:val="24"/>
          <w14:textFill>
            <w14:solidFill>
              <w14:schemeClr w14:val="tx1"/>
            </w14:solidFill>
          </w14:textFill>
        </w:rPr>
      </w:pPr>
      <w:bookmarkStart w:id="154" w:name="_Toc9176"/>
      <w:bookmarkStart w:id="155" w:name="_Toc30219"/>
      <w:r>
        <w:rPr>
          <w:rFonts w:cs="宋体"/>
          <w:snapToGrid w:val="0"/>
          <w:color w:val="000000" w:themeColor="text1"/>
          <w:szCs w:val="24"/>
          <w14:textFill>
            <w14:solidFill>
              <w14:schemeClr w14:val="tx1"/>
            </w14:solidFill>
          </w14:textFill>
        </w:rPr>
        <w:t>（3）运输过程潜在危险因素分析</w:t>
      </w:r>
      <w:bookmarkEnd w:id="154"/>
      <w:bookmarkEnd w:id="155"/>
    </w:p>
    <w:p w14:paraId="09952C76">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本项目所需原料均采取外购，汽车运输，即专用危险品运输车。根据运输方法及物料性质，对于毒性物质，主要潜在危险事故为机械碰撞和交通事故。</w:t>
      </w:r>
    </w:p>
    <w:p w14:paraId="628BF7FE">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3</w:t>
      </w:r>
      <w:r>
        <w:rPr>
          <w:snapToGrid w:val="0"/>
          <w:color w:val="000000" w:themeColor="text1"/>
          <w14:textFill>
            <w14:solidFill>
              <w14:schemeClr w14:val="tx1"/>
            </w14:solidFill>
          </w14:textFill>
        </w:rPr>
        <w:t>.6.3.2</w:t>
      </w:r>
      <w:r>
        <w:rPr>
          <w:rFonts w:hint="eastAsia"/>
          <w:snapToGrid w:val="0"/>
          <w:color w:val="000000" w:themeColor="text1"/>
          <w:lang w:eastAsia="zh-CN"/>
          <w14:textFill>
            <w14:solidFill>
              <w14:schemeClr w14:val="tx1"/>
            </w14:solidFill>
          </w14:textFill>
        </w:rPr>
        <w:t>重大危险源识别</w:t>
      </w:r>
    </w:p>
    <w:p w14:paraId="60D360BF">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建设项目环境风险评价技术导则》（HJ169-2018）中定义：重大事故是指导致有毒有害物泄漏的火灾、爆炸和有毒有害物泄漏事故，给公众带来严重危害，对环境造成严重污染的事故；重大危险源是指长期或短期生产、加工、运输使用或贮存危险物质，且危险物质的数量等于或超过临界量的功能单元。根据《建设项目环境风险评价技术导则》（HJ169-2018）附录A.1表1物质危险性标准，并参照《化学品分类和标签规范 第18部分：急性毒性》（GB 30000.18-2013），硝酸、过氧乙酸为一般毒性物质。根据《建设项目环境风险评价技术导则》（HJ169-2018）和《危险化学品重大危险源辨识》（GB18218-2018）临界量的功能单元，定为非重大危险源。</w:t>
      </w:r>
    </w:p>
    <w:p w14:paraId="71703648">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分析建设项目生产、使用、储存、过程中涉及的有毒有害易燃易爆物质。根据《建设项目环境风险评价技术导则》（HJ169-2018）附录B，筛选出本项目重点关注的危险物质及临界量，</w:t>
      </w:r>
      <w:r>
        <w:rPr>
          <w:rFonts w:hint="eastAsia" w:cs="宋体"/>
          <w:bCs/>
          <w:snapToGrid w:val="0"/>
          <w:color w:val="000000" w:themeColor="text1"/>
          <w:szCs w:val="24"/>
          <w:lang w:val="en-US" w:eastAsia="zh-CN"/>
          <w14:textFill>
            <w14:solidFill>
              <w14:schemeClr w14:val="tx1"/>
            </w14:solidFill>
          </w14:textFill>
        </w:rPr>
        <w:t>其中</w:t>
      </w:r>
      <w:r>
        <w:rPr>
          <w:rFonts w:cs="宋体"/>
          <w:bCs/>
          <w:snapToGrid w:val="0"/>
          <w:color w:val="000000" w:themeColor="text1"/>
          <w:szCs w:val="24"/>
          <w14:textFill>
            <w14:solidFill>
              <w14:schemeClr w14:val="tx1"/>
            </w14:solidFill>
          </w14:textFill>
        </w:rPr>
        <w:t>氢氧化钠</w:t>
      </w:r>
      <w:r>
        <w:rPr>
          <w:rFonts w:ascii="宋体" w:hAnsi="宋体" w:eastAsia="宋体" w:cs="宋体"/>
          <w:sz w:val="24"/>
          <w:szCs w:val="24"/>
        </w:rPr>
        <w:t>未列入</w:t>
      </w:r>
      <w:r>
        <w:rPr>
          <w:rFonts w:cs="宋体"/>
          <w:bCs/>
          <w:snapToGrid w:val="0"/>
          <w:color w:val="000000" w:themeColor="text1"/>
          <w:szCs w:val="24"/>
          <w14:textFill>
            <w14:solidFill>
              <w14:schemeClr w14:val="tx1"/>
            </w14:solidFill>
          </w14:textFill>
        </w:rPr>
        <w:t>附录B</w:t>
      </w:r>
      <w:r>
        <w:rPr>
          <w:rFonts w:hint="eastAsia" w:cs="宋体"/>
          <w:bCs/>
          <w:snapToGrid w:val="0"/>
          <w:color w:val="000000" w:themeColor="text1"/>
          <w:szCs w:val="24"/>
          <w:lang w:val="en-US" w:eastAsia="zh-CN"/>
          <w14:textFill>
            <w14:solidFill>
              <w14:schemeClr w14:val="tx1"/>
            </w14:solidFill>
          </w14:textFill>
        </w:rPr>
        <w:t>环境风险物质</w:t>
      </w:r>
      <w:r>
        <w:rPr>
          <w:rFonts w:ascii="宋体" w:hAnsi="宋体" w:eastAsia="宋体" w:cs="宋体"/>
          <w:sz w:val="24"/>
          <w:szCs w:val="24"/>
        </w:rPr>
        <w:t>及对应临界量</w:t>
      </w:r>
      <w:r>
        <w:rPr>
          <w:rFonts w:hint="eastAsia" w:cs="宋体"/>
          <w:bCs/>
          <w:snapToGrid w:val="0"/>
          <w:color w:val="000000" w:themeColor="text1"/>
          <w:szCs w:val="24"/>
          <w:lang w:eastAsia="zh-CN"/>
          <w14:textFill>
            <w14:solidFill>
              <w14:schemeClr w14:val="tx1"/>
            </w14:solidFill>
          </w14:textFill>
        </w:rPr>
        <w:t>，</w:t>
      </w:r>
      <w:r>
        <w:rPr>
          <w:rFonts w:cs="宋体"/>
          <w:bCs/>
          <w:snapToGrid w:val="0"/>
          <w:color w:val="000000" w:themeColor="text1"/>
          <w:szCs w:val="24"/>
          <w14:textFill>
            <w14:solidFill>
              <w14:schemeClr w14:val="tx1"/>
            </w14:solidFill>
          </w14:textFill>
        </w:rPr>
        <w:t>其危险物质种类及临界量计算见下表。</w:t>
      </w:r>
    </w:p>
    <w:p w14:paraId="78DF59F8">
      <w:pPr>
        <w:pStyle w:val="85"/>
        <w:ind w:firstLine="0" w:firstLineChars="0"/>
        <w:jc w:val="center"/>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Q=q1/Q1+ q2/Q2……+ qn/Qn</w:t>
      </w:r>
    </w:p>
    <w:p w14:paraId="2B8B7C00">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式中：q1.q2…，qn 为每种危险化学品实际存在量，t；</w:t>
      </w:r>
    </w:p>
    <w:p w14:paraId="2120DE0C">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Q1. Q2…Qn 为与各危险化学品相对应的临界量，t。</w:t>
      </w:r>
    </w:p>
    <w:p w14:paraId="04F3483B">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当Q＜1 时，该项目环境风险潜势为Ⅰ。</w:t>
      </w:r>
    </w:p>
    <w:p w14:paraId="2BB3F37A">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当Q≥1时，将Q 值划分为：（1）1≤Q＜10；（2）10≤Q＜100；（3）Q≥100。</w:t>
      </w:r>
    </w:p>
    <w:p w14:paraId="30E30C11">
      <w:pPr>
        <w:pStyle w:val="85"/>
        <w:rPr>
          <w:rFonts w:cs="宋体"/>
          <w:bCs/>
          <w:snapToGrid w:val="0"/>
          <w:color w:val="000000" w:themeColor="text1"/>
          <w:szCs w:val="24"/>
          <w14:textFill>
            <w14:solidFill>
              <w14:schemeClr w14:val="tx1"/>
            </w14:solidFill>
          </w14:textFill>
        </w:rPr>
      </w:pPr>
      <w:r>
        <w:rPr>
          <w:rFonts w:cs="宋体"/>
          <w:bCs/>
          <w:snapToGrid w:val="0"/>
          <w:color w:val="000000" w:themeColor="text1"/>
          <w:szCs w:val="24"/>
          <w14:textFill>
            <w14:solidFill>
              <w14:schemeClr w14:val="tx1"/>
            </w14:solidFill>
          </w14:textFill>
        </w:rPr>
        <w:t>本项目各危险物质的储存量及</w:t>
      </w:r>
      <w:r>
        <w:rPr>
          <w:rFonts w:hint="eastAsia" w:cs="宋体"/>
          <w:bCs/>
          <w:snapToGrid w:val="0"/>
          <w:color w:val="000000" w:themeColor="text1"/>
          <w:szCs w:val="24"/>
          <w14:textFill>
            <w14:solidFill>
              <w14:schemeClr w14:val="tx1"/>
            </w14:solidFill>
          </w14:textFill>
        </w:rPr>
        <w:t>临界量</w:t>
      </w:r>
      <w:r>
        <w:rPr>
          <w:rFonts w:cs="宋体"/>
          <w:bCs/>
          <w:snapToGrid w:val="0"/>
          <w:color w:val="000000" w:themeColor="text1"/>
          <w:szCs w:val="24"/>
          <w14:textFill>
            <w14:solidFill>
              <w14:schemeClr w14:val="tx1"/>
            </w14:solidFill>
          </w14:textFill>
        </w:rPr>
        <w:t>详见下表。</w:t>
      </w:r>
    </w:p>
    <w:p w14:paraId="1152AF23">
      <w:pPr>
        <w:pStyle w:val="206"/>
        <w:rPr>
          <w:snapToGrid w:val="0"/>
          <w:color w:val="000000" w:themeColor="text1"/>
          <w14:textFill>
            <w14:solidFill>
              <w14:schemeClr w14:val="tx1"/>
            </w14:solidFill>
          </w14:textFill>
        </w:rPr>
      </w:pPr>
      <w:bookmarkStart w:id="156" w:name="_Hlk205217299"/>
      <w:r>
        <w:rPr>
          <w:snapToGrid w:val="0"/>
          <w:color w:val="000000" w:themeColor="text1"/>
          <w:lang w:val="en-US"/>
          <w14:textFill>
            <w14:solidFill>
              <w14:schemeClr w14:val="tx1"/>
            </w14:solidFill>
          </w14:textFill>
        </w:rPr>
        <w:t>表3-6-1</w:t>
      </w:r>
      <w:r>
        <w:rPr>
          <w:rFonts w:hint="eastAsia"/>
          <w:snapToGrid w:val="0"/>
          <w:color w:val="000000" w:themeColor="text1"/>
          <w:lang w:val="en-US" w:eastAsia="zh-CN"/>
          <w14:textFill>
            <w14:solidFill>
              <w14:schemeClr w14:val="tx1"/>
            </w14:solidFill>
          </w14:textFill>
        </w:rPr>
        <w:t>6</w:t>
      </w:r>
      <w:r>
        <w:rPr>
          <w:snapToGrid w:val="0"/>
          <w:color w:val="000000" w:themeColor="text1"/>
          <w:lang w:val="en-US"/>
          <w14:textFill>
            <w14:solidFill>
              <w14:schemeClr w14:val="tx1"/>
            </w14:solidFill>
          </w14:textFill>
        </w:rPr>
        <w:t xml:space="preserve">  重大危险源识别一览表</w:t>
      </w:r>
    </w:p>
    <w:tbl>
      <w:tblPr>
        <w:tblStyle w:val="418"/>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55"/>
        <w:gridCol w:w="947"/>
        <w:gridCol w:w="734"/>
        <w:gridCol w:w="1065"/>
        <w:gridCol w:w="1093"/>
        <w:gridCol w:w="2609"/>
      </w:tblGrid>
      <w:tr w14:paraId="1ABBF3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17" w:type="pct"/>
            <w:vAlign w:val="center"/>
          </w:tcPr>
          <w:p w14:paraId="2C1585B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危险物质</w:t>
            </w:r>
          </w:p>
        </w:tc>
        <w:tc>
          <w:tcPr>
            <w:tcW w:w="570" w:type="pct"/>
            <w:vAlign w:val="center"/>
          </w:tcPr>
          <w:p w14:paraId="50B79991">
            <w:pPr>
              <w:pStyle w:val="143"/>
              <w:rPr>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最大贮存量</w:t>
            </w:r>
            <w:r>
              <w:rPr>
                <w:rFonts w:hint="eastAsia"/>
                <w:snapToGrid w:val="0"/>
                <w:color w:val="000000" w:themeColor="text1"/>
                <w:kern w:val="0"/>
                <w:lang w:eastAsia="zh-CN"/>
                <w14:textFill>
                  <w14:solidFill>
                    <w14:schemeClr w14:val="tx1"/>
                  </w14:solidFill>
                </w14:textFill>
              </w:rPr>
              <w:t>/t</w:t>
            </w:r>
          </w:p>
        </w:tc>
        <w:tc>
          <w:tcPr>
            <w:tcW w:w="441" w:type="pct"/>
            <w:vAlign w:val="center"/>
          </w:tcPr>
          <w:p w14:paraId="2D204EFA">
            <w:pPr>
              <w:pStyle w:val="143"/>
              <w:rPr>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临界量</w:t>
            </w:r>
            <w:r>
              <w:rPr>
                <w:rFonts w:hint="eastAsia"/>
                <w:snapToGrid w:val="0"/>
                <w:color w:val="000000" w:themeColor="text1"/>
                <w:kern w:val="0"/>
                <w:lang w:eastAsia="zh-CN"/>
                <w14:textFill>
                  <w14:solidFill>
                    <w14:schemeClr w14:val="tx1"/>
                  </w14:solidFill>
                </w14:textFill>
              </w:rPr>
              <w:t>/t</w:t>
            </w:r>
          </w:p>
        </w:tc>
        <w:tc>
          <w:tcPr>
            <w:tcW w:w="641" w:type="pct"/>
            <w:vAlign w:val="center"/>
          </w:tcPr>
          <w:p w14:paraId="4B82A64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q/Q</w:t>
            </w:r>
          </w:p>
        </w:tc>
        <w:tc>
          <w:tcPr>
            <w:tcW w:w="658" w:type="pct"/>
            <w:vAlign w:val="center"/>
          </w:tcPr>
          <w:p w14:paraId="6E3213B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是否为重大污染源</w:t>
            </w:r>
          </w:p>
        </w:tc>
        <w:tc>
          <w:tcPr>
            <w:tcW w:w="1569" w:type="pct"/>
            <w:vAlign w:val="center"/>
          </w:tcPr>
          <w:p w14:paraId="122B1B1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备注</w:t>
            </w:r>
          </w:p>
        </w:tc>
      </w:tr>
      <w:tr w14:paraId="58C354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17" w:type="pct"/>
            <w:vAlign w:val="center"/>
          </w:tcPr>
          <w:p w14:paraId="378828D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硝酸</w:t>
            </w:r>
          </w:p>
        </w:tc>
        <w:tc>
          <w:tcPr>
            <w:tcW w:w="570" w:type="pct"/>
            <w:vAlign w:val="center"/>
          </w:tcPr>
          <w:p w14:paraId="7D930CED">
            <w:pPr>
              <w:pStyle w:val="143"/>
              <w:rPr>
                <w:rFonts w:hint="default"/>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0.72</w:t>
            </w:r>
          </w:p>
        </w:tc>
        <w:tc>
          <w:tcPr>
            <w:tcW w:w="441" w:type="pct"/>
            <w:vAlign w:val="center"/>
          </w:tcPr>
          <w:p w14:paraId="0D63DDF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7.5</w:t>
            </w:r>
          </w:p>
        </w:tc>
        <w:tc>
          <w:tcPr>
            <w:tcW w:w="641" w:type="pct"/>
            <w:vAlign w:val="center"/>
          </w:tcPr>
          <w:p w14:paraId="4B479FA7">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0.096</w:t>
            </w:r>
          </w:p>
        </w:tc>
        <w:tc>
          <w:tcPr>
            <w:tcW w:w="658" w:type="pct"/>
            <w:vAlign w:val="center"/>
          </w:tcPr>
          <w:p w14:paraId="15C4AFB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否</w:t>
            </w:r>
          </w:p>
        </w:tc>
        <w:tc>
          <w:tcPr>
            <w:tcW w:w="1569" w:type="pct"/>
            <w:vAlign w:val="center"/>
          </w:tcPr>
          <w:p w14:paraId="35960ED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项目硝酸溶液最大浓度为</w:t>
            </w:r>
            <w:r>
              <w:rPr>
                <w:rFonts w:hint="eastAsia"/>
                <w:snapToGrid w:val="0"/>
                <w:color w:val="000000" w:themeColor="text1"/>
                <w:kern w:val="0"/>
                <w:lang w:val="en-US" w:eastAsia="zh-CN"/>
                <w14:textFill>
                  <w14:solidFill>
                    <w14:schemeClr w14:val="tx1"/>
                  </w14:solidFill>
                </w14:textFill>
              </w:rPr>
              <w:t>60</w:t>
            </w:r>
            <w:r>
              <w:rPr>
                <w:snapToGrid w:val="0"/>
                <w:color w:val="000000" w:themeColor="text1"/>
                <w:kern w:val="0"/>
                <w14:textFill>
                  <w14:solidFill>
                    <w14:schemeClr w14:val="tx1"/>
                  </w14:solidFill>
                </w14:textFill>
              </w:rPr>
              <w:t>%</w:t>
            </w:r>
          </w:p>
        </w:tc>
      </w:tr>
      <w:tr w14:paraId="7F436C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17" w:type="pct"/>
            <w:vAlign w:val="center"/>
          </w:tcPr>
          <w:p w14:paraId="587F0E3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过氧乙酸</w:t>
            </w:r>
          </w:p>
        </w:tc>
        <w:tc>
          <w:tcPr>
            <w:tcW w:w="570" w:type="pct"/>
            <w:vAlign w:val="center"/>
          </w:tcPr>
          <w:p w14:paraId="1D503AFB">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0.018</w:t>
            </w:r>
          </w:p>
        </w:tc>
        <w:tc>
          <w:tcPr>
            <w:tcW w:w="441" w:type="pct"/>
            <w:vAlign w:val="center"/>
          </w:tcPr>
          <w:p w14:paraId="29F3661C">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5</w:t>
            </w:r>
          </w:p>
        </w:tc>
        <w:tc>
          <w:tcPr>
            <w:tcW w:w="641" w:type="pct"/>
            <w:vAlign w:val="center"/>
          </w:tcPr>
          <w:p w14:paraId="79A0F91D">
            <w:pPr>
              <w:pStyle w:val="143"/>
              <w:rPr>
                <w:rFonts w:hint="default" w:eastAsia="宋体"/>
                <w:snapToGrid w:val="0"/>
                <w:color w:val="000000" w:themeColor="text1"/>
                <w:kern w:val="0"/>
                <w:vertAlign w:val="superscript"/>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3.6×10</w:t>
            </w:r>
            <w:r>
              <w:rPr>
                <w:rFonts w:hint="eastAsia"/>
                <w:snapToGrid w:val="0"/>
                <w:color w:val="000000" w:themeColor="text1"/>
                <w:kern w:val="0"/>
                <w:vertAlign w:val="superscript"/>
                <w:lang w:val="en-US" w:eastAsia="zh-CN"/>
                <w14:textFill>
                  <w14:solidFill>
                    <w14:schemeClr w14:val="tx1"/>
                  </w14:solidFill>
                </w14:textFill>
              </w:rPr>
              <w:t>-3</w:t>
            </w:r>
          </w:p>
        </w:tc>
        <w:tc>
          <w:tcPr>
            <w:tcW w:w="658" w:type="pct"/>
            <w:vAlign w:val="center"/>
          </w:tcPr>
          <w:p w14:paraId="2F81CF8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否</w:t>
            </w:r>
          </w:p>
        </w:tc>
        <w:tc>
          <w:tcPr>
            <w:tcW w:w="1569" w:type="pct"/>
            <w:vAlign w:val="center"/>
          </w:tcPr>
          <w:p w14:paraId="22039A4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项目过氧乙酸溶液最大浓度为15%</w:t>
            </w:r>
          </w:p>
        </w:tc>
      </w:tr>
      <w:tr w14:paraId="2DB4EC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17" w:type="pct"/>
            <w:vAlign w:val="center"/>
          </w:tcPr>
          <w:p w14:paraId="3F357ED2">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甲烷</w:t>
            </w:r>
          </w:p>
        </w:tc>
        <w:tc>
          <w:tcPr>
            <w:tcW w:w="570" w:type="pct"/>
            <w:vAlign w:val="center"/>
          </w:tcPr>
          <w:p w14:paraId="024F216C">
            <w:pPr>
              <w:pStyle w:val="143"/>
              <w:rPr>
                <w:rFonts w:hint="default"/>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0.0255</w:t>
            </w:r>
          </w:p>
        </w:tc>
        <w:tc>
          <w:tcPr>
            <w:tcW w:w="441" w:type="pct"/>
            <w:vAlign w:val="center"/>
          </w:tcPr>
          <w:p w14:paraId="30C1EBA0">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1</w:t>
            </w:r>
            <w:r>
              <w:rPr>
                <w:snapToGrid w:val="0"/>
                <w:color w:val="000000" w:themeColor="text1"/>
                <w:kern w:val="0"/>
                <w:lang w:eastAsia="zh-CN"/>
                <w14:textFill>
                  <w14:solidFill>
                    <w14:schemeClr w14:val="tx1"/>
                  </w14:solidFill>
                </w14:textFill>
              </w:rPr>
              <w:t>0</w:t>
            </w:r>
          </w:p>
        </w:tc>
        <w:tc>
          <w:tcPr>
            <w:tcW w:w="641" w:type="pct"/>
            <w:vAlign w:val="center"/>
          </w:tcPr>
          <w:p w14:paraId="1A79263B">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0.00255</w:t>
            </w:r>
          </w:p>
        </w:tc>
        <w:tc>
          <w:tcPr>
            <w:tcW w:w="658" w:type="pct"/>
            <w:vAlign w:val="center"/>
          </w:tcPr>
          <w:p w14:paraId="34BC6C64">
            <w:pPr>
              <w:pStyle w:val="143"/>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否</w:t>
            </w:r>
          </w:p>
        </w:tc>
        <w:tc>
          <w:tcPr>
            <w:tcW w:w="1569" w:type="pct"/>
            <w:vAlign w:val="center"/>
          </w:tcPr>
          <w:p w14:paraId="3B9712B1">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沼气</w:t>
            </w:r>
          </w:p>
        </w:tc>
      </w:tr>
      <w:tr w14:paraId="28D96A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9" w:hRule="atLeast"/>
        </w:trPr>
        <w:tc>
          <w:tcPr>
            <w:tcW w:w="1117" w:type="pct"/>
            <w:vAlign w:val="center"/>
          </w:tcPr>
          <w:p w14:paraId="0FDEC20E">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柴油</w:t>
            </w:r>
            <w:r>
              <w:rPr>
                <w:rFonts w:hint="eastAsia"/>
                <w:snapToGrid w:val="0"/>
                <w:color w:val="000000" w:themeColor="text1"/>
                <w:kern w:val="0"/>
                <w:lang w:val="en-US" w:eastAsia="zh-CN"/>
                <w14:textFill>
                  <w14:solidFill>
                    <w14:schemeClr w14:val="tx1"/>
                  </w14:solidFill>
                </w14:textFill>
              </w:rPr>
              <w:t>（油类物质）</w:t>
            </w:r>
          </w:p>
        </w:tc>
        <w:tc>
          <w:tcPr>
            <w:tcW w:w="570" w:type="pct"/>
            <w:vAlign w:val="center"/>
          </w:tcPr>
          <w:p w14:paraId="6FC752FF">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0.0017</w:t>
            </w:r>
          </w:p>
        </w:tc>
        <w:tc>
          <w:tcPr>
            <w:tcW w:w="441" w:type="pct"/>
            <w:vAlign w:val="center"/>
          </w:tcPr>
          <w:p w14:paraId="4CC7FE84">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2</w:t>
            </w:r>
            <w:r>
              <w:rPr>
                <w:snapToGrid w:val="0"/>
                <w:color w:val="000000" w:themeColor="text1"/>
                <w:kern w:val="0"/>
                <w:lang w:eastAsia="zh-CN"/>
                <w14:textFill>
                  <w14:solidFill>
                    <w14:schemeClr w14:val="tx1"/>
                  </w14:solidFill>
                </w14:textFill>
              </w:rPr>
              <w:t>500</w:t>
            </w:r>
          </w:p>
        </w:tc>
        <w:tc>
          <w:tcPr>
            <w:tcW w:w="641" w:type="pct"/>
            <w:vAlign w:val="center"/>
          </w:tcPr>
          <w:p w14:paraId="2F7BEDCA">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6.8×10</w:t>
            </w:r>
            <w:r>
              <w:rPr>
                <w:rFonts w:hint="eastAsia"/>
                <w:snapToGrid w:val="0"/>
                <w:color w:val="000000" w:themeColor="text1"/>
                <w:kern w:val="0"/>
                <w:vertAlign w:val="superscript"/>
                <w:lang w:val="en-US" w:eastAsia="zh-CN"/>
                <w14:textFill>
                  <w14:solidFill>
                    <w14:schemeClr w14:val="tx1"/>
                  </w14:solidFill>
                </w14:textFill>
              </w:rPr>
              <w:t>-7</w:t>
            </w:r>
          </w:p>
        </w:tc>
        <w:tc>
          <w:tcPr>
            <w:tcW w:w="658" w:type="pct"/>
            <w:vAlign w:val="center"/>
          </w:tcPr>
          <w:p w14:paraId="405E1E12">
            <w:pPr>
              <w:pStyle w:val="143"/>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否</w:t>
            </w:r>
          </w:p>
        </w:tc>
        <w:tc>
          <w:tcPr>
            <w:tcW w:w="1569" w:type="pct"/>
            <w:vAlign w:val="center"/>
          </w:tcPr>
          <w:p w14:paraId="75B48183">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柴油</w:t>
            </w:r>
            <w:r>
              <w:rPr>
                <w:rFonts w:hint="eastAsia"/>
                <w:snapToGrid w:val="0"/>
                <w:color w:val="000000" w:themeColor="text1"/>
                <w:kern w:val="0"/>
                <w:lang w:eastAsia="zh-CN"/>
                <w14:textFill>
                  <w14:solidFill>
                    <w14:schemeClr w14:val="tx1"/>
                  </w14:solidFill>
                </w14:textFill>
              </w:rPr>
              <w:t>储罐</w:t>
            </w:r>
          </w:p>
        </w:tc>
      </w:tr>
      <w:tr w14:paraId="314EB5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9" w:hRule="atLeast"/>
        </w:trPr>
        <w:tc>
          <w:tcPr>
            <w:tcW w:w="1117" w:type="pct"/>
            <w:vAlign w:val="center"/>
          </w:tcPr>
          <w:p w14:paraId="213EF52D">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机油（油类物质）</w:t>
            </w:r>
          </w:p>
        </w:tc>
        <w:tc>
          <w:tcPr>
            <w:tcW w:w="570" w:type="pct"/>
            <w:vAlign w:val="center"/>
          </w:tcPr>
          <w:p w14:paraId="3B55DB61">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w:t>
            </w:r>
          </w:p>
        </w:tc>
        <w:tc>
          <w:tcPr>
            <w:tcW w:w="441" w:type="pct"/>
            <w:vAlign w:val="center"/>
          </w:tcPr>
          <w:p w14:paraId="0A07441B">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2500</w:t>
            </w:r>
          </w:p>
        </w:tc>
        <w:tc>
          <w:tcPr>
            <w:tcW w:w="641" w:type="pct"/>
            <w:vAlign w:val="center"/>
          </w:tcPr>
          <w:p w14:paraId="2E72E57C">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4×10</w:t>
            </w:r>
            <w:r>
              <w:rPr>
                <w:rFonts w:hint="eastAsia"/>
                <w:snapToGrid w:val="0"/>
                <w:color w:val="000000" w:themeColor="text1"/>
                <w:kern w:val="0"/>
                <w:vertAlign w:val="superscript"/>
                <w:lang w:val="en-US" w:eastAsia="zh-CN"/>
                <w14:textFill>
                  <w14:solidFill>
                    <w14:schemeClr w14:val="tx1"/>
                  </w14:solidFill>
                </w14:textFill>
              </w:rPr>
              <w:t>-4</w:t>
            </w:r>
          </w:p>
        </w:tc>
        <w:tc>
          <w:tcPr>
            <w:tcW w:w="658" w:type="pct"/>
            <w:vAlign w:val="center"/>
          </w:tcPr>
          <w:p w14:paraId="3EBF6306">
            <w:pPr>
              <w:pStyle w:val="143"/>
              <w:rPr>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否</w:t>
            </w:r>
          </w:p>
        </w:tc>
        <w:tc>
          <w:tcPr>
            <w:tcW w:w="1569" w:type="pct"/>
            <w:vAlign w:val="center"/>
          </w:tcPr>
          <w:p w14:paraId="515C0626">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机油桶</w:t>
            </w:r>
          </w:p>
        </w:tc>
      </w:tr>
      <w:tr w14:paraId="4F4E35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29" w:type="pct"/>
            <w:gridSpan w:val="3"/>
            <w:vAlign w:val="center"/>
          </w:tcPr>
          <w:p w14:paraId="58A6D70C">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Q值合计</w:t>
            </w:r>
          </w:p>
        </w:tc>
        <w:tc>
          <w:tcPr>
            <w:tcW w:w="2870" w:type="pct"/>
            <w:gridSpan w:val="3"/>
            <w:vAlign w:val="center"/>
          </w:tcPr>
          <w:p w14:paraId="1394D223">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0.10255</w:t>
            </w:r>
          </w:p>
        </w:tc>
      </w:tr>
      <w:bookmarkEnd w:id="144"/>
      <w:bookmarkEnd w:id="145"/>
      <w:bookmarkEnd w:id="146"/>
      <w:bookmarkEnd w:id="147"/>
      <w:bookmarkEnd w:id="156"/>
    </w:tbl>
    <w:p w14:paraId="10492525">
      <w:pPr>
        <w:pStyle w:val="6"/>
        <w:rPr>
          <w:snapToGrid w:val="0"/>
          <w:color w:val="000000" w:themeColor="text1"/>
          <w14:textFill>
            <w14:solidFill>
              <w14:schemeClr w14:val="tx1"/>
            </w14:solidFill>
          </w14:textFill>
        </w:rPr>
      </w:pPr>
      <w:bookmarkStart w:id="157" w:name="_Toc19202"/>
      <w:bookmarkStart w:id="158" w:name="_Toc520387511"/>
      <w:bookmarkStart w:id="159" w:name="_Toc483379969"/>
      <w:r>
        <w:rPr>
          <w:snapToGrid w:val="0"/>
          <w:color w:val="000000" w:themeColor="text1"/>
          <w14:textFill>
            <w14:solidFill>
              <w14:schemeClr w14:val="tx1"/>
            </w14:solidFill>
          </w14:textFill>
        </w:rPr>
        <w:t>3.6.4清洁生产分析</w:t>
      </w:r>
      <w:bookmarkEnd w:id="157"/>
      <w:bookmarkEnd w:id="158"/>
      <w:bookmarkEnd w:id="159"/>
    </w:p>
    <w:p w14:paraId="5FBDB1B6">
      <w:pPr>
        <w:pStyle w:val="85"/>
        <w:rPr>
          <w:snapToGrid w:val="0"/>
          <w:color w:val="000000" w:themeColor="text1"/>
          <w:lang w:val="en-GB"/>
          <w14:textFill>
            <w14:solidFill>
              <w14:schemeClr w14:val="tx1"/>
            </w14:solidFill>
          </w14:textFill>
        </w:rPr>
      </w:pPr>
      <w:r>
        <w:rPr>
          <w:color w:val="000000" w:themeColor="text1"/>
          <w14:textFill>
            <w14:solidFill>
              <w14:schemeClr w14:val="tx1"/>
            </w14:solidFill>
          </w14:textFill>
        </w:rPr>
        <w:t>清洁生产是将污染物消除或削减在生产过程中，使生产末端处于无废或少废状态的一种全新生产工艺，它着重于过程控制和源头削减，通过清洁的生产工艺、强化管理等种种手段，在生产过程中减少污染物的产生。实行清洁生产，走可持续发展的道路，是企业污染防治的基本原则。清洁生产是将整体预防的环境战略持续应用于生产过程、产品和服务中，以期增加生产效率并减少对社会和环境的风险，其实质是生产过程中，坚持采用新工艺、新技术，通过生产全过程的控制和资源、能源的合理配置，并尽可能采用环保型生产设备及原料，最大限度地把原料转化为产品，实现经济和环境保护的协调发展。</w:t>
      </w:r>
    </w:p>
    <w:p w14:paraId="5482D1DA">
      <w:pPr>
        <w:pStyle w:val="7"/>
        <w:rPr>
          <w:color w:val="000000" w:themeColor="text1"/>
          <w14:textFill>
            <w14:solidFill>
              <w14:schemeClr w14:val="tx1"/>
            </w14:solidFill>
          </w14:textFill>
        </w:rPr>
      </w:pPr>
      <w:bookmarkStart w:id="160" w:name="_Toc3736"/>
      <w:r>
        <w:rPr>
          <w:color w:val="000000" w:themeColor="text1"/>
          <w14:textFill>
            <w14:solidFill>
              <w14:schemeClr w14:val="tx1"/>
            </w14:solidFill>
          </w14:textFill>
        </w:rPr>
        <w:t>3.6.4.1清洁生产的主要内容</w:t>
      </w:r>
      <w:bookmarkEnd w:id="160"/>
    </w:p>
    <w:p w14:paraId="39B9685F">
      <w:pPr>
        <w:pStyle w:val="85"/>
        <w:rPr>
          <w:color w:val="000000" w:themeColor="text1"/>
          <w14:textFill>
            <w14:solidFill>
              <w14:schemeClr w14:val="tx1"/>
            </w14:solidFill>
          </w14:textFill>
        </w:rPr>
      </w:pPr>
      <w:r>
        <w:rPr>
          <w:color w:val="000000" w:themeColor="text1"/>
          <w14:textFill>
            <w14:solidFill>
              <w14:schemeClr w14:val="tx1"/>
            </w14:solidFill>
          </w14:textFill>
        </w:rPr>
        <w:t>清洁生产的内容，可归纳为“三清一控制”，即清洁的原料与能源、清洁的生产过程、清洁的产品，以及贯穿于清洁生产的全过程控制。</w:t>
      </w:r>
    </w:p>
    <w:p w14:paraId="18E5C5A1">
      <w:pPr>
        <w:pStyle w:val="85"/>
        <w:rPr>
          <w:color w:val="000000" w:themeColor="text1"/>
          <w14:textFill>
            <w14:solidFill>
              <w14:schemeClr w14:val="tx1"/>
            </w14:solidFill>
          </w14:textFill>
        </w:rPr>
      </w:pPr>
      <w:r>
        <w:rPr>
          <w:color w:val="000000" w:themeColor="text1"/>
          <w14:textFill>
            <w14:solidFill>
              <w14:schemeClr w14:val="tx1"/>
            </w14:solidFill>
          </w14:textFill>
        </w:rPr>
        <w:t>1、清洁的原料与能源</w:t>
      </w:r>
    </w:p>
    <w:p w14:paraId="41DB5F0B">
      <w:pPr>
        <w:pStyle w:val="85"/>
        <w:rPr>
          <w:color w:val="000000" w:themeColor="text1"/>
          <w14:textFill>
            <w14:solidFill>
              <w14:schemeClr w14:val="tx1"/>
            </w14:solidFill>
          </w14:textFill>
        </w:rPr>
      </w:pPr>
      <w:r>
        <w:rPr>
          <w:color w:val="000000" w:themeColor="text1"/>
          <w14:textFill>
            <w14:solidFill>
              <w14:schemeClr w14:val="tx1"/>
            </w14:solidFill>
          </w14:textFill>
        </w:rPr>
        <w:t>清洁的原料与能源是指在生产中能被充分利用而极少产生废物和污染的原材料和能源。实施</w:t>
      </w:r>
      <w:r>
        <w:rPr>
          <w:rFonts w:hint="eastAsia"/>
          <w:color w:val="000000" w:themeColor="text1"/>
          <w14:textFill>
            <w14:solidFill>
              <w14:schemeClr w14:val="tx1"/>
            </w14:solidFill>
          </w14:textFill>
        </w:rPr>
        <w:t>清洁</w:t>
      </w:r>
      <w:r>
        <w:rPr>
          <w:color w:val="000000" w:themeColor="text1"/>
          <w14:textFill>
            <w14:solidFill>
              <w14:schemeClr w14:val="tx1"/>
            </w14:solidFill>
          </w14:textFill>
        </w:rPr>
        <w:t>原料与能源的措施主要包括：</w:t>
      </w:r>
    </w:p>
    <w:p w14:paraId="17DA139F">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少用或不用有毒、有害及稀缺原料，选用品位高的较纯洁的原材料。</w:t>
      </w:r>
    </w:p>
    <w:p w14:paraId="242F8072">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常规能源的清洁利用，如何用清洁煤技术，逐步提高液体燃料的使用比例。</w:t>
      </w:r>
    </w:p>
    <w:p w14:paraId="4D5F6C68">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t>新能源的开发，如太阳能、生物能、风能、潮汐能、地热能的开发利用。</w:t>
      </w:r>
    </w:p>
    <w:p w14:paraId="60CEA733">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④</w:t>
      </w:r>
      <w:r>
        <w:rPr>
          <w:color w:val="000000" w:themeColor="text1"/>
          <w14:textFill>
            <w14:solidFill>
              <w14:schemeClr w14:val="tx1"/>
            </w14:solidFill>
          </w14:textFill>
        </w:rPr>
        <w:t>各种节能技术和措施等，提高能源利用率。</w:t>
      </w:r>
    </w:p>
    <w:p w14:paraId="72F12C10">
      <w:pPr>
        <w:pStyle w:val="85"/>
        <w:rPr>
          <w:color w:val="000000" w:themeColor="text1"/>
          <w14:textFill>
            <w14:solidFill>
              <w14:schemeClr w14:val="tx1"/>
            </w14:solidFill>
          </w14:textFill>
        </w:rPr>
      </w:pPr>
      <w:r>
        <w:rPr>
          <w:color w:val="000000" w:themeColor="text1"/>
          <w14:textFill>
            <w14:solidFill>
              <w14:schemeClr w14:val="tx1"/>
            </w14:solidFill>
          </w14:textFill>
        </w:rPr>
        <w:t>2、清洁生产过程</w:t>
      </w:r>
    </w:p>
    <w:p w14:paraId="2934482B">
      <w:pPr>
        <w:pStyle w:val="85"/>
        <w:rPr>
          <w:color w:val="000000" w:themeColor="text1"/>
          <w14:textFill>
            <w14:solidFill>
              <w14:schemeClr w14:val="tx1"/>
            </w14:solidFill>
          </w14:textFill>
        </w:rPr>
      </w:pPr>
      <w:r>
        <w:rPr>
          <w:color w:val="000000" w:themeColor="text1"/>
          <w14:textFill>
            <w14:solidFill>
              <w14:schemeClr w14:val="tx1"/>
            </w14:solidFill>
          </w14:textFill>
        </w:rPr>
        <w:t>生产过程就是物料加工和转换的过程，清洁的生产过程，要求选用一定的技术工艺，将废物减量化、资源化、无害化、直至将废物消灭在生产过程之中。废物减量化就是要改善生产技术、工艺和设备，以提高原料利用率，使原材料尽可能转化为产品，从而使废物达到最小量；废物资源化是将生产环节中的废物综合利用，转化为进一步生产的资源，变废为宝；废物无害化就是减少或消除将要离开生产过程的废物的毒性，使之不危害环境和人类。实现清洁生产过程的措施为：</w:t>
      </w:r>
    </w:p>
    <w:p w14:paraId="55C151E4">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尽量少用或不用有毒、有害的原料。</w:t>
      </w:r>
    </w:p>
    <w:p w14:paraId="746F8179">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减少或消除生产过程的各种危险性因素，如高温、高压、低温、低压、易燃、易爆、强噪声、强震动。</w:t>
      </w:r>
    </w:p>
    <w:p w14:paraId="74C70381">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t>采用少废、无废的工艺，选用高效的设备和装置，做到物料的再循环。</w:t>
      </w:r>
    </w:p>
    <w:p w14:paraId="11DE5225">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④</w:t>
      </w:r>
      <w:r>
        <w:rPr>
          <w:color w:val="000000" w:themeColor="text1"/>
          <w14:textFill>
            <w14:solidFill>
              <w14:schemeClr w14:val="tx1"/>
            </w14:solidFill>
          </w14:textFill>
        </w:rPr>
        <w:t>简便、可靠的操作和控制，完善的管理等</w:t>
      </w:r>
    </w:p>
    <w:p w14:paraId="190206AC">
      <w:pPr>
        <w:pStyle w:val="85"/>
        <w:rPr>
          <w:color w:val="000000" w:themeColor="text1"/>
          <w14:textFill>
            <w14:solidFill>
              <w14:schemeClr w14:val="tx1"/>
            </w14:solidFill>
          </w14:textFill>
        </w:rPr>
      </w:pPr>
      <w:r>
        <w:rPr>
          <w:color w:val="000000" w:themeColor="text1"/>
          <w14:textFill>
            <w14:solidFill>
              <w14:schemeClr w14:val="tx1"/>
            </w14:solidFill>
          </w14:textFill>
        </w:rPr>
        <w:t>3、清洁的产品</w:t>
      </w:r>
    </w:p>
    <w:p w14:paraId="7DC6B4EB">
      <w:pPr>
        <w:pStyle w:val="85"/>
        <w:rPr>
          <w:color w:val="000000" w:themeColor="text1"/>
          <w14:textFill>
            <w14:solidFill>
              <w14:schemeClr w14:val="tx1"/>
            </w14:solidFill>
          </w14:textFill>
        </w:rPr>
      </w:pPr>
      <w:r>
        <w:rPr>
          <w:color w:val="000000" w:themeColor="text1"/>
          <w14:textFill>
            <w14:solidFill>
              <w14:schemeClr w14:val="tx1"/>
            </w14:solidFill>
          </w14:textFill>
        </w:rPr>
        <w:t>清洁的产品是指有利于资源的有效利用，在生产、使用和处置的全过程中不产生有害影响的产品。清洁产品又叫绿色产品、可持续产品等。为使产品有利于资源的有效利用，产品的设计工艺应使产品功能性强，既满足人们需要又省料耐用，应遵循三个原则：精简零件、容易拆卸；稍经整修即可重复作用；经过改进能够实现创新。为使产品避免危害人和环境，在设计产品时应遵循下列三原则：产品生产周期的环境影响最小，争取实现零排放；产品对生产人员和消费者无害；最终废弃物易于分解成无害物。清洁产品具体应具备以下几方面的条件：</w:t>
      </w:r>
    </w:p>
    <w:p w14:paraId="4B17A3AA">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节约原料和能源，少用昂贵和稀缺原料，尽可能“废物”利用。</w:t>
      </w:r>
    </w:p>
    <w:p w14:paraId="64EE9A2E">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产品在使用过程中，以及使用后不含有危害人体健康和生态环境的因素。</w:t>
      </w:r>
    </w:p>
    <w:p w14:paraId="309DC65B">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t>易于回收、复用和再生，合理包装。</w:t>
      </w:r>
    </w:p>
    <w:p w14:paraId="2FCF5D43">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④</w:t>
      </w:r>
      <w:r>
        <w:rPr>
          <w:color w:val="000000" w:themeColor="text1"/>
          <w14:textFill>
            <w14:solidFill>
              <w14:schemeClr w14:val="tx1"/>
            </w14:solidFill>
          </w14:textFill>
        </w:rPr>
        <w:t>合理的使用功能，节能、节水、降低噪声的功能，及合理的使用寿命。</w:t>
      </w:r>
    </w:p>
    <w:p w14:paraId="4139A2C4">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⑤</w:t>
      </w:r>
      <w:r>
        <w:rPr>
          <w:color w:val="000000" w:themeColor="text1"/>
          <w14:textFill>
            <w14:solidFill>
              <w14:schemeClr w14:val="tx1"/>
            </w14:solidFill>
          </w14:textFill>
        </w:rPr>
        <w:t>产品报废后易处理、易降解等。</w:t>
      </w:r>
    </w:p>
    <w:p w14:paraId="5B26015C">
      <w:pPr>
        <w:pStyle w:val="85"/>
        <w:rPr>
          <w:color w:val="000000" w:themeColor="text1"/>
          <w14:textFill>
            <w14:solidFill>
              <w14:schemeClr w14:val="tx1"/>
            </w14:solidFill>
          </w14:textFill>
        </w:rPr>
      </w:pPr>
      <w:r>
        <w:rPr>
          <w:color w:val="000000" w:themeColor="text1"/>
          <w14:textFill>
            <w14:solidFill>
              <w14:schemeClr w14:val="tx1"/>
            </w14:solidFill>
          </w14:textFill>
        </w:rPr>
        <w:t>4、全过程控制</w:t>
      </w:r>
    </w:p>
    <w:p w14:paraId="5C0EFD30">
      <w:pPr>
        <w:pStyle w:val="85"/>
        <w:rPr>
          <w:color w:val="000000" w:themeColor="text1"/>
          <w14:textFill>
            <w14:solidFill>
              <w14:schemeClr w14:val="tx1"/>
            </w14:solidFill>
          </w14:textFill>
        </w:rPr>
      </w:pPr>
      <w:r>
        <w:rPr>
          <w:color w:val="000000" w:themeColor="text1"/>
          <w14:textFill>
            <w14:solidFill>
              <w14:schemeClr w14:val="tx1"/>
            </w14:solidFill>
          </w14:textFill>
        </w:rPr>
        <w:t>贯穿于清洁生产中的全过程控制，包括两方面的内容：生产原料或物料转化的全过程控制和生产组织的全过程控制。</w:t>
      </w:r>
    </w:p>
    <w:p w14:paraId="46140150">
      <w:pPr>
        <w:pStyle w:val="85"/>
        <w:rPr>
          <w:color w:val="000000" w:themeColor="text1"/>
          <w14:textFill>
            <w14:solidFill>
              <w14:schemeClr w14:val="tx1"/>
            </w14:solidFill>
          </w14:textFill>
        </w:rPr>
      </w:pPr>
      <w:r>
        <w:rPr>
          <w:color w:val="000000" w:themeColor="text1"/>
          <w14:textFill>
            <w14:solidFill>
              <w14:schemeClr w14:val="tx1"/>
            </w14:solidFill>
          </w14:textFill>
        </w:rPr>
        <w:t>生产原料或物料转化的全过程控制也称为产品的生命周期的全过程控制，它是指从原料的加工、提炼到生产出产品、产品的使用直到报废处置的各个环节所采取的必要的污染预防控制措施。生产组织的全过程控制也就是工业生产的全过程控制，它是指从产品的开发、规划、设计、建设到运营管理，所采取的防止污染发生的必要措施。</w:t>
      </w:r>
    </w:p>
    <w:p w14:paraId="088342F7">
      <w:pPr>
        <w:pStyle w:val="7"/>
        <w:rPr>
          <w:color w:val="000000" w:themeColor="text1"/>
          <w14:textFill>
            <w14:solidFill>
              <w14:schemeClr w14:val="tx1"/>
            </w14:solidFill>
          </w14:textFill>
        </w:rPr>
      </w:pPr>
      <w:bookmarkStart w:id="161" w:name="bookmark137"/>
      <w:bookmarkEnd w:id="161"/>
      <w:bookmarkStart w:id="162" w:name="_Toc13727"/>
      <w:r>
        <w:rPr>
          <w:color w:val="000000" w:themeColor="text1"/>
          <w14:textFill>
            <w14:solidFill>
              <w14:schemeClr w14:val="tx1"/>
            </w14:solidFill>
          </w14:textFill>
        </w:rPr>
        <w:t>3.6.4.2清洁生产的目标</w:t>
      </w:r>
      <w:bookmarkEnd w:id="162"/>
    </w:p>
    <w:p w14:paraId="2EACBC99">
      <w:pPr>
        <w:pStyle w:val="85"/>
        <w:rPr>
          <w:color w:val="000000" w:themeColor="text1"/>
          <w14:textFill>
            <w14:solidFill>
              <w14:schemeClr w14:val="tx1"/>
            </w14:solidFill>
          </w14:textFill>
        </w:rPr>
      </w:pPr>
      <w:r>
        <w:rPr>
          <w:color w:val="000000" w:themeColor="text1"/>
          <w14:textFill>
            <w14:solidFill>
              <w14:schemeClr w14:val="tx1"/>
            </w14:solidFill>
          </w14:textFill>
        </w:rPr>
        <w:t>通过实施清洁生产，以谋求达到以下两个目标：</w:t>
      </w:r>
    </w:p>
    <w:p w14:paraId="33CBFC45">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通过资源的综合利用，短缺资源的代用，二次能源的利用，以及节能、降耗、节水，合理利用自然资源，减缓资源的耗竭。</w:t>
      </w:r>
    </w:p>
    <w:p w14:paraId="3399AFDE">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减少废物和污染物的排放，促进工业产品的生产、消耗过程与环境相融，降低工业活动对人类和环境的风险。</w:t>
      </w:r>
    </w:p>
    <w:p w14:paraId="29FCB875">
      <w:pPr>
        <w:pStyle w:val="7"/>
        <w:rPr>
          <w:color w:val="000000" w:themeColor="text1"/>
          <w14:textFill>
            <w14:solidFill>
              <w14:schemeClr w14:val="tx1"/>
            </w14:solidFill>
          </w14:textFill>
        </w:rPr>
      </w:pPr>
      <w:bookmarkStart w:id="163" w:name="bookmark138"/>
      <w:bookmarkEnd w:id="163"/>
      <w:bookmarkStart w:id="164" w:name="_Toc3028"/>
      <w:r>
        <w:rPr>
          <w:color w:val="000000" w:themeColor="text1"/>
          <w14:textFill>
            <w14:solidFill>
              <w14:schemeClr w14:val="tx1"/>
            </w14:solidFill>
          </w14:textFill>
        </w:rPr>
        <w:t>3.6.4.3清洁生产定性评价指标</w:t>
      </w:r>
      <w:bookmarkEnd w:id="164"/>
    </w:p>
    <w:p w14:paraId="5F3D2E0E">
      <w:pPr>
        <w:pStyle w:val="85"/>
        <w:rPr>
          <w:color w:val="000000" w:themeColor="text1"/>
          <w14:textFill>
            <w14:solidFill>
              <w14:schemeClr w14:val="tx1"/>
            </w14:solidFill>
          </w14:textFill>
        </w:rPr>
      </w:pPr>
      <w:r>
        <w:rPr>
          <w:color w:val="000000" w:themeColor="text1"/>
          <w14:textFill>
            <w14:solidFill>
              <w14:schemeClr w14:val="tx1"/>
            </w14:solidFill>
          </w14:textFill>
        </w:rPr>
        <w:t>1、选取原则</w:t>
      </w:r>
    </w:p>
    <w:p w14:paraId="491CA8DA">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从产品生命周期全过程考虑；</w:t>
      </w:r>
    </w:p>
    <w:p w14:paraId="6B867DE6">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体现污染预防为主的原则；</w:t>
      </w:r>
    </w:p>
    <w:p w14:paraId="2198BE11">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t>容易量化；</w:t>
      </w:r>
    </w:p>
    <w:p w14:paraId="7BC06006">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④</w:t>
      </w:r>
      <w:r>
        <w:rPr>
          <w:color w:val="000000" w:themeColor="text1"/>
          <w14:textFill>
            <w14:solidFill>
              <w14:schemeClr w14:val="tx1"/>
            </w14:solidFill>
          </w14:textFill>
        </w:rPr>
        <w:t>满足政策法规要求和满足行业发展趋势。</w:t>
      </w:r>
    </w:p>
    <w:p w14:paraId="1E30BBD2">
      <w:pPr>
        <w:pStyle w:val="85"/>
        <w:rPr>
          <w:color w:val="000000" w:themeColor="text1"/>
          <w14:textFill>
            <w14:solidFill>
              <w14:schemeClr w14:val="tx1"/>
            </w14:solidFill>
          </w14:textFill>
        </w:rPr>
      </w:pPr>
      <w:r>
        <w:rPr>
          <w:color w:val="000000" w:themeColor="text1"/>
          <w14:textFill>
            <w14:solidFill>
              <w14:schemeClr w14:val="tx1"/>
            </w14:solidFill>
          </w14:textFill>
        </w:rPr>
        <w:t>2、清洁生产分析工作等级划分</w:t>
      </w:r>
    </w:p>
    <w:p w14:paraId="4EA221A8">
      <w:pPr>
        <w:pStyle w:val="85"/>
        <w:rPr>
          <w:color w:val="000000" w:themeColor="text1"/>
          <w14:textFill>
            <w14:solidFill>
              <w14:schemeClr w14:val="tx1"/>
            </w14:solidFill>
          </w14:textFill>
        </w:rPr>
      </w:pPr>
      <w:r>
        <w:rPr>
          <w:color w:val="000000" w:themeColor="text1"/>
          <w14:textFill>
            <w14:solidFill>
              <w14:schemeClr w14:val="tx1"/>
            </w14:solidFill>
          </w14:textFill>
        </w:rPr>
        <w:t>根据清洁生产分析工作等级划分原则，该建设项目环境影响评价中清洁生产分析工作等级为三级，分别是：</w:t>
      </w:r>
    </w:p>
    <w:p w14:paraId="3CF216FA">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一级：国际清洁生产先进水平；</w:t>
      </w:r>
    </w:p>
    <w:p w14:paraId="2E6852B5">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二级：国内清洁生产先进水平；</w:t>
      </w:r>
    </w:p>
    <w:p w14:paraId="7339B414">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t>三级：国内清洁生产基本水平。</w:t>
      </w:r>
    </w:p>
    <w:p w14:paraId="07BE6AAA">
      <w:pPr>
        <w:pStyle w:val="85"/>
        <w:rPr>
          <w:color w:val="000000" w:themeColor="text1"/>
          <w14:textFill>
            <w14:solidFill>
              <w14:schemeClr w14:val="tx1"/>
            </w14:solidFill>
          </w14:textFill>
        </w:rPr>
      </w:pPr>
      <w:r>
        <w:rPr>
          <w:color w:val="000000" w:themeColor="text1"/>
          <w14:textFill>
            <w14:solidFill>
              <w14:schemeClr w14:val="tx1"/>
            </w14:solidFill>
          </w14:textFill>
        </w:rPr>
        <w:t>3、清洁生产指标分析</w:t>
      </w:r>
    </w:p>
    <w:p w14:paraId="2F0EB7ED">
      <w:pPr>
        <w:pStyle w:val="85"/>
        <w:rPr>
          <w:color w:val="000000" w:themeColor="text1"/>
          <w14:textFill>
            <w14:solidFill>
              <w14:schemeClr w14:val="tx1"/>
            </w14:solidFill>
          </w14:textFill>
        </w:rPr>
      </w:pPr>
      <w:r>
        <w:rPr>
          <w:color w:val="000000" w:themeColor="text1"/>
          <w14:textFill>
            <w14:solidFill>
              <w14:schemeClr w14:val="tx1"/>
            </w14:solidFill>
          </w14:textFill>
        </w:rPr>
        <w:t>根据《建设项目环境影响评价清洁生产分析程序》，清洁生产评价指标可分为六大类：生产工艺与装备要求、资源能源利用指标、产品指标、污染物产生指标、废物回收利用指标和环境管理要求。</w:t>
      </w:r>
    </w:p>
    <w:p w14:paraId="3CC9BB47">
      <w:pPr>
        <w:pStyle w:val="206"/>
      </w:pPr>
      <w:r>
        <w:rPr>
          <w:rFonts w:hint="eastAsia"/>
        </w:rPr>
        <w:t>表3</w:t>
      </w:r>
      <w:r>
        <w:t>-6-1</w:t>
      </w:r>
      <w:r>
        <w:rPr>
          <w:rFonts w:hint="eastAsia"/>
          <w:lang w:val="en-US" w:eastAsia="zh-CN"/>
        </w:rPr>
        <w:t>7</w:t>
      </w:r>
      <w:r>
        <w:t xml:space="preserve"> </w:t>
      </w:r>
      <w:r>
        <w:rPr>
          <w:rFonts w:hint="eastAsia"/>
        </w:rPr>
        <w:t>啤酒行业清洁生产分级指标</w:t>
      </w:r>
    </w:p>
    <w:tbl>
      <w:tblPr>
        <w:tblStyle w:val="41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88"/>
        <w:gridCol w:w="2407"/>
        <w:gridCol w:w="2269"/>
        <w:gridCol w:w="1642"/>
      </w:tblGrid>
      <w:tr w14:paraId="67A4EC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22227540">
            <w:pPr>
              <w:pStyle w:val="143"/>
              <w:rPr>
                <w:snapToGrid w:val="0"/>
                <w:kern w:val="0"/>
                <w:lang w:val="en-US"/>
              </w:rPr>
            </w:pPr>
            <w:bookmarkStart w:id="165" w:name="_Hlk209363448"/>
            <w:r>
              <w:rPr>
                <w:snapToGrid w:val="0"/>
                <w:kern w:val="0"/>
                <w:lang w:val="en-US"/>
              </w:rPr>
              <w:t>项目</w:t>
            </w:r>
          </w:p>
        </w:tc>
        <w:tc>
          <w:tcPr>
            <w:tcW w:w="1449" w:type="pct"/>
            <w:vAlign w:val="center"/>
          </w:tcPr>
          <w:p w14:paraId="1EF8E5A7">
            <w:pPr>
              <w:pStyle w:val="143"/>
              <w:rPr>
                <w:snapToGrid w:val="0"/>
                <w:kern w:val="0"/>
                <w:lang w:val="en-US"/>
              </w:rPr>
            </w:pPr>
            <w:r>
              <w:rPr>
                <w:snapToGrid w:val="0"/>
                <w:kern w:val="0"/>
                <w:lang w:val="en-US"/>
              </w:rPr>
              <w:t>一级</w:t>
            </w:r>
          </w:p>
        </w:tc>
        <w:tc>
          <w:tcPr>
            <w:tcW w:w="1366" w:type="pct"/>
            <w:vAlign w:val="center"/>
          </w:tcPr>
          <w:p w14:paraId="4D8F037F">
            <w:pPr>
              <w:pStyle w:val="143"/>
              <w:rPr>
                <w:snapToGrid w:val="0"/>
                <w:kern w:val="0"/>
                <w:lang w:val="en-US"/>
              </w:rPr>
            </w:pPr>
            <w:r>
              <w:rPr>
                <w:snapToGrid w:val="0"/>
                <w:kern w:val="0"/>
                <w:lang w:val="en-US"/>
              </w:rPr>
              <w:t>二级</w:t>
            </w:r>
          </w:p>
        </w:tc>
        <w:tc>
          <w:tcPr>
            <w:tcW w:w="988" w:type="pct"/>
            <w:vAlign w:val="center"/>
          </w:tcPr>
          <w:p w14:paraId="0285F216">
            <w:pPr>
              <w:pStyle w:val="143"/>
              <w:rPr>
                <w:snapToGrid w:val="0"/>
                <w:kern w:val="0"/>
                <w:lang w:val="en-US"/>
              </w:rPr>
            </w:pPr>
            <w:r>
              <w:rPr>
                <w:snapToGrid w:val="0"/>
                <w:kern w:val="0"/>
                <w:lang w:val="en-US"/>
              </w:rPr>
              <w:t>三级</w:t>
            </w:r>
          </w:p>
        </w:tc>
      </w:tr>
      <w:tr w14:paraId="4BEFAC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vAlign w:val="center"/>
          </w:tcPr>
          <w:p w14:paraId="3D0D8D3A">
            <w:pPr>
              <w:pStyle w:val="143"/>
              <w:jc w:val="both"/>
              <w:rPr>
                <w:snapToGrid w:val="0"/>
                <w:kern w:val="0"/>
                <w:lang w:val="en-US"/>
              </w:rPr>
            </w:pPr>
            <w:r>
              <w:rPr>
                <w:snapToGrid w:val="0"/>
                <w:kern w:val="0"/>
                <w:lang w:val="en-US"/>
              </w:rPr>
              <w:t>一、生产工艺与装备要求</w:t>
            </w:r>
          </w:p>
        </w:tc>
      </w:tr>
      <w:tr w14:paraId="102498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44C63B26">
            <w:pPr>
              <w:pStyle w:val="143"/>
              <w:rPr>
                <w:snapToGrid w:val="0"/>
                <w:kern w:val="0"/>
                <w:lang w:val="en-US"/>
              </w:rPr>
            </w:pPr>
            <w:r>
              <w:rPr>
                <w:snapToGrid w:val="0"/>
                <w:kern w:val="0"/>
                <w:lang w:val="en-US"/>
              </w:rPr>
              <w:t>1.工艺</w:t>
            </w:r>
          </w:p>
        </w:tc>
        <w:tc>
          <w:tcPr>
            <w:tcW w:w="3803" w:type="pct"/>
            <w:gridSpan w:val="3"/>
            <w:vAlign w:val="center"/>
          </w:tcPr>
          <w:p w14:paraId="03D7FD7F">
            <w:pPr>
              <w:pStyle w:val="143"/>
              <w:rPr>
                <w:snapToGrid w:val="0"/>
                <w:kern w:val="0"/>
                <w:lang w:val="en-US"/>
              </w:rPr>
            </w:pPr>
            <w:r>
              <w:rPr>
                <w:snapToGrid w:val="0"/>
                <w:kern w:val="0"/>
                <w:lang w:val="en-US"/>
              </w:rPr>
              <w:t>罐体密闭发酵法</w:t>
            </w:r>
          </w:p>
        </w:tc>
      </w:tr>
      <w:tr w14:paraId="0060F8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6702E145">
            <w:pPr>
              <w:pStyle w:val="143"/>
              <w:rPr>
                <w:snapToGrid w:val="0"/>
                <w:kern w:val="0"/>
                <w:lang w:val="en-US"/>
              </w:rPr>
            </w:pPr>
            <w:r>
              <w:rPr>
                <w:snapToGrid w:val="0"/>
                <w:kern w:val="0"/>
                <w:lang w:val="en-US"/>
              </w:rPr>
              <w:t>2.规模</w:t>
            </w:r>
          </w:p>
        </w:tc>
        <w:tc>
          <w:tcPr>
            <w:tcW w:w="1449" w:type="pct"/>
            <w:vAlign w:val="center"/>
          </w:tcPr>
          <w:p w14:paraId="7488F086">
            <w:pPr>
              <w:pStyle w:val="143"/>
              <w:rPr>
                <w:snapToGrid w:val="0"/>
                <w:kern w:val="0"/>
                <w:lang w:val="en-US"/>
              </w:rPr>
            </w:pPr>
            <w:r>
              <w:rPr>
                <w:snapToGrid w:val="0"/>
                <w:kern w:val="0"/>
                <w:lang w:val="en-US"/>
              </w:rPr>
              <w:t>10万t（新建厂）*</w:t>
            </w:r>
          </w:p>
        </w:tc>
        <w:tc>
          <w:tcPr>
            <w:tcW w:w="1366" w:type="pct"/>
            <w:vAlign w:val="center"/>
          </w:tcPr>
          <w:p w14:paraId="44804A6D">
            <w:pPr>
              <w:pStyle w:val="143"/>
              <w:rPr>
                <w:snapToGrid w:val="0"/>
                <w:kern w:val="0"/>
                <w:lang w:val="en-US"/>
              </w:rPr>
            </w:pPr>
            <w:r>
              <w:rPr>
                <w:snapToGrid w:val="0"/>
                <w:kern w:val="0"/>
                <w:lang w:val="en-US"/>
              </w:rPr>
              <w:t>5万t（新建厂）*</w:t>
            </w:r>
          </w:p>
        </w:tc>
        <w:tc>
          <w:tcPr>
            <w:tcW w:w="988" w:type="pct"/>
            <w:vAlign w:val="center"/>
          </w:tcPr>
          <w:p w14:paraId="08B41A48">
            <w:pPr>
              <w:pStyle w:val="143"/>
              <w:rPr>
                <w:snapToGrid w:val="0"/>
                <w:kern w:val="0"/>
                <w:lang w:val="en-US"/>
              </w:rPr>
            </w:pPr>
            <w:r>
              <w:rPr>
                <w:snapToGrid w:val="0"/>
                <w:kern w:val="0"/>
                <w:lang w:val="en-US"/>
              </w:rPr>
              <w:t>—</w:t>
            </w:r>
          </w:p>
        </w:tc>
      </w:tr>
      <w:tr w14:paraId="227DEF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restart"/>
            <w:vAlign w:val="center"/>
          </w:tcPr>
          <w:p w14:paraId="231ABCE9">
            <w:pPr>
              <w:pStyle w:val="143"/>
              <w:rPr>
                <w:snapToGrid w:val="0"/>
                <w:kern w:val="0"/>
                <w:lang w:val="en-US"/>
              </w:rPr>
            </w:pPr>
            <w:r>
              <w:rPr>
                <w:snapToGrid w:val="0"/>
                <w:kern w:val="0"/>
                <w:lang w:val="en-US"/>
              </w:rPr>
              <w:t>3.糖化</w:t>
            </w:r>
          </w:p>
        </w:tc>
        <w:tc>
          <w:tcPr>
            <w:tcW w:w="3803" w:type="pct"/>
            <w:gridSpan w:val="3"/>
            <w:vAlign w:val="center"/>
          </w:tcPr>
          <w:p w14:paraId="53CE0AB7">
            <w:pPr>
              <w:pStyle w:val="143"/>
              <w:rPr>
                <w:snapToGrid w:val="0"/>
                <w:kern w:val="0"/>
                <w:lang w:val="en-US"/>
              </w:rPr>
            </w:pPr>
            <w:r>
              <w:rPr>
                <w:snapToGrid w:val="0"/>
                <w:kern w:val="0"/>
                <w:lang w:val="en-US"/>
              </w:rPr>
              <w:t>粉碎工段有粉尘回收装置，或采用增湿粉碎</w:t>
            </w:r>
          </w:p>
        </w:tc>
      </w:tr>
      <w:tr w14:paraId="5C8D07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544917D2">
            <w:pPr>
              <w:pStyle w:val="143"/>
              <w:rPr>
                <w:snapToGrid w:val="0"/>
                <w:kern w:val="0"/>
                <w:lang w:val="en-US"/>
              </w:rPr>
            </w:pPr>
          </w:p>
        </w:tc>
        <w:tc>
          <w:tcPr>
            <w:tcW w:w="3803" w:type="pct"/>
            <w:gridSpan w:val="3"/>
            <w:vAlign w:val="center"/>
          </w:tcPr>
          <w:p w14:paraId="1323B96B">
            <w:pPr>
              <w:pStyle w:val="143"/>
              <w:rPr>
                <w:snapToGrid w:val="0"/>
                <w:kern w:val="0"/>
                <w:lang w:val="en-US"/>
              </w:rPr>
            </w:pPr>
            <w:r>
              <w:rPr>
                <w:snapToGrid w:val="0"/>
                <w:kern w:val="0"/>
                <w:lang w:val="en-US"/>
              </w:rPr>
              <w:t>麦汁过滤采用干排糟技术</w:t>
            </w:r>
          </w:p>
        </w:tc>
      </w:tr>
      <w:tr w14:paraId="377855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2963AEDB">
            <w:pPr>
              <w:pStyle w:val="143"/>
              <w:rPr>
                <w:snapToGrid w:val="0"/>
                <w:kern w:val="0"/>
                <w:lang w:val="en-US"/>
              </w:rPr>
            </w:pPr>
          </w:p>
        </w:tc>
        <w:tc>
          <w:tcPr>
            <w:tcW w:w="1449" w:type="pct"/>
            <w:vAlign w:val="center"/>
          </w:tcPr>
          <w:p w14:paraId="7037C67F">
            <w:pPr>
              <w:pStyle w:val="143"/>
              <w:rPr>
                <w:snapToGrid w:val="0"/>
                <w:kern w:val="0"/>
                <w:lang w:val="en-US"/>
              </w:rPr>
            </w:pPr>
            <w:r>
              <w:rPr>
                <w:snapToGrid w:val="0"/>
                <w:kern w:val="0"/>
                <w:lang w:val="en-US"/>
              </w:rPr>
              <w:t>煮沸锅配备二次蒸汽回收装备</w:t>
            </w:r>
          </w:p>
        </w:tc>
        <w:tc>
          <w:tcPr>
            <w:tcW w:w="2354" w:type="pct"/>
            <w:gridSpan w:val="2"/>
            <w:vAlign w:val="center"/>
          </w:tcPr>
          <w:p w14:paraId="26C6E628">
            <w:pPr>
              <w:pStyle w:val="143"/>
              <w:rPr>
                <w:snapToGrid w:val="0"/>
                <w:kern w:val="0"/>
                <w:lang w:val="en-US"/>
              </w:rPr>
            </w:pPr>
            <w:r>
              <w:rPr>
                <w:snapToGrid w:val="0"/>
                <w:kern w:val="0"/>
                <w:lang w:val="en-US"/>
              </w:rPr>
              <w:t>—</w:t>
            </w:r>
          </w:p>
        </w:tc>
      </w:tr>
      <w:tr w14:paraId="5FD705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1E6CB9AC">
            <w:pPr>
              <w:pStyle w:val="143"/>
              <w:rPr>
                <w:snapToGrid w:val="0"/>
                <w:kern w:val="0"/>
                <w:lang w:val="en-US"/>
              </w:rPr>
            </w:pPr>
          </w:p>
        </w:tc>
        <w:tc>
          <w:tcPr>
            <w:tcW w:w="3803" w:type="pct"/>
            <w:gridSpan w:val="3"/>
            <w:vAlign w:val="center"/>
          </w:tcPr>
          <w:p w14:paraId="4C1BC164">
            <w:pPr>
              <w:pStyle w:val="143"/>
              <w:rPr>
                <w:snapToGrid w:val="0"/>
                <w:kern w:val="0"/>
                <w:lang w:val="en-US"/>
              </w:rPr>
            </w:pPr>
            <w:r>
              <w:rPr>
                <w:snapToGrid w:val="0"/>
                <w:kern w:val="0"/>
                <w:lang w:val="en-US"/>
              </w:rPr>
              <w:t>麦汁冷却采用一段冷却技术</w:t>
            </w:r>
          </w:p>
        </w:tc>
      </w:tr>
      <w:tr w14:paraId="2EA214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56F04B20">
            <w:pPr>
              <w:pStyle w:val="143"/>
              <w:rPr>
                <w:snapToGrid w:val="0"/>
                <w:kern w:val="0"/>
                <w:lang w:val="en-US"/>
              </w:rPr>
            </w:pPr>
          </w:p>
        </w:tc>
        <w:tc>
          <w:tcPr>
            <w:tcW w:w="3803" w:type="pct"/>
            <w:gridSpan w:val="3"/>
            <w:vAlign w:val="center"/>
          </w:tcPr>
          <w:p w14:paraId="5B7EE849">
            <w:pPr>
              <w:pStyle w:val="143"/>
              <w:rPr>
                <w:snapToGrid w:val="0"/>
                <w:kern w:val="0"/>
                <w:lang w:val="en-US"/>
              </w:rPr>
            </w:pPr>
            <w:r>
              <w:rPr>
                <w:snapToGrid w:val="0"/>
                <w:kern w:val="0"/>
                <w:lang w:val="en-US"/>
              </w:rPr>
              <w:t>清洗采用CIP清洗技术</w:t>
            </w:r>
          </w:p>
        </w:tc>
      </w:tr>
      <w:tr w14:paraId="25439C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1AF1E1BC">
            <w:pPr>
              <w:pStyle w:val="143"/>
              <w:rPr>
                <w:snapToGrid w:val="0"/>
                <w:kern w:val="0"/>
                <w:lang w:val="en-US"/>
              </w:rPr>
            </w:pPr>
          </w:p>
        </w:tc>
        <w:tc>
          <w:tcPr>
            <w:tcW w:w="3803" w:type="pct"/>
            <w:gridSpan w:val="3"/>
            <w:vAlign w:val="center"/>
          </w:tcPr>
          <w:p w14:paraId="4C6DA444">
            <w:pPr>
              <w:pStyle w:val="143"/>
              <w:rPr>
                <w:snapToGrid w:val="0"/>
                <w:kern w:val="0"/>
                <w:lang w:val="en-US"/>
              </w:rPr>
            </w:pPr>
            <w:r>
              <w:rPr>
                <w:snapToGrid w:val="0"/>
                <w:kern w:val="0"/>
                <w:lang w:val="en-US"/>
              </w:rPr>
              <w:t>配置冷凝水回收系统</w:t>
            </w:r>
          </w:p>
        </w:tc>
      </w:tr>
      <w:tr w14:paraId="3A7DA2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2DDE2F67">
            <w:pPr>
              <w:pStyle w:val="143"/>
              <w:rPr>
                <w:snapToGrid w:val="0"/>
                <w:kern w:val="0"/>
                <w:lang w:val="en-US"/>
              </w:rPr>
            </w:pPr>
          </w:p>
        </w:tc>
        <w:tc>
          <w:tcPr>
            <w:tcW w:w="1449" w:type="pct"/>
            <w:vAlign w:val="center"/>
          </w:tcPr>
          <w:p w14:paraId="3FCD4FBF">
            <w:pPr>
              <w:pStyle w:val="143"/>
              <w:rPr>
                <w:snapToGrid w:val="0"/>
                <w:kern w:val="0"/>
                <w:lang w:val="en-US"/>
              </w:rPr>
            </w:pPr>
            <w:r>
              <w:rPr>
                <w:snapToGrid w:val="0"/>
                <w:kern w:val="0"/>
                <w:lang w:val="en-US"/>
              </w:rPr>
              <w:t>配置热凝固物回收系统</w:t>
            </w:r>
          </w:p>
        </w:tc>
        <w:tc>
          <w:tcPr>
            <w:tcW w:w="2354" w:type="pct"/>
            <w:gridSpan w:val="2"/>
            <w:vAlign w:val="center"/>
          </w:tcPr>
          <w:p w14:paraId="4279173F">
            <w:pPr>
              <w:pStyle w:val="143"/>
              <w:rPr>
                <w:snapToGrid w:val="0"/>
                <w:kern w:val="0"/>
                <w:lang w:val="en-US"/>
              </w:rPr>
            </w:pPr>
            <w:r>
              <w:rPr>
                <w:snapToGrid w:val="0"/>
                <w:kern w:val="0"/>
                <w:lang w:val="en-US"/>
              </w:rPr>
              <w:t>—</w:t>
            </w:r>
          </w:p>
        </w:tc>
      </w:tr>
      <w:tr w14:paraId="7A6130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restart"/>
            <w:vAlign w:val="center"/>
          </w:tcPr>
          <w:p w14:paraId="00E14708">
            <w:pPr>
              <w:pStyle w:val="143"/>
              <w:rPr>
                <w:snapToGrid w:val="0"/>
                <w:kern w:val="0"/>
                <w:lang w:val="en-US"/>
              </w:rPr>
            </w:pPr>
            <w:r>
              <w:rPr>
                <w:snapToGrid w:val="0"/>
                <w:kern w:val="0"/>
                <w:lang w:val="en-US"/>
              </w:rPr>
              <w:t>4.发酵</w:t>
            </w:r>
          </w:p>
        </w:tc>
        <w:tc>
          <w:tcPr>
            <w:tcW w:w="3803" w:type="pct"/>
            <w:gridSpan w:val="3"/>
            <w:vAlign w:val="center"/>
          </w:tcPr>
          <w:p w14:paraId="5D6EAFF5">
            <w:pPr>
              <w:pStyle w:val="143"/>
              <w:rPr>
                <w:snapToGrid w:val="0"/>
                <w:kern w:val="0"/>
                <w:lang w:val="en-US"/>
              </w:rPr>
            </w:pPr>
            <w:r>
              <w:rPr>
                <w:snapToGrid w:val="0"/>
                <w:kern w:val="0"/>
                <w:lang w:val="en-US"/>
              </w:rPr>
              <w:t>发酵过程由微机控制</w:t>
            </w:r>
          </w:p>
        </w:tc>
      </w:tr>
      <w:tr w14:paraId="6879BA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7D975C5B">
            <w:pPr>
              <w:pStyle w:val="143"/>
              <w:rPr>
                <w:snapToGrid w:val="0"/>
                <w:kern w:val="0"/>
                <w:lang w:val="en-US"/>
              </w:rPr>
            </w:pPr>
          </w:p>
        </w:tc>
        <w:tc>
          <w:tcPr>
            <w:tcW w:w="3803" w:type="pct"/>
            <w:gridSpan w:val="3"/>
            <w:vAlign w:val="center"/>
          </w:tcPr>
          <w:p w14:paraId="32BF1AF3">
            <w:pPr>
              <w:pStyle w:val="143"/>
              <w:rPr>
                <w:snapToGrid w:val="0"/>
                <w:kern w:val="0"/>
                <w:lang w:val="en-US"/>
              </w:rPr>
            </w:pPr>
            <w:r>
              <w:rPr>
                <w:snapToGrid w:val="0"/>
                <w:kern w:val="0"/>
                <w:lang w:val="en-US"/>
              </w:rPr>
              <w:t>发酵室安装二氧化碳回收装置</w:t>
            </w:r>
          </w:p>
        </w:tc>
      </w:tr>
      <w:tr w14:paraId="4CA347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2104664C">
            <w:pPr>
              <w:pStyle w:val="143"/>
              <w:rPr>
                <w:snapToGrid w:val="0"/>
                <w:kern w:val="0"/>
                <w:lang w:val="en-US"/>
              </w:rPr>
            </w:pPr>
          </w:p>
        </w:tc>
        <w:tc>
          <w:tcPr>
            <w:tcW w:w="3803" w:type="pct"/>
            <w:gridSpan w:val="3"/>
            <w:vAlign w:val="center"/>
          </w:tcPr>
          <w:p w14:paraId="40D5296E">
            <w:pPr>
              <w:pStyle w:val="143"/>
              <w:rPr>
                <w:snapToGrid w:val="0"/>
                <w:kern w:val="0"/>
                <w:lang w:val="en-US"/>
              </w:rPr>
            </w:pPr>
            <w:r>
              <w:rPr>
                <w:snapToGrid w:val="0"/>
                <w:kern w:val="0"/>
                <w:lang w:val="en-US"/>
              </w:rPr>
              <w:t>啤酒过滤采用硅藻土过滤、纸板或膜过滤</w:t>
            </w:r>
          </w:p>
        </w:tc>
      </w:tr>
      <w:tr w14:paraId="0E743B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2EEDE6CF">
            <w:pPr>
              <w:pStyle w:val="143"/>
              <w:rPr>
                <w:snapToGrid w:val="0"/>
                <w:kern w:val="0"/>
                <w:lang w:val="en-US"/>
              </w:rPr>
            </w:pPr>
          </w:p>
        </w:tc>
        <w:tc>
          <w:tcPr>
            <w:tcW w:w="3803" w:type="pct"/>
            <w:gridSpan w:val="3"/>
            <w:vAlign w:val="center"/>
          </w:tcPr>
          <w:p w14:paraId="77BC50CA">
            <w:pPr>
              <w:pStyle w:val="143"/>
              <w:rPr>
                <w:snapToGrid w:val="0"/>
                <w:kern w:val="0"/>
                <w:lang w:val="en-US"/>
              </w:rPr>
            </w:pPr>
            <w:r>
              <w:rPr>
                <w:snapToGrid w:val="0"/>
                <w:kern w:val="0"/>
                <w:lang w:val="en-US"/>
              </w:rPr>
              <w:t>清洗采用CIP清洗技术</w:t>
            </w:r>
          </w:p>
        </w:tc>
      </w:tr>
      <w:tr w14:paraId="72B199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Merge w:val="continue"/>
            <w:vAlign w:val="center"/>
          </w:tcPr>
          <w:p w14:paraId="1C0A9B06">
            <w:pPr>
              <w:pStyle w:val="143"/>
              <w:rPr>
                <w:snapToGrid w:val="0"/>
                <w:kern w:val="0"/>
                <w:lang w:val="en-US"/>
              </w:rPr>
            </w:pPr>
          </w:p>
        </w:tc>
        <w:tc>
          <w:tcPr>
            <w:tcW w:w="3803" w:type="pct"/>
            <w:gridSpan w:val="3"/>
            <w:vAlign w:val="center"/>
          </w:tcPr>
          <w:p w14:paraId="5DE9F039">
            <w:pPr>
              <w:pStyle w:val="143"/>
              <w:rPr>
                <w:snapToGrid w:val="0"/>
                <w:kern w:val="0"/>
                <w:lang w:val="en-US"/>
              </w:rPr>
            </w:pPr>
            <w:r>
              <w:rPr>
                <w:snapToGrid w:val="0"/>
                <w:kern w:val="0"/>
                <w:lang w:val="en-US"/>
              </w:rPr>
              <w:t>配置冷凝固物／废酵母回收系统</w:t>
            </w:r>
          </w:p>
        </w:tc>
      </w:tr>
      <w:tr w14:paraId="2F618F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226007BD">
            <w:pPr>
              <w:pStyle w:val="143"/>
              <w:rPr>
                <w:snapToGrid w:val="0"/>
                <w:kern w:val="0"/>
                <w:lang w:val="en-US"/>
              </w:rPr>
            </w:pPr>
            <w:r>
              <w:rPr>
                <w:snapToGrid w:val="0"/>
                <w:kern w:val="0"/>
                <w:lang w:val="en-US"/>
              </w:rPr>
              <w:t>5.包装</w:t>
            </w:r>
          </w:p>
        </w:tc>
        <w:tc>
          <w:tcPr>
            <w:tcW w:w="3803" w:type="pct"/>
            <w:gridSpan w:val="3"/>
            <w:vAlign w:val="center"/>
          </w:tcPr>
          <w:p w14:paraId="5915AB82">
            <w:pPr>
              <w:pStyle w:val="143"/>
              <w:rPr>
                <w:snapToGrid w:val="0"/>
                <w:kern w:val="0"/>
                <w:lang w:val="en-US"/>
              </w:rPr>
            </w:pPr>
            <w:r>
              <w:rPr>
                <w:snapToGrid w:val="0"/>
                <w:kern w:val="0"/>
                <w:lang w:val="en-US"/>
              </w:rPr>
              <w:t>采用洗瓶（罐）、灌装、杀菌、贴标机械化灌装线</w:t>
            </w:r>
          </w:p>
        </w:tc>
      </w:tr>
      <w:tr w14:paraId="235D03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4CD8F1DE">
            <w:pPr>
              <w:pStyle w:val="143"/>
              <w:rPr>
                <w:snapToGrid w:val="0"/>
                <w:kern w:val="0"/>
                <w:lang w:val="en-US"/>
              </w:rPr>
            </w:pPr>
            <w:r>
              <w:rPr>
                <w:snapToGrid w:val="0"/>
                <w:kern w:val="0"/>
                <w:lang w:val="en-US"/>
              </w:rPr>
              <w:t>6.输送和贮存</w:t>
            </w:r>
          </w:p>
        </w:tc>
        <w:tc>
          <w:tcPr>
            <w:tcW w:w="3803" w:type="pct"/>
            <w:gridSpan w:val="3"/>
            <w:vAlign w:val="center"/>
          </w:tcPr>
          <w:p w14:paraId="39C3B0A9">
            <w:pPr>
              <w:pStyle w:val="143"/>
              <w:rPr>
                <w:snapToGrid w:val="0"/>
                <w:kern w:val="0"/>
                <w:lang w:val="en-US"/>
              </w:rPr>
            </w:pPr>
            <w:r>
              <w:rPr>
                <w:snapToGrid w:val="0"/>
                <w:kern w:val="0"/>
                <w:lang w:val="en-US"/>
              </w:rPr>
              <w:t>输送和贮存液质半成品和成品的管道和容器材质采用不锈钢、铜或碳钢涂料，不得产生对人体有害的气味和物质</w:t>
            </w:r>
          </w:p>
        </w:tc>
      </w:tr>
      <w:tr w14:paraId="6C91DB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vAlign w:val="center"/>
          </w:tcPr>
          <w:p w14:paraId="424F0579">
            <w:pPr>
              <w:pStyle w:val="143"/>
              <w:rPr>
                <w:snapToGrid w:val="0"/>
                <w:kern w:val="0"/>
                <w:lang w:val="en-US"/>
              </w:rPr>
            </w:pPr>
            <w:r>
              <w:rPr>
                <w:snapToGrid w:val="0"/>
                <w:kern w:val="0"/>
                <w:lang w:val="en-US"/>
              </w:rPr>
              <w:t>二、资源能源利用指标</w:t>
            </w:r>
          </w:p>
        </w:tc>
      </w:tr>
      <w:tr w14:paraId="2BCD22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328CA736">
            <w:pPr>
              <w:pStyle w:val="143"/>
              <w:rPr>
                <w:snapToGrid w:val="0"/>
                <w:kern w:val="0"/>
                <w:lang w:val="en-US"/>
              </w:rPr>
            </w:pPr>
            <w:r>
              <w:rPr>
                <w:snapToGrid w:val="0"/>
                <w:kern w:val="0"/>
                <w:lang w:val="en-US"/>
              </w:rPr>
              <w:t>1.原辅材料的选择</w:t>
            </w:r>
          </w:p>
        </w:tc>
        <w:tc>
          <w:tcPr>
            <w:tcW w:w="3803" w:type="pct"/>
            <w:gridSpan w:val="3"/>
            <w:vAlign w:val="center"/>
          </w:tcPr>
          <w:p w14:paraId="58F78C45">
            <w:pPr>
              <w:pStyle w:val="143"/>
              <w:jc w:val="both"/>
              <w:rPr>
                <w:snapToGrid w:val="0"/>
                <w:kern w:val="0"/>
                <w:lang w:val="en-US"/>
              </w:rPr>
            </w:pPr>
            <w:r>
              <w:rPr>
                <w:snapToGrid w:val="0"/>
                <w:kern w:val="0"/>
                <w:lang w:val="en-US"/>
              </w:rPr>
              <w:t>生产啤酒的主要原料麦芽、辅料和酒花符合有关标准（国标和行标，如GB4927、GB/T10347、QB1686等）。使用的助剂或添加剂应符合GB2760标准，应对人体健康没有任何损害</w:t>
            </w:r>
          </w:p>
        </w:tc>
      </w:tr>
      <w:tr w14:paraId="0BD865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77A26D5A">
            <w:pPr>
              <w:pStyle w:val="143"/>
              <w:rPr>
                <w:snapToGrid w:val="0"/>
                <w:kern w:val="0"/>
                <w:lang w:val="en-US"/>
              </w:rPr>
            </w:pPr>
            <w:r>
              <w:rPr>
                <w:snapToGrid w:val="0"/>
                <w:kern w:val="0"/>
                <w:lang w:val="en-US"/>
              </w:rPr>
              <w:t>2.能源</w:t>
            </w:r>
          </w:p>
        </w:tc>
        <w:tc>
          <w:tcPr>
            <w:tcW w:w="3803" w:type="pct"/>
            <w:gridSpan w:val="3"/>
            <w:vAlign w:val="center"/>
          </w:tcPr>
          <w:p w14:paraId="2D4A0617">
            <w:pPr>
              <w:pStyle w:val="143"/>
              <w:rPr>
                <w:snapToGrid w:val="0"/>
                <w:kern w:val="0"/>
                <w:lang w:val="en-US"/>
              </w:rPr>
            </w:pPr>
            <w:r>
              <w:rPr>
                <w:snapToGrid w:val="0"/>
                <w:kern w:val="0"/>
                <w:lang w:val="en-US"/>
              </w:rPr>
              <w:t>使用清洁能源，燃煤含硫量符合当地环保要求</w:t>
            </w:r>
          </w:p>
        </w:tc>
      </w:tr>
      <w:tr w14:paraId="31CE36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07BB4589">
            <w:pPr>
              <w:pStyle w:val="143"/>
              <w:rPr>
                <w:snapToGrid w:val="0"/>
                <w:kern w:val="0"/>
                <w:lang w:val="en-US"/>
              </w:rPr>
            </w:pPr>
            <w:r>
              <w:rPr>
                <w:snapToGrid w:val="0"/>
                <w:kern w:val="0"/>
                <w:lang w:val="en-US"/>
              </w:rPr>
              <w:t>3.洗涤剂</w:t>
            </w:r>
          </w:p>
        </w:tc>
        <w:tc>
          <w:tcPr>
            <w:tcW w:w="3803" w:type="pct"/>
            <w:gridSpan w:val="3"/>
            <w:vAlign w:val="center"/>
          </w:tcPr>
          <w:p w14:paraId="36673E4F">
            <w:pPr>
              <w:pStyle w:val="143"/>
              <w:jc w:val="both"/>
              <w:rPr>
                <w:snapToGrid w:val="0"/>
                <w:kern w:val="0"/>
                <w:lang w:val="en-US"/>
              </w:rPr>
            </w:pPr>
            <w:r>
              <w:rPr>
                <w:snapToGrid w:val="0"/>
                <w:kern w:val="0"/>
                <w:lang w:val="en-US"/>
              </w:rPr>
              <w:t>清洗管道和容器的洗涤剂不含任何对人体有害和对设备有腐蚀作用的物质</w:t>
            </w:r>
          </w:p>
        </w:tc>
      </w:tr>
      <w:tr w14:paraId="4D841C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4F11FDAD">
            <w:pPr>
              <w:pStyle w:val="143"/>
              <w:rPr>
                <w:snapToGrid w:val="0"/>
                <w:kern w:val="0"/>
                <w:lang w:val="en-US"/>
              </w:rPr>
            </w:pPr>
            <w:r>
              <w:rPr>
                <w:snapToGrid w:val="0"/>
                <w:kern w:val="0"/>
                <w:lang w:val="en-US"/>
              </w:rPr>
              <w:t>4.取水量/(m</w:t>
            </w:r>
            <w:r>
              <w:rPr>
                <w:snapToGrid w:val="0"/>
                <w:kern w:val="0"/>
                <w:vertAlign w:val="superscript"/>
                <w:lang w:val="en-US"/>
              </w:rPr>
              <w:t>3</w:t>
            </w:r>
            <w:r>
              <w:rPr>
                <w:snapToGrid w:val="0"/>
                <w:kern w:val="0"/>
                <w:lang w:val="en-US"/>
              </w:rPr>
              <w:t>/kl)</w:t>
            </w:r>
          </w:p>
        </w:tc>
        <w:tc>
          <w:tcPr>
            <w:tcW w:w="1449" w:type="pct"/>
            <w:vAlign w:val="center"/>
          </w:tcPr>
          <w:p w14:paraId="003DAB1F">
            <w:pPr>
              <w:pStyle w:val="143"/>
              <w:rPr>
                <w:snapToGrid w:val="0"/>
                <w:kern w:val="0"/>
                <w:lang w:val="en-US"/>
              </w:rPr>
            </w:pPr>
            <w:r>
              <w:rPr>
                <w:snapToGrid w:val="0"/>
                <w:kern w:val="0"/>
                <w:lang w:val="en-US"/>
              </w:rPr>
              <w:t>≤6.0</w:t>
            </w:r>
          </w:p>
        </w:tc>
        <w:tc>
          <w:tcPr>
            <w:tcW w:w="1366" w:type="pct"/>
            <w:vAlign w:val="center"/>
          </w:tcPr>
          <w:p w14:paraId="58DA6C7F">
            <w:pPr>
              <w:pStyle w:val="143"/>
              <w:rPr>
                <w:snapToGrid w:val="0"/>
                <w:kern w:val="0"/>
                <w:lang w:val="en-US"/>
              </w:rPr>
            </w:pPr>
            <w:r>
              <w:rPr>
                <w:snapToGrid w:val="0"/>
                <w:kern w:val="0"/>
                <w:lang w:val="en-US"/>
              </w:rPr>
              <w:t>≤8.0</w:t>
            </w:r>
          </w:p>
        </w:tc>
        <w:tc>
          <w:tcPr>
            <w:tcW w:w="988" w:type="pct"/>
            <w:vAlign w:val="center"/>
          </w:tcPr>
          <w:p w14:paraId="4E8132BB">
            <w:pPr>
              <w:pStyle w:val="143"/>
              <w:rPr>
                <w:snapToGrid w:val="0"/>
                <w:kern w:val="0"/>
                <w:lang w:val="en-US"/>
              </w:rPr>
            </w:pPr>
            <w:r>
              <w:rPr>
                <w:snapToGrid w:val="0"/>
                <w:kern w:val="0"/>
                <w:lang w:val="en-US"/>
              </w:rPr>
              <w:t>≤9.5</w:t>
            </w:r>
          </w:p>
        </w:tc>
      </w:tr>
      <w:tr w14:paraId="03D22E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6035230B">
            <w:pPr>
              <w:pStyle w:val="143"/>
              <w:rPr>
                <w:snapToGrid w:val="0"/>
                <w:kern w:val="0"/>
                <w:lang w:val="en-US"/>
              </w:rPr>
            </w:pPr>
            <w:r>
              <w:rPr>
                <w:snapToGrid w:val="0"/>
                <w:kern w:val="0"/>
                <w:lang w:val="en-US"/>
              </w:rPr>
              <w:t>5.体积分数为11%（俗称11°P)的啤酒耗粮/</w:t>
            </w:r>
            <w:r>
              <w:rPr>
                <w:snapToGrid w:val="0"/>
                <w:kern w:val="0"/>
                <w:lang w:val="en-US"/>
              </w:rPr>
              <w:tab/>
            </w:r>
            <w:r>
              <w:rPr>
                <w:snapToGrid w:val="0"/>
                <w:kern w:val="0"/>
                <w:lang w:val="en-US"/>
              </w:rPr>
              <w:t>(kg/kl)</w:t>
            </w:r>
          </w:p>
        </w:tc>
        <w:tc>
          <w:tcPr>
            <w:tcW w:w="1449" w:type="pct"/>
            <w:vAlign w:val="center"/>
          </w:tcPr>
          <w:p w14:paraId="718E54A7">
            <w:pPr>
              <w:pStyle w:val="143"/>
              <w:rPr>
                <w:snapToGrid w:val="0"/>
                <w:kern w:val="0"/>
                <w:lang w:val="en-US"/>
              </w:rPr>
            </w:pPr>
            <w:r>
              <w:rPr>
                <w:snapToGrid w:val="0"/>
                <w:kern w:val="0"/>
                <w:lang w:val="en-US"/>
              </w:rPr>
              <w:t>≤158</w:t>
            </w:r>
          </w:p>
        </w:tc>
        <w:tc>
          <w:tcPr>
            <w:tcW w:w="1366" w:type="pct"/>
            <w:vAlign w:val="center"/>
          </w:tcPr>
          <w:p w14:paraId="7C528DF0">
            <w:pPr>
              <w:pStyle w:val="143"/>
              <w:rPr>
                <w:snapToGrid w:val="0"/>
                <w:kern w:val="0"/>
                <w:lang w:val="en-US"/>
              </w:rPr>
            </w:pPr>
            <w:r>
              <w:rPr>
                <w:snapToGrid w:val="0"/>
                <w:kern w:val="0"/>
                <w:lang w:val="en-US"/>
              </w:rPr>
              <w:t>≤161</w:t>
            </w:r>
          </w:p>
        </w:tc>
        <w:tc>
          <w:tcPr>
            <w:tcW w:w="988" w:type="pct"/>
            <w:vAlign w:val="center"/>
          </w:tcPr>
          <w:p w14:paraId="061C3963">
            <w:pPr>
              <w:pStyle w:val="143"/>
              <w:rPr>
                <w:snapToGrid w:val="0"/>
                <w:kern w:val="0"/>
                <w:lang w:val="en-US"/>
              </w:rPr>
            </w:pPr>
            <w:r>
              <w:rPr>
                <w:snapToGrid w:val="0"/>
                <w:kern w:val="0"/>
                <w:lang w:val="en-US"/>
              </w:rPr>
              <w:t>≤165</w:t>
            </w:r>
          </w:p>
        </w:tc>
      </w:tr>
      <w:tr w14:paraId="79F957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3150E224">
            <w:pPr>
              <w:pStyle w:val="143"/>
              <w:rPr>
                <w:snapToGrid w:val="0"/>
                <w:kern w:val="0"/>
                <w:lang w:val="en-US"/>
              </w:rPr>
            </w:pPr>
            <w:r>
              <w:rPr>
                <w:snapToGrid w:val="0"/>
                <w:kern w:val="0"/>
                <w:lang w:val="en-US"/>
              </w:rPr>
              <w:t>6.耗电量/(kW·h/kl)</w:t>
            </w:r>
          </w:p>
        </w:tc>
        <w:tc>
          <w:tcPr>
            <w:tcW w:w="1449" w:type="pct"/>
            <w:vAlign w:val="center"/>
          </w:tcPr>
          <w:p w14:paraId="07004FC8">
            <w:pPr>
              <w:pStyle w:val="143"/>
              <w:rPr>
                <w:snapToGrid w:val="0"/>
                <w:kern w:val="0"/>
                <w:lang w:val="en-US"/>
              </w:rPr>
            </w:pPr>
            <w:r>
              <w:rPr>
                <w:snapToGrid w:val="0"/>
                <w:kern w:val="0"/>
                <w:lang w:val="en-US"/>
              </w:rPr>
              <w:t>≤85</w:t>
            </w:r>
          </w:p>
        </w:tc>
        <w:tc>
          <w:tcPr>
            <w:tcW w:w="1366" w:type="pct"/>
            <w:vAlign w:val="center"/>
          </w:tcPr>
          <w:p w14:paraId="320150D2">
            <w:pPr>
              <w:pStyle w:val="143"/>
              <w:rPr>
                <w:snapToGrid w:val="0"/>
                <w:kern w:val="0"/>
                <w:lang w:val="en-US"/>
              </w:rPr>
            </w:pPr>
            <w:r>
              <w:rPr>
                <w:snapToGrid w:val="0"/>
                <w:kern w:val="0"/>
                <w:lang w:val="en-US"/>
              </w:rPr>
              <w:t>≤100</w:t>
            </w:r>
          </w:p>
        </w:tc>
        <w:tc>
          <w:tcPr>
            <w:tcW w:w="988" w:type="pct"/>
            <w:vAlign w:val="center"/>
          </w:tcPr>
          <w:p w14:paraId="778665B9">
            <w:pPr>
              <w:pStyle w:val="143"/>
              <w:rPr>
                <w:snapToGrid w:val="0"/>
                <w:kern w:val="0"/>
                <w:lang w:val="en-US"/>
              </w:rPr>
            </w:pPr>
            <w:r>
              <w:rPr>
                <w:snapToGrid w:val="0"/>
                <w:kern w:val="0"/>
                <w:lang w:val="en-US"/>
              </w:rPr>
              <w:t>≤115</w:t>
            </w:r>
          </w:p>
        </w:tc>
      </w:tr>
      <w:tr w14:paraId="618ADD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6D9CD0AF">
            <w:pPr>
              <w:pStyle w:val="143"/>
              <w:rPr>
                <w:snapToGrid w:val="0"/>
                <w:kern w:val="0"/>
                <w:lang w:val="en-US"/>
              </w:rPr>
            </w:pPr>
            <w:r>
              <w:rPr>
                <w:snapToGrid w:val="0"/>
                <w:kern w:val="0"/>
                <w:lang w:val="en-US"/>
              </w:rPr>
              <w:t>7.耗标煤量/(kg/kl)</w:t>
            </w:r>
          </w:p>
        </w:tc>
        <w:tc>
          <w:tcPr>
            <w:tcW w:w="1449" w:type="pct"/>
            <w:vAlign w:val="center"/>
          </w:tcPr>
          <w:p w14:paraId="33FEB7CB">
            <w:pPr>
              <w:pStyle w:val="143"/>
              <w:rPr>
                <w:snapToGrid w:val="0"/>
                <w:kern w:val="0"/>
                <w:lang w:val="en-US"/>
              </w:rPr>
            </w:pPr>
            <w:r>
              <w:rPr>
                <w:snapToGrid w:val="0"/>
                <w:kern w:val="0"/>
                <w:lang w:val="en-US"/>
              </w:rPr>
              <w:t>≤80</w:t>
            </w:r>
          </w:p>
        </w:tc>
        <w:tc>
          <w:tcPr>
            <w:tcW w:w="1366" w:type="pct"/>
            <w:vAlign w:val="center"/>
          </w:tcPr>
          <w:p w14:paraId="4DDDC814">
            <w:pPr>
              <w:pStyle w:val="143"/>
              <w:rPr>
                <w:snapToGrid w:val="0"/>
                <w:kern w:val="0"/>
                <w:lang w:val="en-US"/>
              </w:rPr>
            </w:pPr>
            <w:r>
              <w:rPr>
                <w:snapToGrid w:val="0"/>
                <w:kern w:val="0"/>
                <w:lang w:val="en-US"/>
              </w:rPr>
              <w:t>≤110</w:t>
            </w:r>
          </w:p>
        </w:tc>
        <w:tc>
          <w:tcPr>
            <w:tcW w:w="988" w:type="pct"/>
            <w:vAlign w:val="center"/>
          </w:tcPr>
          <w:p w14:paraId="50517F3B">
            <w:pPr>
              <w:pStyle w:val="143"/>
              <w:rPr>
                <w:snapToGrid w:val="0"/>
                <w:kern w:val="0"/>
                <w:lang w:val="en-US"/>
              </w:rPr>
            </w:pPr>
            <w:r>
              <w:rPr>
                <w:snapToGrid w:val="0"/>
                <w:kern w:val="0"/>
                <w:lang w:val="en-US"/>
              </w:rPr>
              <w:t>≤130</w:t>
            </w:r>
          </w:p>
        </w:tc>
      </w:tr>
      <w:tr w14:paraId="4EB48F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276882CF">
            <w:pPr>
              <w:pStyle w:val="143"/>
              <w:rPr>
                <w:snapToGrid w:val="0"/>
                <w:kern w:val="0"/>
                <w:lang w:val="en-US"/>
              </w:rPr>
            </w:pPr>
            <w:r>
              <w:rPr>
                <w:snapToGrid w:val="0"/>
                <w:kern w:val="0"/>
                <w:lang w:val="en-US"/>
              </w:rPr>
              <w:t>8.综合能耗/(kg/kl)</w:t>
            </w:r>
          </w:p>
        </w:tc>
        <w:tc>
          <w:tcPr>
            <w:tcW w:w="1449" w:type="pct"/>
            <w:vAlign w:val="center"/>
          </w:tcPr>
          <w:p w14:paraId="6F6F040E">
            <w:pPr>
              <w:pStyle w:val="143"/>
              <w:rPr>
                <w:snapToGrid w:val="0"/>
                <w:kern w:val="0"/>
                <w:lang w:val="en-US"/>
              </w:rPr>
            </w:pPr>
            <w:r>
              <w:rPr>
                <w:snapToGrid w:val="0"/>
                <w:kern w:val="0"/>
                <w:lang w:val="en-US"/>
              </w:rPr>
              <w:t>≤115</w:t>
            </w:r>
          </w:p>
        </w:tc>
        <w:tc>
          <w:tcPr>
            <w:tcW w:w="1366" w:type="pct"/>
            <w:vAlign w:val="center"/>
          </w:tcPr>
          <w:p w14:paraId="10FB8A85">
            <w:pPr>
              <w:pStyle w:val="143"/>
              <w:rPr>
                <w:snapToGrid w:val="0"/>
                <w:kern w:val="0"/>
                <w:lang w:val="en-US"/>
              </w:rPr>
            </w:pPr>
            <w:r>
              <w:rPr>
                <w:snapToGrid w:val="0"/>
                <w:kern w:val="0"/>
                <w:lang w:val="en-US"/>
              </w:rPr>
              <w:t>≤145</w:t>
            </w:r>
          </w:p>
        </w:tc>
        <w:tc>
          <w:tcPr>
            <w:tcW w:w="988" w:type="pct"/>
            <w:vAlign w:val="center"/>
          </w:tcPr>
          <w:p w14:paraId="1CFDC67E">
            <w:pPr>
              <w:pStyle w:val="143"/>
              <w:rPr>
                <w:snapToGrid w:val="0"/>
                <w:kern w:val="0"/>
                <w:lang w:val="en-US"/>
              </w:rPr>
            </w:pPr>
            <w:r>
              <w:rPr>
                <w:snapToGrid w:val="0"/>
                <w:kern w:val="0"/>
                <w:lang w:val="en-US"/>
              </w:rPr>
              <w:t>≤170</w:t>
            </w:r>
          </w:p>
        </w:tc>
      </w:tr>
      <w:tr w14:paraId="0324ED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vAlign w:val="center"/>
          </w:tcPr>
          <w:p w14:paraId="7FFC0A52">
            <w:pPr>
              <w:pStyle w:val="143"/>
              <w:rPr>
                <w:snapToGrid w:val="0"/>
                <w:kern w:val="0"/>
                <w:lang w:val="en-US"/>
              </w:rPr>
            </w:pPr>
            <w:r>
              <w:rPr>
                <w:snapToGrid w:val="0"/>
                <w:kern w:val="0"/>
                <w:lang w:val="en-US"/>
              </w:rPr>
              <w:t>三、产品指标</w:t>
            </w:r>
          </w:p>
        </w:tc>
      </w:tr>
      <w:tr w14:paraId="18EA7C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3AC61DB6">
            <w:pPr>
              <w:pStyle w:val="143"/>
              <w:rPr>
                <w:snapToGrid w:val="0"/>
                <w:kern w:val="0"/>
                <w:lang w:val="en-US"/>
              </w:rPr>
            </w:pPr>
            <w:r>
              <w:rPr>
                <w:snapToGrid w:val="0"/>
                <w:kern w:val="0"/>
                <w:lang w:val="en-US"/>
              </w:rPr>
              <w:t>1.啤酒包装合格率(%)（近3年）</w:t>
            </w:r>
          </w:p>
        </w:tc>
        <w:tc>
          <w:tcPr>
            <w:tcW w:w="1449" w:type="pct"/>
            <w:vAlign w:val="center"/>
          </w:tcPr>
          <w:p w14:paraId="5D6EB492">
            <w:pPr>
              <w:pStyle w:val="143"/>
              <w:rPr>
                <w:snapToGrid w:val="0"/>
                <w:kern w:val="0"/>
                <w:lang w:val="en-US"/>
              </w:rPr>
            </w:pPr>
            <w:r>
              <w:rPr>
                <w:snapToGrid w:val="0"/>
                <w:kern w:val="0"/>
                <w:lang w:val="en-US"/>
              </w:rPr>
              <w:t>≥99.5</w:t>
            </w:r>
          </w:p>
        </w:tc>
        <w:tc>
          <w:tcPr>
            <w:tcW w:w="1366" w:type="pct"/>
            <w:vAlign w:val="center"/>
          </w:tcPr>
          <w:p w14:paraId="7B1233A1">
            <w:pPr>
              <w:pStyle w:val="143"/>
              <w:rPr>
                <w:snapToGrid w:val="0"/>
                <w:kern w:val="0"/>
                <w:lang w:val="en-US"/>
              </w:rPr>
            </w:pPr>
            <w:r>
              <w:rPr>
                <w:snapToGrid w:val="0"/>
                <w:kern w:val="0"/>
                <w:lang w:val="en-US"/>
              </w:rPr>
              <w:t>≥99.0</w:t>
            </w:r>
          </w:p>
        </w:tc>
        <w:tc>
          <w:tcPr>
            <w:tcW w:w="988" w:type="pct"/>
            <w:vAlign w:val="center"/>
          </w:tcPr>
          <w:p w14:paraId="0453AB97">
            <w:pPr>
              <w:pStyle w:val="143"/>
              <w:rPr>
                <w:snapToGrid w:val="0"/>
                <w:kern w:val="0"/>
                <w:lang w:val="en-US"/>
              </w:rPr>
            </w:pPr>
            <w:r>
              <w:rPr>
                <w:snapToGrid w:val="0"/>
                <w:kern w:val="0"/>
                <w:lang w:val="en-US"/>
              </w:rPr>
              <w:t>≥98.0</w:t>
            </w:r>
          </w:p>
        </w:tc>
      </w:tr>
      <w:tr w14:paraId="7216ED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76B04607">
            <w:pPr>
              <w:pStyle w:val="143"/>
              <w:rPr>
                <w:snapToGrid w:val="0"/>
                <w:kern w:val="0"/>
                <w:lang w:val="en-US"/>
              </w:rPr>
            </w:pPr>
            <w:r>
              <w:rPr>
                <w:snapToGrid w:val="0"/>
                <w:kern w:val="0"/>
                <w:lang w:val="en-US"/>
              </w:rPr>
              <w:t>2.优级品率/%</w:t>
            </w:r>
          </w:p>
        </w:tc>
        <w:tc>
          <w:tcPr>
            <w:tcW w:w="1449" w:type="pct"/>
            <w:vAlign w:val="center"/>
          </w:tcPr>
          <w:p w14:paraId="637B7E7D">
            <w:pPr>
              <w:pStyle w:val="143"/>
              <w:rPr>
                <w:snapToGrid w:val="0"/>
                <w:kern w:val="0"/>
                <w:lang w:val="en-US"/>
              </w:rPr>
            </w:pPr>
            <w:r>
              <w:rPr>
                <w:snapToGrid w:val="0"/>
                <w:kern w:val="0"/>
                <w:lang w:val="en-US"/>
              </w:rPr>
              <w:t>90</w:t>
            </w:r>
          </w:p>
        </w:tc>
        <w:tc>
          <w:tcPr>
            <w:tcW w:w="1366" w:type="pct"/>
            <w:vAlign w:val="center"/>
          </w:tcPr>
          <w:p w14:paraId="13B07CAC">
            <w:pPr>
              <w:pStyle w:val="143"/>
              <w:rPr>
                <w:snapToGrid w:val="0"/>
                <w:kern w:val="0"/>
                <w:lang w:val="en-US"/>
              </w:rPr>
            </w:pPr>
            <w:r>
              <w:rPr>
                <w:snapToGrid w:val="0"/>
                <w:kern w:val="0"/>
                <w:lang w:val="en-US"/>
              </w:rPr>
              <w:t>60</w:t>
            </w:r>
          </w:p>
        </w:tc>
        <w:tc>
          <w:tcPr>
            <w:tcW w:w="988" w:type="pct"/>
            <w:vAlign w:val="center"/>
          </w:tcPr>
          <w:p w14:paraId="74AB7E3D">
            <w:pPr>
              <w:pStyle w:val="143"/>
              <w:rPr>
                <w:snapToGrid w:val="0"/>
                <w:kern w:val="0"/>
                <w:lang w:val="en-US"/>
              </w:rPr>
            </w:pPr>
            <w:r>
              <w:rPr>
                <w:snapToGrid w:val="0"/>
                <w:kern w:val="0"/>
                <w:lang w:val="en-US"/>
              </w:rPr>
              <w:t>30</w:t>
            </w:r>
          </w:p>
        </w:tc>
      </w:tr>
      <w:tr w14:paraId="709549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749CBE5B">
            <w:pPr>
              <w:pStyle w:val="143"/>
              <w:rPr>
                <w:snapToGrid w:val="0"/>
                <w:kern w:val="0"/>
                <w:lang w:val="en-US"/>
              </w:rPr>
            </w:pPr>
            <w:r>
              <w:rPr>
                <w:snapToGrid w:val="0"/>
                <w:kern w:val="0"/>
                <w:lang w:val="en-US"/>
              </w:rPr>
              <w:t>3.啤酒包装</w:t>
            </w:r>
          </w:p>
        </w:tc>
        <w:tc>
          <w:tcPr>
            <w:tcW w:w="3803" w:type="pct"/>
            <w:gridSpan w:val="3"/>
            <w:vAlign w:val="center"/>
          </w:tcPr>
          <w:p w14:paraId="3C3FA477">
            <w:pPr>
              <w:pStyle w:val="143"/>
              <w:jc w:val="both"/>
              <w:rPr>
                <w:snapToGrid w:val="0"/>
                <w:kern w:val="0"/>
                <w:lang w:val="en-US"/>
              </w:rPr>
            </w:pPr>
            <w:r>
              <w:rPr>
                <w:snapToGrid w:val="0"/>
                <w:kern w:val="0"/>
                <w:lang w:val="en-US"/>
              </w:rPr>
              <w:t>应使用环境友好的包装材料（瓦楞纸箱、塑料周转箱、热塑包装），并符合食品卫生标准的有关要求，啤酒瓶使用按有关国家标准(GB4544)执行</w:t>
            </w:r>
          </w:p>
        </w:tc>
      </w:tr>
      <w:bookmarkEnd w:id="165"/>
      <w:tr w14:paraId="252EE4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2A2C5059">
            <w:pPr>
              <w:pStyle w:val="143"/>
              <w:rPr>
                <w:snapToGrid w:val="0"/>
                <w:kern w:val="0"/>
                <w:lang w:val="en-US"/>
              </w:rPr>
            </w:pPr>
            <w:bookmarkStart w:id="166" w:name="_Hlk209363456"/>
            <w:r>
              <w:rPr>
                <w:snapToGrid w:val="0"/>
                <w:kern w:val="0"/>
                <w:lang w:val="en-US"/>
              </w:rPr>
              <w:t>4.处置</w:t>
            </w:r>
          </w:p>
        </w:tc>
        <w:tc>
          <w:tcPr>
            <w:tcW w:w="1449" w:type="pct"/>
            <w:vAlign w:val="center"/>
          </w:tcPr>
          <w:p w14:paraId="01133EFA">
            <w:pPr>
              <w:pStyle w:val="143"/>
              <w:jc w:val="both"/>
              <w:rPr>
                <w:snapToGrid w:val="0"/>
                <w:kern w:val="0"/>
                <w:lang w:val="en-US"/>
              </w:rPr>
            </w:pPr>
            <w:r>
              <w:rPr>
                <w:snapToGrid w:val="0"/>
                <w:kern w:val="0"/>
                <w:lang w:val="en-US"/>
              </w:rPr>
              <w:t>近10年，没有因任何啤酒质量问题和其他理由，将其倒入下水道、受纳水体和环境中</w:t>
            </w:r>
          </w:p>
        </w:tc>
        <w:tc>
          <w:tcPr>
            <w:tcW w:w="1366" w:type="pct"/>
            <w:vAlign w:val="center"/>
          </w:tcPr>
          <w:p w14:paraId="5A63ABB9">
            <w:pPr>
              <w:pStyle w:val="143"/>
              <w:jc w:val="both"/>
              <w:rPr>
                <w:snapToGrid w:val="0"/>
                <w:kern w:val="0"/>
                <w:lang w:val="en-US"/>
              </w:rPr>
            </w:pPr>
            <w:r>
              <w:rPr>
                <w:snapToGrid w:val="0"/>
                <w:kern w:val="0"/>
                <w:lang w:val="en-US"/>
              </w:rPr>
              <w:t>近5年，没有因任何啤酒质量问题和其他理由，将其倒入下水道、受纳水体和环境中</w:t>
            </w:r>
          </w:p>
        </w:tc>
        <w:tc>
          <w:tcPr>
            <w:tcW w:w="988" w:type="pct"/>
            <w:vAlign w:val="center"/>
          </w:tcPr>
          <w:p w14:paraId="3CBFCD2C">
            <w:pPr>
              <w:pStyle w:val="143"/>
              <w:jc w:val="both"/>
              <w:rPr>
                <w:snapToGrid w:val="0"/>
                <w:kern w:val="0"/>
                <w:lang w:val="en-US"/>
              </w:rPr>
            </w:pPr>
            <w:r>
              <w:rPr>
                <w:snapToGrid w:val="0"/>
                <w:kern w:val="0"/>
                <w:lang w:val="en-US"/>
              </w:rPr>
              <w:t>近3年，没有因任何啤酒质量问题和其他理由，将其倒入下水道、受纳水体和环境中</w:t>
            </w:r>
          </w:p>
        </w:tc>
      </w:tr>
      <w:tr w14:paraId="2AE7C8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vAlign w:val="center"/>
          </w:tcPr>
          <w:p w14:paraId="1307BCEF">
            <w:pPr>
              <w:pStyle w:val="143"/>
              <w:rPr>
                <w:snapToGrid w:val="0"/>
                <w:kern w:val="0"/>
                <w:lang w:val="en-US"/>
              </w:rPr>
            </w:pPr>
            <w:r>
              <w:rPr>
                <w:snapToGrid w:val="0"/>
                <w:kern w:val="0"/>
                <w:lang w:val="en-US"/>
              </w:rPr>
              <w:t>四、污染物产生指标（末端处理前）</w:t>
            </w:r>
          </w:p>
        </w:tc>
      </w:tr>
      <w:tr w14:paraId="0ABB2A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1903F919">
            <w:pPr>
              <w:pStyle w:val="143"/>
              <w:rPr>
                <w:snapToGrid w:val="0"/>
                <w:kern w:val="0"/>
                <w:lang w:val="en-US"/>
              </w:rPr>
            </w:pPr>
            <w:r>
              <w:rPr>
                <w:snapToGrid w:val="0"/>
                <w:kern w:val="0"/>
                <w:lang w:val="en-US"/>
              </w:rPr>
              <w:t>1.废水产生量/(m</w:t>
            </w:r>
            <w:r>
              <w:rPr>
                <w:snapToGrid w:val="0"/>
                <w:kern w:val="0"/>
                <w:vertAlign w:val="superscript"/>
                <w:lang w:val="en-US"/>
              </w:rPr>
              <w:t>3</w:t>
            </w:r>
            <w:r>
              <w:rPr>
                <w:snapToGrid w:val="0"/>
                <w:kern w:val="0"/>
                <w:lang w:val="en-US"/>
              </w:rPr>
              <w:t>/kl)</w:t>
            </w:r>
          </w:p>
        </w:tc>
        <w:tc>
          <w:tcPr>
            <w:tcW w:w="1449" w:type="pct"/>
            <w:vAlign w:val="center"/>
          </w:tcPr>
          <w:p w14:paraId="4877EDB4">
            <w:pPr>
              <w:pStyle w:val="143"/>
              <w:rPr>
                <w:snapToGrid w:val="0"/>
                <w:kern w:val="0"/>
                <w:lang w:val="en-US"/>
              </w:rPr>
            </w:pPr>
            <w:r>
              <w:rPr>
                <w:snapToGrid w:val="0"/>
                <w:kern w:val="0"/>
                <w:lang w:val="en-US"/>
              </w:rPr>
              <w:t>≤4.5</w:t>
            </w:r>
          </w:p>
        </w:tc>
        <w:tc>
          <w:tcPr>
            <w:tcW w:w="1366" w:type="pct"/>
            <w:vAlign w:val="center"/>
          </w:tcPr>
          <w:p w14:paraId="3BE6E004">
            <w:pPr>
              <w:pStyle w:val="143"/>
              <w:rPr>
                <w:snapToGrid w:val="0"/>
                <w:kern w:val="0"/>
                <w:lang w:val="en-US"/>
              </w:rPr>
            </w:pPr>
            <w:r>
              <w:rPr>
                <w:snapToGrid w:val="0"/>
                <w:kern w:val="0"/>
                <w:lang w:val="en-US"/>
              </w:rPr>
              <w:t>≤6.5</w:t>
            </w:r>
          </w:p>
        </w:tc>
        <w:tc>
          <w:tcPr>
            <w:tcW w:w="988" w:type="pct"/>
            <w:vAlign w:val="center"/>
          </w:tcPr>
          <w:p w14:paraId="232CDA30">
            <w:pPr>
              <w:pStyle w:val="143"/>
              <w:rPr>
                <w:snapToGrid w:val="0"/>
                <w:kern w:val="0"/>
                <w:lang w:val="en-US"/>
              </w:rPr>
            </w:pPr>
            <w:r>
              <w:rPr>
                <w:snapToGrid w:val="0"/>
                <w:kern w:val="0"/>
                <w:lang w:val="en-US"/>
              </w:rPr>
              <w:t>≤8.0</w:t>
            </w:r>
          </w:p>
        </w:tc>
      </w:tr>
      <w:tr w14:paraId="4C4CA8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4947DFB4">
            <w:pPr>
              <w:pStyle w:val="143"/>
              <w:rPr>
                <w:snapToGrid w:val="0"/>
                <w:kern w:val="0"/>
                <w:lang w:val="en-US"/>
              </w:rPr>
            </w:pPr>
            <w:r>
              <w:rPr>
                <w:snapToGrid w:val="0"/>
                <w:kern w:val="0"/>
                <w:lang w:val="en-US"/>
              </w:rPr>
              <w:t>2.COD产生量（处理前）/(kg/kl)</w:t>
            </w:r>
          </w:p>
        </w:tc>
        <w:tc>
          <w:tcPr>
            <w:tcW w:w="1449" w:type="pct"/>
            <w:vAlign w:val="center"/>
          </w:tcPr>
          <w:p w14:paraId="655DC6B8">
            <w:pPr>
              <w:pStyle w:val="143"/>
              <w:rPr>
                <w:snapToGrid w:val="0"/>
                <w:kern w:val="0"/>
                <w:lang w:val="en-US"/>
              </w:rPr>
            </w:pPr>
            <w:r>
              <w:rPr>
                <w:snapToGrid w:val="0"/>
                <w:kern w:val="0"/>
                <w:lang w:val="en-US"/>
              </w:rPr>
              <w:t>9.5</w:t>
            </w:r>
          </w:p>
        </w:tc>
        <w:tc>
          <w:tcPr>
            <w:tcW w:w="1366" w:type="pct"/>
            <w:vAlign w:val="center"/>
          </w:tcPr>
          <w:p w14:paraId="599D61E0">
            <w:pPr>
              <w:pStyle w:val="143"/>
              <w:rPr>
                <w:snapToGrid w:val="0"/>
                <w:kern w:val="0"/>
                <w:lang w:val="en-US"/>
              </w:rPr>
            </w:pPr>
            <w:r>
              <w:rPr>
                <w:snapToGrid w:val="0"/>
                <w:kern w:val="0"/>
                <w:lang w:val="en-US"/>
              </w:rPr>
              <w:t>11.5</w:t>
            </w:r>
          </w:p>
        </w:tc>
        <w:tc>
          <w:tcPr>
            <w:tcW w:w="988" w:type="pct"/>
            <w:vAlign w:val="center"/>
          </w:tcPr>
          <w:p w14:paraId="05C0B0D6">
            <w:pPr>
              <w:pStyle w:val="143"/>
              <w:rPr>
                <w:snapToGrid w:val="0"/>
                <w:kern w:val="0"/>
                <w:lang w:val="en-US"/>
              </w:rPr>
            </w:pPr>
            <w:r>
              <w:rPr>
                <w:snapToGrid w:val="0"/>
                <w:kern w:val="0"/>
                <w:lang w:val="en-US"/>
              </w:rPr>
              <w:t>14.0</w:t>
            </w:r>
          </w:p>
        </w:tc>
      </w:tr>
      <w:tr w14:paraId="473577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33F3CC7C">
            <w:pPr>
              <w:pStyle w:val="143"/>
              <w:rPr>
                <w:snapToGrid w:val="0"/>
                <w:kern w:val="0"/>
                <w:lang w:val="en-US"/>
              </w:rPr>
            </w:pPr>
            <w:r>
              <w:rPr>
                <w:snapToGrid w:val="0"/>
                <w:kern w:val="0"/>
                <w:lang w:val="en-US"/>
              </w:rPr>
              <w:t>3.啤酒总损失率/%</w:t>
            </w:r>
          </w:p>
        </w:tc>
        <w:tc>
          <w:tcPr>
            <w:tcW w:w="1449" w:type="pct"/>
            <w:vAlign w:val="center"/>
          </w:tcPr>
          <w:p w14:paraId="2AF883FE">
            <w:pPr>
              <w:pStyle w:val="143"/>
              <w:rPr>
                <w:snapToGrid w:val="0"/>
                <w:kern w:val="0"/>
                <w:lang w:val="en-US"/>
              </w:rPr>
            </w:pPr>
            <w:r>
              <w:rPr>
                <w:snapToGrid w:val="0"/>
                <w:kern w:val="0"/>
                <w:lang w:val="en-US"/>
              </w:rPr>
              <w:t>≤4.7</w:t>
            </w:r>
          </w:p>
        </w:tc>
        <w:tc>
          <w:tcPr>
            <w:tcW w:w="1366" w:type="pct"/>
            <w:vAlign w:val="center"/>
          </w:tcPr>
          <w:p w14:paraId="1AEC840A">
            <w:pPr>
              <w:pStyle w:val="143"/>
              <w:rPr>
                <w:snapToGrid w:val="0"/>
                <w:kern w:val="0"/>
                <w:lang w:val="en-US"/>
              </w:rPr>
            </w:pPr>
            <w:r>
              <w:rPr>
                <w:snapToGrid w:val="0"/>
                <w:kern w:val="0"/>
                <w:lang w:val="en-US"/>
              </w:rPr>
              <w:t>≤6.0</w:t>
            </w:r>
          </w:p>
        </w:tc>
        <w:tc>
          <w:tcPr>
            <w:tcW w:w="988" w:type="pct"/>
            <w:vAlign w:val="center"/>
          </w:tcPr>
          <w:p w14:paraId="7E922229">
            <w:pPr>
              <w:pStyle w:val="143"/>
              <w:rPr>
                <w:snapToGrid w:val="0"/>
                <w:kern w:val="0"/>
                <w:lang w:val="en-US"/>
              </w:rPr>
            </w:pPr>
            <w:r>
              <w:rPr>
                <w:snapToGrid w:val="0"/>
                <w:kern w:val="0"/>
                <w:lang w:val="en-US"/>
              </w:rPr>
              <w:t>≤7.5</w:t>
            </w:r>
          </w:p>
        </w:tc>
      </w:tr>
      <w:tr w14:paraId="2FFD31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vAlign w:val="center"/>
          </w:tcPr>
          <w:p w14:paraId="6931A112">
            <w:pPr>
              <w:pStyle w:val="143"/>
              <w:rPr>
                <w:snapToGrid w:val="0"/>
                <w:kern w:val="0"/>
                <w:lang w:val="en-US"/>
              </w:rPr>
            </w:pPr>
            <w:r>
              <w:rPr>
                <w:snapToGrid w:val="0"/>
                <w:kern w:val="0"/>
                <w:lang w:val="en-US"/>
              </w:rPr>
              <w:t>五、废物回收利用指标</w:t>
            </w:r>
          </w:p>
        </w:tc>
      </w:tr>
      <w:tr w14:paraId="05F471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1F6AFA35">
            <w:pPr>
              <w:pStyle w:val="143"/>
              <w:rPr>
                <w:snapToGrid w:val="0"/>
                <w:kern w:val="0"/>
                <w:lang w:val="en-US"/>
              </w:rPr>
            </w:pPr>
            <w:r>
              <w:rPr>
                <w:snapToGrid w:val="0"/>
                <w:kern w:val="0"/>
                <w:lang w:val="en-US"/>
              </w:rPr>
              <w:t>1.酒糟回收利用率</w:t>
            </w:r>
          </w:p>
        </w:tc>
        <w:tc>
          <w:tcPr>
            <w:tcW w:w="1449" w:type="pct"/>
            <w:vAlign w:val="center"/>
          </w:tcPr>
          <w:p w14:paraId="660D7A19">
            <w:pPr>
              <w:pStyle w:val="143"/>
              <w:rPr>
                <w:snapToGrid w:val="0"/>
                <w:kern w:val="0"/>
                <w:lang w:val="en-US"/>
              </w:rPr>
            </w:pPr>
            <w:r>
              <w:rPr>
                <w:snapToGrid w:val="0"/>
                <w:kern w:val="0"/>
                <w:lang w:val="en-US"/>
              </w:rPr>
              <w:t>100%回收并加工利用（加工成颗粒饲料或复合饲料等产品）</w:t>
            </w:r>
          </w:p>
        </w:tc>
        <w:tc>
          <w:tcPr>
            <w:tcW w:w="2354" w:type="pct"/>
            <w:gridSpan w:val="2"/>
            <w:vAlign w:val="center"/>
          </w:tcPr>
          <w:p w14:paraId="2E120FCA">
            <w:pPr>
              <w:pStyle w:val="143"/>
              <w:rPr>
                <w:snapToGrid w:val="0"/>
                <w:kern w:val="0"/>
                <w:lang w:val="en-US"/>
              </w:rPr>
            </w:pPr>
            <w:r>
              <w:rPr>
                <w:snapToGrid w:val="0"/>
                <w:kern w:val="0"/>
                <w:lang w:val="en-US"/>
              </w:rPr>
              <w:t>100%回收并利用（直接作饲料等）</w:t>
            </w:r>
          </w:p>
        </w:tc>
      </w:tr>
      <w:tr w14:paraId="696857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0DBDBE61">
            <w:pPr>
              <w:pStyle w:val="143"/>
              <w:rPr>
                <w:snapToGrid w:val="0"/>
                <w:kern w:val="0"/>
                <w:lang w:val="en-US"/>
              </w:rPr>
            </w:pPr>
            <w:r>
              <w:rPr>
                <w:snapToGrid w:val="0"/>
                <w:kern w:val="0"/>
                <w:lang w:val="en-US"/>
              </w:rPr>
              <w:t>2.废酵母回收利用率</w:t>
            </w:r>
          </w:p>
        </w:tc>
        <w:tc>
          <w:tcPr>
            <w:tcW w:w="1449" w:type="pct"/>
            <w:vAlign w:val="center"/>
          </w:tcPr>
          <w:p w14:paraId="433D55F9">
            <w:pPr>
              <w:pStyle w:val="143"/>
              <w:rPr>
                <w:snapToGrid w:val="0"/>
                <w:kern w:val="0"/>
                <w:lang w:val="en-US"/>
              </w:rPr>
            </w:pPr>
            <w:r>
              <w:rPr>
                <w:snapToGrid w:val="0"/>
                <w:kern w:val="0"/>
                <w:lang w:val="en-US"/>
              </w:rPr>
              <w:t>100%回收并加工利用（生产饲料添加剂、医药、食品添加剂等产品）</w:t>
            </w:r>
          </w:p>
        </w:tc>
        <w:tc>
          <w:tcPr>
            <w:tcW w:w="2354" w:type="pct"/>
            <w:gridSpan w:val="2"/>
            <w:vAlign w:val="center"/>
          </w:tcPr>
          <w:p w14:paraId="2317F6EB">
            <w:pPr>
              <w:pStyle w:val="143"/>
              <w:rPr>
                <w:snapToGrid w:val="0"/>
                <w:kern w:val="0"/>
                <w:lang w:val="en-US"/>
              </w:rPr>
            </w:pPr>
            <w:r>
              <w:rPr>
                <w:snapToGrid w:val="0"/>
                <w:kern w:val="0"/>
                <w:lang w:val="en-US"/>
              </w:rPr>
              <w:t>100%回收并利用（直接作饲料等）</w:t>
            </w:r>
          </w:p>
        </w:tc>
      </w:tr>
      <w:tr w14:paraId="181C47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62F00549">
            <w:pPr>
              <w:pStyle w:val="143"/>
              <w:rPr>
                <w:snapToGrid w:val="0"/>
                <w:kern w:val="0"/>
                <w:lang w:val="en-US"/>
              </w:rPr>
            </w:pPr>
            <w:r>
              <w:rPr>
                <w:snapToGrid w:val="0"/>
                <w:kern w:val="0"/>
                <w:lang w:val="en-US"/>
              </w:rPr>
              <w:t>3.废硅藻土回收处置率</w:t>
            </w:r>
          </w:p>
        </w:tc>
        <w:tc>
          <w:tcPr>
            <w:tcW w:w="3803" w:type="pct"/>
            <w:gridSpan w:val="3"/>
            <w:vAlign w:val="center"/>
          </w:tcPr>
          <w:p w14:paraId="2D079CEF">
            <w:pPr>
              <w:pStyle w:val="143"/>
              <w:rPr>
                <w:snapToGrid w:val="0"/>
                <w:kern w:val="0"/>
                <w:lang w:val="en-US"/>
              </w:rPr>
            </w:pPr>
            <w:r>
              <w:rPr>
                <w:snapToGrid w:val="0"/>
                <w:kern w:val="0"/>
                <w:lang w:val="en-US"/>
              </w:rPr>
              <w:t>100%回收并妥善处置（填埋等）不直接排入下水道和环境中</w:t>
            </w:r>
          </w:p>
        </w:tc>
      </w:tr>
      <w:tr w14:paraId="0869D6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0FEB23D1">
            <w:pPr>
              <w:pStyle w:val="143"/>
              <w:rPr>
                <w:snapToGrid w:val="0"/>
                <w:kern w:val="0"/>
                <w:lang w:val="en-US"/>
              </w:rPr>
            </w:pPr>
            <w:r>
              <w:rPr>
                <w:snapToGrid w:val="0"/>
                <w:kern w:val="0"/>
                <w:lang w:val="en-US"/>
              </w:rPr>
              <w:t>4.炉渣回收利用率</w:t>
            </w:r>
          </w:p>
        </w:tc>
        <w:tc>
          <w:tcPr>
            <w:tcW w:w="1449" w:type="pct"/>
            <w:vAlign w:val="center"/>
          </w:tcPr>
          <w:p w14:paraId="4AC9B8A8">
            <w:pPr>
              <w:pStyle w:val="143"/>
              <w:rPr>
                <w:snapToGrid w:val="0"/>
                <w:kern w:val="0"/>
                <w:lang w:val="en-US"/>
              </w:rPr>
            </w:pPr>
            <w:r>
              <w:rPr>
                <w:snapToGrid w:val="0"/>
                <w:kern w:val="0"/>
                <w:lang w:val="en-US"/>
              </w:rPr>
              <w:t>100%回收并利用</w:t>
            </w:r>
          </w:p>
        </w:tc>
        <w:tc>
          <w:tcPr>
            <w:tcW w:w="2354" w:type="pct"/>
            <w:gridSpan w:val="2"/>
            <w:vAlign w:val="center"/>
          </w:tcPr>
          <w:p w14:paraId="37BDD38F">
            <w:pPr>
              <w:pStyle w:val="143"/>
              <w:rPr>
                <w:snapToGrid w:val="0"/>
                <w:kern w:val="0"/>
                <w:lang w:val="en-US"/>
              </w:rPr>
            </w:pPr>
            <w:r>
              <w:rPr>
                <w:snapToGrid w:val="0"/>
                <w:kern w:val="0"/>
                <w:lang w:val="en-US"/>
              </w:rPr>
              <w:t>100%回收并妥善处置</w:t>
            </w:r>
          </w:p>
        </w:tc>
      </w:tr>
      <w:tr w14:paraId="4E0F96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5F4BB779">
            <w:pPr>
              <w:pStyle w:val="143"/>
              <w:rPr>
                <w:snapToGrid w:val="0"/>
                <w:kern w:val="0"/>
                <w:lang w:val="en-US"/>
              </w:rPr>
            </w:pPr>
            <w:r>
              <w:rPr>
                <w:snapToGrid w:val="0"/>
                <w:kern w:val="0"/>
                <w:lang w:val="en-US"/>
              </w:rPr>
              <w:t>5.二氧化碳（发酵产生）回收利用率</w:t>
            </w:r>
          </w:p>
        </w:tc>
        <w:tc>
          <w:tcPr>
            <w:tcW w:w="2815" w:type="pct"/>
            <w:gridSpan w:val="2"/>
            <w:vAlign w:val="center"/>
          </w:tcPr>
          <w:p w14:paraId="76CA7F56">
            <w:pPr>
              <w:pStyle w:val="143"/>
              <w:rPr>
                <w:snapToGrid w:val="0"/>
                <w:kern w:val="0"/>
                <w:lang w:val="en-US"/>
              </w:rPr>
            </w:pPr>
            <w:r>
              <w:rPr>
                <w:snapToGrid w:val="0"/>
                <w:kern w:val="0"/>
                <w:lang w:val="en-US"/>
              </w:rPr>
              <w:t>回收并利用所有可回收的二氧化碳</w:t>
            </w:r>
          </w:p>
        </w:tc>
        <w:tc>
          <w:tcPr>
            <w:tcW w:w="988" w:type="pct"/>
            <w:vAlign w:val="center"/>
          </w:tcPr>
          <w:p w14:paraId="5183F30A">
            <w:pPr>
              <w:pStyle w:val="143"/>
              <w:rPr>
                <w:snapToGrid w:val="0"/>
                <w:kern w:val="0"/>
                <w:lang w:val="en-US"/>
              </w:rPr>
            </w:pPr>
            <w:r>
              <w:rPr>
                <w:snapToGrid w:val="0"/>
                <w:kern w:val="0"/>
                <w:lang w:val="en-US"/>
              </w:rPr>
              <w:t>50%以上回收并利用</w:t>
            </w:r>
          </w:p>
        </w:tc>
      </w:tr>
      <w:tr w14:paraId="648B47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vAlign w:val="center"/>
          </w:tcPr>
          <w:p w14:paraId="4710A4B3">
            <w:pPr>
              <w:pStyle w:val="143"/>
              <w:rPr>
                <w:snapToGrid w:val="0"/>
                <w:kern w:val="0"/>
                <w:lang w:val="en-US"/>
              </w:rPr>
            </w:pPr>
            <w:r>
              <w:rPr>
                <w:snapToGrid w:val="0"/>
                <w:kern w:val="0"/>
                <w:lang w:val="en-US"/>
              </w:rPr>
              <w:t>六、环境管理要求</w:t>
            </w:r>
          </w:p>
        </w:tc>
      </w:tr>
      <w:tr w14:paraId="122FE1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4E3B8B33">
            <w:pPr>
              <w:pStyle w:val="143"/>
              <w:rPr>
                <w:snapToGrid w:val="0"/>
                <w:kern w:val="0"/>
                <w:lang w:val="en-US"/>
              </w:rPr>
            </w:pPr>
            <w:r>
              <w:rPr>
                <w:snapToGrid w:val="0"/>
                <w:kern w:val="0"/>
                <w:lang w:val="en-US"/>
              </w:rPr>
              <w:t>1.环境法律法规标准</w:t>
            </w:r>
          </w:p>
        </w:tc>
        <w:tc>
          <w:tcPr>
            <w:tcW w:w="3803" w:type="pct"/>
            <w:gridSpan w:val="3"/>
            <w:vAlign w:val="center"/>
          </w:tcPr>
          <w:p w14:paraId="5D57F3C6">
            <w:pPr>
              <w:pStyle w:val="143"/>
              <w:jc w:val="both"/>
              <w:rPr>
                <w:snapToGrid w:val="0"/>
                <w:kern w:val="0"/>
                <w:lang w:val="en-US"/>
              </w:rPr>
            </w:pPr>
            <w:r>
              <w:rPr>
                <w:snapToGrid w:val="0"/>
                <w:kern w:val="0"/>
                <w:lang w:val="en-US"/>
              </w:rPr>
              <w:t>符合国家和地方有关环境法律、法规、污染物排放达到国家和地方排放标准、总量控制和排污许可证管理要求</w:t>
            </w:r>
          </w:p>
        </w:tc>
      </w:tr>
      <w:tr w14:paraId="46BFF2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51E5EFAC">
            <w:pPr>
              <w:pStyle w:val="143"/>
              <w:rPr>
                <w:snapToGrid w:val="0"/>
                <w:kern w:val="0"/>
                <w:lang w:val="en-US"/>
              </w:rPr>
            </w:pPr>
            <w:r>
              <w:rPr>
                <w:snapToGrid w:val="0"/>
                <w:kern w:val="0"/>
                <w:lang w:val="en-US"/>
              </w:rPr>
              <w:t>2.环境审核</w:t>
            </w:r>
          </w:p>
        </w:tc>
        <w:tc>
          <w:tcPr>
            <w:tcW w:w="1449" w:type="pct"/>
            <w:vAlign w:val="center"/>
          </w:tcPr>
          <w:p w14:paraId="7D28847B">
            <w:pPr>
              <w:pStyle w:val="143"/>
              <w:jc w:val="both"/>
              <w:rPr>
                <w:snapToGrid w:val="0"/>
                <w:kern w:val="0"/>
                <w:lang w:val="en-US"/>
              </w:rPr>
            </w:pPr>
            <w:r>
              <w:rPr>
                <w:snapToGrid w:val="0"/>
                <w:kern w:val="0"/>
                <w:lang w:val="en-US"/>
              </w:rPr>
              <w:t>按照啤酒制造业的企业清洁生产审核指南的要求进行了审核；按照GB/T24001建立并运行环境管理体系，环境管理手册、程序文件及作业文件齐备</w:t>
            </w:r>
          </w:p>
        </w:tc>
        <w:tc>
          <w:tcPr>
            <w:tcW w:w="1366" w:type="pct"/>
            <w:vAlign w:val="center"/>
          </w:tcPr>
          <w:p w14:paraId="166F4B36">
            <w:pPr>
              <w:pStyle w:val="143"/>
              <w:jc w:val="both"/>
              <w:rPr>
                <w:snapToGrid w:val="0"/>
                <w:kern w:val="0"/>
                <w:lang w:val="en-US"/>
              </w:rPr>
            </w:pPr>
            <w:r>
              <w:rPr>
                <w:snapToGrid w:val="0"/>
                <w:kern w:val="0"/>
                <w:lang w:val="en-US"/>
              </w:rPr>
              <w:t>按照啤酒制造业的企业清洁生产审核指南的要求进行了审核；环境管理制度健全，原始记录及统计数据齐全有效</w:t>
            </w:r>
          </w:p>
        </w:tc>
        <w:tc>
          <w:tcPr>
            <w:tcW w:w="988" w:type="pct"/>
            <w:vAlign w:val="center"/>
          </w:tcPr>
          <w:p w14:paraId="46A51914">
            <w:pPr>
              <w:pStyle w:val="143"/>
              <w:jc w:val="both"/>
              <w:rPr>
                <w:snapToGrid w:val="0"/>
                <w:kern w:val="0"/>
                <w:lang w:val="en-US"/>
              </w:rPr>
            </w:pPr>
            <w:r>
              <w:rPr>
                <w:snapToGrid w:val="0"/>
                <w:kern w:val="0"/>
                <w:lang w:val="en-US"/>
              </w:rPr>
              <w:t>按照啤酒制造业的企业清洁生产审核指南的要求进行了审核；环境管理制度、原始记录及统计数据基本齐全</w:t>
            </w:r>
          </w:p>
        </w:tc>
      </w:tr>
      <w:tr w14:paraId="70C976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4CC7EBDA">
            <w:pPr>
              <w:pStyle w:val="143"/>
              <w:rPr>
                <w:snapToGrid w:val="0"/>
                <w:kern w:val="0"/>
                <w:lang w:val="en-US"/>
              </w:rPr>
            </w:pPr>
            <w:r>
              <w:rPr>
                <w:snapToGrid w:val="0"/>
                <w:kern w:val="0"/>
                <w:lang w:val="en-US"/>
              </w:rPr>
              <w:t>3.生产过程环境管理</w:t>
            </w:r>
          </w:p>
        </w:tc>
        <w:tc>
          <w:tcPr>
            <w:tcW w:w="3803" w:type="pct"/>
            <w:gridSpan w:val="3"/>
            <w:vAlign w:val="center"/>
          </w:tcPr>
          <w:p w14:paraId="2CAFD6A0">
            <w:pPr>
              <w:pStyle w:val="143"/>
              <w:jc w:val="both"/>
              <w:rPr>
                <w:snapToGrid w:val="0"/>
                <w:kern w:val="0"/>
                <w:lang w:val="en-US"/>
              </w:rPr>
            </w:pPr>
            <w:r>
              <w:rPr>
                <w:snapToGrid w:val="0"/>
                <w:kern w:val="0"/>
                <w:lang w:val="en-US"/>
              </w:rPr>
              <w:t>有原材料、包装材料生产过程的质检制度和消耗定额管理，对能耗和物耗指标有考核，有健全的岗位操作规程和设备维护保养规程等</w:t>
            </w:r>
          </w:p>
        </w:tc>
      </w:tr>
      <w:tr w14:paraId="1BDC41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7BC43282">
            <w:pPr>
              <w:pStyle w:val="143"/>
              <w:rPr>
                <w:snapToGrid w:val="0"/>
                <w:kern w:val="0"/>
                <w:lang w:val="en-US"/>
              </w:rPr>
            </w:pPr>
            <w:r>
              <w:rPr>
                <w:snapToGrid w:val="0"/>
                <w:kern w:val="0"/>
                <w:lang w:val="en-US"/>
              </w:rPr>
              <w:t>4.废物处理处置</w:t>
            </w:r>
          </w:p>
        </w:tc>
        <w:tc>
          <w:tcPr>
            <w:tcW w:w="3803" w:type="pct"/>
            <w:gridSpan w:val="3"/>
            <w:vAlign w:val="center"/>
          </w:tcPr>
          <w:p w14:paraId="30D2A3A2">
            <w:pPr>
              <w:pStyle w:val="143"/>
              <w:rPr>
                <w:snapToGrid w:val="0"/>
                <w:kern w:val="0"/>
                <w:lang w:val="en-US"/>
              </w:rPr>
            </w:pPr>
            <w:r>
              <w:rPr>
                <w:snapToGrid w:val="0"/>
                <w:kern w:val="0"/>
                <w:lang w:val="en-US"/>
              </w:rPr>
              <w:t>污染控制设施配套齐全，并正常运行</w:t>
            </w:r>
          </w:p>
        </w:tc>
      </w:tr>
      <w:tr w14:paraId="55D4BE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97" w:type="pct"/>
            <w:vAlign w:val="center"/>
          </w:tcPr>
          <w:p w14:paraId="6BD598BC">
            <w:pPr>
              <w:pStyle w:val="143"/>
              <w:rPr>
                <w:snapToGrid w:val="0"/>
                <w:kern w:val="0"/>
                <w:lang w:val="en-US"/>
              </w:rPr>
            </w:pPr>
            <w:r>
              <w:rPr>
                <w:snapToGrid w:val="0"/>
                <w:kern w:val="0"/>
                <w:lang w:val="en-US"/>
              </w:rPr>
              <w:t>5.相关方环境管理</w:t>
            </w:r>
          </w:p>
        </w:tc>
        <w:tc>
          <w:tcPr>
            <w:tcW w:w="3803" w:type="pct"/>
            <w:gridSpan w:val="3"/>
            <w:vAlign w:val="center"/>
          </w:tcPr>
          <w:p w14:paraId="7C514BC5">
            <w:pPr>
              <w:pStyle w:val="143"/>
              <w:jc w:val="both"/>
              <w:rPr>
                <w:snapToGrid w:val="0"/>
                <w:kern w:val="0"/>
                <w:lang w:val="en-US"/>
              </w:rPr>
            </w:pPr>
            <w:r>
              <w:rPr>
                <w:snapToGrid w:val="0"/>
                <w:kern w:val="0"/>
                <w:lang w:val="en-US"/>
              </w:rPr>
              <w:t>购买有资质的原材料供应商的产品，对原材料供应商的产品质量、包装和运输等环节施加影响；危险废物送到有资质的企业进行处理</w:t>
            </w:r>
          </w:p>
        </w:tc>
      </w:tr>
      <w:tr w14:paraId="5DB218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vAlign w:val="center"/>
          </w:tcPr>
          <w:p w14:paraId="5DAD5566">
            <w:pPr>
              <w:pStyle w:val="143"/>
              <w:jc w:val="both"/>
              <w:rPr>
                <w:snapToGrid w:val="0"/>
                <w:kern w:val="0"/>
                <w:lang w:val="en-US"/>
              </w:rPr>
            </w:pPr>
            <w:r>
              <w:rPr>
                <w:snapToGrid w:val="0"/>
                <w:kern w:val="0"/>
                <w:lang w:val="en-US"/>
              </w:rPr>
              <w:t>注：*新建厂指本标准实施之日后建设的单位（包括改、扩、建），建设（包括改、扩、建）啤酒厂的建设时间，以环境影响评价报告书日期为准划分。对已建啤酒厂不受规模限制。</w:t>
            </w:r>
          </w:p>
        </w:tc>
      </w:tr>
      <w:bookmarkEnd w:id="166"/>
    </w:tbl>
    <w:p w14:paraId="62B2D377">
      <w:pPr>
        <w:pStyle w:val="7"/>
        <w:rPr>
          <w:color w:val="000000" w:themeColor="text1"/>
          <w14:textFill>
            <w14:solidFill>
              <w14:schemeClr w14:val="tx1"/>
            </w14:solidFill>
          </w14:textFill>
        </w:rPr>
      </w:pPr>
      <w:bookmarkStart w:id="167" w:name="bookmark139"/>
      <w:bookmarkEnd w:id="167"/>
      <w:bookmarkStart w:id="168" w:name="_Toc18953"/>
      <w:r>
        <w:rPr>
          <w:color w:val="000000" w:themeColor="text1"/>
          <w14:textFill>
            <w14:solidFill>
              <w14:schemeClr w14:val="tx1"/>
            </w14:solidFill>
          </w14:textFill>
        </w:rPr>
        <w:t>3.6.4.4清洁生产分析</w:t>
      </w:r>
      <w:bookmarkEnd w:id="168"/>
    </w:p>
    <w:p w14:paraId="01676A4E">
      <w:pPr>
        <w:pStyle w:val="85"/>
        <w:rPr>
          <w:color w:val="000000" w:themeColor="text1"/>
          <w14:textFill>
            <w14:solidFill>
              <w14:schemeClr w14:val="tx1"/>
            </w14:solidFill>
          </w14:textFill>
        </w:rPr>
      </w:pPr>
      <w:r>
        <w:rPr>
          <w:color w:val="000000" w:themeColor="text1"/>
          <w14:textFill>
            <w14:solidFill>
              <w14:schemeClr w14:val="tx1"/>
            </w14:solidFill>
          </w14:textFill>
        </w:rPr>
        <w:t>1、生产工艺与装备要求</w:t>
      </w:r>
    </w:p>
    <w:p w14:paraId="7765DF4A">
      <w:pPr>
        <w:pStyle w:val="85"/>
        <w:rPr>
          <w:color w:val="000000" w:themeColor="text1"/>
          <w14:textFill>
            <w14:solidFill>
              <w14:schemeClr w14:val="tx1"/>
            </w14:solidFill>
          </w14:textFill>
        </w:rPr>
      </w:pPr>
      <w:r>
        <w:rPr>
          <w:color w:val="000000" w:themeColor="text1"/>
          <w14:textFill>
            <w14:solidFill>
              <w14:schemeClr w14:val="tx1"/>
            </w14:solidFill>
          </w14:textFill>
        </w:rPr>
        <w:t>本项目工艺设备未选用《国务院关于发布〈促进产业结构调整暂行规定〉的通知》（国发〔2005〕40号）、《淘汰落后生产能力、工艺和产品的目录》第一批、第二批、第三批目录以及《部分工业行业淘汰落后生产工艺装备和产品指导目录（2010年本）》中列出的淘汰设备。本项目在满足绿色环保要求的前提下，设备选型上采用高效率的生产设备，生产工艺上采用新工艺和自动化技术，在提升质量保证的同时，通过提高生产能力而实现规模效益，可提高生产效率，降低成本，显著增强产品的市场竞争力。</w:t>
      </w:r>
    </w:p>
    <w:p w14:paraId="539B588D">
      <w:pPr>
        <w:pStyle w:val="85"/>
        <w:rPr>
          <w:color w:val="000000" w:themeColor="text1"/>
          <w14:textFill>
            <w14:solidFill>
              <w14:schemeClr w14:val="tx1"/>
            </w14:solidFill>
          </w14:textFill>
        </w:rPr>
      </w:pPr>
      <w:r>
        <w:rPr>
          <w:color w:val="000000" w:themeColor="text1"/>
          <w14:textFill>
            <w14:solidFill>
              <w14:schemeClr w14:val="tx1"/>
            </w14:solidFill>
          </w14:textFill>
        </w:rPr>
        <w:t>因此，本项目生产工艺与装备要求满足清洁生产要求。</w:t>
      </w:r>
    </w:p>
    <w:p w14:paraId="27C7065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2、啤酒行业清洁生产分级指标符合性分析</w:t>
      </w:r>
    </w:p>
    <w:p w14:paraId="40639818">
      <w:pPr>
        <w:pStyle w:val="85"/>
        <w:rPr>
          <w:color w:val="000000" w:themeColor="text1"/>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color w:val="000000" w:themeColor="text1"/>
          <w14:textFill>
            <w14:solidFill>
              <w14:schemeClr w14:val="tx1"/>
            </w14:solidFill>
          </w14:textFill>
        </w:rPr>
        <w:t>根据表</w:t>
      </w:r>
      <w:r>
        <w:rPr>
          <w:color w:val="000000" w:themeColor="text1"/>
          <w14:textFill>
            <w14:solidFill>
              <w14:schemeClr w14:val="tx1"/>
            </w14:solidFill>
          </w14:textFill>
        </w:rPr>
        <w:t>3-6-18</w:t>
      </w:r>
      <w:r>
        <w:rPr>
          <w:rFonts w:hint="eastAsia"/>
          <w:color w:val="000000" w:themeColor="text1"/>
          <w14:textFill>
            <w14:solidFill>
              <w14:schemeClr w14:val="tx1"/>
            </w14:solidFill>
          </w14:textFill>
        </w:rPr>
        <w:t>，本项目啤酒生产过程清洁生产指标对比详见下表。</w:t>
      </w:r>
    </w:p>
    <w:p w14:paraId="222594C6">
      <w:pPr>
        <w:pStyle w:val="206"/>
      </w:pPr>
      <w:r>
        <w:rPr>
          <w:lang w:val="en-US"/>
        </w:rPr>
        <w:t>表3-6-1</w:t>
      </w:r>
      <w:r>
        <w:rPr>
          <w:rFonts w:hint="eastAsia"/>
          <w:lang w:val="en-US" w:eastAsia="zh-CN"/>
        </w:rPr>
        <w:t>8</w:t>
      </w:r>
      <w:r>
        <w:rPr>
          <w:lang w:val="en-US"/>
        </w:rPr>
        <w:t xml:space="preserve"> </w:t>
      </w:r>
      <w:r>
        <w:rPr>
          <w:rFonts w:hint="eastAsia"/>
          <w:lang w:val="en-US" w:eastAsia="zh-CN"/>
        </w:rPr>
        <w:t>清洁生产对比</w:t>
      </w:r>
    </w:p>
    <w:tbl>
      <w:tblPr>
        <w:tblStyle w:val="41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70"/>
        <w:gridCol w:w="2702"/>
        <w:gridCol w:w="2487"/>
        <w:gridCol w:w="2094"/>
        <w:gridCol w:w="2404"/>
        <w:gridCol w:w="2401"/>
      </w:tblGrid>
      <w:tr w14:paraId="23814F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3DC651CE">
            <w:pPr>
              <w:pStyle w:val="143"/>
              <w:rPr>
                <w:snapToGrid/>
                <w:kern w:val="2"/>
                <w:lang w:val="en-US"/>
              </w:rPr>
            </w:pPr>
            <w:r>
              <w:rPr>
                <w:snapToGrid/>
                <w:kern w:val="2"/>
                <w:lang w:val="en-US"/>
              </w:rPr>
              <w:t>项目</w:t>
            </w:r>
          </w:p>
        </w:tc>
        <w:tc>
          <w:tcPr>
            <w:tcW w:w="968" w:type="pct"/>
            <w:vAlign w:val="center"/>
          </w:tcPr>
          <w:p w14:paraId="7C3D0E12">
            <w:pPr>
              <w:pStyle w:val="143"/>
              <w:rPr>
                <w:snapToGrid/>
                <w:kern w:val="2"/>
                <w:lang w:val="en-US"/>
              </w:rPr>
            </w:pPr>
            <w:r>
              <w:rPr>
                <w:snapToGrid/>
                <w:kern w:val="2"/>
                <w:lang w:val="en-US"/>
              </w:rPr>
              <w:t>一级</w:t>
            </w:r>
          </w:p>
        </w:tc>
        <w:tc>
          <w:tcPr>
            <w:tcW w:w="890" w:type="pct"/>
            <w:vAlign w:val="center"/>
          </w:tcPr>
          <w:p w14:paraId="4D51B842">
            <w:pPr>
              <w:pStyle w:val="143"/>
              <w:rPr>
                <w:snapToGrid/>
                <w:kern w:val="2"/>
                <w:lang w:val="en-US"/>
              </w:rPr>
            </w:pPr>
            <w:r>
              <w:rPr>
                <w:snapToGrid/>
                <w:kern w:val="2"/>
                <w:lang w:val="en-US"/>
              </w:rPr>
              <w:t>二级</w:t>
            </w:r>
          </w:p>
        </w:tc>
        <w:tc>
          <w:tcPr>
            <w:tcW w:w="750" w:type="pct"/>
            <w:vAlign w:val="center"/>
          </w:tcPr>
          <w:p w14:paraId="53168F39">
            <w:pPr>
              <w:pStyle w:val="143"/>
              <w:rPr>
                <w:snapToGrid/>
                <w:kern w:val="2"/>
                <w:lang w:val="en-US"/>
              </w:rPr>
            </w:pPr>
            <w:r>
              <w:rPr>
                <w:snapToGrid/>
                <w:kern w:val="2"/>
                <w:lang w:val="en-US"/>
              </w:rPr>
              <w:t>三级</w:t>
            </w:r>
          </w:p>
        </w:tc>
        <w:tc>
          <w:tcPr>
            <w:tcW w:w="861" w:type="pct"/>
            <w:vAlign w:val="center"/>
          </w:tcPr>
          <w:p w14:paraId="680CEA71">
            <w:pPr>
              <w:pStyle w:val="143"/>
              <w:rPr>
                <w:snapToGrid w:val="0"/>
                <w:kern w:val="0"/>
                <w:lang w:val="en-US"/>
              </w:rPr>
            </w:pPr>
            <w:r>
              <w:rPr>
                <w:rFonts w:hint="eastAsia"/>
                <w:snapToGrid w:val="0"/>
                <w:kern w:val="0"/>
                <w:lang w:val="en-US" w:eastAsia="zh-CN"/>
              </w:rPr>
              <w:t>本项目情况</w:t>
            </w:r>
          </w:p>
        </w:tc>
        <w:tc>
          <w:tcPr>
            <w:tcW w:w="859" w:type="pct"/>
            <w:vAlign w:val="center"/>
          </w:tcPr>
          <w:p w14:paraId="280DB0D5">
            <w:pPr>
              <w:pStyle w:val="143"/>
              <w:rPr>
                <w:snapToGrid w:val="0"/>
                <w:kern w:val="0"/>
                <w:lang w:val="en-US" w:eastAsia="zh-CN"/>
              </w:rPr>
            </w:pPr>
            <w:r>
              <w:rPr>
                <w:rFonts w:hint="eastAsia"/>
                <w:snapToGrid w:val="0"/>
                <w:kern w:val="0"/>
                <w:lang w:val="en-US" w:eastAsia="zh-CN"/>
              </w:rPr>
              <w:t>清洁生产等级</w:t>
            </w:r>
          </w:p>
        </w:tc>
      </w:tr>
      <w:tr w14:paraId="3FB0DE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6"/>
            <w:vAlign w:val="center"/>
          </w:tcPr>
          <w:p w14:paraId="7CCD3C72">
            <w:pPr>
              <w:pStyle w:val="143"/>
              <w:rPr>
                <w:snapToGrid w:val="0"/>
                <w:kern w:val="0"/>
                <w:lang w:val="en-US"/>
              </w:rPr>
            </w:pPr>
            <w:r>
              <w:rPr>
                <w:snapToGrid/>
                <w:kern w:val="2"/>
                <w:lang w:val="en-US"/>
              </w:rPr>
              <w:t>一、生产工艺与装备要求</w:t>
            </w:r>
          </w:p>
        </w:tc>
      </w:tr>
      <w:tr w14:paraId="35346C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7F61ACDA">
            <w:pPr>
              <w:pStyle w:val="143"/>
              <w:rPr>
                <w:snapToGrid/>
                <w:kern w:val="2"/>
                <w:lang w:val="en-US"/>
              </w:rPr>
            </w:pPr>
            <w:r>
              <w:rPr>
                <w:snapToGrid/>
                <w:kern w:val="2"/>
                <w:lang w:val="en-US"/>
              </w:rPr>
              <w:t>1.工艺</w:t>
            </w:r>
          </w:p>
        </w:tc>
        <w:tc>
          <w:tcPr>
            <w:tcW w:w="2609" w:type="pct"/>
            <w:gridSpan w:val="3"/>
            <w:vAlign w:val="center"/>
          </w:tcPr>
          <w:p w14:paraId="613123B9">
            <w:pPr>
              <w:pStyle w:val="143"/>
              <w:rPr>
                <w:snapToGrid/>
                <w:kern w:val="2"/>
                <w:lang w:val="en-US"/>
              </w:rPr>
            </w:pPr>
            <w:r>
              <w:rPr>
                <w:snapToGrid/>
                <w:kern w:val="2"/>
                <w:lang w:val="en-US"/>
              </w:rPr>
              <w:t>罐体密闭发酵法</w:t>
            </w:r>
          </w:p>
        </w:tc>
        <w:tc>
          <w:tcPr>
            <w:tcW w:w="861" w:type="pct"/>
            <w:vAlign w:val="center"/>
          </w:tcPr>
          <w:p w14:paraId="239256F5">
            <w:pPr>
              <w:pStyle w:val="143"/>
              <w:rPr>
                <w:snapToGrid w:val="0"/>
                <w:kern w:val="0"/>
                <w:lang w:val="en-US"/>
              </w:rPr>
            </w:pPr>
            <w:r>
              <w:rPr>
                <w:snapToGrid w:val="0"/>
                <w:kern w:val="0"/>
                <w:lang w:val="en-US"/>
              </w:rPr>
              <w:t>罐体密闭发酵法</w:t>
            </w:r>
          </w:p>
        </w:tc>
        <w:tc>
          <w:tcPr>
            <w:tcW w:w="859" w:type="pct"/>
            <w:vAlign w:val="center"/>
          </w:tcPr>
          <w:p w14:paraId="2FC05D41">
            <w:pPr>
              <w:pStyle w:val="143"/>
              <w:rPr>
                <w:snapToGrid w:val="0"/>
                <w:kern w:val="0"/>
                <w:lang w:val="en-US"/>
              </w:rPr>
            </w:pPr>
            <w:r>
              <w:rPr>
                <w:rFonts w:hint="eastAsia"/>
                <w:snapToGrid w:val="0"/>
                <w:kern w:val="0"/>
                <w:lang w:val="en-US" w:eastAsia="zh-CN"/>
              </w:rPr>
              <w:t>一级</w:t>
            </w:r>
          </w:p>
        </w:tc>
      </w:tr>
      <w:tr w14:paraId="5B747F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3728450F">
            <w:pPr>
              <w:pStyle w:val="143"/>
              <w:rPr>
                <w:snapToGrid/>
                <w:kern w:val="2"/>
                <w:lang w:val="en-US"/>
              </w:rPr>
            </w:pPr>
            <w:r>
              <w:rPr>
                <w:snapToGrid/>
                <w:kern w:val="2"/>
                <w:lang w:val="en-US"/>
              </w:rPr>
              <w:t>2.规模</w:t>
            </w:r>
          </w:p>
        </w:tc>
        <w:tc>
          <w:tcPr>
            <w:tcW w:w="968" w:type="pct"/>
            <w:vAlign w:val="center"/>
          </w:tcPr>
          <w:p w14:paraId="1EEE2A71">
            <w:pPr>
              <w:pStyle w:val="143"/>
              <w:rPr>
                <w:snapToGrid/>
                <w:kern w:val="2"/>
                <w:lang w:val="en-US"/>
              </w:rPr>
            </w:pPr>
            <w:r>
              <w:rPr>
                <w:snapToGrid/>
                <w:kern w:val="2"/>
                <w:lang w:val="en-US"/>
              </w:rPr>
              <w:t>10万t（新建厂）*</w:t>
            </w:r>
          </w:p>
        </w:tc>
        <w:tc>
          <w:tcPr>
            <w:tcW w:w="890" w:type="pct"/>
            <w:vAlign w:val="center"/>
          </w:tcPr>
          <w:p w14:paraId="31DEEA4C">
            <w:pPr>
              <w:pStyle w:val="143"/>
              <w:rPr>
                <w:snapToGrid/>
                <w:kern w:val="2"/>
                <w:lang w:val="en-US"/>
              </w:rPr>
            </w:pPr>
            <w:r>
              <w:rPr>
                <w:snapToGrid/>
                <w:kern w:val="2"/>
                <w:lang w:val="en-US"/>
              </w:rPr>
              <w:t>5万t（新建厂）*</w:t>
            </w:r>
          </w:p>
        </w:tc>
        <w:tc>
          <w:tcPr>
            <w:tcW w:w="750" w:type="pct"/>
            <w:vAlign w:val="center"/>
          </w:tcPr>
          <w:p w14:paraId="4FCF36C2">
            <w:pPr>
              <w:pStyle w:val="143"/>
              <w:rPr>
                <w:snapToGrid/>
                <w:kern w:val="2"/>
                <w:lang w:val="en-US"/>
              </w:rPr>
            </w:pPr>
            <w:r>
              <w:rPr>
                <w:snapToGrid/>
                <w:kern w:val="2"/>
                <w:lang w:val="en-US"/>
              </w:rPr>
              <w:t>—</w:t>
            </w:r>
          </w:p>
        </w:tc>
        <w:tc>
          <w:tcPr>
            <w:tcW w:w="861" w:type="pct"/>
            <w:vAlign w:val="center"/>
          </w:tcPr>
          <w:p w14:paraId="7884CB0D">
            <w:pPr>
              <w:pStyle w:val="143"/>
              <w:rPr>
                <w:snapToGrid w:val="0"/>
                <w:kern w:val="0"/>
                <w:lang w:val="en-US"/>
              </w:rPr>
            </w:pPr>
            <w:r>
              <w:rPr>
                <w:rFonts w:hint="eastAsia"/>
                <w:snapToGrid w:val="0"/>
                <w:kern w:val="0"/>
                <w:lang w:val="en-US" w:eastAsia="zh-CN"/>
              </w:rPr>
              <w:t>3万k</w:t>
            </w:r>
            <w:r>
              <w:rPr>
                <w:snapToGrid w:val="0"/>
                <w:kern w:val="0"/>
                <w:lang w:val="en-US"/>
              </w:rPr>
              <w:t>L</w:t>
            </w:r>
          </w:p>
        </w:tc>
        <w:tc>
          <w:tcPr>
            <w:tcW w:w="859" w:type="pct"/>
            <w:vAlign w:val="center"/>
          </w:tcPr>
          <w:p w14:paraId="308949AB">
            <w:pPr>
              <w:pStyle w:val="143"/>
              <w:rPr>
                <w:snapToGrid w:val="0"/>
                <w:kern w:val="0"/>
                <w:lang w:val="en-US" w:eastAsia="zh-CN"/>
              </w:rPr>
            </w:pPr>
            <w:r>
              <w:rPr>
                <w:rFonts w:hint="eastAsia"/>
                <w:snapToGrid w:val="0"/>
                <w:kern w:val="0"/>
                <w:lang w:val="en-US" w:eastAsia="zh-CN"/>
              </w:rPr>
              <w:t>三级</w:t>
            </w:r>
          </w:p>
        </w:tc>
      </w:tr>
      <w:tr w14:paraId="1A0CC9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restart"/>
            <w:vAlign w:val="center"/>
          </w:tcPr>
          <w:p w14:paraId="1F4A49DA">
            <w:pPr>
              <w:pStyle w:val="143"/>
              <w:rPr>
                <w:snapToGrid/>
                <w:kern w:val="2"/>
                <w:lang w:val="en-US"/>
              </w:rPr>
            </w:pPr>
            <w:r>
              <w:rPr>
                <w:snapToGrid/>
                <w:kern w:val="2"/>
                <w:lang w:val="en-US"/>
              </w:rPr>
              <w:t>3.糖化</w:t>
            </w:r>
          </w:p>
        </w:tc>
        <w:tc>
          <w:tcPr>
            <w:tcW w:w="2609" w:type="pct"/>
            <w:gridSpan w:val="3"/>
            <w:vAlign w:val="center"/>
          </w:tcPr>
          <w:p w14:paraId="7FFFF952">
            <w:pPr>
              <w:pStyle w:val="143"/>
              <w:rPr>
                <w:snapToGrid/>
                <w:kern w:val="2"/>
                <w:lang w:val="en-US"/>
              </w:rPr>
            </w:pPr>
            <w:r>
              <w:rPr>
                <w:snapToGrid/>
                <w:kern w:val="2"/>
                <w:lang w:val="en-US"/>
              </w:rPr>
              <w:t>粉碎工段有粉尘回收装置，或采用增湿粉碎</w:t>
            </w:r>
          </w:p>
        </w:tc>
        <w:tc>
          <w:tcPr>
            <w:tcW w:w="861" w:type="pct"/>
            <w:vAlign w:val="center"/>
          </w:tcPr>
          <w:p w14:paraId="47141E30">
            <w:pPr>
              <w:pStyle w:val="143"/>
              <w:rPr>
                <w:snapToGrid w:val="0"/>
                <w:kern w:val="0"/>
                <w:lang w:val="en-US"/>
              </w:rPr>
            </w:pPr>
            <w:r>
              <w:rPr>
                <w:snapToGrid w:val="0"/>
                <w:kern w:val="0"/>
                <w:lang w:val="en-US"/>
              </w:rPr>
              <w:t>粉碎工段</w:t>
            </w:r>
            <w:r>
              <w:rPr>
                <w:rFonts w:hint="eastAsia"/>
                <w:snapToGrid w:val="0"/>
                <w:kern w:val="0"/>
                <w:lang w:val="en-US" w:eastAsia="zh-CN"/>
              </w:rPr>
              <w:t>，</w:t>
            </w:r>
            <w:r>
              <w:rPr>
                <w:snapToGrid w:val="0"/>
                <w:kern w:val="0"/>
                <w:lang w:val="en-US" w:eastAsia="zh-CN"/>
              </w:rPr>
              <w:t>采用增湿粉碎</w:t>
            </w:r>
            <w:r>
              <w:rPr>
                <w:rFonts w:hint="eastAsia"/>
                <w:snapToGrid w:val="0"/>
                <w:kern w:val="0"/>
                <w:lang w:val="en-US" w:eastAsia="zh-CN"/>
              </w:rPr>
              <w:t>且</w:t>
            </w:r>
            <w:r>
              <w:rPr>
                <w:snapToGrid w:val="0"/>
                <w:kern w:val="0"/>
                <w:lang w:val="en-US"/>
              </w:rPr>
              <w:t>有粉尘回收装置</w:t>
            </w:r>
          </w:p>
        </w:tc>
        <w:tc>
          <w:tcPr>
            <w:tcW w:w="859" w:type="pct"/>
            <w:vAlign w:val="center"/>
          </w:tcPr>
          <w:p w14:paraId="1CA2E29B">
            <w:pPr>
              <w:pStyle w:val="143"/>
              <w:rPr>
                <w:snapToGrid w:val="0"/>
                <w:kern w:val="0"/>
                <w:lang w:val="en-US"/>
              </w:rPr>
            </w:pPr>
            <w:r>
              <w:rPr>
                <w:rFonts w:hint="eastAsia"/>
                <w:snapToGrid w:val="0"/>
                <w:kern w:val="0"/>
                <w:lang w:val="en-US"/>
              </w:rPr>
              <w:t>一级</w:t>
            </w:r>
          </w:p>
        </w:tc>
      </w:tr>
      <w:tr w14:paraId="6A30ED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77A5D565">
            <w:pPr>
              <w:pStyle w:val="143"/>
              <w:rPr>
                <w:snapToGrid/>
                <w:kern w:val="2"/>
                <w:lang w:val="en-US"/>
              </w:rPr>
            </w:pPr>
          </w:p>
        </w:tc>
        <w:tc>
          <w:tcPr>
            <w:tcW w:w="2609" w:type="pct"/>
            <w:gridSpan w:val="3"/>
            <w:vAlign w:val="center"/>
          </w:tcPr>
          <w:p w14:paraId="2FF8786E">
            <w:pPr>
              <w:pStyle w:val="143"/>
              <w:rPr>
                <w:snapToGrid/>
                <w:kern w:val="2"/>
                <w:lang w:val="en-US"/>
              </w:rPr>
            </w:pPr>
            <w:r>
              <w:rPr>
                <w:snapToGrid/>
                <w:kern w:val="2"/>
                <w:lang w:val="en-US"/>
              </w:rPr>
              <w:t>麦汁过滤采用干排糟技术</w:t>
            </w:r>
          </w:p>
        </w:tc>
        <w:tc>
          <w:tcPr>
            <w:tcW w:w="861" w:type="pct"/>
            <w:vAlign w:val="center"/>
          </w:tcPr>
          <w:p w14:paraId="77B08E6B">
            <w:pPr>
              <w:pStyle w:val="143"/>
              <w:rPr>
                <w:snapToGrid w:val="0"/>
                <w:kern w:val="0"/>
                <w:lang w:val="en-US"/>
              </w:rPr>
            </w:pPr>
            <w:r>
              <w:rPr>
                <w:snapToGrid w:val="0"/>
                <w:kern w:val="0"/>
                <w:lang w:val="en-US"/>
              </w:rPr>
              <w:t>麦汁过滤采用干排糟技术</w:t>
            </w:r>
          </w:p>
        </w:tc>
        <w:tc>
          <w:tcPr>
            <w:tcW w:w="859" w:type="pct"/>
            <w:vAlign w:val="center"/>
          </w:tcPr>
          <w:p w14:paraId="269F41A4">
            <w:pPr>
              <w:pStyle w:val="143"/>
              <w:rPr>
                <w:snapToGrid w:val="0"/>
                <w:kern w:val="0"/>
                <w:lang w:val="en-US"/>
              </w:rPr>
            </w:pPr>
            <w:r>
              <w:rPr>
                <w:rFonts w:hint="eastAsia"/>
                <w:snapToGrid w:val="0"/>
                <w:kern w:val="0"/>
                <w:lang w:val="en-US"/>
              </w:rPr>
              <w:t>一级</w:t>
            </w:r>
          </w:p>
        </w:tc>
      </w:tr>
      <w:tr w14:paraId="5A16CD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721FA324">
            <w:pPr>
              <w:pStyle w:val="143"/>
              <w:rPr>
                <w:snapToGrid/>
                <w:kern w:val="2"/>
                <w:lang w:val="en-US"/>
              </w:rPr>
            </w:pPr>
          </w:p>
        </w:tc>
        <w:tc>
          <w:tcPr>
            <w:tcW w:w="968" w:type="pct"/>
            <w:vAlign w:val="center"/>
          </w:tcPr>
          <w:p w14:paraId="42C29BD5">
            <w:pPr>
              <w:pStyle w:val="143"/>
              <w:rPr>
                <w:snapToGrid/>
                <w:kern w:val="2"/>
                <w:lang w:val="en-US"/>
              </w:rPr>
            </w:pPr>
            <w:r>
              <w:rPr>
                <w:snapToGrid/>
                <w:kern w:val="2"/>
                <w:lang w:val="en-US"/>
              </w:rPr>
              <w:t>煮沸锅配备二次蒸汽回收装备</w:t>
            </w:r>
          </w:p>
        </w:tc>
        <w:tc>
          <w:tcPr>
            <w:tcW w:w="1640" w:type="pct"/>
            <w:gridSpan w:val="2"/>
            <w:vAlign w:val="center"/>
          </w:tcPr>
          <w:p w14:paraId="3EE108AE">
            <w:pPr>
              <w:pStyle w:val="143"/>
              <w:rPr>
                <w:snapToGrid/>
                <w:kern w:val="2"/>
                <w:lang w:val="en-US"/>
              </w:rPr>
            </w:pPr>
            <w:r>
              <w:rPr>
                <w:snapToGrid/>
                <w:kern w:val="2"/>
                <w:lang w:val="en-US"/>
              </w:rPr>
              <w:t>—</w:t>
            </w:r>
          </w:p>
        </w:tc>
        <w:tc>
          <w:tcPr>
            <w:tcW w:w="861" w:type="pct"/>
            <w:vAlign w:val="center"/>
          </w:tcPr>
          <w:p w14:paraId="0498F96B">
            <w:pPr>
              <w:pStyle w:val="143"/>
              <w:rPr>
                <w:snapToGrid w:val="0"/>
                <w:kern w:val="0"/>
                <w:lang w:val="en-US" w:eastAsia="zh-CN"/>
              </w:rPr>
            </w:pPr>
            <w:r>
              <w:rPr>
                <w:snapToGrid w:val="0"/>
                <w:kern w:val="0"/>
                <w:lang w:val="en-US" w:eastAsia="zh-CN"/>
              </w:rPr>
              <w:t>—</w:t>
            </w:r>
          </w:p>
        </w:tc>
        <w:tc>
          <w:tcPr>
            <w:tcW w:w="859" w:type="pct"/>
            <w:vAlign w:val="center"/>
          </w:tcPr>
          <w:p w14:paraId="6A830132">
            <w:pPr>
              <w:pStyle w:val="143"/>
              <w:rPr>
                <w:snapToGrid w:val="0"/>
                <w:kern w:val="0"/>
                <w:lang w:val="en-US"/>
              </w:rPr>
            </w:pPr>
            <w:r>
              <w:rPr>
                <w:rFonts w:hint="eastAsia"/>
                <w:snapToGrid w:val="0"/>
                <w:kern w:val="0"/>
                <w:lang w:val="en-US" w:eastAsia="zh-CN"/>
              </w:rPr>
              <w:t>二级</w:t>
            </w:r>
          </w:p>
        </w:tc>
      </w:tr>
      <w:tr w14:paraId="6B76C9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37E711AE">
            <w:pPr>
              <w:pStyle w:val="143"/>
              <w:rPr>
                <w:snapToGrid/>
                <w:kern w:val="2"/>
                <w:lang w:val="en-US"/>
              </w:rPr>
            </w:pPr>
          </w:p>
        </w:tc>
        <w:tc>
          <w:tcPr>
            <w:tcW w:w="2609" w:type="pct"/>
            <w:gridSpan w:val="3"/>
            <w:vAlign w:val="center"/>
          </w:tcPr>
          <w:p w14:paraId="369E2178">
            <w:pPr>
              <w:pStyle w:val="143"/>
              <w:rPr>
                <w:snapToGrid/>
                <w:kern w:val="2"/>
                <w:lang w:val="en-US"/>
              </w:rPr>
            </w:pPr>
            <w:r>
              <w:rPr>
                <w:snapToGrid/>
                <w:kern w:val="2"/>
                <w:lang w:val="en-US"/>
              </w:rPr>
              <w:t>麦汁冷却采用一段冷却技术</w:t>
            </w:r>
          </w:p>
        </w:tc>
        <w:tc>
          <w:tcPr>
            <w:tcW w:w="861" w:type="pct"/>
            <w:vAlign w:val="center"/>
          </w:tcPr>
          <w:p w14:paraId="0DB5FA3D">
            <w:pPr>
              <w:pStyle w:val="143"/>
              <w:rPr>
                <w:snapToGrid w:val="0"/>
                <w:kern w:val="0"/>
                <w:lang w:val="en-US"/>
              </w:rPr>
            </w:pPr>
            <w:r>
              <w:rPr>
                <w:snapToGrid/>
                <w:kern w:val="2"/>
                <w:lang w:val="en-US"/>
              </w:rPr>
              <w:t>麦汁冷却采用一段冷却技术</w:t>
            </w:r>
          </w:p>
        </w:tc>
        <w:tc>
          <w:tcPr>
            <w:tcW w:w="859" w:type="pct"/>
            <w:vAlign w:val="center"/>
          </w:tcPr>
          <w:p w14:paraId="1304C065">
            <w:pPr>
              <w:pStyle w:val="143"/>
              <w:rPr>
                <w:snapToGrid w:val="0"/>
                <w:kern w:val="0"/>
                <w:lang w:val="en-US"/>
              </w:rPr>
            </w:pPr>
            <w:r>
              <w:rPr>
                <w:rFonts w:hint="eastAsia"/>
                <w:snapToGrid w:val="0"/>
                <w:kern w:val="0"/>
                <w:lang w:val="en-US"/>
              </w:rPr>
              <w:t>一级</w:t>
            </w:r>
          </w:p>
        </w:tc>
      </w:tr>
      <w:tr w14:paraId="643617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47208D42">
            <w:pPr>
              <w:pStyle w:val="143"/>
              <w:rPr>
                <w:snapToGrid/>
                <w:kern w:val="2"/>
                <w:lang w:val="en-US"/>
              </w:rPr>
            </w:pPr>
          </w:p>
        </w:tc>
        <w:tc>
          <w:tcPr>
            <w:tcW w:w="2609" w:type="pct"/>
            <w:gridSpan w:val="3"/>
            <w:vAlign w:val="center"/>
          </w:tcPr>
          <w:p w14:paraId="46D7E9EE">
            <w:pPr>
              <w:pStyle w:val="143"/>
              <w:rPr>
                <w:snapToGrid/>
                <w:kern w:val="2"/>
                <w:lang w:val="en-US"/>
              </w:rPr>
            </w:pPr>
            <w:r>
              <w:rPr>
                <w:snapToGrid/>
                <w:kern w:val="2"/>
                <w:lang w:val="en-US"/>
              </w:rPr>
              <w:t>清洗采用CIP清洗技术</w:t>
            </w:r>
          </w:p>
        </w:tc>
        <w:tc>
          <w:tcPr>
            <w:tcW w:w="861" w:type="pct"/>
            <w:vAlign w:val="center"/>
          </w:tcPr>
          <w:p w14:paraId="5207742E">
            <w:pPr>
              <w:pStyle w:val="143"/>
              <w:rPr>
                <w:snapToGrid w:val="0"/>
                <w:kern w:val="0"/>
                <w:lang w:val="en-US"/>
              </w:rPr>
            </w:pPr>
            <w:r>
              <w:rPr>
                <w:snapToGrid/>
                <w:kern w:val="2"/>
                <w:lang w:val="en-US"/>
              </w:rPr>
              <w:t>清洗采用CIP清洗技术</w:t>
            </w:r>
          </w:p>
        </w:tc>
        <w:tc>
          <w:tcPr>
            <w:tcW w:w="859" w:type="pct"/>
            <w:vAlign w:val="center"/>
          </w:tcPr>
          <w:p w14:paraId="4612C56E">
            <w:pPr>
              <w:pStyle w:val="143"/>
              <w:rPr>
                <w:snapToGrid w:val="0"/>
                <w:kern w:val="0"/>
                <w:lang w:val="en-US"/>
              </w:rPr>
            </w:pPr>
            <w:r>
              <w:rPr>
                <w:rFonts w:hint="eastAsia"/>
                <w:snapToGrid w:val="0"/>
                <w:kern w:val="0"/>
                <w:lang w:val="en-US"/>
              </w:rPr>
              <w:t>一级</w:t>
            </w:r>
          </w:p>
        </w:tc>
      </w:tr>
      <w:tr w14:paraId="418232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0A3D7EC8">
            <w:pPr>
              <w:pStyle w:val="143"/>
              <w:rPr>
                <w:snapToGrid/>
                <w:kern w:val="2"/>
                <w:lang w:val="en-US"/>
              </w:rPr>
            </w:pPr>
          </w:p>
        </w:tc>
        <w:tc>
          <w:tcPr>
            <w:tcW w:w="2609" w:type="pct"/>
            <w:gridSpan w:val="3"/>
            <w:vAlign w:val="center"/>
          </w:tcPr>
          <w:p w14:paraId="743572CE">
            <w:pPr>
              <w:pStyle w:val="143"/>
              <w:rPr>
                <w:snapToGrid/>
                <w:kern w:val="2"/>
                <w:lang w:val="en-US"/>
              </w:rPr>
            </w:pPr>
            <w:r>
              <w:rPr>
                <w:snapToGrid/>
                <w:kern w:val="2"/>
                <w:lang w:val="en-US"/>
              </w:rPr>
              <w:t>配置冷凝水回收系统</w:t>
            </w:r>
          </w:p>
        </w:tc>
        <w:tc>
          <w:tcPr>
            <w:tcW w:w="861" w:type="pct"/>
            <w:vAlign w:val="center"/>
          </w:tcPr>
          <w:p w14:paraId="57026A3C">
            <w:pPr>
              <w:pStyle w:val="143"/>
              <w:rPr>
                <w:snapToGrid w:val="0"/>
                <w:kern w:val="0"/>
                <w:lang w:val="en-US"/>
              </w:rPr>
            </w:pPr>
            <w:r>
              <w:rPr>
                <w:snapToGrid/>
                <w:kern w:val="2"/>
                <w:lang w:val="en-US"/>
              </w:rPr>
              <w:t>配置冷凝水回收系统</w:t>
            </w:r>
          </w:p>
        </w:tc>
        <w:tc>
          <w:tcPr>
            <w:tcW w:w="859" w:type="pct"/>
            <w:vAlign w:val="center"/>
          </w:tcPr>
          <w:p w14:paraId="2D11BBF4">
            <w:pPr>
              <w:pStyle w:val="143"/>
              <w:rPr>
                <w:snapToGrid w:val="0"/>
                <w:kern w:val="0"/>
                <w:lang w:val="en-US"/>
              </w:rPr>
            </w:pPr>
            <w:r>
              <w:rPr>
                <w:rFonts w:hint="eastAsia"/>
                <w:snapToGrid w:val="0"/>
                <w:kern w:val="0"/>
                <w:lang w:val="en-US"/>
              </w:rPr>
              <w:t>一级</w:t>
            </w:r>
          </w:p>
        </w:tc>
      </w:tr>
      <w:tr w14:paraId="76A840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3AE5FCA9">
            <w:pPr>
              <w:pStyle w:val="143"/>
              <w:rPr>
                <w:snapToGrid/>
                <w:kern w:val="2"/>
                <w:lang w:val="en-US"/>
              </w:rPr>
            </w:pPr>
          </w:p>
        </w:tc>
        <w:tc>
          <w:tcPr>
            <w:tcW w:w="968" w:type="pct"/>
            <w:vAlign w:val="center"/>
          </w:tcPr>
          <w:p w14:paraId="241AB7F6">
            <w:pPr>
              <w:pStyle w:val="143"/>
              <w:rPr>
                <w:snapToGrid/>
                <w:kern w:val="2"/>
                <w:lang w:val="en-US"/>
              </w:rPr>
            </w:pPr>
            <w:r>
              <w:rPr>
                <w:snapToGrid/>
                <w:kern w:val="2"/>
                <w:lang w:val="en-US"/>
              </w:rPr>
              <w:t>配置热凝固物回收系统</w:t>
            </w:r>
          </w:p>
        </w:tc>
        <w:tc>
          <w:tcPr>
            <w:tcW w:w="1640" w:type="pct"/>
            <w:gridSpan w:val="2"/>
            <w:vAlign w:val="center"/>
          </w:tcPr>
          <w:p w14:paraId="301026AB">
            <w:pPr>
              <w:pStyle w:val="143"/>
              <w:rPr>
                <w:snapToGrid/>
                <w:kern w:val="2"/>
                <w:lang w:val="en-US"/>
              </w:rPr>
            </w:pPr>
            <w:r>
              <w:rPr>
                <w:snapToGrid/>
                <w:kern w:val="2"/>
                <w:lang w:val="en-US"/>
              </w:rPr>
              <w:t>—</w:t>
            </w:r>
          </w:p>
        </w:tc>
        <w:tc>
          <w:tcPr>
            <w:tcW w:w="861" w:type="pct"/>
            <w:vAlign w:val="center"/>
          </w:tcPr>
          <w:p w14:paraId="604ADDB2">
            <w:pPr>
              <w:pStyle w:val="143"/>
              <w:rPr>
                <w:snapToGrid w:val="0"/>
                <w:kern w:val="0"/>
                <w:lang w:val="en-US"/>
              </w:rPr>
            </w:pPr>
            <w:r>
              <w:rPr>
                <w:snapToGrid w:val="0"/>
                <w:kern w:val="0"/>
                <w:lang w:val="en-US"/>
              </w:rPr>
              <w:t>配置热凝固物回收系统</w:t>
            </w:r>
          </w:p>
        </w:tc>
        <w:tc>
          <w:tcPr>
            <w:tcW w:w="859" w:type="pct"/>
            <w:vAlign w:val="center"/>
          </w:tcPr>
          <w:p w14:paraId="4E5131CE">
            <w:pPr>
              <w:pStyle w:val="143"/>
              <w:rPr>
                <w:snapToGrid w:val="0"/>
                <w:kern w:val="0"/>
                <w:lang w:val="en-US"/>
              </w:rPr>
            </w:pPr>
            <w:r>
              <w:rPr>
                <w:rFonts w:hint="eastAsia"/>
                <w:snapToGrid w:val="0"/>
                <w:kern w:val="0"/>
                <w:lang w:val="en-US"/>
              </w:rPr>
              <w:t>一级</w:t>
            </w:r>
          </w:p>
        </w:tc>
      </w:tr>
      <w:tr w14:paraId="3E21F0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restart"/>
            <w:vAlign w:val="center"/>
          </w:tcPr>
          <w:p w14:paraId="2FCC6654">
            <w:pPr>
              <w:pStyle w:val="143"/>
              <w:rPr>
                <w:snapToGrid/>
                <w:kern w:val="2"/>
                <w:lang w:val="en-US"/>
              </w:rPr>
            </w:pPr>
            <w:r>
              <w:rPr>
                <w:snapToGrid/>
                <w:kern w:val="2"/>
                <w:lang w:val="en-US"/>
              </w:rPr>
              <w:t>4.发酵</w:t>
            </w:r>
          </w:p>
        </w:tc>
        <w:tc>
          <w:tcPr>
            <w:tcW w:w="2609" w:type="pct"/>
            <w:gridSpan w:val="3"/>
            <w:vAlign w:val="center"/>
          </w:tcPr>
          <w:p w14:paraId="4F7E5F7C">
            <w:pPr>
              <w:pStyle w:val="143"/>
              <w:rPr>
                <w:snapToGrid/>
                <w:kern w:val="2"/>
                <w:lang w:val="en-US"/>
              </w:rPr>
            </w:pPr>
            <w:r>
              <w:rPr>
                <w:snapToGrid/>
                <w:kern w:val="2"/>
                <w:lang w:val="en-US"/>
              </w:rPr>
              <w:t>发酵过程由微机控制</w:t>
            </w:r>
          </w:p>
        </w:tc>
        <w:tc>
          <w:tcPr>
            <w:tcW w:w="861" w:type="pct"/>
            <w:vAlign w:val="center"/>
          </w:tcPr>
          <w:p w14:paraId="1DE244E7">
            <w:pPr>
              <w:pStyle w:val="143"/>
              <w:rPr>
                <w:snapToGrid w:val="0"/>
                <w:kern w:val="0"/>
                <w:lang w:val="en-US"/>
              </w:rPr>
            </w:pPr>
            <w:r>
              <w:rPr>
                <w:snapToGrid/>
                <w:kern w:val="2"/>
                <w:lang w:val="en-US"/>
              </w:rPr>
              <w:t>发酵过程由微机控制</w:t>
            </w:r>
          </w:p>
        </w:tc>
        <w:tc>
          <w:tcPr>
            <w:tcW w:w="859" w:type="pct"/>
            <w:vAlign w:val="center"/>
          </w:tcPr>
          <w:p w14:paraId="78D72664">
            <w:pPr>
              <w:pStyle w:val="143"/>
              <w:rPr>
                <w:snapToGrid w:val="0"/>
                <w:kern w:val="0"/>
                <w:lang w:val="en-US"/>
              </w:rPr>
            </w:pPr>
            <w:r>
              <w:rPr>
                <w:rFonts w:hint="eastAsia"/>
                <w:snapToGrid w:val="0"/>
                <w:kern w:val="0"/>
                <w:lang w:val="en-US"/>
              </w:rPr>
              <w:t>一级</w:t>
            </w:r>
          </w:p>
        </w:tc>
      </w:tr>
      <w:tr w14:paraId="417577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3701865F">
            <w:pPr>
              <w:pStyle w:val="143"/>
              <w:rPr>
                <w:snapToGrid/>
                <w:kern w:val="2"/>
                <w:lang w:val="en-US"/>
              </w:rPr>
            </w:pPr>
          </w:p>
        </w:tc>
        <w:tc>
          <w:tcPr>
            <w:tcW w:w="2609" w:type="pct"/>
            <w:gridSpan w:val="3"/>
            <w:vAlign w:val="center"/>
          </w:tcPr>
          <w:p w14:paraId="508CB7D6">
            <w:pPr>
              <w:pStyle w:val="143"/>
              <w:rPr>
                <w:snapToGrid/>
                <w:kern w:val="2"/>
                <w:lang w:val="en-US"/>
              </w:rPr>
            </w:pPr>
            <w:r>
              <w:rPr>
                <w:snapToGrid/>
                <w:kern w:val="2"/>
                <w:lang w:val="en-US"/>
              </w:rPr>
              <w:t>发酵室安装二氧化碳回收装置</w:t>
            </w:r>
          </w:p>
        </w:tc>
        <w:tc>
          <w:tcPr>
            <w:tcW w:w="861" w:type="pct"/>
            <w:vAlign w:val="center"/>
          </w:tcPr>
          <w:p w14:paraId="41B793A5">
            <w:pPr>
              <w:pStyle w:val="143"/>
              <w:rPr>
                <w:snapToGrid w:val="0"/>
                <w:kern w:val="0"/>
                <w:lang w:val="en-US"/>
              </w:rPr>
            </w:pPr>
            <w:r>
              <w:rPr>
                <w:snapToGrid/>
                <w:kern w:val="2"/>
                <w:lang w:val="en-US"/>
              </w:rPr>
              <w:t>发酵室安装二氧化碳回收装置</w:t>
            </w:r>
          </w:p>
        </w:tc>
        <w:tc>
          <w:tcPr>
            <w:tcW w:w="859" w:type="pct"/>
            <w:vAlign w:val="center"/>
          </w:tcPr>
          <w:p w14:paraId="2CB1A089">
            <w:pPr>
              <w:pStyle w:val="143"/>
              <w:rPr>
                <w:snapToGrid w:val="0"/>
                <w:kern w:val="0"/>
                <w:lang w:val="en-US"/>
              </w:rPr>
            </w:pPr>
            <w:r>
              <w:rPr>
                <w:rFonts w:hint="eastAsia"/>
                <w:snapToGrid w:val="0"/>
                <w:kern w:val="0"/>
                <w:lang w:val="en-US"/>
              </w:rPr>
              <w:t>一级</w:t>
            </w:r>
          </w:p>
        </w:tc>
      </w:tr>
      <w:tr w14:paraId="5B9453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528815CC">
            <w:pPr>
              <w:pStyle w:val="143"/>
              <w:rPr>
                <w:snapToGrid/>
                <w:kern w:val="2"/>
                <w:lang w:val="en-US"/>
              </w:rPr>
            </w:pPr>
          </w:p>
        </w:tc>
        <w:tc>
          <w:tcPr>
            <w:tcW w:w="2609" w:type="pct"/>
            <w:gridSpan w:val="3"/>
            <w:vAlign w:val="center"/>
          </w:tcPr>
          <w:p w14:paraId="49B90F7F">
            <w:pPr>
              <w:pStyle w:val="143"/>
              <w:rPr>
                <w:snapToGrid/>
                <w:kern w:val="2"/>
                <w:lang w:val="en-US"/>
              </w:rPr>
            </w:pPr>
            <w:r>
              <w:rPr>
                <w:snapToGrid/>
                <w:kern w:val="2"/>
                <w:lang w:val="en-US"/>
              </w:rPr>
              <w:t>啤酒过滤采用硅藻土过滤、纸板或膜过滤</w:t>
            </w:r>
          </w:p>
        </w:tc>
        <w:tc>
          <w:tcPr>
            <w:tcW w:w="861" w:type="pct"/>
            <w:vAlign w:val="center"/>
          </w:tcPr>
          <w:p w14:paraId="5ADC2A5A">
            <w:pPr>
              <w:pStyle w:val="143"/>
              <w:rPr>
                <w:snapToGrid w:val="0"/>
                <w:kern w:val="0"/>
                <w:lang w:val="en-US"/>
              </w:rPr>
            </w:pPr>
            <w:r>
              <w:rPr>
                <w:snapToGrid/>
                <w:kern w:val="2"/>
                <w:lang w:val="en-US"/>
              </w:rPr>
              <w:t>啤酒过滤采用硅藻土过滤、纸板或膜过滤</w:t>
            </w:r>
          </w:p>
        </w:tc>
        <w:tc>
          <w:tcPr>
            <w:tcW w:w="859" w:type="pct"/>
            <w:vAlign w:val="center"/>
          </w:tcPr>
          <w:p w14:paraId="0319282E">
            <w:pPr>
              <w:pStyle w:val="143"/>
              <w:rPr>
                <w:snapToGrid w:val="0"/>
                <w:kern w:val="0"/>
                <w:lang w:val="en-US"/>
              </w:rPr>
            </w:pPr>
            <w:r>
              <w:rPr>
                <w:rFonts w:hint="eastAsia"/>
                <w:snapToGrid w:val="0"/>
                <w:kern w:val="0"/>
                <w:lang w:val="en-US"/>
              </w:rPr>
              <w:t>一级</w:t>
            </w:r>
          </w:p>
        </w:tc>
      </w:tr>
      <w:tr w14:paraId="05DA40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64562EF3">
            <w:pPr>
              <w:pStyle w:val="143"/>
              <w:rPr>
                <w:snapToGrid/>
                <w:kern w:val="2"/>
                <w:lang w:val="en-US"/>
              </w:rPr>
            </w:pPr>
          </w:p>
        </w:tc>
        <w:tc>
          <w:tcPr>
            <w:tcW w:w="2609" w:type="pct"/>
            <w:gridSpan w:val="3"/>
            <w:vAlign w:val="center"/>
          </w:tcPr>
          <w:p w14:paraId="5953FB3D">
            <w:pPr>
              <w:pStyle w:val="143"/>
              <w:rPr>
                <w:snapToGrid/>
                <w:kern w:val="2"/>
                <w:lang w:val="en-US"/>
              </w:rPr>
            </w:pPr>
            <w:r>
              <w:rPr>
                <w:snapToGrid/>
                <w:kern w:val="2"/>
                <w:lang w:val="en-US"/>
              </w:rPr>
              <w:t>清洗采用CIP清洗技术</w:t>
            </w:r>
          </w:p>
        </w:tc>
        <w:tc>
          <w:tcPr>
            <w:tcW w:w="861" w:type="pct"/>
            <w:vAlign w:val="center"/>
          </w:tcPr>
          <w:p w14:paraId="14A8EDB2">
            <w:pPr>
              <w:pStyle w:val="143"/>
              <w:rPr>
                <w:snapToGrid w:val="0"/>
                <w:kern w:val="0"/>
                <w:lang w:val="en-US"/>
              </w:rPr>
            </w:pPr>
            <w:r>
              <w:rPr>
                <w:snapToGrid/>
                <w:kern w:val="2"/>
                <w:lang w:val="en-US"/>
              </w:rPr>
              <w:t>清洗采用CIP清洗技术</w:t>
            </w:r>
          </w:p>
        </w:tc>
        <w:tc>
          <w:tcPr>
            <w:tcW w:w="859" w:type="pct"/>
            <w:vAlign w:val="center"/>
          </w:tcPr>
          <w:p w14:paraId="30D17CB8">
            <w:pPr>
              <w:pStyle w:val="143"/>
              <w:rPr>
                <w:snapToGrid w:val="0"/>
                <w:kern w:val="0"/>
                <w:lang w:val="en-US"/>
              </w:rPr>
            </w:pPr>
            <w:r>
              <w:rPr>
                <w:rFonts w:hint="eastAsia"/>
                <w:snapToGrid w:val="0"/>
                <w:kern w:val="0"/>
                <w:lang w:val="en-US"/>
              </w:rPr>
              <w:t>一级</w:t>
            </w:r>
          </w:p>
        </w:tc>
      </w:tr>
      <w:tr w14:paraId="5DB231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Merge w:val="continue"/>
            <w:vAlign w:val="center"/>
          </w:tcPr>
          <w:p w14:paraId="20EE48CA">
            <w:pPr>
              <w:pStyle w:val="143"/>
              <w:rPr>
                <w:snapToGrid/>
                <w:kern w:val="2"/>
                <w:lang w:val="en-US"/>
              </w:rPr>
            </w:pPr>
          </w:p>
        </w:tc>
        <w:tc>
          <w:tcPr>
            <w:tcW w:w="2609" w:type="pct"/>
            <w:gridSpan w:val="3"/>
            <w:vAlign w:val="center"/>
          </w:tcPr>
          <w:p w14:paraId="706B413A">
            <w:pPr>
              <w:pStyle w:val="143"/>
              <w:rPr>
                <w:snapToGrid/>
                <w:kern w:val="2"/>
                <w:lang w:val="en-US"/>
              </w:rPr>
            </w:pPr>
            <w:r>
              <w:rPr>
                <w:snapToGrid/>
                <w:kern w:val="2"/>
                <w:lang w:val="en-US"/>
              </w:rPr>
              <w:t>配置冷凝固物／废酵母回收系统</w:t>
            </w:r>
          </w:p>
        </w:tc>
        <w:tc>
          <w:tcPr>
            <w:tcW w:w="861" w:type="pct"/>
            <w:vAlign w:val="center"/>
          </w:tcPr>
          <w:p w14:paraId="12805429">
            <w:pPr>
              <w:pStyle w:val="143"/>
              <w:rPr>
                <w:snapToGrid w:val="0"/>
                <w:kern w:val="0"/>
                <w:lang w:val="en-US"/>
              </w:rPr>
            </w:pPr>
            <w:r>
              <w:rPr>
                <w:snapToGrid w:val="0"/>
                <w:kern w:val="0"/>
                <w:lang w:val="en-US"/>
              </w:rPr>
              <w:t>配置冷凝固物／废酵母回收系统</w:t>
            </w:r>
          </w:p>
        </w:tc>
        <w:tc>
          <w:tcPr>
            <w:tcW w:w="859" w:type="pct"/>
            <w:vAlign w:val="center"/>
          </w:tcPr>
          <w:p w14:paraId="7915AC8E">
            <w:pPr>
              <w:pStyle w:val="143"/>
              <w:rPr>
                <w:snapToGrid w:val="0"/>
                <w:kern w:val="0"/>
                <w:lang w:val="en-US"/>
              </w:rPr>
            </w:pPr>
            <w:r>
              <w:rPr>
                <w:rFonts w:hint="eastAsia"/>
                <w:snapToGrid w:val="0"/>
                <w:kern w:val="0"/>
                <w:lang w:val="en-US"/>
              </w:rPr>
              <w:t>一级</w:t>
            </w:r>
          </w:p>
        </w:tc>
      </w:tr>
      <w:tr w14:paraId="377AE9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182A7687">
            <w:pPr>
              <w:pStyle w:val="143"/>
              <w:rPr>
                <w:snapToGrid/>
                <w:kern w:val="2"/>
                <w:lang w:val="en-US"/>
              </w:rPr>
            </w:pPr>
            <w:r>
              <w:rPr>
                <w:snapToGrid/>
                <w:kern w:val="2"/>
                <w:lang w:val="en-US"/>
              </w:rPr>
              <w:t>5.包装</w:t>
            </w:r>
          </w:p>
        </w:tc>
        <w:tc>
          <w:tcPr>
            <w:tcW w:w="2609" w:type="pct"/>
            <w:gridSpan w:val="3"/>
            <w:vAlign w:val="center"/>
          </w:tcPr>
          <w:p w14:paraId="3011D73C">
            <w:pPr>
              <w:pStyle w:val="143"/>
              <w:rPr>
                <w:snapToGrid/>
                <w:kern w:val="2"/>
                <w:lang w:val="en-US"/>
              </w:rPr>
            </w:pPr>
            <w:r>
              <w:rPr>
                <w:snapToGrid/>
                <w:kern w:val="2"/>
                <w:lang w:val="en-US"/>
              </w:rPr>
              <w:t>采用洗瓶（罐）、灌装、杀菌、贴标机械化灌装线</w:t>
            </w:r>
          </w:p>
        </w:tc>
        <w:tc>
          <w:tcPr>
            <w:tcW w:w="861" w:type="pct"/>
            <w:vAlign w:val="center"/>
          </w:tcPr>
          <w:p w14:paraId="2D9E5C20">
            <w:pPr>
              <w:pStyle w:val="143"/>
              <w:rPr>
                <w:snapToGrid w:val="0"/>
                <w:kern w:val="0"/>
                <w:lang w:val="en-US"/>
              </w:rPr>
            </w:pPr>
            <w:r>
              <w:rPr>
                <w:snapToGrid w:val="0"/>
                <w:kern w:val="0"/>
                <w:lang w:val="en-US"/>
              </w:rPr>
              <w:t>采用洗瓶（罐）、灌装、杀菌、贴标机械化灌装线</w:t>
            </w:r>
          </w:p>
        </w:tc>
        <w:tc>
          <w:tcPr>
            <w:tcW w:w="859" w:type="pct"/>
            <w:vAlign w:val="center"/>
          </w:tcPr>
          <w:p w14:paraId="7196803C">
            <w:pPr>
              <w:pStyle w:val="143"/>
              <w:rPr>
                <w:snapToGrid w:val="0"/>
                <w:kern w:val="0"/>
                <w:lang w:val="en-US"/>
              </w:rPr>
            </w:pPr>
            <w:r>
              <w:rPr>
                <w:rFonts w:hint="eastAsia"/>
                <w:snapToGrid w:val="0"/>
                <w:kern w:val="0"/>
                <w:lang w:val="en-US"/>
              </w:rPr>
              <w:t>一级</w:t>
            </w:r>
          </w:p>
        </w:tc>
      </w:tr>
      <w:tr w14:paraId="071E18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015C78AB">
            <w:pPr>
              <w:pStyle w:val="143"/>
              <w:rPr>
                <w:snapToGrid/>
                <w:kern w:val="2"/>
                <w:lang w:val="en-US"/>
              </w:rPr>
            </w:pPr>
            <w:r>
              <w:rPr>
                <w:snapToGrid/>
                <w:kern w:val="2"/>
                <w:lang w:val="en-US"/>
              </w:rPr>
              <w:t>6.输送和贮存</w:t>
            </w:r>
          </w:p>
        </w:tc>
        <w:tc>
          <w:tcPr>
            <w:tcW w:w="2609" w:type="pct"/>
            <w:gridSpan w:val="3"/>
            <w:vAlign w:val="center"/>
          </w:tcPr>
          <w:p w14:paraId="538DEF31">
            <w:pPr>
              <w:pStyle w:val="143"/>
              <w:jc w:val="both"/>
              <w:rPr>
                <w:snapToGrid/>
                <w:kern w:val="2"/>
                <w:lang w:val="en-US"/>
              </w:rPr>
            </w:pPr>
            <w:r>
              <w:rPr>
                <w:snapToGrid/>
                <w:kern w:val="2"/>
                <w:lang w:val="en-US"/>
              </w:rPr>
              <w:t>输送和贮存液质半成品和成品的管道和容器材质采用不锈钢、铜或碳钢涂料，不得产生对人体有害的气味和物质</w:t>
            </w:r>
          </w:p>
        </w:tc>
        <w:tc>
          <w:tcPr>
            <w:tcW w:w="861" w:type="pct"/>
            <w:vAlign w:val="center"/>
          </w:tcPr>
          <w:p w14:paraId="6BFA8E69">
            <w:pPr>
              <w:pStyle w:val="143"/>
              <w:jc w:val="both"/>
              <w:rPr>
                <w:snapToGrid w:val="0"/>
                <w:kern w:val="0"/>
                <w:lang w:val="en-US"/>
              </w:rPr>
            </w:pPr>
            <w:r>
              <w:rPr>
                <w:snapToGrid w:val="0"/>
                <w:kern w:val="0"/>
                <w:lang w:val="en-US"/>
              </w:rPr>
              <w:t>输送和贮存液质半成品和成品的管道和容器材质</w:t>
            </w:r>
            <w:r>
              <w:rPr>
                <w:rFonts w:hint="eastAsia"/>
                <w:snapToGrid w:val="0"/>
                <w:kern w:val="0"/>
                <w:lang w:val="en-US" w:eastAsia="zh-CN"/>
              </w:rPr>
              <w:t>均</w:t>
            </w:r>
            <w:r>
              <w:rPr>
                <w:snapToGrid w:val="0"/>
                <w:kern w:val="0"/>
                <w:lang w:val="en-US"/>
              </w:rPr>
              <w:t>采用不锈钢，不产生对人体有害的气味和物质</w:t>
            </w:r>
          </w:p>
        </w:tc>
        <w:tc>
          <w:tcPr>
            <w:tcW w:w="859" w:type="pct"/>
            <w:vAlign w:val="center"/>
          </w:tcPr>
          <w:p w14:paraId="7CDC6C32">
            <w:pPr>
              <w:pStyle w:val="143"/>
              <w:rPr>
                <w:snapToGrid w:val="0"/>
                <w:kern w:val="0"/>
                <w:lang w:val="en-US"/>
              </w:rPr>
            </w:pPr>
            <w:r>
              <w:rPr>
                <w:rFonts w:hint="eastAsia"/>
                <w:snapToGrid w:val="0"/>
                <w:kern w:val="0"/>
                <w:lang w:val="en-US"/>
              </w:rPr>
              <w:t>一级</w:t>
            </w:r>
          </w:p>
        </w:tc>
      </w:tr>
      <w:tr w14:paraId="532433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6"/>
            <w:vAlign w:val="center"/>
          </w:tcPr>
          <w:p w14:paraId="543BA369">
            <w:pPr>
              <w:pStyle w:val="143"/>
              <w:rPr>
                <w:snapToGrid w:val="0"/>
                <w:kern w:val="0"/>
                <w:lang w:val="en-US"/>
              </w:rPr>
            </w:pPr>
            <w:r>
              <w:rPr>
                <w:snapToGrid/>
                <w:kern w:val="2"/>
                <w:lang w:val="en-US"/>
              </w:rPr>
              <w:t>二、资源能源利用指标</w:t>
            </w:r>
          </w:p>
        </w:tc>
      </w:tr>
      <w:tr w14:paraId="009D19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2ED9E098">
            <w:pPr>
              <w:pStyle w:val="143"/>
              <w:rPr>
                <w:snapToGrid/>
                <w:kern w:val="2"/>
                <w:lang w:val="en-US"/>
              </w:rPr>
            </w:pPr>
            <w:r>
              <w:rPr>
                <w:snapToGrid/>
                <w:kern w:val="2"/>
                <w:lang w:val="en-US"/>
              </w:rPr>
              <w:t>1.原辅材料的选择</w:t>
            </w:r>
          </w:p>
        </w:tc>
        <w:tc>
          <w:tcPr>
            <w:tcW w:w="2609" w:type="pct"/>
            <w:gridSpan w:val="3"/>
            <w:vAlign w:val="center"/>
          </w:tcPr>
          <w:p w14:paraId="7789E82E">
            <w:pPr>
              <w:pStyle w:val="143"/>
              <w:jc w:val="both"/>
              <w:rPr>
                <w:snapToGrid/>
                <w:kern w:val="2"/>
                <w:lang w:val="en-US"/>
              </w:rPr>
            </w:pPr>
            <w:r>
              <w:rPr>
                <w:snapToGrid/>
                <w:kern w:val="2"/>
                <w:lang w:val="en-US"/>
              </w:rPr>
              <w:t>生产啤酒的主要原料麦芽、辅料和酒花符合有关标准（国标和行标，如GB4927、GB/T10347、QB1686等）。使用的助剂或添加剂应符合GB2760标准，应对人体健康没有任何损害</w:t>
            </w:r>
          </w:p>
        </w:tc>
        <w:tc>
          <w:tcPr>
            <w:tcW w:w="861" w:type="pct"/>
            <w:vAlign w:val="center"/>
          </w:tcPr>
          <w:p w14:paraId="016AF082">
            <w:pPr>
              <w:pStyle w:val="143"/>
              <w:rPr>
                <w:snapToGrid w:val="0"/>
                <w:kern w:val="0"/>
                <w:lang w:val="en-US"/>
              </w:rPr>
            </w:pPr>
            <w:r>
              <w:rPr>
                <w:rFonts w:hint="eastAsia"/>
                <w:snapToGrid/>
                <w:kern w:val="2"/>
                <w:lang w:val="en-US" w:eastAsia="zh-CN"/>
              </w:rPr>
              <w:t>本项目</w:t>
            </w:r>
            <w:r>
              <w:rPr>
                <w:snapToGrid/>
                <w:kern w:val="2"/>
                <w:lang w:val="en-US"/>
              </w:rPr>
              <w:t>生产啤酒的主要原料麦芽</w:t>
            </w:r>
            <w:r>
              <w:rPr>
                <w:rFonts w:hint="eastAsia"/>
                <w:snapToGrid/>
                <w:kern w:val="2"/>
                <w:lang w:val="en-US" w:eastAsia="zh-CN"/>
              </w:rPr>
              <w:t>、大米</w:t>
            </w:r>
            <w:r>
              <w:rPr>
                <w:snapToGrid/>
                <w:kern w:val="2"/>
                <w:lang w:val="en-US"/>
              </w:rPr>
              <w:t>、辅料和酒花</w:t>
            </w:r>
            <w:r>
              <w:rPr>
                <w:rFonts w:hint="eastAsia"/>
                <w:snapToGrid/>
                <w:kern w:val="2"/>
                <w:lang w:val="en-US" w:eastAsia="zh-CN"/>
              </w:rPr>
              <w:t>均</w:t>
            </w:r>
            <w:r>
              <w:rPr>
                <w:snapToGrid/>
                <w:kern w:val="2"/>
                <w:lang w:val="en-US"/>
              </w:rPr>
              <w:t>符合有关标准（国标和行标，如GB4927、GB/T10347、QB1686等）。使用的助剂或添加剂应符合GB2760标准</w:t>
            </w:r>
          </w:p>
        </w:tc>
        <w:tc>
          <w:tcPr>
            <w:tcW w:w="859" w:type="pct"/>
            <w:vAlign w:val="center"/>
          </w:tcPr>
          <w:p w14:paraId="7AF9446A">
            <w:pPr>
              <w:pStyle w:val="143"/>
              <w:rPr>
                <w:snapToGrid w:val="0"/>
                <w:kern w:val="0"/>
                <w:lang w:val="en-US"/>
              </w:rPr>
            </w:pPr>
          </w:p>
        </w:tc>
      </w:tr>
      <w:tr w14:paraId="13C1C5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25D7211A">
            <w:pPr>
              <w:pStyle w:val="143"/>
              <w:rPr>
                <w:snapToGrid/>
                <w:kern w:val="2"/>
                <w:lang w:val="en-US"/>
              </w:rPr>
            </w:pPr>
            <w:r>
              <w:rPr>
                <w:snapToGrid/>
                <w:kern w:val="2"/>
                <w:lang w:val="en-US"/>
              </w:rPr>
              <w:t>2.能源</w:t>
            </w:r>
          </w:p>
        </w:tc>
        <w:tc>
          <w:tcPr>
            <w:tcW w:w="2609" w:type="pct"/>
            <w:gridSpan w:val="3"/>
            <w:vAlign w:val="center"/>
          </w:tcPr>
          <w:p w14:paraId="491DB551">
            <w:pPr>
              <w:pStyle w:val="143"/>
              <w:rPr>
                <w:snapToGrid/>
                <w:kern w:val="2"/>
                <w:lang w:val="en-US"/>
              </w:rPr>
            </w:pPr>
            <w:r>
              <w:rPr>
                <w:snapToGrid/>
                <w:kern w:val="2"/>
                <w:lang w:val="en-US"/>
              </w:rPr>
              <w:t>使用清洁能源，燃煤含硫量符合当地环保要求</w:t>
            </w:r>
          </w:p>
        </w:tc>
        <w:tc>
          <w:tcPr>
            <w:tcW w:w="861" w:type="pct"/>
            <w:vAlign w:val="center"/>
          </w:tcPr>
          <w:p w14:paraId="5A29AFB6">
            <w:pPr>
              <w:pStyle w:val="143"/>
              <w:rPr>
                <w:snapToGrid w:val="0"/>
                <w:kern w:val="0"/>
                <w:lang w:val="en-US"/>
              </w:rPr>
            </w:pPr>
            <w:r>
              <w:rPr>
                <w:rFonts w:hint="eastAsia"/>
                <w:snapToGrid w:val="0"/>
                <w:kern w:val="0"/>
                <w:lang w:val="en-US" w:eastAsia="zh-CN"/>
              </w:rPr>
              <w:t>采用燃气作为能源</w:t>
            </w:r>
          </w:p>
        </w:tc>
        <w:tc>
          <w:tcPr>
            <w:tcW w:w="859" w:type="pct"/>
            <w:vAlign w:val="center"/>
          </w:tcPr>
          <w:p w14:paraId="0B652099">
            <w:pPr>
              <w:pStyle w:val="143"/>
              <w:rPr>
                <w:snapToGrid w:val="0"/>
                <w:kern w:val="0"/>
                <w:lang w:val="en-US"/>
              </w:rPr>
            </w:pPr>
            <w:r>
              <w:rPr>
                <w:rFonts w:hint="eastAsia"/>
                <w:snapToGrid w:val="0"/>
                <w:kern w:val="0"/>
                <w:lang w:val="en-US" w:eastAsia="zh-CN"/>
              </w:rPr>
              <w:t>一级</w:t>
            </w:r>
          </w:p>
        </w:tc>
      </w:tr>
      <w:tr w14:paraId="56F374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0BCB0B8C">
            <w:pPr>
              <w:pStyle w:val="143"/>
              <w:rPr>
                <w:snapToGrid/>
                <w:kern w:val="2"/>
                <w:lang w:val="en-US"/>
              </w:rPr>
            </w:pPr>
            <w:r>
              <w:rPr>
                <w:snapToGrid/>
                <w:kern w:val="2"/>
                <w:lang w:val="en-US"/>
              </w:rPr>
              <w:t>3.洗涤剂</w:t>
            </w:r>
          </w:p>
        </w:tc>
        <w:tc>
          <w:tcPr>
            <w:tcW w:w="2609" w:type="pct"/>
            <w:gridSpan w:val="3"/>
            <w:vAlign w:val="center"/>
          </w:tcPr>
          <w:p w14:paraId="0786BC53">
            <w:pPr>
              <w:pStyle w:val="143"/>
              <w:rPr>
                <w:snapToGrid/>
                <w:kern w:val="2"/>
                <w:lang w:val="en-US"/>
              </w:rPr>
            </w:pPr>
            <w:r>
              <w:rPr>
                <w:snapToGrid/>
                <w:kern w:val="2"/>
                <w:lang w:val="en-US"/>
              </w:rPr>
              <w:t>清洗管道和容器的洗涤剂不含任何对人体有害和对设备有腐蚀作用的物质</w:t>
            </w:r>
          </w:p>
        </w:tc>
        <w:tc>
          <w:tcPr>
            <w:tcW w:w="861" w:type="pct"/>
            <w:vAlign w:val="center"/>
          </w:tcPr>
          <w:p w14:paraId="139C0105">
            <w:pPr>
              <w:pStyle w:val="143"/>
              <w:rPr>
                <w:snapToGrid w:val="0"/>
                <w:kern w:val="0"/>
                <w:lang w:val="en-US"/>
              </w:rPr>
            </w:pPr>
            <w:r>
              <w:rPr>
                <w:snapToGrid w:val="0"/>
                <w:kern w:val="0"/>
                <w:lang w:val="en-US"/>
              </w:rPr>
              <w:t>清洗管道和容器的洗涤剂不含任何对人体有害和对设备有腐蚀作用的物质</w:t>
            </w:r>
          </w:p>
        </w:tc>
        <w:tc>
          <w:tcPr>
            <w:tcW w:w="859" w:type="pct"/>
            <w:vAlign w:val="center"/>
          </w:tcPr>
          <w:p w14:paraId="3F0EAA0A">
            <w:pPr>
              <w:pStyle w:val="143"/>
              <w:rPr>
                <w:snapToGrid w:val="0"/>
                <w:kern w:val="0"/>
                <w:lang w:val="en-US"/>
              </w:rPr>
            </w:pPr>
            <w:r>
              <w:rPr>
                <w:snapToGrid w:val="0"/>
                <w:kern w:val="0"/>
                <w:lang w:val="en-US"/>
              </w:rPr>
              <w:t>一级</w:t>
            </w:r>
          </w:p>
        </w:tc>
      </w:tr>
      <w:tr w14:paraId="12B3F4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54B7DD87">
            <w:pPr>
              <w:pStyle w:val="143"/>
              <w:rPr>
                <w:snapToGrid/>
                <w:kern w:val="2"/>
                <w:lang w:val="en-US"/>
              </w:rPr>
            </w:pPr>
            <w:r>
              <w:rPr>
                <w:snapToGrid/>
                <w:kern w:val="2"/>
                <w:lang w:val="en-US"/>
              </w:rPr>
              <w:t>4.取水量/(m</w:t>
            </w:r>
            <w:r>
              <w:rPr>
                <w:snapToGrid/>
                <w:kern w:val="2"/>
                <w:vertAlign w:val="superscript"/>
                <w:lang w:val="en-US"/>
              </w:rPr>
              <w:t>3</w:t>
            </w:r>
            <w:r>
              <w:rPr>
                <w:snapToGrid/>
                <w:kern w:val="2"/>
                <w:lang w:val="en-US"/>
              </w:rPr>
              <w:t>/kl)</w:t>
            </w:r>
          </w:p>
        </w:tc>
        <w:tc>
          <w:tcPr>
            <w:tcW w:w="968" w:type="pct"/>
            <w:vAlign w:val="center"/>
          </w:tcPr>
          <w:p w14:paraId="2CBA76D6">
            <w:pPr>
              <w:pStyle w:val="143"/>
              <w:rPr>
                <w:snapToGrid/>
                <w:kern w:val="2"/>
                <w:lang w:val="en-US"/>
              </w:rPr>
            </w:pPr>
            <w:r>
              <w:rPr>
                <w:snapToGrid/>
                <w:kern w:val="2"/>
                <w:lang w:val="en-US"/>
              </w:rPr>
              <w:t>≤6.0</w:t>
            </w:r>
          </w:p>
        </w:tc>
        <w:tc>
          <w:tcPr>
            <w:tcW w:w="890" w:type="pct"/>
            <w:vAlign w:val="center"/>
          </w:tcPr>
          <w:p w14:paraId="086DADB6">
            <w:pPr>
              <w:pStyle w:val="143"/>
              <w:rPr>
                <w:snapToGrid/>
                <w:kern w:val="2"/>
                <w:lang w:val="en-US"/>
              </w:rPr>
            </w:pPr>
            <w:r>
              <w:rPr>
                <w:snapToGrid/>
                <w:kern w:val="2"/>
                <w:lang w:val="en-US"/>
              </w:rPr>
              <w:t>≤8.0</w:t>
            </w:r>
          </w:p>
        </w:tc>
        <w:tc>
          <w:tcPr>
            <w:tcW w:w="750" w:type="pct"/>
            <w:vAlign w:val="center"/>
          </w:tcPr>
          <w:p w14:paraId="72ADDAE8">
            <w:pPr>
              <w:pStyle w:val="143"/>
              <w:rPr>
                <w:snapToGrid/>
                <w:kern w:val="2"/>
                <w:lang w:val="en-US"/>
              </w:rPr>
            </w:pPr>
            <w:r>
              <w:rPr>
                <w:snapToGrid/>
                <w:kern w:val="2"/>
                <w:lang w:val="en-US"/>
              </w:rPr>
              <w:t>≤9.5</w:t>
            </w:r>
          </w:p>
        </w:tc>
        <w:tc>
          <w:tcPr>
            <w:tcW w:w="861" w:type="pct"/>
            <w:vAlign w:val="center"/>
          </w:tcPr>
          <w:p w14:paraId="3DC57040">
            <w:pPr>
              <w:pStyle w:val="143"/>
              <w:rPr>
                <w:snapToGrid w:val="0"/>
                <w:kern w:val="0"/>
                <w:lang w:val="en-US" w:eastAsia="zh-CN"/>
              </w:rPr>
            </w:pPr>
            <w:r>
              <w:rPr>
                <w:rFonts w:hint="eastAsia"/>
                <w:snapToGrid w:val="0"/>
                <w:kern w:val="0"/>
                <w:lang w:val="en-US" w:eastAsia="zh-CN"/>
              </w:rPr>
              <w:t>3.49</w:t>
            </w:r>
            <w:r>
              <w:rPr>
                <w:snapToGrid w:val="0"/>
                <w:kern w:val="0"/>
                <w:lang w:val="en-US" w:eastAsia="zh-CN"/>
              </w:rPr>
              <w:t>m</w:t>
            </w:r>
            <w:r>
              <w:rPr>
                <w:snapToGrid w:val="0"/>
                <w:kern w:val="0"/>
                <w:vertAlign w:val="superscript"/>
                <w:lang w:val="en-US" w:eastAsia="zh-CN"/>
              </w:rPr>
              <w:t>3</w:t>
            </w:r>
            <w:r>
              <w:rPr>
                <w:snapToGrid w:val="0"/>
                <w:kern w:val="0"/>
                <w:lang w:val="en-US" w:eastAsia="zh-CN"/>
              </w:rPr>
              <w:t>/kl</w:t>
            </w:r>
          </w:p>
        </w:tc>
        <w:tc>
          <w:tcPr>
            <w:tcW w:w="859" w:type="pct"/>
            <w:vAlign w:val="center"/>
          </w:tcPr>
          <w:p w14:paraId="3CAAA177">
            <w:pPr>
              <w:pStyle w:val="143"/>
              <w:rPr>
                <w:snapToGrid w:val="0"/>
                <w:kern w:val="0"/>
                <w:lang w:val="en-US"/>
              </w:rPr>
            </w:pPr>
            <w:r>
              <w:rPr>
                <w:snapToGrid w:val="0"/>
                <w:kern w:val="0"/>
                <w:lang w:val="en-US"/>
              </w:rPr>
              <w:t>一级</w:t>
            </w:r>
          </w:p>
        </w:tc>
      </w:tr>
      <w:tr w14:paraId="07804D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1CB90829">
            <w:pPr>
              <w:pStyle w:val="143"/>
              <w:rPr>
                <w:snapToGrid/>
                <w:kern w:val="2"/>
                <w:lang w:val="en-US"/>
              </w:rPr>
            </w:pPr>
            <w:r>
              <w:rPr>
                <w:snapToGrid/>
                <w:kern w:val="2"/>
                <w:lang w:val="en-US"/>
              </w:rPr>
              <w:t>5.体积分数为11%（俗称11°P)的啤酒耗粮/(kg/kl)</w:t>
            </w:r>
          </w:p>
        </w:tc>
        <w:tc>
          <w:tcPr>
            <w:tcW w:w="968" w:type="pct"/>
            <w:vAlign w:val="center"/>
          </w:tcPr>
          <w:p w14:paraId="017ABEF3">
            <w:pPr>
              <w:pStyle w:val="143"/>
              <w:rPr>
                <w:snapToGrid/>
                <w:kern w:val="2"/>
                <w:lang w:val="en-US"/>
              </w:rPr>
            </w:pPr>
            <w:r>
              <w:rPr>
                <w:snapToGrid/>
                <w:kern w:val="2"/>
                <w:lang w:val="en-US"/>
              </w:rPr>
              <w:t>≤158</w:t>
            </w:r>
          </w:p>
        </w:tc>
        <w:tc>
          <w:tcPr>
            <w:tcW w:w="890" w:type="pct"/>
            <w:vAlign w:val="center"/>
          </w:tcPr>
          <w:p w14:paraId="5CFC30A4">
            <w:pPr>
              <w:pStyle w:val="143"/>
              <w:rPr>
                <w:snapToGrid/>
                <w:kern w:val="2"/>
                <w:lang w:val="en-US"/>
              </w:rPr>
            </w:pPr>
            <w:r>
              <w:rPr>
                <w:snapToGrid/>
                <w:kern w:val="2"/>
                <w:lang w:val="en-US"/>
              </w:rPr>
              <w:t>≤161</w:t>
            </w:r>
          </w:p>
        </w:tc>
        <w:tc>
          <w:tcPr>
            <w:tcW w:w="750" w:type="pct"/>
            <w:vAlign w:val="center"/>
          </w:tcPr>
          <w:p w14:paraId="51E2DE8B">
            <w:pPr>
              <w:pStyle w:val="143"/>
              <w:rPr>
                <w:snapToGrid/>
                <w:kern w:val="2"/>
                <w:lang w:val="en-US"/>
              </w:rPr>
            </w:pPr>
            <w:r>
              <w:rPr>
                <w:snapToGrid/>
                <w:kern w:val="2"/>
                <w:lang w:val="en-US"/>
              </w:rPr>
              <w:t>≤165</w:t>
            </w:r>
          </w:p>
        </w:tc>
        <w:tc>
          <w:tcPr>
            <w:tcW w:w="861" w:type="pct"/>
            <w:vAlign w:val="center"/>
          </w:tcPr>
          <w:p w14:paraId="1725E9E6">
            <w:pPr>
              <w:pStyle w:val="143"/>
              <w:rPr>
                <w:rFonts w:hint="default" w:eastAsia="宋体"/>
                <w:snapToGrid w:val="0"/>
                <w:kern w:val="0"/>
                <w:lang w:val="en-US" w:eastAsia="zh-CN"/>
              </w:rPr>
            </w:pPr>
            <w:r>
              <w:rPr>
                <w:rFonts w:hint="eastAsia"/>
                <w:snapToGrid w:val="0"/>
                <w:kern w:val="0"/>
                <w:lang w:val="en-US" w:eastAsia="zh-CN"/>
              </w:rPr>
              <w:t>103</w:t>
            </w:r>
          </w:p>
        </w:tc>
        <w:tc>
          <w:tcPr>
            <w:tcW w:w="859" w:type="pct"/>
            <w:vAlign w:val="center"/>
          </w:tcPr>
          <w:p w14:paraId="3D241ECA">
            <w:pPr>
              <w:pStyle w:val="143"/>
              <w:rPr>
                <w:snapToGrid w:val="0"/>
                <w:kern w:val="0"/>
                <w:lang w:val="en-US"/>
              </w:rPr>
            </w:pPr>
            <w:r>
              <w:rPr>
                <w:snapToGrid w:val="0"/>
                <w:kern w:val="0"/>
                <w:lang w:val="en-US"/>
              </w:rPr>
              <w:t>一级</w:t>
            </w:r>
          </w:p>
        </w:tc>
      </w:tr>
      <w:tr w14:paraId="46CDD6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670" w:type="pct"/>
            <w:vAlign w:val="center"/>
          </w:tcPr>
          <w:p w14:paraId="60196575">
            <w:pPr>
              <w:pStyle w:val="143"/>
              <w:rPr>
                <w:snapToGrid/>
                <w:kern w:val="2"/>
                <w:lang w:val="en-US"/>
              </w:rPr>
            </w:pPr>
            <w:r>
              <w:rPr>
                <w:snapToGrid/>
                <w:kern w:val="2"/>
                <w:lang w:val="en-US"/>
              </w:rPr>
              <w:t>6.耗电量/(kW·h/kl)</w:t>
            </w:r>
          </w:p>
        </w:tc>
        <w:tc>
          <w:tcPr>
            <w:tcW w:w="968" w:type="pct"/>
            <w:vAlign w:val="center"/>
          </w:tcPr>
          <w:p w14:paraId="49562301">
            <w:pPr>
              <w:pStyle w:val="143"/>
              <w:rPr>
                <w:snapToGrid/>
                <w:kern w:val="2"/>
                <w:lang w:val="en-US"/>
              </w:rPr>
            </w:pPr>
            <w:r>
              <w:rPr>
                <w:snapToGrid/>
                <w:kern w:val="2"/>
                <w:lang w:val="en-US"/>
              </w:rPr>
              <w:t>≤85</w:t>
            </w:r>
          </w:p>
        </w:tc>
        <w:tc>
          <w:tcPr>
            <w:tcW w:w="890" w:type="pct"/>
            <w:vAlign w:val="center"/>
          </w:tcPr>
          <w:p w14:paraId="0889AD9D">
            <w:pPr>
              <w:pStyle w:val="143"/>
              <w:rPr>
                <w:snapToGrid/>
                <w:kern w:val="2"/>
                <w:lang w:val="en-US"/>
              </w:rPr>
            </w:pPr>
            <w:r>
              <w:rPr>
                <w:snapToGrid/>
                <w:kern w:val="2"/>
                <w:lang w:val="en-US"/>
              </w:rPr>
              <w:t>≤100</w:t>
            </w:r>
          </w:p>
        </w:tc>
        <w:tc>
          <w:tcPr>
            <w:tcW w:w="750" w:type="pct"/>
            <w:vAlign w:val="center"/>
          </w:tcPr>
          <w:p w14:paraId="24D6281E">
            <w:pPr>
              <w:pStyle w:val="143"/>
              <w:rPr>
                <w:snapToGrid/>
                <w:kern w:val="2"/>
                <w:lang w:val="en-US"/>
              </w:rPr>
            </w:pPr>
            <w:r>
              <w:rPr>
                <w:snapToGrid/>
                <w:kern w:val="2"/>
                <w:lang w:val="en-US"/>
              </w:rPr>
              <w:t>≤115</w:t>
            </w:r>
          </w:p>
        </w:tc>
        <w:tc>
          <w:tcPr>
            <w:tcW w:w="861" w:type="pct"/>
            <w:vAlign w:val="center"/>
          </w:tcPr>
          <w:p w14:paraId="7BF9D8F9">
            <w:pPr>
              <w:pStyle w:val="143"/>
              <w:rPr>
                <w:rFonts w:hint="default" w:eastAsia="宋体"/>
                <w:snapToGrid w:val="0"/>
                <w:kern w:val="0"/>
                <w:lang w:val="en-US" w:eastAsia="zh-CN"/>
              </w:rPr>
            </w:pPr>
            <w:r>
              <w:rPr>
                <w:rFonts w:hint="eastAsia"/>
                <w:snapToGrid w:val="0"/>
                <w:kern w:val="0"/>
                <w:lang w:val="en-US" w:eastAsia="zh-CN"/>
              </w:rPr>
              <w:t>87</w:t>
            </w:r>
          </w:p>
        </w:tc>
        <w:tc>
          <w:tcPr>
            <w:tcW w:w="859" w:type="pct"/>
            <w:vAlign w:val="center"/>
          </w:tcPr>
          <w:p w14:paraId="6CC17A0D">
            <w:pPr>
              <w:pStyle w:val="143"/>
              <w:rPr>
                <w:rFonts w:hint="eastAsia" w:eastAsia="宋体"/>
                <w:snapToGrid w:val="0"/>
                <w:kern w:val="0"/>
                <w:lang w:val="en-US" w:eastAsia="zh-CN"/>
              </w:rPr>
            </w:pPr>
            <w:r>
              <w:rPr>
                <w:rFonts w:hint="eastAsia"/>
                <w:snapToGrid w:val="0"/>
                <w:kern w:val="0"/>
                <w:lang w:val="en-US" w:eastAsia="zh-CN"/>
              </w:rPr>
              <w:t>二级</w:t>
            </w:r>
          </w:p>
        </w:tc>
      </w:tr>
      <w:tr w14:paraId="72EECA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61B255A9">
            <w:pPr>
              <w:pStyle w:val="143"/>
              <w:rPr>
                <w:snapToGrid/>
                <w:kern w:val="2"/>
                <w:lang w:val="en-US"/>
              </w:rPr>
            </w:pPr>
            <w:r>
              <w:rPr>
                <w:snapToGrid/>
                <w:kern w:val="2"/>
                <w:lang w:val="en-US"/>
              </w:rPr>
              <w:t>7.耗标煤量/(kg/kl)</w:t>
            </w:r>
          </w:p>
        </w:tc>
        <w:tc>
          <w:tcPr>
            <w:tcW w:w="968" w:type="pct"/>
            <w:vAlign w:val="center"/>
          </w:tcPr>
          <w:p w14:paraId="118D1CEC">
            <w:pPr>
              <w:pStyle w:val="143"/>
              <w:rPr>
                <w:snapToGrid/>
                <w:kern w:val="2"/>
                <w:lang w:val="en-US"/>
              </w:rPr>
            </w:pPr>
            <w:r>
              <w:rPr>
                <w:snapToGrid/>
                <w:kern w:val="2"/>
                <w:lang w:val="en-US"/>
              </w:rPr>
              <w:t>≤80</w:t>
            </w:r>
          </w:p>
        </w:tc>
        <w:tc>
          <w:tcPr>
            <w:tcW w:w="890" w:type="pct"/>
            <w:vAlign w:val="center"/>
          </w:tcPr>
          <w:p w14:paraId="6D9B4C1E">
            <w:pPr>
              <w:pStyle w:val="143"/>
              <w:rPr>
                <w:snapToGrid/>
                <w:kern w:val="2"/>
                <w:lang w:val="en-US"/>
              </w:rPr>
            </w:pPr>
            <w:r>
              <w:rPr>
                <w:snapToGrid/>
                <w:kern w:val="2"/>
                <w:lang w:val="en-US"/>
              </w:rPr>
              <w:t>≤110</w:t>
            </w:r>
          </w:p>
        </w:tc>
        <w:tc>
          <w:tcPr>
            <w:tcW w:w="750" w:type="pct"/>
            <w:vAlign w:val="center"/>
          </w:tcPr>
          <w:p w14:paraId="79C4188D">
            <w:pPr>
              <w:pStyle w:val="143"/>
              <w:rPr>
                <w:snapToGrid/>
                <w:kern w:val="2"/>
                <w:lang w:val="en-US"/>
              </w:rPr>
            </w:pPr>
            <w:r>
              <w:rPr>
                <w:snapToGrid/>
                <w:kern w:val="2"/>
                <w:lang w:val="en-US"/>
              </w:rPr>
              <w:t>≤130</w:t>
            </w:r>
          </w:p>
        </w:tc>
        <w:tc>
          <w:tcPr>
            <w:tcW w:w="861" w:type="pct"/>
            <w:vAlign w:val="center"/>
          </w:tcPr>
          <w:p w14:paraId="65DEE4EF">
            <w:pPr>
              <w:pStyle w:val="143"/>
              <w:rPr>
                <w:rFonts w:hint="default" w:eastAsia="宋体"/>
                <w:snapToGrid w:val="0"/>
                <w:kern w:val="0"/>
                <w:lang w:val="en-US" w:eastAsia="zh-CN"/>
              </w:rPr>
            </w:pPr>
            <w:r>
              <w:rPr>
                <w:rFonts w:hint="eastAsia"/>
                <w:snapToGrid w:val="0"/>
                <w:kern w:val="0"/>
                <w:lang w:val="en-US" w:eastAsia="zh-CN"/>
              </w:rPr>
              <w:t>使用天然气</w:t>
            </w:r>
          </w:p>
        </w:tc>
        <w:tc>
          <w:tcPr>
            <w:tcW w:w="859" w:type="pct"/>
            <w:vAlign w:val="center"/>
          </w:tcPr>
          <w:p w14:paraId="65BC29EA">
            <w:pPr>
              <w:pStyle w:val="143"/>
              <w:rPr>
                <w:rFonts w:hint="eastAsia" w:eastAsia="宋体"/>
                <w:snapToGrid w:val="0"/>
                <w:kern w:val="0"/>
                <w:lang w:val="en-US" w:eastAsia="zh-CN"/>
              </w:rPr>
            </w:pPr>
            <w:r>
              <w:rPr>
                <w:rFonts w:hint="eastAsia"/>
                <w:snapToGrid w:val="0"/>
                <w:kern w:val="0"/>
                <w:lang w:val="en-US" w:eastAsia="zh-CN"/>
              </w:rPr>
              <w:t>一级</w:t>
            </w:r>
          </w:p>
        </w:tc>
      </w:tr>
      <w:tr w14:paraId="2C12B3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4DDED5F3">
            <w:pPr>
              <w:pStyle w:val="143"/>
              <w:rPr>
                <w:snapToGrid/>
                <w:kern w:val="2"/>
                <w:lang w:val="en-US"/>
              </w:rPr>
            </w:pPr>
            <w:r>
              <w:rPr>
                <w:snapToGrid/>
                <w:kern w:val="2"/>
                <w:lang w:val="en-US"/>
              </w:rPr>
              <w:t>8.综合能耗/(kg/kl)</w:t>
            </w:r>
          </w:p>
        </w:tc>
        <w:tc>
          <w:tcPr>
            <w:tcW w:w="968" w:type="pct"/>
            <w:vAlign w:val="center"/>
          </w:tcPr>
          <w:p w14:paraId="78C2B60C">
            <w:pPr>
              <w:pStyle w:val="143"/>
              <w:rPr>
                <w:snapToGrid/>
                <w:kern w:val="2"/>
                <w:lang w:val="en-US"/>
              </w:rPr>
            </w:pPr>
            <w:r>
              <w:rPr>
                <w:snapToGrid/>
                <w:kern w:val="2"/>
                <w:lang w:val="en-US"/>
              </w:rPr>
              <w:t>≤115</w:t>
            </w:r>
          </w:p>
        </w:tc>
        <w:tc>
          <w:tcPr>
            <w:tcW w:w="890" w:type="pct"/>
            <w:vAlign w:val="center"/>
          </w:tcPr>
          <w:p w14:paraId="60CEE457">
            <w:pPr>
              <w:pStyle w:val="143"/>
              <w:rPr>
                <w:snapToGrid/>
                <w:kern w:val="2"/>
                <w:lang w:val="en-US"/>
              </w:rPr>
            </w:pPr>
            <w:r>
              <w:rPr>
                <w:snapToGrid/>
                <w:kern w:val="2"/>
                <w:lang w:val="en-US"/>
              </w:rPr>
              <w:t>≤145</w:t>
            </w:r>
          </w:p>
        </w:tc>
        <w:tc>
          <w:tcPr>
            <w:tcW w:w="750" w:type="pct"/>
            <w:vAlign w:val="center"/>
          </w:tcPr>
          <w:p w14:paraId="7C1AD2B7">
            <w:pPr>
              <w:pStyle w:val="143"/>
              <w:rPr>
                <w:snapToGrid/>
                <w:kern w:val="2"/>
                <w:lang w:val="en-US"/>
              </w:rPr>
            </w:pPr>
            <w:r>
              <w:rPr>
                <w:snapToGrid/>
                <w:kern w:val="2"/>
                <w:lang w:val="en-US"/>
              </w:rPr>
              <w:t>≤170</w:t>
            </w:r>
          </w:p>
        </w:tc>
        <w:tc>
          <w:tcPr>
            <w:tcW w:w="861" w:type="pct"/>
            <w:vAlign w:val="center"/>
          </w:tcPr>
          <w:p w14:paraId="60C5F37B">
            <w:pPr>
              <w:pStyle w:val="143"/>
              <w:rPr>
                <w:snapToGrid w:val="0"/>
                <w:kern w:val="0"/>
                <w:lang w:val="en-US"/>
              </w:rPr>
            </w:pPr>
            <w:r>
              <w:rPr>
                <w:rFonts w:hint="eastAsia"/>
                <w:snapToGrid w:val="0"/>
                <w:kern w:val="0"/>
                <w:lang w:val="en-US" w:eastAsia="zh-CN"/>
              </w:rPr>
              <w:t>使用天然气</w:t>
            </w:r>
          </w:p>
        </w:tc>
        <w:tc>
          <w:tcPr>
            <w:tcW w:w="859" w:type="pct"/>
            <w:vAlign w:val="center"/>
          </w:tcPr>
          <w:p w14:paraId="7EFB73D5">
            <w:pPr>
              <w:pStyle w:val="143"/>
              <w:rPr>
                <w:snapToGrid w:val="0"/>
                <w:kern w:val="0"/>
                <w:lang w:val="en-US"/>
              </w:rPr>
            </w:pPr>
            <w:r>
              <w:rPr>
                <w:rFonts w:hint="eastAsia"/>
                <w:snapToGrid w:val="0"/>
                <w:kern w:val="0"/>
                <w:lang w:val="en-US" w:eastAsia="zh-CN"/>
              </w:rPr>
              <w:t>一级</w:t>
            </w:r>
          </w:p>
        </w:tc>
      </w:tr>
      <w:tr w14:paraId="5D81AA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6"/>
            <w:vAlign w:val="center"/>
          </w:tcPr>
          <w:p w14:paraId="4646B6EF">
            <w:pPr>
              <w:pStyle w:val="143"/>
              <w:rPr>
                <w:snapToGrid w:val="0"/>
                <w:kern w:val="0"/>
                <w:lang w:val="en-US"/>
              </w:rPr>
            </w:pPr>
            <w:r>
              <w:rPr>
                <w:snapToGrid/>
                <w:kern w:val="2"/>
                <w:lang w:val="en-US"/>
              </w:rPr>
              <w:t>三、产品指标</w:t>
            </w:r>
          </w:p>
        </w:tc>
      </w:tr>
      <w:tr w14:paraId="348571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5271FEDD">
            <w:pPr>
              <w:pStyle w:val="143"/>
              <w:rPr>
                <w:snapToGrid/>
                <w:kern w:val="2"/>
                <w:lang w:val="en-US"/>
              </w:rPr>
            </w:pPr>
            <w:r>
              <w:rPr>
                <w:snapToGrid/>
                <w:kern w:val="2"/>
                <w:lang w:val="en-US"/>
              </w:rPr>
              <w:t>1.啤酒包装合格率(%)（近3年）</w:t>
            </w:r>
          </w:p>
        </w:tc>
        <w:tc>
          <w:tcPr>
            <w:tcW w:w="968" w:type="pct"/>
            <w:vAlign w:val="center"/>
          </w:tcPr>
          <w:p w14:paraId="7A4B43E4">
            <w:pPr>
              <w:pStyle w:val="143"/>
              <w:rPr>
                <w:snapToGrid/>
                <w:kern w:val="2"/>
                <w:lang w:val="en-US"/>
              </w:rPr>
            </w:pPr>
            <w:r>
              <w:rPr>
                <w:snapToGrid/>
                <w:kern w:val="2"/>
                <w:lang w:val="en-US"/>
              </w:rPr>
              <w:t>≥99.5</w:t>
            </w:r>
          </w:p>
        </w:tc>
        <w:tc>
          <w:tcPr>
            <w:tcW w:w="890" w:type="pct"/>
            <w:vAlign w:val="center"/>
          </w:tcPr>
          <w:p w14:paraId="34787957">
            <w:pPr>
              <w:pStyle w:val="143"/>
              <w:rPr>
                <w:snapToGrid/>
                <w:kern w:val="2"/>
                <w:lang w:val="en-US"/>
              </w:rPr>
            </w:pPr>
            <w:r>
              <w:rPr>
                <w:snapToGrid/>
                <w:kern w:val="2"/>
                <w:lang w:val="en-US"/>
              </w:rPr>
              <w:t>≥99.0</w:t>
            </w:r>
          </w:p>
        </w:tc>
        <w:tc>
          <w:tcPr>
            <w:tcW w:w="750" w:type="pct"/>
            <w:vAlign w:val="center"/>
          </w:tcPr>
          <w:p w14:paraId="0CD3CDA9">
            <w:pPr>
              <w:pStyle w:val="143"/>
              <w:rPr>
                <w:snapToGrid/>
                <w:kern w:val="2"/>
                <w:lang w:val="en-US"/>
              </w:rPr>
            </w:pPr>
            <w:r>
              <w:rPr>
                <w:snapToGrid/>
                <w:kern w:val="2"/>
                <w:lang w:val="en-US"/>
              </w:rPr>
              <w:t>≥98.0</w:t>
            </w:r>
          </w:p>
        </w:tc>
        <w:tc>
          <w:tcPr>
            <w:tcW w:w="861" w:type="pct"/>
            <w:vAlign w:val="center"/>
          </w:tcPr>
          <w:p w14:paraId="387AD0AF">
            <w:pPr>
              <w:pStyle w:val="143"/>
              <w:rPr>
                <w:rFonts w:hint="default"/>
                <w:snapToGrid w:val="0"/>
                <w:kern w:val="0"/>
                <w:lang w:val="en-US" w:eastAsia="zh-CN"/>
              </w:rPr>
            </w:pPr>
            <w:r>
              <w:rPr>
                <w:rFonts w:hint="eastAsia"/>
                <w:snapToGrid w:val="0"/>
                <w:kern w:val="0"/>
                <w:lang w:val="en-US" w:eastAsia="zh-CN"/>
              </w:rPr>
              <w:t>99.5</w:t>
            </w:r>
          </w:p>
        </w:tc>
        <w:tc>
          <w:tcPr>
            <w:tcW w:w="859" w:type="pct"/>
            <w:vAlign w:val="center"/>
          </w:tcPr>
          <w:p w14:paraId="5EB6ED2A">
            <w:pPr>
              <w:pStyle w:val="143"/>
              <w:rPr>
                <w:rFonts w:hint="eastAsia" w:eastAsia="宋体"/>
                <w:snapToGrid w:val="0"/>
                <w:kern w:val="0"/>
                <w:lang w:val="en-US" w:eastAsia="zh-CN"/>
              </w:rPr>
            </w:pPr>
            <w:r>
              <w:rPr>
                <w:rFonts w:hint="eastAsia"/>
                <w:snapToGrid w:val="0"/>
                <w:kern w:val="0"/>
                <w:lang w:val="en-US" w:eastAsia="zh-CN"/>
              </w:rPr>
              <w:t>一级</w:t>
            </w:r>
          </w:p>
        </w:tc>
      </w:tr>
      <w:tr w14:paraId="1BF095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7E68181F">
            <w:pPr>
              <w:pStyle w:val="143"/>
              <w:rPr>
                <w:snapToGrid/>
                <w:kern w:val="2"/>
                <w:lang w:val="en-US"/>
              </w:rPr>
            </w:pPr>
            <w:r>
              <w:rPr>
                <w:snapToGrid/>
                <w:kern w:val="2"/>
                <w:lang w:val="en-US"/>
              </w:rPr>
              <w:t>2.优级品率/%</w:t>
            </w:r>
          </w:p>
        </w:tc>
        <w:tc>
          <w:tcPr>
            <w:tcW w:w="968" w:type="pct"/>
            <w:vAlign w:val="center"/>
          </w:tcPr>
          <w:p w14:paraId="7A7268A0">
            <w:pPr>
              <w:pStyle w:val="143"/>
              <w:rPr>
                <w:snapToGrid/>
                <w:kern w:val="2"/>
                <w:lang w:val="en-US"/>
              </w:rPr>
            </w:pPr>
            <w:r>
              <w:rPr>
                <w:snapToGrid/>
                <w:kern w:val="2"/>
                <w:lang w:val="en-US"/>
              </w:rPr>
              <w:t>90</w:t>
            </w:r>
          </w:p>
        </w:tc>
        <w:tc>
          <w:tcPr>
            <w:tcW w:w="890" w:type="pct"/>
            <w:vAlign w:val="center"/>
          </w:tcPr>
          <w:p w14:paraId="1224BCA3">
            <w:pPr>
              <w:pStyle w:val="143"/>
              <w:rPr>
                <w:snapToGrid/>
                <w:kern w:val="2"/>
                <w:lang w:val="en-US"/>
              </w:rPr>
            </w:pPr>
            <w:r>
              <w:rPr>
                <w:snapToGrid/>
                <w:kern w:val="2"/>
                <w:lang w:val="en-US"/>
              </w:rPr>
              <w:t>60</w:t>
            </w:r>
          </w:p>
        </w:tc>
        <w:tc>
          <w:tcPr>
            <w:tcW w:w="750" w:type="pct"/>
            <w:vAlign w:val="center"/>
          </w:tcPr>
          <w:p w14:paraId="26656C18">
            <w:pPr>
              <w:pStyle w:val="143"/>
              <w:rPr>
                <w:snapToGrid/>
                <w:kern w:val="2"/>
                <w:lang w:val="en-US"/>
              </w:rPr>
            </w:pPr>
            <w:r>
              <w:rPr>
                <w:snapToGrid/>
                <w:kern w:val="2"/>
                <w:lang w:val="en-US"/>
              </w:rPr>
              <w:t>30</w:t>
            </w:r>
          </w:p>
        </w:tc>
        <w:tc>
          <w:tcPr>
            <w:tcW w:w="861" w:type="pct"/>
            <w:vAlign w:val="center"/>
          </w:tcPr>
          <w:p w14:paraId="007A9586">
            <w:pPr>
              <w:pStyle w:val="143"/>
              <w:rPr>
                <w:rFonts w:hint="default" w:eastAsia="宋体"/>
                <w:snapToGrid w:val="0"/>
                <w:kern w:val="0"/>
                <w:lang w:val="en-US" w:eastAsia="zh-CN"/>
              </w:rPr>
            </w:pPr>
            <w:r>
              <w:rPr>
                <w:rFonts w:hint="eastAsia"/>
                <w:snapToGrid w:val="0"/>
                <w:kern w:val="0"/>
                <w:lang w:val="en-US" w:eastAsia="zh-CN"/>
              </w:rPr>
              <w:t>90</w:t>
            </w:r>
          </w:p>
        </w:tc>
        <w:tc>
          <w:tcPr>
            <w:tcW w:w="859" w:type="pct"/>
            <w:vAlign w:val="center"/>
          </w:tcPr>
          <w:p w14:paraId="08359E93">
            <w:pPr>
              <w:pStyle w:val="143"/>
              <w:rPr>
                <w:snapToGrid w:val="0"/>
                <w:kern w:val="0"/>
                <w:lang w:val="en-US"/>
              </w:rPr>
            </w:pPr>
            <w:r>
              <w:rPr>
                <w:rFonts w:hint="eastAsia"/>
                <w:snapToGrid w:val="0"/>
                <w:kern w:val="0"/>
                <w:lang w:val="en-US" w:eastAsia="zh-CN"/>
              </w:rPr>
              <w:t>一级</w:t>
            </w:r>
          </w:p>
        </w:tc>
      </w:tr>
      <w:tr w14:paraId="197687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779141B8">
            <w:pPr>
              <w:pStyle w:val="143"/>
              <w:rPr>
                <w:snapToGrid/>
                <w:kern w:val="2"/>
                <w:lang w:val="en-US"/>
              </w:rPr>
            </w:pPr>
            <w:r>
              <w:rPr>
                <w:snapToGrid/>
                <w:kern w:val="2"/>
                <w:lang w:val="en-US"/>
              </w:rPr>
              <w:t>3.啤酒包装</w:t>
            </w:r>
          </w:p>
        </w:tc>
        <w:tc>
          <w:tcPr>
            <w:tcW w:w="2609" w:type="pct"/>
            <w:gridSpan w:val="3"/>
            <w:vAlign w:val="center"/>
          </w:tcPr>
          <w:p w14:paraId="1A932170">
            <w:pPr>
              <w:pStyle w:val="143"/>
              <w:jc w:val="both"/>
              <w:rPr>
                <w:snapToGrid/>
                <w:kern w:val="2"/>
                <w:lang w:val="en-US"/>
              </w:rPr>
            </w:pPr>
            <w:r>
              <w:rPr>
                <w:snapToGrid/>
                <w:kern w:val="2"/>
                <w:lang w:val="en-US"/>
              </w:rPr>
              <w:t>应使用环境友好的包装材料（瓦楞纸箱、塑料周转箱、热塑包装），并符合食品卫生标准的有关要求，啤酒瓶使用按有关国家标准(GB4544)执行</w:t>
            </w:r>
          </w:p>
        </w:tc>
        <w:tc>
          <w:tcPr>
            <w:tcW w:w="861" w:type="pct"/>
            <w:vAlign w:val="center"/>
          </w:tcPr>
          <w:p w14:paraId="5C229547">
            <w:pPr>
              <w:pStyle w:val="143"/>
              <w:rPr>
                <w:snapToGrid w:val="0"/>
                <w:kern w:val="0"/>
                <w:lang w:val="en-US"/>
              </w:rPr>
            </w:pPr>
            <w:r>
              <w:rPr>
                <w:rFonts w:hint="eastAsia"/>
                <w:snapToGrid w:val="0"/>
                <w:kern w:val="0"/>
                <w:lang w:val="en-US" w:eastAsia="zh-CN"/>
              </w:rPr>
              <w:t>采取</w:t>
            </w:r>
            <w:r>
              <w:rPr>
                <w:snapToGrid w:val="0"/>
                <w:kern w:val="0"/>
                <w:lang w:val="en-US"/>
              </w:rPr>
              <w:t>瓦楞纸箱、热塑包装符合食品卫生标准的有关要求，啤酒瓶使用</w:t>
            </w:r>
            <w:r>
              <w:rPr>
                <w:rFonts w:hint="eastAsia"/>
                <w:snapToGrid w:val="0"/>
                <w:kern w:val="0"/>
                <w:lang w:val="en-US" w:eastAsia="zh-CN"/>
              </w:rPr>
              <w:t>符合</w:t>
            </w:r>
            <w:r>
              <w:rPr>
                <w:snapToGrid w:val="0"/>
                <w:kern w:val="0"/>
                <w:lang w:val="en-US"/>
              </w:rPr>
              <w:t>GB4544</w:t>
            </w:r>
            <w:r>
              <w:rPr>
                <w:rFonts w:hint="eastAsia"/>
                <w:snapToGrid w:val="0"/>
                <w:kern w:val="0"/>
                <w:lang w:val="en-US" w:eastAsia="zh-CN"/>
              </w:rPr>
              <w:t>要求</w:t>
            </w:r>
          </w:p>
        </w:tc>
        <w:tc>
          <w:tcPr>
            <w:tcW w:w="859" w:type="pct"/>
            <w:vAlign w:val="center"/>
          </w:tcPr>
          <w:p w14:paraId="07949002">
            <w:pPr>
              <w:pStyle w:val="143"/>
              <w:rPr>
                <w:snapToGrid w:val="0"/>
                <w:kern w:val="0"/>
                <w:lang w:val="en-US"/>
              </w:rPr>
            </w:pPr>
            <w:r>
              <w:rPr>
                <w:snapToGrid w:val="0"/>
                <w:kern w:val="0"/>
                <w:lang w:val="en-US"/>
              </w:rPr>
              <w:t>一级</w:t>
            </w:r>
          </w:p>
        </w:tc>
      </w:tr>
      <w:tr w14:paraId="0EF365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732F799D">
            <w:pPr>
              <w:pStyle w:val="143"/>
              <w:rPr>
                <w:snapToGrid/>
                <w:kern w:val="2"/>
                <w:lang w:val="en-US"/>
              </w:rPr>
            </w:pPr>
            <w:r>
              <w:rPr>
                <w:snapToGrid/>
                <w:kern w:val="2"/>
                <w:lang w:val="en-US"/>
              </w:rPr>
              <w:t>4.处置</w:t>
            </w:r>
          </w:p>
        </w:tc>
        <w:tc>
          <w:tcPr>
            <w:tcW w:w="968" w:type="pct"/>
            <w:vAlign w:val="center"/>
          </w:tcPr>
          <w:p w14:paraId="7F59744B">
            <w:pPr>
              <w:pStyle w:val="143"/>
              <w:jc w:val="both"/>
              <w:rPr>
                <w:snapToGrid/>
                <w:kern w:val="2"/>
                <w:lang w:val="en-US"/>
              </w:rPr>
            </w:pPr>
            <w:r>
              <w:rPr>
                <w:snapToGrid/>
                <w:kern w:val="2"/>
                <w:lang w:val="en-US"/>
              </w:rPr>
              <w:t>近10年，没有因任何啤酒质量问题和其他理由，将其倒入下水道、受纳水体和环境中</w:t>
            </w:r>
          </w:p>
        </w:tc>
        <w:tc>
          <w:tcPr>
            <w:tcW w:w="890" w:type="pct"/>
            <w:vAlign w:val="center"/>
          </w:tcPr>
          <w:p w14:paraId="25CF4F9E">
            <w:pPr>
              <w:pStyle w:val="143"/>
              <w:jc w:val="both"/>
              <w:rPr>
                <w:snapToGrid/>
                <w:kern w:val="2"/>
                <w:lang w:val="en-US"/>
              </w:rPr>
            </w:pPr>
            <w:r>
              <w:rPr>
                <w:snapToGrid/>
                <w:kern w:val="2"/>
                <w:lang w:val="en-US"/>
              </w:rPr>
              <w:t>近5年，没有因任何啤酒质量问题和其他理由，将其倒入下水道、受纳水体和环境中</w:t>
            </w:r>
          </w:p>
        </w:tc>
        <w:tc>
          <w:tcPr>
            <w:tcW w:w="750" w:type="pct"/>
            <w:vAlign w:val="center"/>
          </w:tcPr>
          <w:p w14:paraId="1D2E294E">
            <w:pPr>
              <w:pStyle w:val="143"/>
              <w:jc w:val="both"/>
              <w:rPr>
                <w:snapToGrid/>
                <w:kern w:val="2"/>
                <w:lang w:val="en-US"/>
              </w:rPr>
            </w:pPr>
            <w:r>
              <w:rPr>
                <w:snapToGrid/>
                <w:kern w:val="2"/>
                <w:lang w:val="en-US"/>
              </w:rPr>
              <w:t>近3年，没有因任何啤酒质量问题和其他理由，将其倒入下水道、受纳水体和环境中</w:t>
            </w:r>
          </w:p>
        </w:tc>
        <w:tc>
          <w:tcPr>
            <w:tcW w:w="861" w:type="pct"/>
            <w:vAlign w:val="center"/>
          </w:tcPr>
          <w:p w14:paraId="78FC032D">
            <w:pPr>
              <w:pStyle w:val="143"/>
              <w:rPr>
                <w:rFonts w:hint="default" w:eastAsia="宋体"/>
                <w:snapToGrid w:val="0"/>
                <w:kern w:val="0"/>
                <w:lang w:val="en-US" w:eastAsia="zh-CN"/>
              </w:rPr>
            </w:pPr>
            <w:r>
              <w:rPr>
                <w:rFonts w:hint="eastAsia"/>
                <w:snapToGrid w:val="0"/>
                <w:kern w:val="0"/>
                <w:lang w:val="en-US" w:eastAsia="zh-CN"/>
              </w:rPr>
              <w:t>新建项目无任何问题</w:t>
            </w:r>
          </w:p>
        </w:tc>
        <w:tc>
          <w:tcPr>
            <w:tcW w:w="859" w:type="pct"/>
            <w:vAlign w:val="center"/>
          </w:tcPr>
          <w:p w14:paraId="7171ADA7">
            <w:pPr>
              <w:pStyle w:val="143"/>
              <w:rPr>
                <w:snapToGrid w:val="0"/>
                <w:kern w:val="0"/>
                <w:lang w:val="en-US"/>
              </w:rPr>
            </w:pPr>
            <w:r>
              <w:rPr>
                <w:snapToGrid w:val="0"/>
                <w:kern w:val="0"/>
                <w:lang w:val="en-US"/>
              </w:rPr>
              <w:t>一级</w:t>
            </w:r>
          </w:p>
        </w:tc>
      </w:tr>
      <w:tr w14:paraId="787C38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6"/>
            <w:vAlign w:val="center"/>
          </w:tcPr>
          <w:p w14:paraId="2AEB4D14">
            <w:pPr>
              <w:pStyle w:val="143"/>
              <w:rPr>
                <w:snapToGrid w:val="0"/>
                <w:kern w:val="0"/>
                <w:lang w:val="en-US"/>
              </w:rPr>
            </w:pPr>
            <w:r>
              <w:rPr>
                <w:snapToGrid/>
                <w:kern w:val="2"/>
                <w:lang w:val="en-US"/>
              </w:rPr>
              <w:t>四、污染物产生指标（末端处理前）</w:t>
            </w:r>
          </w:p>
        </w:tc>
      </w:tr>
      <w:tr w14:paraId="6CBF4E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50A2441B">
            <w:pPr>
              <w:pStyle w:val="143"/>
              <w:rPr>
                <w:snapToGrid/>
                <w:kern w:val="2"/>
                <w:lang w:val="en-US"/>
              </w:rPr>
            </w:pPr>
            <w:r>
              <w:rPr>
                <w:snapToGrid/>
                <w:kern w:val="2"/>
                <w:lang w:val="en-US"/>
              </w:rPr>
              <w:t>1.废水产生量/(m</w:t>
            </w:r>
            <w:r>
              <w:rPr>
                <w:snapToGrid/>
                <w:kern w:val="2"/>
                <w:vertAlign w:val="superscript"/>
                <w:lang w:val="en-US"/>
              </w:rPr>
              <w:t>3</w:t>
            </w:r>
            <w:r>
              <w:rPr>
                <w:snapToGrid/>
                <w:kern w:val="2"/>
                <w:lang w:val="en-US"/>
              </w:rPr>
              <w:t>/kl)</w:t>
            </w:r>
          </w:p>
        </w:tc>
        <w:tc>
          <w:tcPr>
            <w:tcW w:w="968" w:type="pct"/>
            <w:vAlign w:val="center"/>
          </w:tcPr>
          <w:p w14:paraId="7C1B9AB1">
            <w:pPr>
              <w:pStyle w:val="143"/>
              <w:rPr>
                <w:snapToGrid/>
                <w:kern w:val="2"/>
                <w:lang w:val="en-US"/>
              </w:rPr>
            </w:pPr>
            <w:r>
              <w:rPr>
                <w:snapToGrid/>
                <w:kern w:val="2"/>
                <w:lang w:val="en-US"/>
              </w:rPr>
              <w:t>≤4.5</w:t>
            </w:r>
          </w:p>
        </w:tc>
        <w:tc>
          <w:tcPr>
            <w:tcW w:w="890" w:type="pct"/>
            <w:vAlign w:val="center"/>
          </w:tcPr>
          <w:p w14:paraId="4A0A852A">
            <w:pPr>
              <w:pStyle w:val="143"/>
              <w:rPr>
                <w:snapToGrid/>
                <w:kern w:val="2"/>
                <w:lang w:val="en-US"/>
              </w:rPr>
            </w:pPr>
            <w:r>
              <w:rPr>
                <w:snapToGrid/>
                <w:kern w:val="2"/>
                <w:lang w:val="en-US"/>
              </w:rPr>
              <w:t>≤6.5</w:t>
            </w:r>
          </w:p>
        </w:tc>
        <w:tc>
          <w:tcPr>
            <w:tcW w:w="750" w:type="pct"/>
            <w:vAlign w:val="center"/>
          </w:tcPr>
          <w:p w14:paraId="10A388AF">
            <w:pPr>
              <w:pStyle w:val="143"/>
              <w:rPr>
                <w:snapToGrid/>
                <w:kern w:val="2"/>
                <w:lang w:val="en-US"/>
              </w:rPr>
            </w:pPr>
            <w:r>
              <w:rPr>
                <w:snapToGrid/>
                <w:kern w:val="2"/>
                <w:lang w:val="en-US"/>
              </w:rPr>
              <w:t>≤8.0</w:t>
            </w:r>
          </w:p>
        </w:tc>
        <w:tc>
          <w:tcPr>
            <w:tcW w:w="861" w:type="pct"/>
            <w:vAlign w:val="center"/>
          </w:tcPr>
          <w:p w14:paraId="79D2AA1C">
            <w:pPr>
              <w:pStyle w:val="143"/>
              <w:rPr>
                <w:rFonts w:hint="default" w:eastAsia="宋体"/>
                <w:snapToGrid w:val="0"/>
                <w:kern w:val="0"/>
                <w:lang w:val="en-US" w:eastAsia="zh-CN"/>
              </w:rPr>
            </w:pPr>
            <w:r>
              <w:rPr>
                <w:rFonts w:hint="eastAsia"/>
                <w:snapToGrid w:val="0"/>
                <w:kern w:val="0"/>
                <w:lang w:val="en-US" w:eastAsia="zh-CN"/>
              </w:rPr>
              <w:t>1.11</w:t>
            </w:r>
          </w:p>
        </w:tc>
        <w:tc>
          <w:tcPr>
            <w:tcW w:w="859" w:type="pct"/>
            <w:vAlign w:val="center"/>
          </w:tcPr>
          <w:p w14:paraId="25DDDBC9">
            <w:pPr>
              <w:pStyle w:val="143"/>
              <w:rPr>
                <w:rFonts w:hint="eastAsia" w:eastAsia="宋体"/>
                <w:snapToGrid w:val="0"/>
                <w:kern w:val="0"/>
                <w:lang w:val="en-US" w:eastAsia="zh-CN"/>
              </w:rPr>
            </w:pPr>
            <w:r>
              <w:rPr>
                <w:rFonts w:hint="eastAsia"/>
                <w:snapToGrid w:val="0"/>
                <w:kern w:val="0"/>
                <w:lang w:val="en-US" w:eastAsia="zh-CN"/>
              </w:rPr>
              <w:t>一级</w:t>
            </w:r>
          </w:p>
        </w:tc>
      </w:tr>
      <w:tr w14:paraId="2593CF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023A5064">
            <w:pPr>
              <w:pStyle w:val="143"/>
              <w:jc w:val="both"/>
              <w:rPr>
                <w:snapToGrid/>
                <w:kern w:val="2"/>
                <w:lang w:val="en-US"/>
              </w:rPr>
            </w:pPr>
            <w:r>
              <w:rPr>
                <w:snapToGrid/>
                <w:kern w:val="2"/>
                <w:lang w:val="en-US"/>
              </w:rPr>
              <w:t>2.COD产生量（处理前）/(kg/kl)</w:t>
            </w:r>
          </w:p>
        </w:tc>
        <w:tc>
          <w:tcPr>
            <w:tcW w:w="968" w:type="pct"/>
            <w:vAlign w:val="center"/>
          </w:tcPr>
          <w:p w14:paraId="122AC474">
            <w:pPr>
              <w:pStyle w:val="143"/>
              <w:rPr>
                <w:snapToGrid/>
                <w:kern w:val="2"/>
                <w:lang w:val="en-US"/>
              </w:rPr>
            </w:pPr>
            <w:r>
              <w:rPr>
                <w:snapToGrid/>
                <w:kern w:val="2"/>
                <w:lang w:val="en-US"/>
              </w:rPr>
              <w:t>9.5</w:t>
            </w:r>
          </w:p>
        </w:tc>
        <w:tc>
          <w:tcPr>
            <w:tcW w:w="890" w:type="pct"/>
            <w:vAlign w:val="center"/>
          </w:tcPr>
          <w:p w14:paraId="0DBF4B7F">
            <w:pPr>
              <w:pStyle w:val="143"/>
              <w:rPr>
                <w:snapToGrid/>
                <w:kern w:val="2"/>
                <w:lang w:val="en-US"/>
              </w:rPr>
            </w:pPr>
            <w:r>
              <w:rPr>
                <w:snapToGrid/>
                <w:kern w:val="2"/>
                <w:lang w:val="en-US"/>
              </w:rPr>
              <w:t>11.5</w:t>
            </w:r>
          </w:p>
        </w:tc>
        <w:tc>
          <w:tcPr>
            <w:tcW w:w="750" w:type="pct"/>
            <w:vAlign w:val="center"/>
          </w:tcPr>
          <w:p w14:paraId="7EBFF7D6">
            <w:pPr>
              <w:pStyle w:val="143"/>
              <w:rPr>
                <w:snapToGrid/>
                <w:kern w:val="2"/>
                <w:lang w:val="en-US"/>
              </w:rPr>
            </w:pPr>
            <w:r>
              <w:rPr>
                <w:snapToGrid/>
                <w:kern w:val="2"/>
                <w:lang w:val="en-US"/>
              </w:rPr>
              <w:t>14.0</w:t>
            </w:r>
          </w:p>
        </w:tc>
        <w:tc>
          <w:tcPr>
            <w:tcW w:w="861" w:type="pct"/>
            <w:vAlign w:val="center"/>
          </w:tcPr>
          <w:p w14:paraId="7DD3051B">
            <w:pPr>
              <w:pStyle w:val="143"/>
              <w:rPr>
                <w:rFonts w:hint="default" w:eastAsia="宋体"/>
                <w:snapToGrid w:val="0"/>
                <w:kern w:val="0"/>
                <w:lang w:val="en-US" w:eastAsia="zh-CN"/>
              </w:rPr>
            </w:pPr>
            <w:r>
              <w:rPr>
                <w:rFonts w:hint="eastAsia"/>
                <w:snapToGrid w:val="0"/>
                <w:kern w:val="0"/>
                <w:lang w:val="en-US" w:eastAsia="zh-CN"/>
              </w:rPr>
              <w:t>3.089</w:t>
            </w:r>
          </w:p>
        </w:tc>
        <w:tc>
          <w:tcPr>
            <w:tcW w:w="859" w:type="pct"/>
            <w:vAlign w:val="center"/>
          </w:tcPr>
          <w:p w14:paraId="44A23E4B">
            <w:pPr>
              <w:pStyle w:val="143"/>
              <w:rPr>
                <w:snapToGrid w:val="0"/>
                <w:kern w:val="0"/>
                <w:lang w:val="en-US"/>
              </w:rPr>
            </w:pPr>
            <w:r>
              <w:rPr>
                <w:rFonts w:hint="eastAsia"/>
                <w:snapToGrid w:val="0"/>
                <w:kern w:val="0"/>
                <w:lang w:val="en-US" w:eastAsia="zh-CN"/>
              </w:rPr>
              <w:t>一级</w:t>
            </w:r>
          </w:p>
        </w:tc>
      </w:tr>
      <w:tr w14:paraId="146423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328BED44">
            <w:pPr>
              <w:pStyle w:val="143"/>
              <w:rPr>
                <w:snapToGrid/>
                <w:kern w:val="2"/>
                <w:lang w:val="en-US"/>
              </w:rPr>
            </w:pPr>
            <w:r>
              <w:rPr>
                <w:snapToGrid/>
                <w:kern w:val="2"/>
                <w:lang w:val="en-US"/>
              </w:rPr>
              <w:t>3.啤酒总损失率/%</w:t>
            </w:r>
          </w:p>
        </w:tc>
        <w:tc>
          <w:tcPr>
            <w:tcW w:w="968" w:type="pct"/>
            <w:vAlign w:val="center"/>
          </w:tcPr>
          <w:p w14:paraId="3D1A1109">
            <w:pPr>
              <w:pStyle w:val="143"/>
              <w:rPr>
                <w:snapToGrid/>
                <w:kern w:val="2"/>
                <w:lang w:val="en-US"/>
              </w:rPr>
            </w:pPr>
            <w:r>
              <w:rPr>
                <w:snapToGrid/>
                <w:kern w:val="2"/>
                <w:lang w:val="en-US"/>
              </w:rPr>
              <w:t>≤4.7</w:t>
            </w:r>
          </w:p>
        </w:tc>
        <w:tc>
          <w:tcPr>
            <w:tcW w:w="890" w:type="pct"/>
            <w:vAlign w:val="center"/>
          </w:tcPr>
          <w:p w14:paraId="2C0C5D1D">
            <w:pPr>
              <w:pStyle w:val="143"/>
              <w:rPr>
                <w:snapToGrid/>
                <w:kern w:val="2"/>
                <w:lang w:val="en-US"/>
              </w:rPr>
            </w:pPr>
            <w:r>
              <w:rPr>
                <w:snapToGrid/>
                <w:kern w:val="2"/>
                <w:lang w:val="en-US"/>
              </w:rPr>
              <w:t>≤6.0</w:t>
            </w:r>
          </w:p>
        </w:tc>
        <w:tc>
          <w:tcPr>
            <w:tcW w:w="750" w:type="pct"/>
            <w:vAlign w:val="center"/>
          </w:tcPr>
          <w:p w14:paraId="715CE904">
            <w:pPr>
              <w:pStyle w:val="143"/>
              <w:rPr>
                <w:snapToGrid/>
                <w:kern w:val="2"/>
                <w:lang w:val="en-US"/>
              </w:rPr>
            </w:pPr>
            <w:r>
              <w:rPr>
                <w:snapToGrid/>
                <w:kern w:val="2"/>
                <w:lang w:val="en-US"/>
              </w:rPr>
              <w:t>≤7.5</w:t>
            </w:r>
          </w:p>
        </w:tc>
        <w:tc>
          <w:tcPr>
            <w:tcW w:w="861" w:type="pct"/>
            <w:vAlign w:val="center"/>
          </w:tcPr>
          <w:p w14:paraId="491BA5C4">
            <w:pPr>
              <w:pStyle w:val="143"/>
              <w:rPr>
                <w:rFonts w:hint="eastAsia" w:eastAsia="宋体"/>
                <w:snapToGrid w:val="0"/>
                <w:kern w:val="0"/>
                <w:lang w:val="en-US" w:eastAsia="zh-CN"/>
              </w:rPr>
            </w:pPr>
            <w:r>
              <w:rPr>
                <w:rFonts w:hint="eastAsia"/>
                <w:snapToGrid w:val="0"/>
                <w:kern w:val="0"/>
                <w:lang w:val="en-US" w:eastAsia="zh-CN"/>
              </w:rPr>
              <w:t>3</w:t>
            </w:r>
          </w:p>
        </w:tc>
        <w:tc>
          <w:tcPr>
            <w:tcW w:w="859" w:type="pct"/>
            <w:vAlign w:val="center"/>
          </w:tcPr>
          <w:p w14:paraId="73A543B0">
            <w:pPr>
              <w:pStyle w:val="143"/>
              <w:rPr>
                <w:snapToGrid w:val="0"/>
                <w:kern w:val="0"/>
                <w:lang w:val="en-US"/>
              </w:rPr>
            </w:pPr>
            <w:r>
              <w:rPr>
                <w:rFonts w:hint="eastAsia"/>
                <w:snapToGrid w:val="0"/>
                <w:kern w:val="0"/>
                <w:lang w:val="en-US" w:eastAsia="zh-CN"/>
              </w:rPr>
              <w:t>一级</w:t>
            </w:r>
          </w:p>
        </w:tc>
      </w:tr>
      <w:tr w14:paraId="397B42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6"/>
            <w:vAlign w:val="center"/>
          </w:tcPr>
          <w:p w14:paraId="1A12B1B2">
            <w:pPr>
              <w:pStyle w:val="143"/>
              <w:rPr>
                <w:snapToGrid w:val="0"/>
                <w:kern w:val="0"/>
                <w:lang w:val="en-US"/>
              </w:rPr>
            </w:pPr>
            <w:r>
              <w:rPr>
                <w:snapToGrid/>
                <w:kern w:val="2"/>
                <w:lang w:val="en-US"/>
              </w:rPr>
              <w:t>五、废物回收利用指标</w:t>
            </w:r>
          </w:p>
        </w:tc>
      </w:tr>
      <w:tr w14:paraId="5A8931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48B9748F">
            <w:pPr>
              <w:pStyle w:val="143"/>
              <w:rPr>
                <w:snapToGrid/>
                <w:kern w:val="2"/>
                <w:lang w:val="en-US"/>
              </w:rPr>
            </w:pPr>
            <w:r>
              <w:rPr>
                <w:snapToGrid/>
                <w:kern w:val="2"/>
                <w:lang w:val="en-US"/>
              </w:rPr>
              <w:t>1.酒糟回收利用率</w:t>
            </w:r>
          </w:p>
        </w:tc>
        <w:tc>
          <w:tcPr>
            <w:tcW w:w="968" w:type="pct"/>
            <w:vAlign w:val="center"/>
          </w:tcPr>
          <w:p w14:paraId="0DB97502">
            <w:pPr>
              <w:pStyle w:val="143"/>
              <w:rPr>
                <w:snapToGrid/>
                <w:kern w:val="2"/>
                <w:lang w:val="en-US"/>
              </w:rPr>
            </w:pPr>
            <w:r>
              <w:rPr>
                <w:snapToGrid/>
                <w:kern w:val="2"/>
                <w:lang w:val="en-US"/>
              </w:rPr>
              <w:t>100%回收并加工利用（加工成颗粒饲料或复合饲料等产品）</w:t>
            </w:r>
          </w:p>
        </w:tc>
        <w:tc>
          <w:tcPr>
            <w:tcW w:w="1640" w:type="pct"/>
            <w:gridSpan w:val="2"/>
            <w:vAlign w:val="center"/>
          </w:tcPr>
          <w:p w14:paraId="1ECA8626">
            <w:pPr>
              <w:pStyle w:val="143"/>
              <w:rPr>
                <w:snapToGrid/>
                <w:kern w:val="2"/>
                <w:lang w:val="en-US"/>
              </w:rPr>
            </w:pPr>
            <w:r>
              <w:rPr>
                <w:snapToGrid/>
                <w:kern w:val="2"/>
                <w:lang w:val="en-US"/>
              </w:rPr>
              <w:t>100%回收并利用（直接作饲料等）</w:t>
            </w:r>
          </w:p>
        </w:tc>
        <w:tc>
          <w:tcPr>
            <w:tcW w:w="861" w:type="pct"/>
            <w:vAlign w:val="center"/>
          </w:tcPr>
          <w:p w14:paraId="1317EAA1">
            <w:pPr>
              <w:pStyle w:val="143"/>
              <w:rPr>
                <w:snapToGrid w:val="0"/>
                <w:kern w:val="0"/>
                <w:lang w:val="en-US"/>
              </w:rPr>
            </w:pPr>
            <w:r>
              <w:rPr>
                <w:snapToGrid/>
                <w:kern w:val="2"/>
                <w:lang w:val="en-US"/>
              </w:rPr>
              <w:t>100%回收并利用（直接作饲料等）</w:t>
            </w:r>
          </w:p>
        </w:tc>
        <w:tc>
          <w:tcPr>
            <w:tcW w:w="859" w:type="pct"/>
            <w:vAlign w:val="center"/>
          </w:tcPr>
          <w:p w14:paraId="27F98D39">
            <w:pPr>
              <w:pStyle w:val="143"/>
              <w:rPr>
                <w:snapToGrid w:val="0"/>
                <w:kern w:val="0"/>
                <w:lang w:val="en-US"/>
              </w:rPr>
            </w:pPr>
            <w:r>
              <w:rPr>
                <w:rFonts w:hint="eastAsia"/>
                <w:snapToGrid w:val="0"/>
                <w:kern w:val="0"/>
                <w:lang w:val="en-US" w:eastAsia="zh-CN"/>
              </w:rPr>
              <w:t>二级</w:t>
            </w:r>
          </w:p>
        </w:tc>
      </w:tr>
      <w:tr w14:paraId="456D02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5C2AAF7C">
            <w:pPr>
              <w:pStyle w:val="143"/>
              <w:rPr>
                <w:snapToGrid/>
                <w:kern w:val="2"/>
                <w:lang w:val="en-US"/>
              </w:rPr>
            </w:pPr>
            <w:r>
              <w:rPr>
                <w:snapToGrid/>
                <w:kern w:val="2"/>
                <w:lang w:val="en-US"/>
              </w:rPr>
              <w:t>2.废酵母回收利用率</w:t>
            </w:r>
          </w:p>
        </w:tc>
        <w:tc>
          <w:tcPr>
            <w:tcW w:w="968" w:type="pct"/>
            <w:vAlign w:val="center"/>
          </w:tcPr>
          <w:p w14:paraId="6C9B0EFF">
            <w:pPr>
              <w:pStyle w:val="143"/>
              <w:rPr>
                <w:snapToGrid/>
                <w:kern w:val="2"/>
                <w:lang w:val="en-US"/>
              </w:rPr>
            </w:pPr>
            <w:r>
              <w:rPr>
                <w:snapToGrid/>
                <w:kern w:val="2"/>
                <w:lang w:val="en-US"/>
              </w:rPr>
              <w:t>100%回收并加工利用（生产饲料添加剂、医药、食品添加剂等产品）</w:t>
            </w:r>
          </w:p>
        </w:tc>
        <w:tc>
          <w:tcPr>
            <w:tcW w:w="1640" w:type="pct"/>
            <w:gridSpan w:val="2"/>
            <w:vAlign w:val="center"/>
          </w:tcPr>
          <w:p w14:paraId="139B3C82">
            <w:pPr>
              <w:pStyle w:val="143"/>
              <w:rPr>
                <w:snapToGrid/>
                <w:kern w:val="2"/>
                <w:lang w:val="en-US"/>
              </w:rPr>
            </w:pPr>
            <w:r>
              <w:rPr>
                <w:snapToGrid/>
                <w:kern w:val="2"/>
                <w:lang w:val="en-US"/>
              </w:rPr>
              <w:t>100%回收并利用（直接作饲料等）</w:t>
            </w:r>
          </w:p>
        </w:tc>
        <w:tc>
          <w:tcPr>
            <w:tcW w:w="861" w:type="pct"/>
            <w:vAlign w:val="center"/>
          </w:tcPr>
          <w:p w14:paraId="2B7E4A1E">
            <w:pPr>
              <w:pStyle w:val="143"/>
              <w:rPr>
                <w:snapToGrid w:val="0"/>
                <w:kern w:val="0"/>
                <w:lang w:val="en-US"/>
              </w:rPr>
            </w:pPr>
            <w:r>
              <w:rPr>
                <w:snapToGrid/>
                <w:kern w:val="2"/>
                <w:lang w:val="en-US"/>
              </w:rPr>
              <w:t>100%回收并利用（直接作饲料等）</w:t>
            </w:r>
          </w:p>
        </w:tc>
        <w:tc>
          <w:tcPr>
            <w:tcW w:w="859" w:type="pct"/>
            <w:vAlign w:val="center"/>
          </w:tcPr>
          <w:p w14:paraId="6DCB6370">
            <w:pPr>
              <w:pStyle w:val="143"/>
              <w:rPr>
                <w:snapToGrid w:val="0"/>
                <w:kern w:val="0"/>
                <w:lang w:val="en-US"/>
              </w:rPr>
            </w:pPr>
            <w:r>
              <w:rPr>
                <w:snapToGrid w:val="0"/>
                <w:kern w:val="0"/>
                <w:lang w:val="en-US"/>
              </w:rPr>
              <w:t>二级</w:t>
            </w:r>
          </w:p>
        </w:tc>
      </w:tr>
      <w:tr w14:paraId="2ABD74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01F45065">
            <w:pPr>
              <w:pStyle w:val="143"/>
              <w:rPr>
                <w:snapToGrid/>
                <w:kern w:val="2"/>
                <w:lang w:val="en-US"/>
              </w:rPr>
            </w:pPr>
            <w:r>
              <w:rPr>
                <w:snapToGrid/>
                <w:kern w:val="2"/>
                <w:lang w:val="en-US"/>
              </w:rPr>
              <w:t>3.废硅藻土回收处置率</w:t>
            </w:r>
          </w:p>
        </w:tc>
        <w:tc>
          <w:tcPr>
            <w:tcW w:w="2609" w:type="pct"/>
            <w:gridSpan w:val="3"/>
            <w:vAlign w:val="center"/>
          </w:tcPr>
          <w:p w14:paraId="14BCD17D">
            <w:pPr>
              <w:pStyle w:val="143"/>
              <w:rPr>
                <w:snapToGrid/>
                <w:kern w:val="2"/>
                <w:lang w:val="en-US"/>
              </w:rPr>
            </w:pPr>
            <w:r>
              <w:rPr>
                <w:snapToGrid/>
                <w:kern w:val="2"/>
                <w:lang w:val="en-US"/>
              </w:rPr>
              <w:t>100%回收并妥善处置（填埋等）不直接排入下水道和环境中</w:t>
            </w:r>
          </w:p>
        </w:tc>
        <w:tc>
          <w:tcPr>
            <w:tcW w:w="861" w:type="pct"/>
            <w:vAlign w:val="center"/>
          </w:tcPr>
          <w:p w14:paraId="1B1124B1">
            <w:pPr>
              <w:pStyle w:val="143"/>
              <w:rPr>
                <w:rFonts w:hint="default"/>
                <w:snapToGrid w:val="0"/>
                <w:kern w:val="0"/>
                <w:lang w:val="en-US"/>
              </w:rPr>
            </w:pPr>
            <w:r>
              <w:rPr>
                <w:rFonts w:hint="eastAsia"/>
                <w:snapToGrid w:val="0"/>
                <w:kern w:val="0"/>
                <w:lang w:val="en-US" w:eastAsia="zh-CN"/>
              </w:rPr>
              <w:t>废硅藻土全部回收外售处置</w:t>
            </w:r>
          </w:p>
        </w:tc>
        <w:tc>
          <w:tcPr>
            <w:tcW w:w="859" w:type="pct"/>
            <w:vAlign w:val="center"/>
          </w:tcPr>
          <w:p w14:paraId="1B2D7781">
            <w:pPr>
              <w:pStyle w:val="143"/>
              <w:rPr>
                <w:snapToGrid w:val="0"/>
                <w:kern w:val="0"/>
                <w:lang w:val="en-US"/>
              </w:rPr>
            </w:pPr>
            <w:r>
              <w:rPr>
                <w:rFonts w:hint="eastAsia"/>
                <w:snapToGrid w:val="0"/>
                <w:kern w:val="0"/>
                <w:lang w:val="en-US" w:eastAsia="zh-CN"/>
              </w:rPr>
              <w:t>一级</w:t>
            </w:r>
          </w:p>
        </w:tc>
      </w:tr>
      <w:tr w14:paraId="0BC2AA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413DF0D1">
            <w:pPr>
              <w:pStyle w:val="143"/>
              <w:rPr>
                <w:snapToGrid/>
                <w:kern w:val="2"/>
                <w:lang w:val="en-US"/>
              </w:rPr>
            </w:pPr>
            <w:r>
              <w:rPr>
                <w:snapToGrid/>
                <w:kern w:val="2"/>
                <w:lang w:val="en-US"/>
              </w:rPr>
              <w:t>4.炉渣回收利用率</w:t>
            </w:r>
          </w:p>
        </w:tc>
        <w:tc>
          <w:tcPr>
            <w:tcW w:w="968" w:type="pct"/>
            <w:vAlign w:val="center"/>
          </w:tcPr>
          <w:p w14:paraId="004C52C7">
            <w:pPr>
              <w:pStyle w:val="143"/>
              <w:rPr>
                <w:snapToGrid/>
                <w:kern w:val="2"/>
                <w:lang w:val="en-US"/>
              </w:rPr>
            </w:pPr>
            <w:r>
              <w:rPr>
                <w:snapToGrid/>
                <w:kern w:val="2"/>
                <w:lang w:val="en-US"/>
              </w:rPr>
              <w:t>100%回收并利用</w:t>
            </w:r>
          </w:p>
        </w:tc>
        <w:tc>
          <w:tcPr>
            <w:tcW w:w="1640" w:type="pct"/>
            <w:gridSpan w:val="2"/>
            <w:vAlign w:val="center"/>
          </w:tcPr>
          <w:p w14:paraId="0B104F66">
            <w:pPr>
              <w:pStyle w:val="143"/>
              <w:rPr>
                <w:snapToGrid/>
                <w:kern w:val="2"/>
                <w:lang w:val="en-US"/>
              </w:rPr>
            </w:pPr>
            <w:r>
              <w:rPr>
                <w:snapToGrid/>
                <w:kern w:val="2"/>
                <w:lang w:val="en-US"/>
              </w:rPr>
              <w:t>100%回收并妥善处置</w:t>
            </w:r>
          </w:p>
        </w:tc>
        <w:tc>
          <w:tcPr>
            <w:tcW w:w="861" w:type="pct"/>
            <w:vAlign w:val="center"/>
          </w:tcPr>
          <w:p w14:paraId="0E6842CA">
            <w:pPr>
              <w:pStyle w:val="143"/>
              <w:rPr>
                <w:snapToGrid w:val="0"/>
                <w:kern w:val="0"/>
                <w:lang w:val="en-US" w:eastAsia="zh-CN"/>
              </w:rPr>
            </w:pPr>
            <w:r>
              <w:rPr>
                <w:snapToGrid w:val="0"/>
                <w:kern w:val="0"/>
                <w:lang w:val="en-US"/>
              </w:rPr>
              <w:t>不产生</w:t>
            </w:r>
            <w:r>
              <w:rPr>
                <w:rFonts w:hint="eastAsia"/>
                <w:snapToGrid w:val="0"/>
                <w:kern w:val="0"/>
                <w:lang w:val="en-US" w:eastAsia="zh-CN"/>
              </w:rPr>
              <w:t>炉渣</w:t>
            </w:r>
          </w:p>
        </w:tc>
        <w:tc>
          <w:tcPr>
            <w:tcW w:w="859" w:type="pct"/>
            <w:vAlign w:val="center"/>
          </w:tcPr>
          <w:p w14:paraId="6AD5AB9B">
            <w:pPr>
              <w:pStyle w:val="143"/>
              <w:rPr>
                <w:snapToGrid w:val="0"/>
                <w:kern w:val="0"/>
                <w:lang w:val="en-US"/>
              </w:rPr>
            </w:pPr>
            <w:r>
              <w:rPr>
                <w:rFonts w:hint="eastAsia"/>
                <w:snapToGrid w:val="0"/>
                <w:kern w:val="0"/>
                <w:lang w:val="en-US"/>
              </w:rPr>
              <w:t>不涉及</w:t>
            </w:r>
          </w:p>
        </w:tc>
      </w:tr>
      <w:tr w14:paraId="11C424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46229C79">
            <w:pPr>
              <w:pStyle w:val="143"/>
              <w:rPr>
                <w:snapToGrid/>
                <w:kern w:val="2"/>
                <w:lang w:val="en-US"/>
              </w:rPr>
            </w:pPr>
            <w:r>
              <w:rPr>
                <w:snapToGrid/>
                <w:kern w:val="2"/>
                <w:lang w:val="en-US"/>
              </w:rPr>
              <w:t>5.二氧化碳（发酵产生）回收利用率</w:t>
            </w:r>
          </w:p>
        </w:tc>
        <w:tc>
          <w:tcPr>
            <w:tcW w:w="1859" w:type="pct"/>
            <w:gridSpan w:val="2"/>
            <w:vAlign w:val="center"/>
          </w:tcPr>
          <w:p w14:paraId="38D9AC9F">
            <w:pPr>
              <w:pStyle w:val="143"/>
              <w:rPr>
                <w:snapToGrid/>
                <w:kern w:val="2"/>
                <w:lang w:val="en-US"/>
              </w:rPr>
            </w:pPr>
            <w:r>
              <w:rPr>
                <w:snapToGrid/>
                <w:kern w:val="2"/>
                <w:lang w:val="en-US"/>
              </w:rPr>
              <w:t>回收并利用所有可回收的二氧化碳</w:t>
            </w:r>
          </w:p>
        </w:tc>
        <w:tc>
          <w:tcPr>
            <w:tcW w:w="750" w:type="pct"/>
            <w:vAlign w:val="center"/>
          </w:tcPr>
          <w:p w14:paraId="11C01A78">
            <w:pPr>
              <w:pStyle w:val="143"/>
              <w:rPr>
                <w:snapToGrid/>
                <w:kern w:val="2"/>
                <w:lang w:val="en-US"/>
              </w:rPr>
            </w:pPr>
            <w:r>
              <w:rPr>
                <w:snapToGrid/>
                <w:kern w:val="2"/>
                <w:lang w:val="en-US"/>
              </w:rPr>
              <w:t>50%以上回收并利用</w:t>
            </w:r>
          </w:p>
        </w:tc>
        <w:tc>
          <w:tcPr>
            <w:tcW w:w="861" w:type="pct"/>
            <w:vAlign w:val="center"/>
          </w:tcPr>
          <w:p w14:paraId="602CFF3B">
            <w:pPr>
              <w:pStyle w:val="143"/>
              <w:rPr>
                <w:snapToGrid w:val="0"/>
                <w:kern w:val="0"/>
                <w:lang w:val="en-US"/>
              </w:rPr>
            </w:pPr>
            <w:r>
              <w:rPr>
                <w:snapToGrid w:val="0"/>
                <w:kern w:val="0"/>
                <w:lang w:val="en-US"/>
              </w:rPr>
              <w:t>回收并利用所有可回收的二氧化碳</w:t>
            </w:r>
          </w:p>
        </w:tc>
        <w:tc>
          <w:tcPr>
            <w:tcW w:w="859" w:type="pct"/>
            <w:vAlign w:val="center"/>
          </w:tcPr>
          <w:p w14:paraId="0D2730EE">
            <w:pPr>
              <w:pStyle w:val="143"/>
              <w:rPr>
                <w:snapToGrid w:val="0"/>
                <w:kern w:val="0"/>
                <w:lang w:val="en-US"/>
              </w:rPr>
            </w:pPr>
            <w:r>
              <w:rPr>
                <w:rFonts w:hint="eastAsia"/>
                <w:snapToGrid w:val="0"/>
                <w:kern w:val="0"/>
                <w:lang w:val="en-US" w:eastAsia="zh-CN"/>
              </w:rPr>
              <w:t>一级</w:t>
            </w:r>
          </w:p>
        </w:tc>
      </w:tr>
      <w:tr w14:paraId="372512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6"/>
            <w:vAlign w:val="center"/>
          </w:tcPr>
          <w:p w14:paraId="3CD65593">
            <w:pPr>
              <w:pStyle w:val="143"/>
              <w:rPr>
                <w:snapToGrid w:val="0"/>
                <w:kern w:val="0"/>
                <w:lang w:val="en-US"/>
              </w:rPr>
            </w:pPr>
            <w:r>
              <w:rPr>
                <w:snapToGrid/>
                <w:kern w:val="2"/>
                <w:lang w:val="en-US"/>
              </w:rPr>
              <w:t>六、环境管理要求</w:t>
            </w:r>
          </w:p>
        </w:tc>
      </w:tr>
      <w:tr w14:paraId="400699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24494AE4">
            <w:pPr>
              <w:pStyle w:val="143"/>
              <w:rPr>
                <w:snapToGrid/>
                <w:kern w:val="2"/>
                <w:lang w:val="en-US"/>
              </w:rPr>
            </w:pPr>
            <w:r>
              <w:rPr>
                <w:snapToGrid/>
                <w:kern w:val="2"/>
                <w:lang w:val="en-US"/>
              </w:rPr>
              <w:t>1.环境法律法规标准</w:t>
            </w:r>
          </w:p>
        </w:tc>
        <w:tc>
          <w:tcPr>
            <w:tcW w:w="2609" w:type="pct"/>
            <w:gridSpan w:val="3"/>
            <w:vAlign w:val="center"/>
          </w:tcPr>
          <w:p w14:paraId="2ACAC57A">
            <w:pPr>
              <w:pStyle w:val="143"/>
              <w:rPr>
                <w:snapToGrid/>
                <w:kern w:val="2"/>
                <w:lang w:val="en-US"/>
              </w:rPr>
            </w:pPr>
            <w:r>
              <w:rPr>
                <w:snapToGrid/>
                <w:kern w:val="2"/>
                <w:lang w:val="en-US"/>
              </w:rPr>
              <w:t>符合国家和地方有关环境法律、法规、污染物排放达到国家和地方排放标准、总量控制和排污许可证管理要求</w:t>
            </w:r>
          </w:p>
        </w:tc>
        <w:tc>
          <w:tcPr>
            <w:tcW w:w="861" w:type="pct"/>
            <w:vAlign w:val="center"/>
          </w:tcPr>
          <w:p w14:paraId="0848D51A">
            <w:pPr>
              <w:pStyle w:val="143"/>
              <w:rPr>
                <w:snapToGrid w:val="0"/>
                <w:kern w:val="0"/>
                <w:lang w:val="en-US"/>
              </w:rPr>
            </w:pPr>
            <w:r>
              <w:rPr>
                <w:snapToGrid w:val="0"/>
                <w:kern w:val="0"/>
                <w:lang w:val="en-US"/>
              </w:rPr>
              <w:t>符合国家和地方有关环境法律、法规、污染物排放达到国家和地方排放标准、总量控制和排污许可证管理要求</w:t>
            </w:r>
          </w:p>
        </w:tc>
        <w:tc>
          <w:tcPr>
            <w:tcW w:w="859" w:type="pct"/>
            <w:vAlign w:val="center"/>
          </w:tcPr>
          <w:p w14:paraId="0EF2848E">
            <w:pPr>
              <w:pStyle w:val="143"/>
              <w:rPr>
                <w:snapToGrid w:val="0"/>
                <w:kern w:val="0"/>
                <w:lang w:val="en-US"/>
              </w:rPr>
            </w:pPr>
            <w:r>
              <w:rPr>
                <w:snapToGrid w:val="0"/>
                <w:kern w:val="0"/>
                <w:lang w:val="en-US"/>
              </w:rPr>
              <w:t>一级</w:t>
            </w:r>
          </w:p>
        </w:tc>
      </w:tr>
      <w:tr w14:paraId="52FCFA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582BAA92">
            <w:pPr>
              <w:pStyle w:val="143"/>
              <w:rPr>
                <w:snapToGrid/>
                <w:kern w:val="2"/>
                <w:lang w:val="en-US"/>
              </w:rPr>
            </w:pPr>
            <w:r>
              <w:rPr>
                <w:snapToGrid/>
                <w:kern w:val="2"/>
                <w:lang w:val="en-US"/>
              </w:rPr>
              <w:t>2.环境审核</w:t>
            </w:r>
          </w:p>
        </w:tc>
        <w:tc>
          <w:tcPr>
            <w:tcW w:w="968" w:type="pct"/>
            <w:vAlign w:val="center"/>
          </w:tcPr>
          <w:p w14:paraId="1E3B8B1E">
            <w:pPr>
              <w:pStyle w:val="143"/>
              <w:jc w:val="both"/>
              <w:rPr>
                <w:snapToGrid/>
                <w:kern w:val="2"/>
                <w:lang w:val="en-US"/>
              </w:rPr>
            </w:pPr>
            <w:r>
              <w:rPr>
                <w:snapToGrid/>
                <w:kern w:val="2"/>
                <w:lang w:val="en-US"/>
              </w:rPr>
              <w:t>按照啤酒制造业的企业清洁生产审核指南的要求进行了审核；按照GB/T24001建立并运行环境管理体系，环境管理手册、程序文件及作业文件齐备</w:t>
            </w:r>
          </w:p>
        </w:tc>
        <w:tc>
          <w:tcPr>
            <w:tcW w:w="890" w:type="pct"/>
            <w:vAlign w:val="center"/>
          </w:tcPr>
          <w:p w14:paraId="6D54BCD6">
            <w:pPr>
              <w:pStyle w:val="143"/>
              <w:jc w:val="both"/>
              <w:rPr>
                <w:snapToGrid/>
                <w:kern w:val="2"/>
                <w:lang w:val="en-US"/>
              </w:rPr>
            </w:pPr>
            <w:r>
              <w:rPr>
                <w:snapToGrid/>
                <w:kern w:val="2"/>
                <w:lang w:val="en-US"/>
              </w:rPr>
              <w:t>按照啤酒制造业的企业清洁生产审核指南的要求进行了审核；环境管理制度健全，原始记录及统计数据齐全有效</w:t>
            </w:r>
          </w:p>
        </w:tc>
        <w:tc>
          <w:tcPr>
            <w:tcW w:w="750" w:type="pct"/>
            <w:vAlign w:val="center"/>
          </w:tcPr>
          <w:p w14:paraId="66DD4DC2">
            <w:pPr>
              <w:pStyle w:val="143"/>
              <w:jc w:val="both"/>
              <w:rPr>
                <w:snapToGrid/>
                <w:kern w:val="2"/>
                <w:lang w:val="en-US"/>
              </w:rPr>
            </w:pPr>
            <w:r>
              <w:rPr>
                <w:snapToGrid/>
                <w:kern w:val="2"/>
                <w:lang w:val="en-US"/>
              </w:rPr>
              <w:t>按照啤酒制造业的企业清洁生产审核指南的要求进行了审核；环境管理制度、原始记录及统计数据基本齐全</w:t>
            </w:r>
          </w:p>
        </w:tc>
        <w:tc>
          <w:tcPr>
            <w:tcW w:w="861" w:type="pct"/>
            <w:vAlign w:val="center"/>
          </w:tcPr>
          <w:p w14:paraId="17013260">
            <w:pPr>
              <w:pStyle w:val="143"/>
              <w:rPr>
                <w:snapToGrid w:val="0"/>
                <w:kern w:val="0"/>
                <w:lang w:val="en-US"/>
              </w:rPr>
            </w:pPr>
          </w:p>
        </w:tc>
        <w:tc>
          <w:tcPr>
            <w:tcW w:w="859" w:type="pct"/>
            <w:vAlign w:val="center"/>
          </w:tcPr>
          <w:p w14:paraId="4505B04E">
            <w:pPr>
              <w:pStyle w:val="143"/>
              <w:rPr>
                <w:snapToGrid w:val="0"/>
                <w:kern w:val="0"/>
                <w:lang w:val="en-US"/>
              </w:rPr>
            </w:pPr>
          </w:p>
        </w:tc>
      </w:tr>
      <w:tr w14:paraId="7EB0F7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4E26815E">
            <w:pPr>
              <w:pStyle w:val="143"/>
              <w:rPr>
                <w:snapToGrid/>
                <w:kern w:val="2"/>
                <w:lang w:val="en-US"/>
              </w:rPr>
            </w:pPr>
            <w:r>
              <w:rPr>
                <w:snapToGrid/>
                <w:kern w:val="2"/>
                <w:lang w:val="en-US"/>
              </w:rPr>
              <w:t>3.生产过程环境管理</w:t>
            </w:r>
          </w:p>
        </w:tc>
        <w:tc>
          <w:tcPr>
            <w:tcW w:w="2609" w:type="pct"/>
            <w:gridSpan w:val="3"/>
            <w:vAlign w:val="center"/>
          </w:tcPr>
          <w:p w14:paraId="363DDF6C">
            <w:pPr>
              <w:pStyle w:val="143"/>
              <w:jc w:val="both"/>
              <w:rPr>
                <w:snapToGrid/>
                <w:kern w:val="2"/>
                <w:lang w:val="en-US"/>
              </w:rPr>
            </w:pPr>
            <w:r>
              <w:rPr>
                <w:snapToGrid/>
                <w:kern w:val="2"/>
                <w:lang w:val="en-US"/>
              </w:rPr>
              <w:t>有原材料、包装材料生产过程的质检制度和消耗定额管理，对能耗和物耗指标有考核，有健全的岗位操作规程和设备维护保养规程等</w:t>
            </w:r>
          </w:p>
        </w:tc>
        <w:tc>
          <w:tcPr>
            <w:tcW w:w="861" w:type="pct"/>
            <w:vAlign w:val="center"/>
          </w:tcPr>
          <w:p w14:paraId="3C79670D">
            <w:pPr>
              <w:pStyle w:val="143"/>
              <w:rPr>
                <w:snapToGrid w:val="0"/>
                <w:kern w:val="0"/>
                <w:lang w:val="en-US"/>
              </w:rPr>
            </w:pPr>
          </w:p>
        </w:tc>
        <w:tc>
          <w:tcPr>
            <w:tcW w:w="859" w:type="pct"/>
            <w:vAlign w:val="center"/>
          </w:tcPr>
          <w:p w14:paraId="4ADB4DCA">
            <w:pPr>
              <w:pStyle w:val="143"/>
              <w:rPr>
                <w:snapToGrid w:val="0"/>
                <w:kern w:val="0"/>
                <w:lang w:val="en-US"/>
              </w:rPr>
            </w:pPr>
          </w:p>
        </w:tc>
      </w:tr>
      <w:tr w14:paraId="7AF448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661E099F">
            <w:pPr>
              <w:pStyle w:val="143"/>
              <w:rPr>
                <w:snapToGrid/>
                <w:kern w:val="2"/>
                <w:lang w:val="en-US"/>
              </w:rPr>
            </w:pPr>
            <w:r>
              <w:rPr>
                <w:snapToGrid/>
                <w:kern w:val="2"/>
                <w:lang w:val="en-US"/>
              </w:rPr>
              <w:t>4.废物处理处置</w:t>
            </w:r>
          </w:p>
        </w:tc>
        <w:tc>
          <w:tcPr>
            <w:tcW w:w="2609" w:type="pct"/>
            <w:gridSpan w:val="3"/>
            <w:vAlign w:val="center"/>
          </w:tcPr>
          <w:p w14:paraId="2963F680">
            <w:pPr>
              <w:pStyle w:val="143"/>
              <w:rPr>
                <w:snapToGrid/>
                <w:kern w:val="2"/>
                <w:lang w:val="en-US"/>
              </w:rPr>
            </w:pPr>
            <w:r>
              <w:rPr>
                <w:snapToGrid/>
                <w:kern w:val="2"/>
                <w:lang w:val="en-US"/>
              </w:rPr>
              <w:t>污染控制设施配套齐全，并正常运行</w:t>
            </w:r>
          </w:p>
        </w:tc>
        <w:tc>
          <w:tcPr>
            <w:tcW w:w="861" w:type="pct"/>
            <w:vAlign w:val="center"/>
          </w:tcPr>
          <w:p w14:paraId="19100B00">
            <w:pPr>
              <w:pStyle w:val="143"/>
              <w:rPr>
                <w:snapToGrid w:val="0"/>
                <w:kern w:val="0"/>
                <w:lang w:val="en-US"/>
              </w:rPr>
            </w:pPr>
            <w:r>
              <w:rPr>
                <w:snapToGrid w:val="0"/>
                <w:kern w:val="0"/>
                <w:lang w:val="en-US"/>
              </w:rPr>
              <w:t>可确保污染控制设施配套齐全，正常运行</w:t>
            </w:r>
          </w:p>
        </w:tc>
        <w:tc>
          <w:tcPr>
            <w:tcW w:w="859" w:type="pct"/>
            <w:vAlign w:val="center"/>
          </w:tcPr>
          <w:p w14:paraId="00064408">
            <w:pPr>
              <w:pStyle w:val="143"/>
              <w:rPr>
                <w:snapToGrid w:val="0"/>
                <w:kern w:val="0"/>
                <w:lang w:val="en-US"/>
              </w:rPr>
            </w:pPr>
            <w:r>
              <w:rPr>
                <w:rFonts w:hint="eastAsia"/>
                <w:snapToGrid w:val="0"/>
                <w:kern w:val="0"/>
                <w:lang w:val="en-US" w:eastAsia="zh-CN"/>
              </w:rPr>
              <w:t>一级</w:t>
            </w:r>
          </w:p>
        </w:tc>
      </w:tr>
      <w:tr w14:paraId="0A77F3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70" w:type="pct"/>
            <w:vAlign w:val="center"/>
          </w:tcPr>
          <w:p w14:paraId="089D3C1B">
            <w:pPr>
              <w:pStyle w:val="143"/>
              <w:rPr>
                <w:snapToGrid/>
                <w:kern w:val="2"/>
                <w:lang w:val="en-US"/>
              </w:rPr>
            </w:pPr>
            <w:r>
              <w:rPr>
                <w:snapToGrid/>
                <w:kern w:val="2"/>
                <w:lang w:val="en-US"/>
              </w:rPr>
              <w:t>5.相关方环境管理</w:t>
            </w:r>
          </w:p>
        </w:tc>
        <w:tc>
          <w:tcPr>
            <w:tcW w:w="2609" w:type="pct"/>
            <w:gridSpan w:val="3"/>
            <w:vAlign w:val="center"/>
          </w:tcPr>
          <w:p w14:paraId="1317933B">
            <w:pPr>
              <w:pStyle w:val="143"/>
              <w:jc w:val="both"/>
              <w:rPr>
                <w:snapToGrid/>
                <w:kern w:val="2"/>
                <w:lang w:val="en-US"/>
              </w:rPr>
            </w:pPr>
            <w:r>
              <w:rPr>
                <w:snapToGrid/>
                <w:kern w:val="2"/>
                <w:lang w:val="en-US"/>
              </w:rPr>
              <w:t>购买有资质的原材料供应商的产品，对原材料供应商的产品质量、包装和运输等环节施加影响；危险废物送到有资质的企业进行处理</w:t>
            </w:r>
          </w:p>
        </w:tc>
        <w:tc>
          <w:tcPr>
            <w:tcW w:w="861" w:type="pct"/>
            <w:vAlign w:val="center"/>
          </w:tcPr>
          <w:p w14:paraId="103313E3">
            <w:pPr>
              <w:pStyle w:val="143"/>
              <w:rPr>
                <w:snapToGrid w:val="0"/>
                <w:kern w:val="0"/>
                <w:lang w:val="en-US"/>
              </w:rPr>
            </w:pPr>
          </w:p>
        </w:tc>
        <w:tc>
          <w:tcPr>
            <w:tcW w:w="859" w:type="pct"/>
            <w:vAlign w:val="center"/>
          </w:tcPr>
          <w:p w14:paraId="6057542E">
            <w:pPr>
              <w:pStyle w:val="143"/>
              <w:rPr>
                <w:snapToGrid w:val="0"/>
                <w:kern w:val="0"/>
                <w:lang w:val="en-US"/>
              </w:rPr>
            </w:pPr>
          </w:p>
        </w:tc>
      </w:tr>
      <w:tr w14:paraId="313831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6"/>
            <w:vAlign w:val="center"/>
          </w:tcPr>
          <w:p w14:paraId="29A47E82">
            <w:pPr>
              <w:pStyle w:val="143"/>
              <w:jc w:val="both"/>
              <w:rPr>
                <w:snapToGrid w:val="0"/>
                <w:kern w:val="0"/>
                <w:lang w:val="en-US"/>
              </w:rPr>
            </w:pPr>
            <w:r>
              <w:rPr>
                <w:snapToGrid/>
                <w:kern w:val="2"/>
                <w:lang w:val="en-US"/>
              </w:rPr>
              <w:t>注：*新建厂指本标准实施之日后建设的单位（包括改、扩、建），建设（包括改、扩、建）啤酒厂的建设时间，以环境影响评价报告书日期为准划分。对已建啤酒厂不受规模限制。</w:t>
            </w:r>
          </w:p>
        </w:tc>
      </w:tr>
    </w:tbl>
    <w:p w14:paraId="3F4BA857">
      <w:pPr>
        <w:pStyle w:val="143"/>
      </w:pPr>
    </w:p>
    <w:p w14:paraId="56AC0E12">
      <w:pPr>
        <w:pStyle w:val="85"/>
        <w:rPr>
          <w:color w:val="000000" w:themeColor="text1"/>
          <w14:textFill>
            <w14:solidFill>
              <w14:schemeClr w14:val="tx1"/>
            </w14:solidFill>
          </w14:textFill>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26" w:charSpace="0"/>
        </w:sectPr>
      </w:pPr>
    </w:p>
    <w:p w14:paraId="0AE0690F">
      <w:pPr>
        <w:pStyle w:val="7"/>
        <w:rPr>
          <w:color w:val="000000" w:themeColor="text1"/>
          <w14:textFill>
            <w14:solidFill>
              <w14:schemeClr w14:val="tx1"/>
            </w14:solidFill>
          </w14:textFill>
        </w:rPr>
      </w:pPr>
      <w:r>
        <w:rPr>
          <w:color w:val="000000" w:themeColor="text1"/>
          <w14:textFill>
            <w14:solidFill>
              <w14:schemeClr w14:val="tx1"/>
            </w14:solidFill>
          </w14:textFill>
        </w:rPr>
        <w:t>3.6.4.</w:t>
      </w:r>
      <w:r>
        <w:rPr>
          <w:rFonts w:hint="eastAsia"/>
          <w:color w:val="000000" w:themeColor="text1"/>
          <w14:textFill>
            <w14:solidFill>
              <w14:schemeClr w14:val="tx1"/>
            </w14:solidFill>
          </w14:textFill>
        </w:rPr>
        <w:t>5清洁生产结论</w:t>
      </w:r>
    </w:p>
    <w:p w14:paraId="5E2B1ED1">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由上表分析结果可见，本项目大部分指标能够满足一级，部分指标满足二级，说明项目清洁化生产可达国内先进水平。企业规模用于满足当地鲜啤酒市场需求，与大型啤酒生产企业生产模式有一定区别。总体来讲，本项目生产工艺与装备要求、资源能源利用指标、产品项目符合产业政策，本项目的设计和生产也较好的体现了清洁化生产的思想，符合循环经济的发展要求，符合有关产业政策和啤酒行业发展趋势的要求，是符合清洁化生产要求的。指标、污染物产生指标、废物回收利用指标和环境管理要求均能达到清洁生产水平的要求。</w:t>
      </w:r>
    </w:p>
    <w:p w14:paraId="473A6B6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因此，本项目较好地贯彻了清洁生产的原则。</w:t>
      </w:r>
    </w:p>
    <w:p w14:paraId="28364269">
      <w:pPr>
        <w:spacing w:line="480" w:lineRule="exact"/>
        <w:rPr>
          <w:color w:val="000000" w:themeColor="text1"/>
          <w14:textFill>
            <w14:solidFill>
              <w14:schemeClr w14:val="tx1"/>
            </w14:solidFill>
          </w14:textFill>
        </w:rPr>
      </w:pPr>
    </w:p>
    <w:p w14:paraId="0F7FC552">
      <w:pPr>
        <w:spacing w:line="480" w:lineRule="exact"/>
        <w:rPr>
          <w:color w:val="000000" w:themeColor="text1"/>
          <w:lang w:val="en-GB"/>
          <w14:textFill>
            <w14:solidFill>
              <w14:schemeClr w14:val="tx1"/>
            </w14:solidFill>
          </w14:textFill>
        </w:rPr>
      </w:pPr>
    </w:p>
    <w:p w14:paraId="0B070A63">
      <w:pPr>
        <w:adjustRightInd/>
        <w:snapToGrid/>
        <w:spacing w:line="500" w:lineRule="exact"/>
        <w:rPr>
          <w:snapToGrid w:val="0"/>
          <w:color w:val="000000" w:themeColor="text1"/>
          <w:kern w:val="0"/>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14:paraId="28262440">
      <w:pPr>
        <w:pStyle w:val="4"/>
        <w:rPr>
          <w:snapToGrid w:val="0"/>
          <w:color w:val="000000" w:themeColor="text1"/>
          <w14:textFill>
            <w14:solidFill>
              <w14:schemeClr w14:val="tx1"/>
            </w14:solidFill>
          </w14:textFill>
        </w:rPr>
      </w:pPr>
      <w:bookmarkStart w:id="169" w:name="_Toc14417"/>
      <w:r>
        <w:rPr>
          <w:snapToGrid w:val="0"/>
          <w:color w:val="000000" w:themeColor="text1"/>
          <w14:textFill>
            <w14:solidFill>
              <w14:schemeClr w14:val="tx1"/>
            </w14:solidFill>
          </w14:textFill>
        </w:rPr>
        <w:t>4环境现状调查与评价</w:t>
      </w:r>
      <w:bookmarkEnd w:id="6"/>
      <w:bookmarkEnd w:id="169"/>
    </w:p>
    <w:p w14:paraId="5A496C23">
      <w:pPr>
        <w:pStyle w:val="5"/>
        <w:rPr>
          <w:snapToGrid w:val="0"/>
          <w:color w:val="000000" w:themeColor="text1"/>
          <w14:textFill>
            <w14:solidFill>
              <w14:schemeClr w14:val="tx1"/>
            </w14:solidFill>
          </w14:textFill>
        </w:rPr>
      </w:pPr>
      <w:bookmarkStart w:id="170" w:name="_Toc475378598"/>
      <w:bookmarkStart w:id="171" w:name="_Toc27872"/>
      <w:bookmarkStart w:id="172" w:name="_Toc472590896"/>
      <w:bookmarkStart w:id="173" w:name="_Toc472585619"/>
      <w:bookmarkStart w:id="174" w:name="_Toc449393546"/>
      <w:bookmarkStart w:id="175" w:name="_Toc101092159"/>
      <w:bookmarkStart w:id="176" w:name="_Toc296952023"/>
      <w:bookmarkStart w:id="177" w:name="_Toc127950100"/>
      <w:bookmarkStart w:id="178" w:name="_Toc255391947"/>
      <w:r>
        <w:rPr>
          <w:snapToGrid w:val="0"/>
          <w:color w:val="000000" w:themeColor="text1"/>
          <w14:textFill>
            <w14:solidFill>
              <w14:schemeClr w14:val="tx1"/>
            </w14:solidFill>
          </w14:textFill>
        </w:rPr>
        <w:t>4.1环境现状调查</w:t>
      </w:r>
      <w:bookmarkEnd w:id="170"/>
      <w:bookmarkEnd w:id="171"/>
    </w:p>
    <w:p w14:paraId="4DC66018">
      <w:pPr>
        <w:pStyle w:val="6"/>
        <w:rPr>
          <w:snapToGrid w:val="0"/>
          <w:color w:val="000000" w:themeColor="text1"/>
          <w14:textFill>
            <w14:solidFill>
              <w14:schemeClr w14:val="tx1"/>
            </w14:solidFill>
          </w14:textFill>
        </w:rPr>
      </w:pPr>
      <w:bookmarkStart w:id="179" w:name="_Toc30897"/>
      <w:r>
        <w:rPr>
          <w:snapToGrid w:val="0"/>
          <w:color w:val="000000" w:themeColor="text1"/>
          <w14:textFill>
            <w14:solidFill>
              <w14:schemeClr w14:val="tx1"/>
            </w14:solidFill>
          </w14:textFill>
        </w:rPr>
        <w:t>4.1.1自然环境</w:t>
      </w:r>
      <w:bookmarkEnd w:id="172"/>
      <w:bookmarkEnd w:id="173"/>
      <w:bookmarkEnd w:id="174"/>
      <w:bookmarkEnd w:id="175"/>
      <w:bookmarkEnd w:id="176"/>
      <w:bookmarkEnd w:id="177"/>
      <w:bookmarkEnd w:id="178"/>
      <w:bookmarkEnd w:id="179"/>
      <w:bookmarkStart w:id="180" w:name="_Toc244330360"/>
      <w:bookmarkStart w:id="181" w:name="_Toc244330526"/>
      <w:bookmarkStart w:id="182" w:name="_Toc244329286"/>
      <w:bookmarkStart w:id="183" w:name="_Toc402352943"/>
      <w:bookmarkStart w:id="184" w:name="_Toc422224741"/>
    </w:p>
    <w:p w14:paraId="4E614957">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4.1.1.1地理位置</w:t>
      </w:r>
      <w:bookmarkEnd w:id="180"/>
      <w:bookmarkEnd w:id="181"/>
      <w:bookmarkEnd w:id="182"/>
      <w:bookmarkEnd w:id="183"/>
      <w:bookmarkEnd w:id="184"/>
    </w:p>
    <w:p w14:paraId="4AA5C4FF">
      <w:pPr>
        <w:pStyle w:val="85"/>
        <w:rPr>
          <w:color w:val="000000" w:themeColor="text1"/>
          <w:szCs w:val="24"/>
          <w14:textFill>
            <w14:solidFill>
              <w14:schemeClr w14:val="tx1"/>
            </w14:solidFill>
          </w14:textFill>
        </w:rPr>
      </w:pPr>
      <w:bookmarkStart w:id="185" w:name="_Toc244329288"/>
      <w:bookmarkStart w:id="186" w:name="_Toc244330362"/>
      <w:bookmarkStart w:id="187" w:name="_Toc244330528"/>
      <w:bookmarkStart w:id="188" w:name="_Toc402352946"/>
      <w:bookmarkStart w:id="189" w:name="_Toc422224744"/>
      <w:r>
        <w:rPr>
          <w:color w:val="000000" w:themeColor="text1"/>
          <w:szCs w:val="24"/>
          <w:lang w:val="en-US" w:eastAsia="zh-CN"/>
          <w14:textFill>
            <w14:solidFill>
              <w14:schemeClr w14:val="tx1"/>
            </w14:solidFill>
          </w14:textFill>
        </w:rPr>
        <w:t>桦南县位于黑龙江省东部、完达山麓余脉，地理坐标位于北纬</w:t>
      </w:r>
      <w:r>
        <w:rPr>
          <w:rFonts w:hint="default"/>
          <w:color w:val="000000" w:themeColor="text1"/>
          <w:szCs w:val="24"/>
          <w:lang w:val="en-US" w:eastAsia="zh-CN"/>
          <w14:textFill>
            <w14:solidFill>
              <w14:schemeClr w14:val="tx1"/>
            </w14:solidFill>
          </w14:textFill>
        </w:rPr>
        <w:t>45°57ˊ</w:t>
      </w:r>
      <w:r>
        <w:rPr>
          <w:rFonts w:hint="eastAsia"/>
          <w:color w:val="000000" w:themeColor="text1"/>
          <w:szCs w:val="24"/>
          <w:lang w:val="en-US" w:eastAsia="zh-CN"/>
          <w14:textFill>
            <w14:solidFill>
              <w14:schemeClr w14:val="tx1"/>
            </w14:solidFill>
          </w14:textFill>
        </w:rPr>
        <w:t xml:space="preserve">至 </w:t>
      </w:r>
      <w:r>
        <w:rPr>
          <w:rFonts w:hint="default"/>
          <w:color w:val="000000" w:themeColor="text1"/>
          <w:szCs w:val="24"/>
          <w:lang w:val="en-US" w:eastAsia="zh-CN"/>
          <w14:textFill>
            <w14:solidFill>
              <w14:schemeClr w14:val="tx1"/>
            </w14:solidFill>
          </w14:textFill>
        </w:rPr>
        <w:t>46°37ˊ</w:t>
      </w:r>
      <w:r>
        <w:rPr>
          <w:rFonts w:hint="eastAsia"/>
          <w:color w:val="000000" w:themeColor="text1"/>
          <w:szCs w:val="24"/>
          <w:lang w:val="en-US" w:eastAsia="zh-CN"/>
          <w14:textFill>
            <w14:solidFill>
              <w14:schemeClr w14:val="tx1"/>
            </w14:solidFill>
          </w14:textFill>
        </w:rPr>
        <w:t xml:space="preserve">，东经 </w:t>
      </w:r>
      <w:r>
        <w:rPr>
          <w:rFonts w:hint="default"/>
          <w:color w:val="000000" w:themeColor="text1"/>
          <w:szCs w:val="24"/>
          <w:lang w:val="en-US" w:eastAsia="zh-CN"/>
          <w14:textFill>
            <w14:solidFill>
              <w14:schemeClr w14:val="tx1"/>
            </w14:solidFill>
          </w14:textFill>
        </w:rPr>
        <w:t>129°55ˊ</w:t>
      </w:r>
      <w:r>
        <w:rPr>
          <w:rFonts w:hint="eastAsia"/>
          <w:color w:val="000000" w:themeColor="text1"/>
          <w:szCs w:val="24"/>
          <w:lang w:val="en-US" w:eastAsia="zh-CN"/>
          <w14:textFill>
            <w14:solidFill>
              <w14:schemeClr w14:val="tx1"/>
            </w14:solidFill>
          </w14:textFill>
        </w:rPr>
        <w:t xml:space="preserve">至 </w:t>
      </w:r>
      <w:r>
        <w:rPr>
          <w:rFonts w:hint="default"/>
          <w:color w:val="000000" w:themeColor="text1"/>
          <w:szCs w:val="24"/>
          <w:lang w:val="en-US" w:eastAsia="zh-CN"/>
          <w14:textFill>
            <w14:solidFill>
              <w14:schemeClr w14:val="tx1"/>
            </w14:solidFill>
          </w14:textFill>
        </w:rPr>
        <w:t>131°16ˊ</w:t>
      </w:r>
      <w:r>
        <w:rPr>
          <w:rFonts w:hint="eastAsia"/>
          <w:color w:val="000000" w:themeColor="text1"/>
          <w:szCs w:val="24"/>
          <w:lang w:val="en-US" w:eastAsia="zh-CN"/>
          <w14:textFill>
            <w14:solidFill>
              <w14:schemeClr w14:val="tx1"/>
            </w14:solidFill>
          </w14:textFill>
        </w:rPr>
        <w:t>，东与双鸭山市、宝清县毗邻，北与佳木斯市、桦川县、集贤县接壤，西部与依兰县交界，南以倭肯河为界与勃利县相接，地势起伏多变，河流纵横，草质丰盛，物资丰富，土地肥沃，是三江平原上重要的粮食生产基地。</w:t>
      </w:r>
    </w:p>
    <w:p w14:paraId="10C60775">
      <w:pPr>
        <w:pStyle w:val="85"/>
        <w:rPr>
          <w:snapToGrid w:val="0"/>
          <w:color w:val="000000" w:themeColor="text1"/>
          <w:kern w:val="0"/>
          <w14:textFill>
            <w14:solidFill>
              <w14:schemeClr w14:val="tx1"/>
            </w14:solidFill>
          </w14:textFill>
        </w:rPr>
      </w:pPr>
      <w:r>
        <w:rPr>
          <w:rFonts w:hint="eastAsia"/>
          <w:color w:val="000000" w:themeColor="text1"/>
          <w:szCs w:val="24"/>
          <w14:textFill>
            <w14:solidFill>
              <w14:schemeClr w14:val="tx1"/>
            </w14:solidFill>
          </w14:textFill>
        </w:rPr>
        <w:t>本</w:t>
      </w:r>
      <w:r>
        <w:rPr>
          <w:color w:val="000000" w:themeColor="text1"/>
          <w:szCs w:val="24"/>
          <w14:textFill>
            <w14:solidFill>
              <w14:schemeClr w14:val="tx1"/>
            </w14:solidFill>
          </w14:textFill>
        </w:rPr>
        <w:t>项目位于</w:t>
      </w:r>
      <w:r>
        <w:rPr>
          <w:rFonts w:hint="eastAsia"/>
          <w:color w:val="000000" w:themeColor="text1"/>
          <w:szCs w:val="24"/>
          <w:lang w:eastAsia="zh-CN"/>
          <w14:textFill>
            <w14:solidFill>
              <w14:schemeClr w14:val="tx1"/>
            </w14:solidFill>
          </w14:textFill>
        </w:rPr>
        <w:t>黑龙江省佳木斯市桦南县经济开发区兴企路东园兴街北</w:t>
      </w:r>
      <w:r>
        <w:rPr>
          <w:color w:val="000000" w:themeColor="text1"/>
          <w:szCs w:val="24"/>
          <w14:textFill>
            <w14:solidFill>
              <w14:schemeClr w14:val="tx1"/>
            </w14:solidFill>
          </w14:textFill>
        </w:rPr>
        <w:t>。</w:t>
      </w:r>
      <w:r>
        <w:rPr>
          <w:rFonts w:hint="eastAsia"/>
          <w:snapToGrid w:val="0"/>
          <w:color w:val="000000" w:themeColor="text1"/>
          <w:kern w:val="0"/>
          <w14:textFill>
            <w14:solidFill>
              <w14:schemeClr w14:val="tx1"/>
            </w14:solidFill>
          </w14:textFill>
        </w:rPr>
        <w:t>项目地理位置图见附图1。</w:t>
      </w:r>
    </w:p>
    <w:p w14:paraId="1818C40F">
      <w:pPr>
        <w:pStyle w:val="7"/>
        <w:rPr>
          <w:color w:val="000000" w:themeColor="text1"/>
          <w14:textFill>
            <w14:solidFill>
              <w14:schemeClr w14:val="tx1"/>
            </w14:solidFill>
          </w14:textFill>
        </w:rPr>
      </w:pPr>
      <w:r>
        <w:rPr>
          <w:snapToGrid w:val="0"/>
          <w:color w:val="000000" w:themeColor="text1"/>
          <w14:textFill>
            <w14:solidFill>
              <w14:schemeClr w14:val="tx1"/>
            </w14:solidFill>
          </w14:textFill>
        </w:rPr>
        <w:t>4.1.1.</w:t>
      </w:r>
      <w:bookmarkEnd w:id="185"/>
      <w:bookmarkEnd w:id="186"/>
      <w:bookmarkEnd w:id="187"/>
      <w:bookmarkEnd w:id="188"/>
      <w:bookmarkEnd w:id="189"/>
      <w:r>
        <w:rPr>
          <w:snapToGrid w:val="0"/>
          <w:color w:val="000000" w:themeColor="text1"/>
          <w14:textFill>
            <w14:solidFill>
              <w14:schemeClr w14:val="tx1"/>
            </w14:solidFill>
          </w14:textFill>
        </w:rPr>
        <w:t>2</w:t>
      </w:r>
      <w:r>
        <w:rPr>
          <w:rFonts w:hint="eastAsia"/>
          <w:snapToGrid w:val="0"/>
          <w:color w:val="000000" w:themeColor="text1"/>
          <w:lang w:eastAsia="zh-CN"/>
          <w14:textFill>
            <w14:solidFill>
              <w14:schemeClr w14:val="tx1"/>
            </w14:solidFill>
          </w14:textFill>
        </w:rPr>
        <w:t>地形</w:t>
      </w:r>
      <w:r>
        <w:rPr>
          <w:rFonts w:hint="eastAsia"/>
          <w:snapToGrid w:val="0"/>
          <w:color w:val="000000" w:themeColor="text1"/>
          <w:kern w:val="0"/>
          <w:lang w:eastAsia="zh-CN"/>
          <w14:textFill>
            <w14:solidFill>
              <w14:schemeClr w14:val="tx1"/>
            </w14:solidFill>
          </w14:textFill>
        </w:rPr>
        <w:t>与</w:t>
      </w:r>
      <w:r>
        <w:rPr>
          <w:rFonts w:hint="eastAsia"/>
          <w:snapToGrid w:val="0"/>
          <w:color w:val="000000" w:themeColor="text1"/>
          <w:kern w:val="0"/>
          <w14:textFill>
            <w14:solidFill>
              <w14:schemeClr w14:val="tx1"/>
            </w14:solidFill>
          </w14:textFill>
        </w:rPr>
        <w:t>地貌</w:t>
      </w:r>
    </w:p>
    <w:p w14:paraId="3DCA8F5D">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鸟瞰桦南县地形，呈柞叶状由东向西倾斜，西部和西南部为冲积型平原，中部为丘陵漫岗，东部为浅山区。位于东北部的七星砬子山阿尔哈峰，海拔高达 852.7m，为全县最高点；西部七虎力河与倭肯河汇合处海拔只有106m，为全县最低点。桦南县境内地貌形态多样，东部和北部多山，为低山坡谷地带，是桦南县主林区；中部属于丘陵地带，多为丘陵漫岗，横岱山、闫家西山等分布其中;西南部平洼地区，地势低平，气候温和湿润，水资源丰富，适宜以农为主，农林渔相结</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桦南县境内地势东高西低，东部山脉纵横，中部丘陵漫岗，西部为低缓的平原洼地，根据地貌成因类型及形态特征可分为侵蚀低山丘陵、剥蚀堆积山前台地和冲积平原，冲积平原分为一级阶地和河漫滩。</w:t>
      </w:r>
    </w:p>
    <w:p w14:paraId="00BD0672">
      <w:pPr>
        <w:pStyle w:val="85"/>
        <w:rPr>
          <w:color w:val="000000" w:themeColor="text1"/>
          <w14:textFill>
            <w14:solidFill>
              <w14:schemeClr w14:val="tx1"/>
            </w14:solidFill>
          </w14:textFill>
        </w:rPr>
      </w:pPr>
      <w:r>
        <w:rPr>
          <w:color w:val="000000" w:themeColor="text1"/>
          <w:lang w:val="en-US" w:eastAsia="zh-CN"/>
          <w14:textFill>
            <w14:solidFill>
              <w14:schemeClr w14:val="tx1"/>
            </w14:solidFill>
          </w14:textFill>
        </w:rPr>
        <w:t>评价区地势西高东低，呈坡降趋势，属于内陆山系，区域内群山</w:t>
      </w:r>
      <w:r>
        <w:rPr>
          <w:rFonts w:hint="eastAsia"/>
          <w:color w:val="000000" w:themeColor="text1"/>
          <w:lang w:val="en-US" w:eastAsia="zh-CN"/>
          <w14:textFill>
            <w14:solidFill>
              <w14:schemeClr w14:val="tx1"/>
            </w14:solidFill>
          </w14:textFill>
        </w:rPr>
        <w:t>连绵，沟谷纵横，山顶平坦，河谷开阔。地貌成因类型以构造</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侵蚀地形为主，伴有构造</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剥蚀地形和剥蚀</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 xml:space="preserve">堆积地形。山地的一系列山岭由方向不同的、规模不等的山垅、山梁和高山台地所组成。大部分属于低山丘陵市域。区域地貌类型自南向北可划分为 </w:t>
      </w:r>
      <w:r>
        <w:rPr>
          <w:rFonts w:hint="default"/>
          <w:color w:val="000000" w:themeColor="text1"/>
          <w:lang w:val="en-US" w:eastAsia="zh-CN"/>
          <w14:textFill>
            <w14:solidFill>
              <w14:schemeClr w14:val="tx1"/>
            </w14:solidFill>
          </w14:textFill>
        </w:rPr>
        <w:t xml:space="preserve">3 </w:t>
      </w:r>
      <w:r>
        <w:rPr>
          <w:rFonts w:hint="eastAsia"/>
          <w:color w:val="000000" w:themeColor="text1"/>
          <w:lang w:val="en-US" w:eastAsia="zh-CN"/>
          <w14:textFill>
            <w14:solidFill>
              <w14:schemeClr w14:val="tx1"/>
            </w14:solidFill>
          </w14:textFill>
        </w:rPr>
        <w:t xml:space="preserve">个地带区。南部为中山地带，中部为低山丘陵地带，北部为沿江平原丘陵地带。 </w:t>
      </w:r>
    </w:p>
    <w:p w14:paraId="7E3EC122">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桦南镇地貌依其成因和形态分为山前台地、一级阶地及漫滩，其地形地貌特征如下： </w:t>
      </w:r>
    </w:p>
    <w:p w14:paraId="6249F408">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山前台地（</w:t>
      </w:r>
      <w:r>
        <w:rPr>
          <w:rFonts w:hint="default"/>
          <w:color w:val="000000" w:themeColor="text1"/>
          <w:lang w:val="en-US" w:eastAsia="zh-CN"/>
          <w14:textFill>
            <w14:solidFill>
              <w14:schemeClr w14:val="tx1"/>
            </w14:solidFill>
          </w14:textFill>
        </w:rPr>
        <w:t>Ⅲ</w:t>
      </w:r>
      <w:r>
        <w:rPr>
          <w:rFonts w:hint="eastAsia"/>
          <w:color w:val="000000" w:themeColor="text1"/>
          <w:lang w:val="en-US" w:eastAsia="zh-CN"/>
          <w14:textFill>
            <w14:solidFill>
              <w14:schemeClr w14:val="tx1"/>
            </w14:solidFill>
          </w14:textFill>
        </w:rPr>
        <w:t xml:space="preserve">）：分布于桦南镇南部，地面海拔高程 </w:t>
      </w:r>
      <w:r>
        <w:rPr>
          <w:rFonts w:hint="default"/>
          <w:color w:val="000000" w:themeColor="text1"/>
          <w:lang w:val="en-US" w:eastAsia="zh-CN"/>
          <w14:textFill>
            <w14:solidFill>
              <w14:schemeClr w14:val="tx1"/>
            </w14:solidFill>
          </w14:textFill>
        </w:rPr>
        <w:t>160m</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185m</w:t>
      </w:r>
      <w:r>
        <w:rPr>
          <w:rFonts w:hint="eastAsia"/>
          <w:color w:val="000000" w:themeColor="text1"/>
          <w:lang w:val="en-US" w:eastAsia="zh-CN"/>
          <w14:textFill>
            <w14:solidFill>
              <w14:schemeClr w14:val="tx1"/>
            </w14:solidFill>
          </w14:textFill>
        </w:rPr>
        <w:t>，地形岗埠状，为剥蚀堆积地形。前缘较低，与一级阶地呈缓坡相接，局部有明显陡坎。表层岩性第四系中更新统荒山组（</w:t>
      </w:r>
      <w:r>
        <w:rPr>
          <w:rFonts w:hint="default"/>
          <w:color w:val="000000" w:themeColor="text1"/>
          <w:lang w:val="en-US" w:eastAsia="zh-CN"/>
          <w14:textFill>
            <w14:solidFill>
              <w14:schemeClr w14:val="tx1"/>
            </w14:solidFill>
          </w14:textFill>
        </w:rPr>
        <w:t>Q</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 xml:space="preserve"> </w:t>
      </w:r>
      <w:r>
        <w:rPr>
          <w:rFonts w:hint="default"/>
          <w:color w:val="000000" w:themeColor="text1"/>
          <w:vertAlign w:val="superscript"/>
          <w:lang w:val="en-US" w:eastAsia="zh-CN"/>
          <w14:textFill>
            <w14:solidFill>
              <w14:schemeClr w14:val="tx1"/>
            </w14:solidFill>
          </w14:textFill>
        </w:rPr>
        <w:t>pals</w:t>
      </w:r>
      <w:r>
        <w:rPr>
          <w:rFonts w:hint="eastAsia"/>
          <w:color w:val="000000" w:themeColor="text1"/>
          <w:lang w:val="en-US" w:eastAsia="zh-CN"/>
          <w14:textFill>
            <w14:solidFill>
              <w14:schemeClr w14:val="tx1"/>
            </w14:solidFill>
          </w14:textFill>
        </w:rPr>
        <w:t xml:space="preserve">）组成。 </w:t>
      </w:r>
    </w:p>
    <w:p w14:paraId="770A49A5">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一级阶地（</w:t>
      </w:r>
      <w:r>
        <w:rPr>
          <w:rFonts w:hint="default"/>
          <w:color w:val="000000" w:themeColor="text1"/>
          <w:lang w:val="en-US" w:eastAsia="zh-CN"/>
          <w14:textFill>
            <w14:solidFill>
              <w14:schemeClr w14:val="tx1"/>
            </w14:solidFill>
          </w14:textFill>
        </w:rPr>
        <w:t>Ⅱ</w:t>
      </w:r>
      <w:r>
        <w:rPr>
          <w:rFonts w:hint="eastAsia"/>
          <w:color w:val="000000" w:themeColor="text1"/>
          <w:lang w:val="en-US" w:eastAsia="zh-CN"/>
          <w14:textFill>
            <w14:solidFill>
              <w14:schemeClr w14:val="tx1"/>
            </w14:solidFill>
          </w14:textFill>
        </w:rPr>
        <w:t xml:space="preserve">）：呈条带状较连续分布于桦南县位于张广才岭与完达山的衔接地带。主要地形剥蚀地形、剥蚀堆积地形和堆积地形。 </w:t>
      </w:r>
    </w:p>
    <w:p w14:paraId="6BA2ECA5">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漫滩（</w:t>
      </w:r>
      <w:r>
        <w:rPr>
          <w:rFonts w:hint="default"/>
          <w:color w:val="000000" w:themeColor="text1"/>
          <w:lang w:val="en-US" w:eastAsia="zh-CN"/>
          <w14:textFill>
            <w14:solidFill>
              <w14:schemeClr w14:val="tx1"/>
            </w14:solidFill>
          </w14:textFill>
        </w:rPr>
        <w:t>Ⅰ</w:t>
      </w:r>
      <w:r>
        <w:rPr>
          <w:rFonts w:hint="eastAsia"/>
          <w:color w:val="000000" w:themeColor="text1"/>
          <w:lang w:val="en-US" w:eastAsia="zh-CN"/>
          <w14:textFill>
            <w14:solidFill>
              <w14:schemeClr w14:val="tx1"/>
            </w14:solidFill>
          </w14:textFill>
        </w:rPr>
        <w:t xml:space="preserve">）：分布于八虎力河两岸，河南岸漫滩由东向西呈蛇曲状分布。漫滩宽度 </w:t>
      </w:r>
      <w:r>
        <w:rPr>
          <w:rFonts w:hint="default"/>
          <w:color w:val="000000" w:themeColor="text1"/>
          <w:lang w:val="en-US" w:eastAsia="zh-CN"/>
          <w14:textFill>
            <w14:solidFill>
              <w14:schemeClr w14:val="tx1"/>
            </w14:solidFill>
          </w14:textFill>
        </w:rPr>
        <w:t>0. 2~2. 0km</w:t>
      </w:r>
      <w:r>
        <w:rPr>
          <w:rFonts w:hint="eastAsia"/>
          <w:color w:val="000000" w:themeColor="text1"/>
          <w:lang w:val="en-US" w:eastAsia="zh-CN"/>
          <w14:textFill>
            <w14:solidFill>
              <w14:schemeClr w14:val="tx1"/>
            </w14:solidFill>
          </w14:textFill>
        </w:rPr>
        <w:t xml:space="preserve">，地面海拔高程在 </w:t>
      </w:r>
      <w:r>
        <w:rPr>
          <w:rFonts w:hint="default"/>
          <w:color w:val="000000" w:themeColor="text1"/>
          <w:lang w:val="en-US" w:eastAsia="zh-CN"/>
          <w14:textFill>
            <w14:solidFill>
              <w14:schemeClr w14:val="tx1"/>
            </w14:solidFill>
          </w14:textFill>
        </w:rPr>
        <w:t>142m</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155m</w:t>
      </w:r>
      <w:r>
        <w:rPr>
          <w:rFonts w:hint="eastAsia"/>
          <w:color w:val="000000" w:themeColor="text1"/>
          <w:lang w:val="en-US" w:eastAsia="zh-CN"/>
          <w14:textFill>
            <w14:solidFill>
              <w14:schemeClr w14:val="tx1"/>
            </w14:solidFill>
          </w14:textFill>
        </w:rPr>
        <w:t>，发育有古河道、低洼湿地和沼泡，表层岩性为第四系全新统冲积物（</w:t>
      </w:r>
      <w:r>
        <w:rPr>
          <w:rFonts w:hint="default"/>
          <w:color w:val="000000" w:themeColor="text1"/>
          <w:lang w:val="en-US" w:eastAsia="zh-CN"/>
          <w14:textFill>
            <w14:solidFill>
              <w14:schemeClr w14:val="tx1"/>
            </w14:solidFill>
          </w14:textFill>
        </w:rPr>
        <w:t>Q</w:t>
      </w:r>
      <w:r>
        <w:rPr>
          <w:rFonts w:hint="default"/>
          <w:color w:val="000000" w:themeColor="text1"/>
          <w:vertAlign w:val="subscript"/>
          <w:lang w:val="en-US" w:eastAsia="zh-CN"/>
          <w14:textFill>
            <w14:solidFill>
              <w14:schemeClr w14:val="tx1"/>
            </w14:solidFill>
          </w14:textFill>
        </w:rPr>
        <w:t>4</w:t>
      </w:r>
      <w:r>
        <w:rPr>
          <w:rFonts w:hint="default"/>
          <w:color w:val="000000" w:themeColor="text1"/>
          <w:lang w:val="en-US" w:eastAsia="zh-CN"/>
          <w14:textFill>
            <w14:solidFill>
              <w14:schemeClr w14:val="tx1"/>
            </w14:solidFill>
          </w14:textFill>
        </w:rPr>
        <w:t xml:space="preserve"> </w:t>
      </w:r>
      <w:r>
        <w:rPr>
          <w:rFonts w:hint="default"/>
          <w:color w:val="000000" w:themeColor="text1"/>
          <w:vertAlign w:val="superscript"/>
          <w:lang w:val="en-US" w:eastAsia="zh-CN"/>
          <w14:textFill>
            <w14:solidFill>
              <w14:schemeClr w14:val="tx1"/>
            </w14:solidFill>
          </w14:textFill>
        </w:rPr>
        <w:t>1-2al</w:t>
      </w:r>
      <w:r>
        <w:rPr>
          <w:rFonts w:hint="eastAsia"/>
          <w:color w:val="000000" w:themeColor="text1"/>
          <w:lang w:val="en-US" w:eastAsia="zh-CN"/>
          <w14:textFill>
            <w14:solidFill>
              <w14:schemeClr w14:val="tx1"/>
            </w14:solidFill>
          </w14:textFill>
        </w:rPr>
        <w:t>）灰褐色粉质粘土。</w:t>
      </w:r>
    </w:p>
    <w:p w14:paraId="4E720AAA">
      <w:pPr>
        <w:pStyle w:val="7"/>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14:textFill>
            <w14:solidFill>
              <w14:schemeClr w14:val="tx1"/>
            </w14:solidFill>
          </w14:textFill>
        </w:rPr>
        <w:t>4.1</w:t>
      </w:r>
      <w:bookmarkStart w:id="190" w:name="_Toc449393547"/>
      <w:bookmarkStart w:id="191" w:name="_Toc244329294"/>
      <w:bookmarkStart w:id="192" w:name="_Toc402352948"/>
      <w:bookmarkStart w:id="193" w:name="_Toc472585620"/>
      <w:bookmarkStart w:id="194" w:name="_Toc244330368"/>
      <w:bookmarkStart w:id="195" w:name="_Toc244330534"/>
      <w:bookmarkStart w:id="196" w:name="_Toc472590897"/>
      <w:bookmarkStart w:id="197" w:name="_Toc422224746"/>
      <w:r>
        <w:rPr>
          <w:rFonts w:hint="eastAsia"/>
          <w:snapToGrid w:val="0"/>
          <w:color w:val="000000" w:themeColor="text1"/>
          <w14:textFill>
            <w14:solidFill>
              <w14:schemeClr w14:val="tx1"/>
            </w14:solidFill>
          </w14:textFill>
        </w:rPr>
        <w:t>.1.3</w:t>
      </w:r>
      <w:r>
        <w:rPr>
          <w:rFonts w:hint="eastAsia"/>
          <w:color w:val="000000" w:themeColor="text1"/>
          <w14:textFill>
            <w14:solidFill>
              <w14:schemeClr w14:val="tx1"/>
            </w14:solidFill>
          </w14:textFill>
        </w:rPr>
        <w:t>水文</w:t>
      </w:r>
      <w:r>
        <w:rPr>
          <w:rFonts w:hint="eastAsia"/>
          <w:color w:val="000000" w:themeColor="text1"/>
          <w:lang w:val="en-US" w:eastAsia="zh-CN"/>
          <w14:textFill>
            <w14:solidFill>
              <w14:schemeClr w14:val="tx1"/>
            </w14:solidFill>
          </w14:textFill>
        </w:rPr>
        <w:t>状况</w:t>
      </w:r>
    </w:p>
    <w:p w14:paraId="292AB18B">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（1）地表水 </w:t>
      </w:r>
    </w:p>
    <w:p w14:paraId="17962BBD">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桦南县境内河流水系较多，其主要河流就有 10 余条，即倭肯河、七虎力河、八虎力河、松木河、小八虎力河、柳树河、铁岭河、来财河、金沙河和双龙河等。这些河流均属松花江水系，倭肯河为松花江一级支流，而七虎力河、八虎力河、松木河为倭肯河一级支流，其他河均为倭肯河二级支流。 </w:t>
      </w:r>
    </w:p>
    <w:p w14:paraId="74046FDD">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倭肯河是桦南县境内最大的一条河流，是松花江的一级支流，发源于完达山西北侧，干流长度为 450km，河道弯曲系数 1.5，流域面积11015km</w:t>
      </w:r>
      <w:r>
        <w:rPr>
          <w:rFonts w:hint="eastAsia"/>
          <w:color w:val="000000" w:themeColor="text1"/>
          <w:vertAlign w:val="super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。倭肯河由东南流入桦南县境内，是桦南县与勃利、依兰两县的界河，右岸为桦南县，由东南向西北流经桦南县的大八浪、阎家、公心集、土龙山和庆发等 5 个乡镇，进入依兰县境内，最后由依兰县城北汇入松花江。境内河长 74km，境内流域面积为 278km</w:t>
      </w:r>
      <w:r>
        <w:rPr>
          <w:rFonts w:hint="eastAsia"/>
          <w:color w:val="000000" w:themeColor="text1"/>
          <w:vertAlign w:val="super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，年流量0.34 亿 m</w:t>
      </w:r>
      <w:r>
        <w:rPr>
          <w:rFonts w:hint="eastAsia"/>
          <w:color w:val="000000" w:themeColor="text1"/>
          <w:vertAlign w:val="super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，多年平均流量为 16.8m</w:t>
      </w:r>
      <w:r>
        <w:rPr>
          <w:rFonts w:hint="eastAsia"/>
          <w:color w:val="000000" w:themeColor="text1"/>
          <w:vertAlign w:val="super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 xml:space="preserve"> /s。 </w:t>
      </w:r>
    </w:p>
    <w:p w14:paraId="368F1B19">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八虎力河发源于完达山脉的阿尔哈山，河源点坐标为东经 131°12′，北纬 46°25′，全长 110km，流域面积 2128km</w:t>
      </w:r>
      <w:r>
        <w:rPr>
          <w:rFonts w:hint="eastAsia"/>
          <w:color w:val="000000" w:themeColor="text1"/>
          <w:vertAlign w:val="super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由东向西贯穿桦南县，从上游至下游流经桦南森工林草局段（永青经营所、长青经营所、下桦实验林场）、驼腰子镇、桦南镇、曙光农场、孟家岗镇、历家良种场、梨树乡和土龙山镇，在桦南县梨树乡清河村西北汇入倭肯河。八虎力河上游为山区，下游为低洼平原，河道弯曲系数为 1.4，上游河面比降较陡，平均河道比降 1/480，下游平均河道比降 1/3000，河宽为 25～40m，枯水期水深 1.5m，平水期水深 2.0m，洪水期水深 2.5m。</w:t>
      </w:r>
    </w:p>
    <w:p w14:paraId="7F8E6D1F">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八虎力河较大的支流为小八虎力河和柳树河。小八虎力河发源于七呈砬子西侧，河长 46km，系山区性河流，坡陡流急，洪水频繁，流域面积 379km</w:t>
      </w:r>
      <w:r>
        <w:rPr>
          <w:rFonts w:hint="eastAsia"/>
          <w:color w:val="000000" w:themeColor="text1"/>
          <w:vertAlign w:val="super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，是向阳山水库主要水源之一；柳树河发源于孟家岗北石门子北沟，河长 36km，流域面积 504km</w:t>
      </w:r>
      <w:r>
        <w:rPr>
          <w:rFonts w:hint="eastAsia"/>
          <w:color w:val="000000" w:themeColor="text1"/>
          <w:vertAlign w:val="super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，为山区性河流，也汇入向阳山水库。</w:t>
      </w:r>
    </w:p>
    <w:p w14:paraId="5B2708F2">
      <w:pPr>
        <w:pStyle w:val="85"/>
        <w:ind w:left="0" w:leftChars="0" w:firstLine="0" w:firstLineChars="0"/>
        <w:rPr>
          <w:rFonts w:hint="eastAsia"/>
          <w:color w:val="000000" w:themeColor="text1"/>
          <w14:textFill>
            <w14:solidFill>
              <w14:schemeClr w14:val="tx1"/>
            </w14:solidFill>
          </w14:textFill>
        </w:rPr>
      </w:pPr>
      <w:r>
        <w:drawing>
          <wp:anchor distT="0" distB="0" distL="114300" distR="114300" simplePos="0" relativeHeight="251665408" behindDoc="0" locked="0" layoutInCell="1" allowOverlap="1">
            <wp:simplePos x="0" y="0"/>
            <wp:positionH relativeFrom="column">
              <wp:posOffset>39370</wp:posOffset>
            </wp:positionH>
            <wp:positionV relativeFrom="paragraph">
              <wp:posOffset>49530</wp:posOffset>
            </wp:positionV>
            <wp:extent cx="5269230" cy="3082290"/>
            <wp:effectExtent l="0" t="0" r="7620" b="3810"/>
            <wp:wrapNone/>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05"/>
                    <a:stretch>
                      <a:fillRect/>
                    </a:stretch>
                  </pic:blipFill>
                  <pic:spPr>
                    <a:xfrm>
                      <a:off x="0" y="0"/>
                      <a:ext cx="5269230" cy="3082290"/>
                    </a:xfrm>
                    <a:prstGeom prst="rect">
                      <a:avLst/>
                    </a:prstGeom>
                    <a:noFill/>
                    <a:ln>
                      <a:noFill/>
                    </a:ln>
                  </pic:spPr>
                </pic:pic>
              </a:graphicData>
            </a:graphic>
          </wp:anchor>
        </w:drawing>
      </w:r>
    </w:p>
    <w:p w14:paraId="35357F48">
      <w:pPr>
        <w:pStyle w:val="85"/>
        <w:rPr>
          <w:rFonts w:hint="eastAsia"/>
          <w:color w:val="000000" w:themeColor="text1"/>
          <w14:textFill>
            <w14:solidFill>
              <w14:schemeClr w14:val="tx1"/>
            </w14:solidFill>
          </w14:textFill>
        </w:rPr>
      </w:pPr>
    </w:p>
    <w:p w14:paraId="0718B90F">
      <w:pPr>
        <w:pStyle w:val="85"/>
        <w:rPr>
          <w:rFonts w:hint="eastAsia"/>
          <w:color w:val="000000" w:themeColor="text1"/>
          <w14:textFill>
            <w14:solidFill>
              <w14:schemeClr w14:val="tx1"/>
            </w14:solidFill>
          </w14:textFill>
        </w:rPr>
      </w:pPr>
    </w:p>
    <w:p w14:paraId="55AD9B57">
      <w:pPr>
        <w:pStyle w:val="85"/>
        <w:rPr>
          <w:rFonts w:hint="eastAsia"/>
          <w:color w:val="000000" w:themeColor="text1"/>
          <w14:textFill>
            <w14:solidFill>
              <w14:schemeClr w14:val="tx1"/>
            </w14:solidFill>
          </w14:textFill>
        </w:rPr>
      </w:pPr>
    </w:p>
    <w:p w14:paraId="6DB3995A">
      <w:pPr>
        <w:pStyle w:val="85"/>
        <w:rPr>
          <w:rFonts w:hint="eastAsia"/>
          <w:color w:val="000000" w:themeColor="text1"/>
          <w14:textFill>
            <w14:solidFill>
              <w14:schemeClr w14:val="tx1"/>
            </w14:solidFill>
          </w14:textFill>
        </w:rPr>
      </w:pPr>
    </w:p>
    <w:p w14:paraId="1E7B4658">
      <w:pPr>
        <w:pStyle w:val="85"/>
        <w:rPr>
          <w:rFonts w:hint="eastAsia"/>
          <w:color w:val="000000" w:themeColor="text1"/>
          <w14:textFill>
            <w14:solidFill>
              <w14:schemeClr w14:val="tx1"/>
            </w14:solidFill>
          </w14:textFill>
        </w:rPr>
      </w:pPr>
    </w:p>
    <w:p w14:paraId="542D49D0">
      <w:pPr>
        <w:pStyle w:val="85"/>
        <w:rPr>
          <w:rFonts w:hint="eastAsia"/>
          <w:color w:val="000000" w:themeColor="text1"/>
          <w14:textFill>
            <w14:solidFill>
              <w14:schemeClr w14:val="tx1"/>
            </w14:solidFill>
          </w14:textFill>
        </w:rPr>
      </w:pPr>
    </w:p>
    <w:p w14:paraId="6854F6FA">
      <w:pPr>
        <w:pStyle w:val="85"/>
        <w:rPr>
          <w:rFonts w:hint="eastAsia"/>
          <w:color w:val="000000" w:themeColor="text1"/>
          <w14:textFill>
            <w14:solidFill>
              <w14:schemeClr w14:val="tx1"/>
            </w14:solidFill>
          </w14:textFill>
        </w:rPr>
      </w:pPr>
    </w:p>
    <w:p w14:paraId="127BA918">
      <w:pPr>
        <w:pStyle w:val="85"/>
        <w:rPr>
          <w:rFonts w:hint="eastAsia"/>
          <w:color w:val="000000" w:themeColor="text1"/>
          <w14:textFill>
            <w14:solidFill>
              <w14:schemeClr w14:val="tx1"/>
            </w14:solidFill>
          </w14:textFill>
        </w:rPr>
      </w:pPr>
    </w:p>
    <w:p w14:paraId="5064C76D">
      <w:pPr>
        <w:pStyle w:val="85"/>
        <w:rPr>
          <w:rFonts w:hint="eastAsia"/>
          <w:color w:val="000000" w:themeColor="text1"/>
          <w14:textFill>
            <w14:solidFill>
              <w14:schemeClr w14:val="tx1"/>
            </w14:solidFill>
          </w14:textFill>
        </w:rPr>
      </w:pPr>
    </w:p>
    <w:p w14:paraId="4E0ACF77">
      <w:pPr>
        <w:pStyle w:val="206"/>
        <w:rPr>
          <w:rFonts w:hint="default" w:eastAsia="黑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图4</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w:t>
      </w:r>
      <w:r>
        <w:rPr>
          <w:snapToGrid w:val="0"/>
          <w:color w:val="000000" w:themeColor="text1"/>
          <w14:textFill>
            <w14:solidFill>
              <w14:schemeClr w14:val="tx1"/>
            </w14:solidFill>
          </w14:textFill>
        </w:rPr>
        <w:t xml:space="preserve">-1 </w:t>
      </w:r>
      <w:r>
        <w:rPr>
          <w:rFonts w:hint="eastAsia"/>
          <w:snapToGrid w:val="0"/>
          <w:color w:val="000000" w:themeColor="text1"/>
          <w:lang w:val="en-US" w:eastAsia="zh-CN"/>
          <w14:textFill>
            <w14:solidFill>
              <w14:schemeClr w14:val="tx1"/>
            </w14:solidFill>
          </w14:textFill>
        </w:rPr>
        <w:t>桦南县水系图</w:t>
      </w:r>
    </w:p>
    <w:p w14:paraId="71344C27">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4.1.1.4区域</w:t>
      </w:r>
      <w:bookmarkEnd w:id="190"/>
      <w:bookmarkEnd w:id="191"/>
      <w:bookmarkEnd w:id="192"/>
      <w:bookmarkEnd w:id="193"/>
      <w:bookmarkEnd w:id="194"/>
      <w:bookmarkEnd w:id="195"/>
      <w:bookmarkEnd w:id="196"/>
      <w:bookmarkEnd w:id="197"/>
      <w:bookmarkStart w:id="198" w:name="_Toc402352952"/>
      <w:bookmarkStart w:id="199" w:name="_Toc244329289"/>
      <w:bookmarkStart w:id="200" w:name="_Toc449393548"/>
      <w:bookmarkStart w:id="201" w:name="_Toc472585621"/>
      <w:bookmarkStart w:id="202" w:name="_Toc244330529"/>
      <w:bookmarkStart w:id="203" w:name="_Toc244330363"/>
      <w:bookmarkStart w:id="204" w:name="_Toc422224750"/>
      <w:bookmarkStart w:id="205" w:name="_Toc472590898"/>
      <w:r>
        <w:rPr>
          <w:rFonts w:hint="eastAsia"/>
          <w:snapToGrid w:val="0"/>
          <w:color w:val="000000" w:themeColor="text1"/>
          <w14:textFill>
            <w14:solidFill>
              <w14:schemeClr w14:val="tx1"/>
            </w14:solidFill>
          </w14:textFill>
        </w:rPr>
        <w:t>地质条件</w:t>
      </w:r>
    </w:p>
    <w:bookmarkEnd w:id="198"/>
    <w:bookmarkEnd w:id="199"/>
    <w:bookmarkEnd w:id="200"/>
    <w:bookmarkEnd w:id="201"/>
    <w:bookmarkEnd w:id="202"/>
    <w:bookmarkEnd w:id="203"/>
    <w:bookmarkEnd w:id="204"/>
    <w:bookmarkEnd w:id="205"/>
    <w:p w14:paraId="6CCC4874">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（1）地层 </w:t>
      </w:r>
    </w:p>
    <w:p w14:paraId="330F9EEB">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桦南县区域上大地构造处于兴凯湖－布列亚山地块（Ⅰ级）、老爷岭地块（Ⅱ级）、佳木斯隆起带（Ⅲ级）、桦南隆起区（Ⅳ级）、倭肯河凹陷区（Ⅴ级），地质构造较为复杂。本区地层属于老爷岭地块的鸡西小区，境内地层自老到新为中生界白垩系、新生界上第三系和第四系地层。 </w:t>
      </w:r>
    </w:p>
    <w:p w14:paraId="56F77A91">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白垩系主要为猴石沟组和伊林组，主要分布在桦南县的西南部。猴石沟组主要为陆相碎屑沉积，以灰绿色砾岩、混合砂岩、长石石英砂岩、长石砂岩为主。伊林组主要为中酸性火山岩夹少量玄武岩及硬质砂砾岩构成。 </w:t>
      </w:r>
    </w:p>
    <w:p w14:paraId="0D3041C7">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第三系主要为道台桥组和平岗玄武岩，道台桥组主要分布于七虎力河和八虎力河的中下游。由黄褐色砂岩组成，夹有虫穴状结核，为陆源碎屑建造。平岗玄武岩主要分布于石头河子、永平岗一带，岩性为灰黑色致密块状玄武岩。夹灰色气孔状玄武岩。 </w:t>
      </w:r>
    </w:p>
    <w:p w14:paraId="21C7A294">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第四系地层由下更新统冲积-湖积层、中更新统镜泊早期玄武岩、上更新统和全更新统地层组成。下更新统冲积-湖积层出露于土龙山、石头河子、永平岗地区，以冰水堆积为主，上部为灰色、白色砂砾石，下部为灰色砂砾、泥砾，砾石无分选，磨圆差，为棱角状或次棱角状。该层厚度大于 40m，被中更新统镜泊早期玄武岩不整合覆盖。 </w:t>
      </w:r>
    </w:p>
    <w:p w14:paraId="3ADB7D5E">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中更新统镜泊早期玄武岩出露在七虎力河和八虎力河的中下游，以气孔状玄武岩为主，面积约 10km2，厚度 10m 左右。上更新统在桦南县境内为别拉洪河组，出露于倭肯河、七虎力河、八虎力河等流域山前台地的地层岩性为棕褐色亚粘土、亚砂土，底部含砾石，厚度约 22m。分布于倭肯河、七虎力河、八虎力河等沿岸的一级阶地的地层岩性下部为灰白色、灰黄色砂砾石，上部为黄褐色亚粘土、砂，厚度大于 17m。 </w:t>
      </w:r>
    </w:p>
    <w:p w14:paraId="323DFA8B">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全新统主要分布于倭肯河、七虎力河、八虎力河等河流的河漫滩上，厚度小于 20m，上部为黑色、黄褐色粘土、淤泥质粘土，下部由中粗砂、细砂、砂砾石组成。 </w:t>
      </w:r>
    </w:p>
    <w:p w14:paraId="5DF2CB81">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区域内侵入岩为燕山晚期侵入岩，分布于工作区东北角，岩性为一套浅成的以斑状结构为主的中酸性岩类，称为斑岩岩组。岩石主要为花岗斑岩、花岗闪长玢岩及石英闪长玢岩。花岗斑岩颜色较暗，为灰绿色，斑状结构，基质为显微全晶结构，由斑晶和基质两部分组成，斑晶分布不均，一般占岩石的 20%左右，有的达 60%，大小 1—5mm，斑晶以酸性斜长石及石英为主，基质为微晶状长石、石英、云母等，岩石普遍受碳酸岩化，有方解石脉穿入，侵入于白垩系下统猴石沟组。该岩体时代较新，经历构造变动较少，断裂不甚发育。</w:t>
      </w:r>
    </w:p>
    <w:p w14:paraId="76F82AE2">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（2）构造 </w:t>
      </w:r>
    </w:p>
    <w:p w14:paraId="05101FC2">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区大地构造单元，属老爷岭地块、佳木斯隆起带、桦南隆起的倭肯河断陷。基底主要由兴东群、黑龙江群、马家街群褶皱变质岩及早中晚元古代花岗岩组成。古生代一直裸露，到晚侏罗世局部开始拉张分裂，形成以燕山期中亚构造层沉积为主断凹陷。</w:t>
      </w:r>
    </w:p>
    <w:p w14:paraId="7E956382">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①断裂 </w:t>
      </w:r>
    </w:p>
    <w:p w14:paraId="3E57E84C">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受“山字型”构造体系长期活动的影响，区内断裂比较发育，以北西走向压扭性断裂为主，呈桦南县断裂，大体位置在幸福四队至桦南街东北—前历家一带；次为其两侧的伴生构造裂隙或裂隙系统。</w:t>
      </w:r>
    </w:p>
    <w:p w14:paraId="2526C727">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②第三系沉降盆地 </w:t>
      </w:r>
    </w:p>
    <w:p w14:paraId="44DF5418">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位于工作区西半部，桦南街—梨树乡—依兰县—道台桥乡和三道岗乡一带，隐伏于第四系下部。据前人资料，其为区内最新的新华夏系构造体系，其内堆积了巨厚的河湖相含煤地层，总厚大于 314m。</w:t>
      </w:r>
    </w:p>
    <w:p w14:paraId="26EF2EE2">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根据《中国地震动峰值加速度区划图》（GB18306-2015），桦南县地震峰值加速度 g&lt;0.05，即对应地震烈度〈Ⅵ度，区域内无新构造运动，地层基本稳定。</w:t>
      </w:r>
    </w:p>
    <w:p w14:paraId="20302282">
      <w:pPr>
        <w:pStyle w:val="7"/>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4</w:t>
      </w:r>
      <w:r>
        <w:rPr>
          <w:color w:val="000000" w:themeColor="text1"/>
          <w:lang w:eastAsia="zh-CN"/>
          <w14:textFill>
            <w14:solidFill>
              <w14:schemeClr w14:val="tx1"/>
            </w14:solidFill>
          </w14:textFill>
        </w:rPr>
        <w:t>.1.1.5</w:t>
      </w:r>
      <w:r>
        <w:rPr>
          <w:rFonts w:hint="eastAsia"/>
          <w:color w:val="000000" w:themeColor="text1"/>
          <w:lang w:eastAsia="zh-CN"/>
          <w14:textFill>
            <w14:solidFill>
              <w14:schemeClr w14:val="tx1"/>
            </w14:solidFill>
          </w14:textFill>
        </w:rPr>
        <w:t>水文地质条件</w:t>
      </w:r>
    </w:p>
    <w:p w14:paraId="58A137AB">
      <w:pPr>
        <w:pStyle w:val="85"/>
        <w:rPr>
          <w:color w:val="000000" w:themeColor="text1"/>
          <w14:textFill>
            <w14:solidFill>
              <w14:schemeClr w14:val="tx1"/>
            </w14:solidFill>
          </w14:textFill>
        </w:rPr>
      </w:pPr>
      <w:r>
        <w:rPr>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1</w:t>
      </w:r>
      <w:r>
        <w:rPr>
          <w:rFonts w:hint="eastAsia"/>
          <w:color w:val="000000" w:themeColor="text1"/>
          <w:lang w:val="en-US" w:eastAsia="zh-CN"/>
          <w14:textFill>
            <w14:solidFill>
              <w14:schemeClr w14:val="tx1"/>
            </w14:solidFill>
          </w14:textFill>
        </w:rPr>
        <w:t xml:space="preserve">）含水层特征 </w:t>
      </w:r>
    </w:p>
    <w:p w14:paraId="102B24A9">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桦南县水文地质条件受地质构造、地层岩性、地形地貌等控制，地下水类型主要为第四系松散岩类孔隙潜水、第四系松散岩类孔隙承压水、白垩系碎屑岩类孔隙裂隙水和第三系碎屑岩类孔隙裂隙水。 </w:t>
      </w:r>
    </w:p>
    <w:p w14:paraId="688D83EB">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第四系松散岩类孔隙潜水主要分布于八虎力河河漫滩区，含水层由第四系上更新统别拉洪河组和第四系全新统地层组成。岩性为浅黄色、灰白色砂、砂砾石等组成，含水层厚度一般为 </w:t>
      </w:r>
      <w:r>
        <w:rPr>
          <w:rFonts w:hint="default"/>
          <w:color w:val="000000" w:themeColor="text1"/>
          <w:lang w:val="en-US" w:eastAsia="zh-CN"/>
          <w14:textFill>
            <w14:solidFill>
              <w14:schemeClr w14:val="tx1"/>
            </w14:solidFill>
          </w14:textFill>
        </w:rPr>
        <w:t>15</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25m</w:t>
      </w:r>
      <w:r>
        <w:rPr>
          <w:rFonts w:hint="eastAsia"/>
          <w:color w:val="000000" w:themeColor="text1"/>
          <w:lang w:val="en-US" w:eastAsia="zh-CN"/>
          <w14:textFill>
            <w14:solidFill>
              <w14:schemeClr w14:val="tx1"/>
            </w14:solidFill>
          </w14:textFill>
        </w:rPr>
        <w:t xml:space="preserve">，最厚可达 </w:t>
      </w:r>
      <w:r>
        <w:rPr>
          <w:rFonts w:hint="default"/>
          <w:color w:val="000000" w:themeColor="text1"/>
          <w:lang w:val="en-US" w:eastAsia="zh-CN"/>
          <w14:textFill>
            <w14:solidFill>
              <w14:schemeClr w14:val="tx1"/>
            </w14:solidFill>
          </w14:textFill>
        </w:rPr>
        <w:t>30m</w:t>
      </w:r>
      <w:r>
        <w:rPr>
          <w:rFonts w:hint="eastAsia"/>
          <w:color w:val="000000" w:themeColor="text1"/>
          <w:lang w:val="en-US" w:eastAsia="zh-CN"/>
          <w14:textFill>
            <w14:solidFill>
              <w14:schemeClr w14:val="tx1"/>
            </w14:solidFill>
          </w14:textFill>
        </w:rPr>
        <w:t xml:space="preserve">，由上游到下游、由支流到干流含水层逐渐增厚，颗粒逐渐由粗变细，地下水位埋深一般 </w:t>
      </w:r>
      <w:r>
        <w:rPr>
          <w:rFonts w:hint="default"/>
          <w:color w:val="000000" w:themeColor="text1"/>
          <w:lang w:val="en-US" w:eastAsia="zh-CN"/>
          <w14:textFill>
            <w14:solidFill>
              <w14:schemeClr w14:val="tx1"/>
            </w14:solidFill>
          </w14:textFill>
        </w:rPr>
        <w:t>1</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6m</w:t>
      </w:r>
      <w:r>
        <w:rPr>
          <w:rFonts w:hint="eastAsia"/>
          <w:color w:val="000000" w:themeColor="text1"/>
          <w:lang w:val="en-US" w:eastAsia="zh-CN"/>
          <w14:textFill>
            <w14:solidFill>
              <w14:schemeClr w14:val="tx1"/>
            </w14:solidFill>
          </w14:textFill>
        </w:rPr>
        <w:t xml:space="preserve">，水化学类型为 </w:t>
      </w:r>
      <w:r>
        <w:rPr>
          <w:rFonts w:hint="default"/>
          <w:color w:val="000000" w:themeColor="text1"/>
          <w:lang w:val="en-US" w:eastAsia="zh-CN"/>
          <w14:textFill>
            <w14:solidFill>
              <w14:schemeClr w14:val="tx1"/>
            </w14:solidFill>
          </w14:textFill>
        </w:rPr>
        <w:t xml:space="preserve">HCO3-Ca·Na </w:t>
      </w:r>
      <w:r>
        <w:rPr>
          <w:rFonts w:hint="eastAsia"/>
          <w:color w:val="000000" w:themeColor="text1"/>
          <w:lang w:val="en-US" w:eastAsia="zh-CN"/>
          <w14:textFill>
            <w14:solidFill>
              <w14:schemeClr w14:val="tx1"/>
            </w14:solidFill>
          </w14:textFill>
        </w:rPr>
        <w:t xml:space="preserve">型水，矿化度小于 </w:t>
      </w:r>
      <w:r>
        <w:rPr>
          <w:rFonts w:hint="default"/>
          <w:color w:val="000000" w:themeColor="text1"/>
          <w:lang w:val="en-US" w:eastAsia="zh-CN"/>
          <w14:textFill>
            <w14:solidFill>
              <w14:schemeClr w14:val="tx1"/>
            </w14:solidFill>
          </w14:textFill>
        </w:rPr>
        <w:t>0.4g/L</w:t>
      </w:r>
      <w:r>
        <w:rPr>
          <w:rFonts w:hint="eastAsia"/>
          <w:color w:val="000000" w:themeColor="text1"/>
          <w:lang w:val="en-US" w:eastAsia="zh-CN"/>
          <w14:textFill>
            <w14:solidFill>
              <w14:schemeClr w14:val="tx1"/>
            </w14:solidFill>
          </w14:textFill>
        </w:rPr>
        <w:t xml:space="preserve">。 </w:t>
      </w:r>
    </w:p>
    <w:p w14:paraId="60D7BA27">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第四系松散岩类孔隙承压水主要分布于八虎力河一级阶地，阶地表面为亚粘土、粘土层，厚度较大，一般为 </w:t>
      </w:r>
      <w:r>
        <w:rPr>
          <w:rFonts w:hint="default"/>
          <w:color w:val="000000" w:themeColor="text1"/>
          <w:lang w:val="en-US" w:eastAsia="zh-CN"/>
          <w14:textFill>
            <w14:solidFill>
              <w14:schemeClr w14:val="tx1"/>
            </w14:solidFill>
          </w14:textFill>
        </w:rPr>
        <w:t>6</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15m</w:t>
      </w:r>
      <w:r>
        <w:rPr>
          <w:rFonts w:hint="eastAsia"/>
          <w:color w:val="000000" w:themeColor="text1"/>
          <w:lang w:val="en-US" w:eastAsia="zh-CN"/>
          <w14:textFill>
            <w14:solidFill>
              <w14:schemeClr w14:val="tx1"/>
            </w14:solidFill>
          </w14:textFill>
        </w:rPr>
        <w:t xml:space="preserve">，最厚可达 </w:t>
      </w:r>
      <w:r>
        <w:rPr>
          <w:rFonts w:hint="default"/>
          <w:color w:val="000000" w:themeColor="text1"/>
          <w:lang w:val="en-US" w:eastAsia="zh-CN"/>
          <w14:textFill>
            <w14:solidFill>
              <w14:schemeClr w14:val="tx1"/>
            </w14:solidFill>
          </w14:textFill>
        </w:rPr>
        <w:t>18m</w:t>
      </w:r>
      <w:r>
        <w:rPr>
          <w:rFonts w:hint="eastAsia"/>
          <w:color w:val="000000" w:themeColor="text1"/>
          <w:lang w:val="en-US" w:eastAsia="zh-CN"/>
          <w14:textFill>
            <w14:solidFill>
              <w14:schemeClr w14:val="tx1"/>
            </w14:solidFill>
          </w14:textFill>
        </w:rPr>
        <w:t xml:space="preserve">，含水层由第四系上更新统别拉洪河组砂、砂砾石组成，含水层厚度 </w:t>
      </w:r>
      <w:r>
        <w:rPr>
          <w:rFonts w:hint="default"/>
          <w:color w:val="000000" w:themeColor="text1"/>
          <w:lang w:val="en-US" w:eastAsia="zh-CN"/>
          <w14:textFill>
            <w14:solidFill>
              <w14:schemeClr w14:val="tx1"/>
            </w14:solidFill>
          </w14:textFill>
        </w:rPr>
        <w:t>20</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30m</w:t>
      </w:r>
      <w:r>
        <w:rPr>
          <w:rFonts w:hint="eastAsia"/>
          <w:color w:val="000000" w:themeColor="text1"/>
          <w:lang w:val="en-US" w:eastAsia="zh-CN"/>
          <w14:textFill>
            <w14:solidFill>
              <w14:schemeClr w14:val="tx1"/>
            </w14:solidFill>
          </w14:textFill>
        </w:rPr>
        <w:t xml:space="preserve">。稳定水位埋深 </w:t>
      </w:r>
      <w:r>
        <w:rPr>
          <w:rFonts w:hint="default"/>
          <w:color w:val="000000" w:themeColor="text1"/>
          <w:lang w:val="en-US" w:eastAsia="zh-CN"/>
          <w14:textFill>
            <w14:solidFill>
              <w14:schemeClr w14:val="tx1"/>
            </w14:solidFill>
          </w14:textFill>
        </w:rPr>
        <w:t>6</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9m</w:t>
      </w:r>
      <w:r>
        <w:rPr>
          <w:rFonts w:hint="eastAsia"/>
          <w:color w:val="000000" w:themeColor="text1"/>
          <w:lang w:val="en-US" w:eastAsia="zh-CN"/>
          <w14:textFill>
            <w14:solidFill>
              <w14:schemeClr w14:val="tx1"/>
            </w14:solidFill>
          </w14:textFill>
        </w:rPr>
        <w:t>，水力性质为承压水。水化学类型主要为HCO</w:t>
      </w:r>
      <w:r>
        <w:rPr>
          <w:rFonts w:hint="eastAsia"/>
          <w:color w:val="000000" w:themeColor="text1"/>
          <w:vertAlign w:val="sub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-Ca 型水，部分为 HCO</w:t>
      </w:r>
      <w:r>
        <w:rPr>
          <w:rFonts w:hint="eastAsia"/>
          <w:color w:val="000000" w:themeColor="text1"/>
          <w:vertAlign w:val="sub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-Ca·Mg、HCO</w:t>
      </w:r>
      <w:r>
        <w:rPr>
          <w:rFonts w:hint="eastAsia"/>
          <w:color w:val="000000" w:themeColor="text1"/>
          <w:vertAlign w:val="sub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 xml:space="preserve">-Ca·Na 型水，含水量较为丰富，矿化度小于 0.3g/L。 </w:t>
      </w:r>
    </w:p>
    <w:p w14:paraId="5C40C4C4">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白垩系碎屑岩类孔隙裂隙水主要分布于山前台地，水量贫乏，水位埋深 2～10m。水化学类型主要为 HCO</w:t>
      </w:r>
      <w:r>
        <w:rPr>
          <w:rFonts w:hint="eastAsia"/>
          <w:color w:val="000000" w:themeColor="text1"/>
          <w:vertAlign w:val="sub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 xml:space="preserve">·Cl-Na 型水，矿化度小于0.4g/L。 </w:t>
      </w:r>
    </w:p>
    <w:p w14:paraId="5A2D0B67">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第三系碎屑岩类孔隙裂隙水主要分布于桦南镇－梨树园第三系盆地内，含水层岩性为黄褐色、灰白色中粗砂岩、砂砾岩等，厚度 20～225m。 </w:t>
      </w:r>
    </w:p>
    <w:p w14:paraId="0AA628AE">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（2）地下水补给、径流、排泄条件 </w:t>
      </w:r>
    </w:p>
    <w:p w14:paraId="046B2931">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区域地下水补给、径流、排泄主要受气象水文、地下水类型及含水层结构、人工开采等因素的控制。 </w:t>
      </w:r>
    </w:p>
    <w:p w14:paraId="2E4406C4">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地下水的主要补给来源为大气降水及侧向径流补给，其次为丰水期河水补给，农田灌溉也是其补给来源之一。地下水径流条件较好，流向整体为东向西流。地下水的排泄方式主要以人为开采为主，其次为地下径流的方式泄入工作区外，最后泄入八虎力河。由于区内地下水的类型不同，它们的补径排条件也不尽相同。</w:t>
      </w:r>
    </w:p>
    <w:p w14:paraId="1734A565">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地下水水力坡度平均为 0.001，评价区丰水期和枯水期等水位图见图 3-3-8 和 3-3-9。 </w:t>
      </w:r>
    </w:p>
    <w:p w14:paraId="619DE0E7">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（3）地下水动态特征 </w:t>
      </w:r>
    </w:p>
    <w:p w14:paraId="7E3CBE1A">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本区地下水动态受季节性影响较大，地下水水位最低值出现在 4-5月，8-9 月水位达到最高值。地下水位动态呈现季节性变化规律，每年4-5 月地表蒸发量开始增强而降水量依然较小，季节性冻土层开始融化，地下水尚未得到降水和融化雪水的有效补给，水位较低；此后，随降雨量增加，渗入补给量随之增大，地下水水位开始普遍上升，并随着降水量增大，地下水水位上升速度加快，至 8-9 月达到峰值；从 9月底开始，降水量不断减少，地下水水位开始缓慢下降，11 月地表开始冻结，直到翌年 4-5 月份冻土融化为止，地下水都处于下降状态。</w:t>
      </w:r>
    </w:p>
    <w:p w14:paraId="50EA6B56">
      <w:pPr>
        <w:pStyle w:val="85"/>
        <w:rPr>
          <w:rFonts w:hint="eastAsia"/>
          <w:color w:val="000000" w:themeColor="text1"/>
          <w:lang w:val="en-US" w:eastAsia="zh-CN"/>
          <w14:textFill>
            <w14:solidFill>
              <w14:schemeClr w14:val="tx1"/>
            </w14:solidFill>
          </w14:textFill>
        </w:rPr>
      </w:pPr>
    </w:p>
    <w:p w14:paraId="6DE6DDEF">
      <w:pPr>
        <w:pStyle w:val="85"/>
        <w:rPr>
          <w:rFonts w:hint="eastAsia"/>
          <w:color w:val="000000" w:themeColor="text1"/>
          <w:lang w:val="en-US" w:eastAsia="zh-CN"/>
          <w14:textFill>
            <w14:solidFill>
              <w14:schemeClr w14:val="tx1"/>
            </w14:solidFill>
          </w14:textFill>
        </w:rPr>
      </w:pPr>
    </w:p>
    <w:p w14:paraId="139729A8">
      <w:pPr>
        <w:pStyle w:val="85"/>
        <w:rPr>
          <w:rFonts w:hint="eastAsia"/>
          <w:color w:val="000000" w:themeColor="text1"/>
          <w:lang w:val="en-US" w:eastAsia="zh-CN"/>
          <w14:textFill>
            <w14:solidFill>
              <w14:schemeClr w14:val="tx1"/>
            </w14:solidFill>
          </w14:textFill>
        </w:rPr>
      </w:pPr>
    </w:p>
    <w:p w14:paraId="699BD2D9">
      <w:pPr>
        <w:pStyle w:val="85"/>
        <w:rPr>
          <w:rFonts w:hint="eastAsia"/>
          <w:color w:val="000000" w:themeColor="text1"/>
          <w:lang w:val="en-US" w:eastAsia="zh-CN"/>
          <w14:textFill>
            <w14:solidFill>
              <w14:schemeClr w14:val="tx1"/>
            </w14:solidFill>
          </w14:textFill>
        </w:rPr>
      </w:pPr>
    </w:p>
    <w:p w14:paraId="0C414F8C">
      <w:pPr>
        <w:pStyle w:val="85"/>
        <w:rPr>
          <w:rFonts w:hint="eastAsia"/>
          <w:color w:val="000000" w:themeColor="text1"/>
          <w:lang w:val="en-US" w:eastAsia="zh-CN"/>
          <w14:textFill>
            <w14:solidFill>
              <w14:schemeClr w14:val="tx1"/>
            </w14:solidFill>
          </w14:textFill>
        </w:rPr>
      </w:pPr>
    </w:p>
    <w:p w14:paraId="085C14D9">
      <w:pPr>
        <w:pStyle w:val="85"/>
        <w:rPr>
          <w:rFonts w:hint="eastAsia"/>
          <w:color w:val="000000" w:themeColor="text1"/>
          <w:lang w:val="en-US" w:eastAsia="zh-CN"/>
          <w14:textFill>
            <w14:solidFill>
              <w14:schemeClr w14:val="tx1"/>
            </w14:solidFill>
          </w14:textFill>
        </w:rPr>
      </w:pPr>
    </w:p>
    <w:p w14:paraId="5CEBC2EA">
      <w:pPr>
        <w:pStyle w:val="85"/>
        <w:rPr>
          <w:rFonts w:hint="eastAsia"/>
          <w:color w:val="000000" w:themeColor="text1"/>
          <w:lang w:val="en-US" w:eastAsia="zh-CN"/>
          <w14:textFill>
            <w14:solidFill>
              <w14:schemeClr w14:val="tx1"/>
            </w14:solidFill>
          </w14:textFill>
        </w:rPr>
      </w:pPr>
      <w:r>
        <w:drawing>
          <wp:anchor distT="0" distB="0" distL="114300" distR="114300" simplePos="0" relativeHeight="251666432" behindDoc="0" locked="0" layoutInCell="1" allowOverlap="1">
            <wp:simplePos x="0" y="0"/>
            <wp:positionH relativeFrom="column">
              <wp:posOffset>23495</wp:posOffset>
            </wp:positionH>
            <wp:positionV relativeFrom="paragraph">
              <wp:posOffset>86360</wp:posOffset>
            </wp:positionV>
            <wp:extent cx="5259070" cy="4105275"/>
            <wp:effectExtent l="9525" t="9525" r="27305" b="19050"/>
            <wp:wrapNone/>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pic:cNvPicPr>
                  </pic:nvPicPr>
                  <pic:blipFill>
                    <a:blip r:embed="rId106"/>
                    <a:stretch>
                      <a:fillRect/>
                    </a:stretch>
                  </pic:blipFill>
                  <pic:spPr>
                    <a:xfrm>
                      <a:off x="0" y="0"/>
                      <a:ext cx="5259070" cy="4105275"/>
                    </a:xfrm>
                    <a:prstGeom prst="rect">
                      <a:avLst/>
                    </a:prstGeom>
                    <a:noFill/>
                    <a:ln>
                      <a:solidFill>
                        <a:schemeClr val="tx1"/>
                      </a:solidFill>
                    </a:ln>
                  </pic:spPr>
                </pic:pic>
              </a:graphicData>
            </a:graphic>
          </wp:anchor>
        </w:drawing>
      </w:r>
    </w:p>
    <w:p w14:paraId="0415B1A1">
      <w:pPr>
        <w:pStyle w:val="85"/>
        <w:rPr>
          <w:rFonts w:hint="eastAsia"/>
          <w:color w:val="000000" w:themeColor="text1"/>
          <w:lang w:val="en-US" w:eastAsia="zh-CN"/>
          <w14:textFill>
            <w14:solidFill>
              <w14:schemeClr w14:val="tx1"/>
            </w14:solidFill>
          </w14:textFill>
        </w:rPr>
      </w:pPr>
    </w:p>
    <w:p w14:paraId="5AC50E45">
      <w:pPr>
        <w:pStyle w:val="85"/>
        <w:ind w:left="0" w:leftChars="0" w:firstLine="0" w:firstLineChars="0"/>
        <w:rPr>
          <w:color w:val="000000" w:themeColor="text1"/>
          <w14:textFill>
            <w14:solidFill>
              <w14:schemeClr w14:val="tx1"/>
            </w14:solidFill>
          </w14:textFill>
        </w:rPr>
      </w:pPr>
    </w:p>
    <w:p w14:paraId="4C89E481">
      <w:pPr>
        <w:pStyle w:val="85"/>
        <w:rPr>
          <w:color w:val="000000" w:themeColor="text1"/>
          <w14:textFill>
            <w14:solidFill>
              <w14:schemeClr w14:val="tx1"/>
            </w14:solidFill>
          </w14:textFill>
        </w:rPr>
      </w:pPr>
    </w:p>
    <w:p w14:paraId="0DFF9FC0">
      <w:pPr>
        <w:pStyle w:val="85"/>
        <w:rPr>
          <w:color w:val="000000" w:themeColor="text1"/>
          <w14:textFill>
            <w14:solidFill>
              <w14:schemeClr w14:val="tx1"/>
            </w14:solidFill>
          </w14:textFill>
        </w:rPr>
      </w:pPr>
    </w:p>
    <w:p w14:paraId="3268F40B">
      <w:pPr>
        <w:pStyle w:val="85"/>
        <w:rPr>
          <w:color w:val="000000" w:themeColor="text1"/>
          <w14:textFill>
            <w14:solidFill>
              <w14:schemeClr w14:val="tx1"/>
            </w14:solidFill>
          </w14:textFill>
        </w:rPr>
      </w:pPr>
    </w:p>
    <w:p w14:paraId="44B42DD1">
      <w:pPr>
        <w:pStyle w:val="85"/>
        <w:rPr>
          <w:color w:val="000000" w:themeColor="text1"/>
          <w14:textFill>
            <w14:solidFill>
              <w14:schemeClr w14:val="tx1"/>
            </w14:solidFill>
          </w14:textFill>
        </w:rPr>
      </w:pPr>
      <w:r>
        <w:rPr>
          <w:sz w:val="24"/>
        </w:rPr>
        <mc:AlternateContent>
          <mc:Choice Requires="wps">
            <w:drawing>
              <wp:anchor distT="0" distB="0" distL="114300" distR="114300" simplePos="0" relativeHeight="251698176" behindDoc="0" locked="0" layoutInCell="1" allowOverlap="1">
                <wp:simplePos x="0" y="0"/>
                <wp:positionH relativeFrom="column">
                  <wp:posOffset>2520950</wp:posOffset>
                </wp:positionH>
                <wp:positionV relativeFrom="paragraph">
                  <wp:posOffset>225425</wp:posOffset>
                </wp:positionV>
                <wp:extent cx="1031240" cy="340995"/>
                <wp:effectExtent l="241300" t="12700" r="22860" b="27305"/>
                <wp:wrapNone/>
                <wp:docPr id="42" name="矩形标注 42"/>
                <wp:cNvGraphicFramePr/>
                <a:graphic xmlns:a="http://schemas.openxmlformats.org/drawingml/2006/main">
                  <a:graphicData uri="http://schemas.microsoft.com/office/word/2010/wordprocessingShape">
                    <wps:wsp>
                      <wps:cNvSpPr/>
                      <wps:spPr>
                        <a:xfrm>
                          <a:off x="3662045" y="3044825"/>
                          <a:ext cx="1031240" cy="340995"/>
                        </a:xfrm>
                        <a:prstGeom prst="wedgeRectCallout">
                          <a:avLst>
                            <a:gd name="adj1" fmla="val -72167"/>
                            <a:gd name="adj2" fmla="val 19459"/>
                          </a:avLst>
                        </a:prstGeom>
                        <a:noFill/>
                      </wps:spPr>
                      <wps:style>
                        <a:lnRef idx="2">
                          <a:schemeClr val="accent1">
                            <a:lumMod val="75000"/>
                          </a:schemeClr>
                        </a:lnRef>
                        <a:fillRef idx="1">
                          <a:schemeClr val="accent1"/>
                        </a:fillRef>
                        <a:effectRef idx="0">
                          <a:srgbClr val="FFFFFF"/>
                        </a:effectRef>
                        <a:fontRef idx="minor">
                          <a:schemeClr val="lt1"/>
                        </a:fontRef>
                      </wps:style>
                      <wps:txbx>
                        <w:txbxContent>
                          <w:p w14:paraId="14F39442">
                            <w:pPr>
                              <w:ind w:left="0" w:leftChars="0" w:firstLine="0" w:firstLineChars="0"/>
                              <w:jc w:val="both"/>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98.5pt;margin-top:17.75pt;height:26.85pt;width:81.2pt;z-index:251698176;v-text-anchor:middle;mso-width-relative:page;mso-height-relative:page;" filled="f" stroked="t" coordsize="21600,21600" o:gfxdata="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ZQC5VtwAAAAJAQAADwAAAAAA&#10;AAABACAAAAAiAAAAZHJzL2Rvd25yZXYueG1sUEsBAhQAFAAAAAgAh07iQCI3cqO6AgAAUwUAAA4A&#10;AAAAAAAAAQAgAAAAKwEAAGRycy9lMm9Eb2MueG1sUEsFBgAAAAAGAAYAWQEAAFcGAAAAAA==&#10;" adj="-4788,15003">
                <v:fill on="f" focussize="0,0"/>
                <v:stroke weight="2pt" color="#376092 [2404]" joinstyle="round"/>
                <v:imagedata o:title=""/>
                <o:lock v:ext="edit" aspectratio="f"/>
                <v:textbox>
                  <w:txbxContent>
                    <w:p w14:paraId="14F39442">
                      <w:pPr>
                        <w:ind w:left="0" w:leftChars="0" w:firstLine="0" w:firstLineChars="0"/>
                        <w:jc w:val="both"/>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本项目位置</w:t>
                      </w:r>
                    </w:p>
                  </w:txbxContent>
                </v:textbox>
              </v:shape>
            </w:pict>
          </mc:Fallback>
        </mc:AlternateContent>
      </w:r>
    </w:p>
    <w:p w14:paraId="30C07F12">
      <w:pPr>
        <w:pStyle w:val="85"/>
        <w:ind w:left="0" w:leftChars="0" w:firstLine="0" w:firstLineChars="0"/>
        <w:rPr>
          <w:rFonts w:hint="eastAsia" w:eastAsia="宋体"/>
          <w:color w:val="000000" w:themeColor="text1"/>
          <w:lang w:eastAsia="zh-CN"/>
          <w14:textFill>
            <w14:solidFill>
              <w14:schemeClr w14:val="tx1"/>
            </w14:solidFill>
          </w14:textFill>
        </w:rPr>
      </w:pPr>
      <w:r>
        <w:rPr>
          <w:sz w:val="24"/>
        </w:rPr>
        <mc:AlternateContent>
          <mc:Choice Requires="wps">
            <w:drawing>
              <wp:anchor distT="0" distB="0" distL="114300" distR="114300" simplePos="0" relativeHeight="251697152" behindDoc="0" locked="0" layoutInCell="1" allowOverlap="1">
                <wp:simplePos x="0" y="0"/>
                <wp:positionH relativeFrom="column">
                  <wp:posOffset>2147570</wp:posOffset>
                </wp:positionH>
                <wp:positionV relativeFrom="paragraph">
                  <wp:posOffset>106045</wp:posOffset>
                </wp:positionV>
                <wp:extent cx="103505" cy="79375"/>
                <wp:effectExtent l="12700" t="12700" r="17145" b="22225"/>
                <wp:wrapNone/>
                <wp:docPr id="41" name="五角星 41"/>
                <wp:cNvGraphicFramePr/>
                <a:graphic xmlns:a="http://schemas.openxmlformats.org/drawingml/2006/main">
                  <a:graphicData uri="http://schemas.microsoft.com/office/word/2010/wordprocessingShape">
                    <wps:wsp>
                      <wps:cNvSpPr/>
                      <wps:spPr>
                        <a:xfrm>
                          <a:off x="3288665" y="3242945"/>
                          <a:ext cx="103505" cy="7937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69.1pt;margin-top:8.35pt;height:6.25pt;width:8.15pt;z-index:251697152;v-text-anchor:middle;mso-width-relative:page;mso-height-relative:page;" fillcolor="#FF0000" filled="t" stroked="t" coordsize="103505,79375" o:gfxdata="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8us9doAAAAJAQAADwAAAAAAAAABACAAAAAiAAAAZHJz&#10;L2Rvd25yZXYueG1sUEsBAhQAFAAAAAgAh07iQBGr8e90AgAA7QQAAA4AAAAAAAAAAQAgAAAAKQEA&#10;AGRycy9lMm9Eb2MueG1sUEsFBgAAAAAGAAYAWQEAAA8GAAAAAA==&#10;" path="m0,30318l39535,30318,51752,0,63969,30318,103504,30318,71519,49056,83737,79374,51752,60636,19767,79374,31985,49056xe">
                <v:path o:connectlocs="51752,0;0,30318;19767,79374;83737,79374;103504,30318" o:connectangles="247,164,82,82,0"/>
                <v:fill on="t" focussize="0,0"/>
                <v:stroke weight="2pt" color="#FF0000 [2404]" joinstyle="round"/>
                <v:imagedata o:title=""/>
                <o:lock v:ext="edit" aspectratio="f"/>
              </v:shape>
            </w:pict>
          </mc:Fallback>
        </mc:AlternateContent>
      </w:r>
    </w:p>
    <w:p w14:paraId="6A8CDCD0">
      <w:pPr>
        <w:pStyle w:val="85"/>
        <w:ind w:left="0" w:leftChars="0" w:firstLine="0" w:firstLineChars="0"/>
        <w:rPr>
          <w:rFonts w:hint="eastAsia" w:eastAsia="宋体"/>
          <w:color w:val="000000" w:themeColor="text1"/>
          <w:lang w:eastAsia="zh-CN"/>
          <w14:textFill>
            <w14:solidFill>
              <w14:schemeClr w14:val="tx1"/>
            </w14:solidFill>
          </w14:textFill>
        </w:rPr>
      </w:pPr>
    </w:p>
    <w:p w14:paraId="42A3DECD">
      <w:pPr>
        <w:pStyle w:val="85"/>
        <w:ind w:left="0" w:leftChars="0" w:firstLine="0" w:firstLineChars="0"/>
        <w:rPr>
          <w:rFonts w:hint="eastAsia" w:eastAsia="宋体"/>
          <w:color w:val="000000" w:themeColor="text1"/>
          <w:lang w:eastAsia="zh-CN"/>
          <w14:textFill>
            <w14:solidFill>
              <w14:schemeClr w14:val="tx1"/>
            </w14:solidFill>
          </w14:textFill>
        </w:rPr>
      </w:pPr>
    </w:p>
    <w:p w14:paraId="23C52EC5">
      <w:pPr>
        <w:pStyle w:val="85"/>
        <w:ind w:left="0" w:leftChars="0" w:firstLine="0" w:firstLineChars="0"/>
        <w:rPr>
          <w:rFonts w:hint="eastAsia" w:eastAsia="宋体"/>
          <w:color w:val="000000" w:themeColor="text1"/>
          <w:lang w:eastAsia="zh-CN"/>
          <w14:textFill>
            <w14:solidFill>
              <w14:schemeClr w14:val="tx1"/>
            </w14:solidFill>
          </w14:textFill>
        </w:rPr>
      </w:pPr>
    </w:p>
    <w:p w14:paraId="1B787F6C">
      <w:pPr>
        <w:pStyle w:val="85"/>
        <w:ind w:left="0" w:leftChars="0" w:firstLine="0" w:firstLineChars="0"/>
        <w:rPr>
          <w:rFonts w:hint="eastAsia" w:eastAsia="宋体"/>
          <w:color w:val="000000" w:themeColor="text1"/>
          <w:lang w:eastAsia="zh-CN"/>
          <w14:textFill>
            <w14:solidFill>
              <w14:schemeClr w14:val="tx1"/>
            </w14:solidFill>
          </w14:textFill>
        </w:rPr>
      </w:pPr>
    </w:p>
    <w:p w14:paraId="6825A4D5">
      <w:pPr>
        <w:pStyle w:val="85"/>
        <w:ind w:left="0" w:leftChars="0" w:firstLine="0" w:firstLineChars="0"/>
        <w:rPr>
          <w:rFonts w:hint="eastAsia" w:eastAsia="宋体"/>
          <w:color w:val="000000" w:themeColor="text1"/>
          <w:lang w:eastAsia="zh-CN"/>
          <w14:textFill>
            <w14:solidFill>
              <w14:schemeClr w14:val="tx1"/>
            </w14:solidFill>
          </w14:textFill>
        </w:rPr>
      </w:pPr>
    </w:p>
    <w:p w14:paraId="15B3D5F3">
      <w:pPr>
        <w:pStyle w:val="85"/>
        <w:ind w:left="0" w:leftChars="0" w:firstLine="0" w:firstLineChars="0"/>
        <w:rPr>
          <w:rFonts w:hint="eastAsia" w:eastAsia="宋体"/>
          <w:color w:val="000000" w:themeColor="text1"/>
          <w:lang w:eastAsia="zh-CN"/>
          <w14:textFill>
            <w14:solidFill>
              <w14:schemeClr w14:val="tx1"/>
            </w14:solidFill>
          </w14:textFill>
        </w:rPr>
      </w:pPr>
    </w:p>
    <w:p w14:paraId="546D8D57">
      <w:pPr>
        <w:pStyle w:val="206"/>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图4</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2</w:t>
      </w:r>
      <w:r>
        <w:rPr>
          <w:snapToGrid w:val="0"/>
          <w:color w:val="000000" w:themeColor="text1"/>
          <w14:textFill>
            <w14:solidFill>
              <w14:schemeClr w14:val="tx1"/>
            </w14:solidFill>
          </w14:textFill>
        </w:rPr>
        <w:t xml:space="preserve"> </w:t>
      </w:r>
      <w:r>
        <w:rPr>
          <w:rFonts w:hint="eastAsia"/>
          <w:snapToGrid w:val="0"/>
          <w:color w:val="000000" w:themeColor="text1"/>
          <w:lang w:val="en-US" w:eastAsia="zh-CN"/>
          <w14:textFill>
            <w14:solidFill>
              <w14:schemeClr w14:val="tx1"/>
            </w14:solidFill>
          </w14:textFill>
        </w:rPr>
        <w:t>评价区水文地质图</w:t>
      </w:r>
    </w:p>
    <w:p w14:paraId="2FC15781">
      <w:pPr>
        <w:pStyle w:val="206"/>
        <w:rPr>
          <w:rFonts w:hint="eastAsia"/>
          <w:snapToGrid w:val="0"/>
          <w:color w:val="000000" w:themeColor="text1"/>
          <w:lang w:val="en-US" w:eastAsia="zh-CN"/>
          <w14:textFill>
            <w14:solidFill>
              <w14:schemeClr w14:val="tx1"/>
            </w14:solidFill>
          </w14:textFill>
        </w:rPr>
      </w:pPr>
    </w:p>
    <w:p w14:paraId="207B4BFE">
      <w:pPr>
        <w:pStyle w:val="206"/>
        <w:rPr>
          <w:rFonts w:hint="eastAsia"/>
          <w:snapToGrid w:val="0"/>
          <w:color w:val="000000" w:themeColor="text1"/>
          <w:lang w:val="en-US" w:eastAsia="zh-CN"/>
          <w14:textFill>
            <w14:solidFill>
              <w14:schemeClr w14:val="tx1"/>
            </w14:solidFill>
          </w14:textFill>
        </w:rPr>
      </w:pPr>
    </w:p>
    <w:p w14:paraId="18AB7A2C">
      <w:pPr>
        <w:pStyle w:val="206"/>
        <w:rPr>
          <w:rFonts w:hint="eastAsia"/>
          <w:snapToGrid w:val="0"/>
          <w:color w:val="000000" w:themeColor="text1"/>
          <w:lang w:val="en-US" w:eastAsia="zh-CN"/>
          <w14:textFill>
            <w14:solidFill>
              <w14:schemeClr w14:val="tx1"/>
            </w14:solidFill>
          </w14:textFill>
        </w:rPr>
      </w:pPr>
    </w:p>
    <w:p w14:paraId="57F57C36">
      <w:pPr>
        <w:pStyle w:val="206"/>
        <w:rPr>
          <w:rFonts w:hint="eastAsia"/>
          <w:snapToGrid w:val="0"/>
          <w:color w:val="000000" w:themeColor="text1"/>
          <w:lang w:val="en-US" w:eastAsia="zh-CN"/>
          <w14:textFill>
            <w14:solidFill>
              <w14:schemeClr w14:val="tx1"/>
            </w14:solidFill>
          </w14:textFill>
        </w:rPr>
      </w:pPr>
    </w:p>
    <w:p w14:paraId="55271A20">
      <w:pPr>
        <w:pStyle w:val="206"/>
        <w:rPr>
          <w:rFonts w:hint="eastAsia"/>
          <w:snapToGrid w:val="0"/>
          <w:color w:val="000000" w:themeColor="text1"/>
          <w:lang w:val="en-US" w:eastAsia="zh-CN"/>
          <w14:textFill>
            <w14:solidFill>
              <w14:schemeClr w14:val="tx1"/>
            </w14:solidFill>
          </w14:textFill>
        </w:rPr>
      </w:pPr>
    </w:p>
    <w:p w14:paraId="1E382C53">
      <w:pPr>
        <w:pStyle w:val="206"/>
        <w:rPr>
          <w:rFonts w:hint="eastAsia"/>
          <w:snapToGrid w:val="0"/>
          <w:color w:val="000000" w:themeColor="text1"/>
          <w:lang w:val="en-US" w:eastAsia="zh-CN"/>
          <w14:textFill>
            <w14:solidFill>
              <w14:schemeClr w14:val="tx1"/>
            </w14:solidFill>
          </w14:textFill>
        </w:rPr>
      </w:pPr>
    </w:p>
    <w:p w14:paraId="267F29AA">
      <w:pPr>
        <w:pStyle w:val="206"/>
        <w:rPr>
          <w:rFonts w:hint="eastAsia"/>
          <w:snapToGrid w:val="0"/>
          <w:color w:val="000000" w:themeColor="text1"/>
          <w:lang w:val="en-US" w:eastAsia="zh-CN"/>
          <w14:textFill>
            <w14:solidFill>
              <w14:schemeClr w14:val="tx1"/>
            </w14:solidFill>
          </w14:textFill>
        </w:rPr>
      </w:pPr>
      <w:r>
        <w:rPr>
          <w:sz w:val="24"/>
        </w:rPr>
        <mc:AlternateContent>
          <mc:Choice Requires="wps">
            <w:drawing>
              <wp:anchor distT="0" distB="0" distL="114300" distR="114300" simplePos="0" relativeHeight="251700224" behindDoc="0" locked="0" layoutInCell="1" allowOverlap="1">
                <wp:simplePos x="0" y="0"/>
                <wp:positionH relativeFrom="column">
                  <wp:posOffset>3410585</wp:posOffset>
                </wp:positionH>
                <wp:positionV relativeFrom="paragraph">
                  <wp:posOffset>2908935</wp:posOffset>
                </wp:positionV>
                <wp:extent cx="1031240" cy="340995"/>
                <wp:effectExtent l="384810" t="12700" r="12700" b="27305"/>
                <wp:wrapNone/>
                <wp:docPr id="52" name="矩形标注 52"/>
                <wp:cNvGraphicFramePr/>
                <a:graphic xmlns:a="http://schemas.openxmlformats.org/drawingml/2006/main">
                  <a:graphicData uri="http://schemas.microsoft.com/office/word/2010/wordprocessingShape">
                    <wps:wsp>
                      <wps:cNvSpPr/>
                      <wps:spPr>
                        <a:xfrm>
                          <a:off x="0" y="0"/>
                          <a:ext cx="1031240" cy="340995"/>
                        </a:xfrm>
                        <a:prstGeom prst="wedgeRectCallout">
                          <a:avLst>
                            <a:gd name="adj1" fmla="val -86083"/>
                            <a:gd name="adj2" fmla="val -1396"/>
                          </a:avLst>
                        </a:prstGeom>
                        <a:noFill/>
                      </wps:spPr>
                      <wps:style>
                        <a:lnRef idx="2">
                          <a:schemeClr val="accent1">
                            <a:lumMod val="75000"/>
                          </a:schemeClr>
                        </a:lnRef>
                        <a:fillRef idx="1">
                          <a:schemeClr val="accent1"/>
                        </a:fillRef>
                        <a:effectRef idx="0">
                          <a:srgbClr val="FFFFFF"/>
                        </a:effectRef>
                        <a:fontRef idx="minor">
                          <a:schemeClr val="lt1"/>
                        </a:fontRef>
                      </wps:style>
                      <wps:txbx>
                        <w:txbxContent>
                          <w:p w14:paraId="5A403721">
                            <w:pPr>
                              <w:ind w:left="0" w:leftChars="0" w:firstLine="0" w:firstLineChars="0"/>
                              <w:jc w:val="both"/>
                              <w:rPr>
                                <w:rFonts w:hint="default" w:eastAsia="宋体"/>
                                <w:b/>
                                <w:bCs/>
                                <w:color w:val="FF0000"/>
                                <w:lang w:val="en-US" w:eastAsia="zh-CN"/>
                              </w:rPr>
                            </w:pPr>
                            <w:r>
                              <w:rPr>
                                <w:rFonts w:hint="eastAsia"/>
                                <w:b/>
                                <w:bCs/>
                                <w:color w:val="FF0000"/>
                                <w:lang w:val="en-US" w:eastAsia="zh-CN"/>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68.55pt;margin-top:229.05pt;height:26.85pt;width:81.2pt;z-index:251700224;v-text-anchor:middle;mso-width-relative:page;mso-height-relative:page;" filled="f" stroked="t" coordsize="21600,21600" o:gfxdata="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&#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DhWdnc2wAAAAsBAAAPAAAAAAAAAAEAIAAAACIAAABk&#10;cnMvZG93bnJldi54bWxQSwECFAAUAAAACACHTuJAhKMRUK4CAABHBQAADgAAAAAAAAABACAAAAAq&#10;AQAAZHJzL2Uyb0RvYy54bWxQSwUGAAAAAAYABgBZAQAASgYAAAAA&#10;" adj="-7794,10498">
                <v:fill on="f" focussize="0,0"/>
                <v:stroke weight="2pt" color="#376092 [2404]" joinstyle="round"/>
                <v:imagedata o:title=""/>
                <o:lock v:ext="edit" aspectratio="f"/>
                <v:textbox>
                  <w:txbxContent>
                    <w:p w14:paraId="5A403721">
                      <w:pPr>
                        <w:ind w:left="0" w:leftChars="0" w:firstLine="0" w:firstLineChars="0"/>
                        <w:jc w:val="both"/>
                        <w:rPr>
                          <w:rFonts w:hint="default" w:eastAsia="宋体"/>
                          <w:b/>
                          <w:bCs/>
                          <w:color w:val="FF0000"/>
                          <w:lang w:val="en-US" w:eastAsia="zh-CN"/>
                        </w:rPr>
                      </w:pPr>
                      <w:r>
                        <w:rPr>
                          <w:rFonts w:hint="eastAsia"/>
                          <w:b/>
                          <w:bCs/>
                          <w:color w:val="FF0000"/>
                          <w:lang w:val="en-US" w:eastAsia="zh-CN"/>
                        </w:rPr>
                        <w:t>本项目位置</w:t>
                      </w:r>
                    </w:p>
                  </w:txbxContent>
                </v:textbox>
              </v:shape>
            </w:pict>
          </mc:Fallback>
        </mc:AlternateContent>
      </w:r>
      <w:r>
        <w:rPr>
          <w:sz w:val="24"/>
        </w:rPr>
        <mc:AlternateContent>
          <mc:Choice Requires="wps">
            <w:drawing>
              <wp:anchor distT="0" distB="0" distL="114300" distR="114300" simplePos="0" relativeHeight="251699200" behindDoc="0" locked="0" layoutInCell="1" allowOverlap="1">
                <wp:simplePos x="0" y="0"/>
                <wp:positionH relativeFrom="column">
                  <wp:posOffset>2909570</wp:posOffset>
                </wp:positionH>
                <wp:positionV relativeFrom="paragraph">
                  <wp:posOffset>3003550</wp:posOffset>
                </wp:positionV>
                <wp:extent cx="103505" cy="79375"/>
                <wp:effectExtent l="12700" t="12700" r="17145" b="22225"/>
                <wp:wrapNone/>
                <wp:docPr id="43" name="五角星 43"/>
                <wp:cNvGraphicFramePr/>
                <a:graphic xmlns:a="http://schemas.openxmlformats.org/drawingml/2006/main">
                  <a:graphicData uri="http://schemas.microsoft.com/office/word/2010/wordprocessingShape">
                    <wps:wsp>
                      <wps:cNvSpPr/>
                      <wps:spPr>
                        <a:xfrm>
                          <a:off x="0" y="0"/>
                          <a:ext cx="103505" cy="7937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29.1pt;margin-top:236.5pt;height:6.25pt;width:8.15pt;z-index:251699200;v-text-anchor:middle;mso-width-relative:page;mso-height-relative:page;" fillcolor="#FF0000" filled="t" stroked="t" coordsize="103505,79375" o:gfxdata="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a3j9zdsAAAALAQAADwAAAAAAAAABACAAAAAiAAAAZHJzL2Rvd25yZXYueG1s&#10;UEsBAhQAFAAAAAgAh07iQKeNppRnAgAA4QQAAA4AAAAAAAAAAQAgAAAAKgEAAGRycy9lMm9Eb2Mu&#10;eG1sUEsFBgAAAAAGAAYAWQEAAAMGAAAAAA==&#10;" path="m0,30318l39535,30318,51752,0,63969,30318,103504,30318,71519,49056,83737,79374,51752,60636,19767,79374,31985,49056xe">
                <v:path o:connectlocs="51752,0;0,30318;19767,79374;83737,79374;103504,30318" o:connectangles="247,164,82,82,0"/>
                <v:fill on="t" focussize="0,0"/>
                <v:stroke weight="2pt" color="#FF0000 [2404]" joinstyle="round"/>
                <v:imagedata o:title=""/>
                <o:lock v:ext="edit" aspectratio="f"/>
              </v:shape>
            </w:pict>
          </mc:Fallback>
        </mc:AlternateContent>
      </w:r>
      <w:r>
        <w:drawing>
          <wp:inline distT="0" distB="0" distL="114300" distR="114300">
            <wp:extent cx="5276850" cy="6130290"/>
            <wp:effectExtent l="9525" t="9525" r="9525" b="13335"/>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107"/>
                    <a:stretch>
                      <a:fillRect/>
                    </a:stretch>
                  </pic:blipFill>
                  <pic:spPr>
                    <a:xfrm>
                      <a:off x="0" y="0"/>
                      <a:ext cx="5276850" cy="6130290"/>
                    </a:xfrm>
                    <a:prstGeom prst="rect">
                      <a:avLst/>
                    </a:prstGeom>
                    <a:noFill/>
                    <a:ln>
                      <a:solidFill>
                        <a:schemeClr val="tx1"/>
                      </a:solidFill>
                    </a:ln>
                  </pic:spPr>
                </pic:pic>
              </a:graphicData>
            </a:graphic>
          </wp:inline>
        </w:drawing>
      </w:r>
    </w:p>
    <w:p w14:paraId="2163415A">
      <w:pPr>
        <w:pStyle w:val="206"/>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图4</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3</w:t>
      </w:r>
      <w:r>
        <w:rPr>
          <w:snapToGrid w:val="0"/>
          <w:color w:val="000000" w:themeColor="text1"/>
          <w14:textFill>
            <w14:solidFill>
              <w14:schemeClr w14:val="tx1"/>
            </w14:solidFill>
          </w14:textFill>
        </w:rPr>
        <w:t xml:space="preserve"> </w:t>
      </w:r>
      <w:r>
        <w:rPr>
          <w:rFonts w:hint="eastAsia"/>
          <w:snapToGrid w:val="0"/>
          <w:color w:val="000000" w:themeColor="text1"/>
          <w:lang w:val="en-US" w:eastAsia="zh-CN"/>
          <w14:textFill>
            <w14:solidFill>
              <w14:schemeClr w14:val="tx1"/>
            </w14:solidFill>
          </w14:textFill>
        </w:rPr>
        <w:t>评价区丰水期等水位线图</w:t>
      </w:r>
    </w:p>
    <w:p w14:paraId="02A4A165">
      <w:pPr>
        <w:pStyle w:val="206"/>
        <w:rPr>
          <w:rFonts w:hint="eastAsia"/>
          <w:snapToGrid w:val="0"/>
          <w:color w:val="000000" w:themeColor="text1"/>
          <w:lang w:val="en-US" w:eastAsia="zh-CN"/>
          <w14:textFill>
            <w14:solidFill>
              <w14:schemeClr w14:val="tx1"/>
            </w14:solidFill>
          </w14:textFill>
        </w:rPr>
      </w:pPr>
    </w:p>
    <w:p w14:paraId="46684573">
      <w:pPr>
        <w:pStyle w:val="206"/>
        <w:rPr>
          <w:rFonts w:hint="eastAsia"/>
          <w:snapToGrid w:val="0"/>
          <w:color w:val="000000" w:themeColor="text1"/>
          <w:lang w:val="en-US" w:eastAsia="zh-CN"/>
          <w14:textFill>
            <w14:solidFill>
              <w14:schemeClr w14:val="tx1"/>
            </w14:solidFill>
          </w14:textFill>
        </w:rPr>
      </w:pPr>
    </w:p>
    <w:p w14:paraId="15A14C16">
      <w:pPr>
        <w:pStyle w:val="206"/>
        <w:rPr>
          <w:rFonts w:hint="eastAsia"/>
          <w:snapToGrid w:val="0"/>
          <w:color w:val="000000" w:themeColor="text1"/>
          <w:lang w:val="en-US" w:eastAsia="zh-CN"/>
          <w14:textFill>
            <w14:solidFill>
              <w14:schemeClr w14:val="tx1"/>
            </w14:solidFill>
          </w14:textFill>
        </w:rPr>
      </w:pPr>
    </w:p>
    <w:p w14:paraId="08B95641">
      <w:pPr>
        <w:pStyle w:val="206"/>
        <w:rPr>
          <w:rFonts w:hint="eastAsia"/>
          <w:snapToGrid w:val="0"/>
          <w:color w:val="000000" w:themeColor="text1"/>
          <w:lang w:val="en-US" w:eastAsia="zh-CN"/>
          <w14:textFill>
            <w14:solidFill>
              <w14:schemeClr w14:val="tx1"/>
            </w14:solidFill>
          </w14:textFill>
        </w:rPr>
      </w:pPr>
    </w:p>
    <w:p w14:paraId="3690A1F4">
      <w:pPr>
        <w:pStyle w:val="206"/>
        <w:rPr>
          <w:rFonts w:hint="eastAsia"/>
          <w:snapToGrid w:val="0"/>
          <w:color w:val="000000" w:themeColor="text1"/>
          <w:lang w:val="en-US" w:eastAsia="zh-CN"/>
          <w14:textFill>
            <w14:solidFill>
              <w14:schemeClr w14:val="tx1"/>
            </w14:solidFill>
          </w14:textFill>
        </w:rPr>
      </w:pPr>
    </w:p>
    <w:p w14:paraId="064CE791">
      <w:pPr>
        <w:pStyle w:val="206"/>
        <w:rPr>
          <w:rFonts w:hint="eastAsia"/>
          <w:snapToGrid w:val="0"/>
          <w:color w:val="000000" w:themeColor="text1"/>
          <w:lang w:val="en-US" w:eastAsia="zh-CN"/>
          <w14:textFill>
            <w14:solidFill>
              <w14:schemeClr w14:val="tx1"/>
            </w14:solidFill>
          </w14:textFill>
        </w:rPr>
      </w:pPr>
    </w:p>
    <w:p w14:paraId="5DD7647F">
      <w:pPr>
        <w:pStyle w:val="206"/>
        <w:rPr>
          <w:rFonts w:hint="eastAsia"/>
          <w:snapToGrid w:val="0"/>
          <w:color w:val="000000" w:themeColor="text1"/>
          <w:lang w:val="en-US" w:eastAsia="zh-CN"/>
          <w14:textFill>
            <w14:solidFill>
              <w14:schemeClr w14:val="tx1"/>
            </w14:solidFill>
          </w14:textFill>
        </w:rPr>
      </w:pPr>
    </w:p>
    <w:p w14:paraId="6BD0D893">
      <w:pPr>
        <w:pStyle w:val="206"/>
        <w:rPr>
          <w:rFonts w:hint="eastAsia"/>
          <w:snapToGrid w:val="0"/>
          <w:color w:val="000000" w:themeColor="text1"/>
          <w:lang w:val="en-US" w:eastAsia="zh-CN"/>
          <w14:textFill>
            <w14:solidFill>
              <w14:schemeClr w14:val="tx1"/>
            </w14:solidFill>
          </w14:textFill>
        </w:rPr>
      </w:pPr>
    </w:p>
    <w:p w14:paraId="36D10248">
      <w:pPr>
        <w:pStyle w:val="206"/>
        <w:rPr>
          <w:rFonts w:hint="eastAsia"/>
          <w:snapToGrid w:val="0"/>
          <w:color w:val="000000" w:themeColor="text1"/>
          <w:lang w:val="en-US" w:eastAsia="zh-CN"/>
          <w14:textFill>
            <w14:solidFill>
              <w14:schemeClr w14:val="tx1"/>
            </w14:solidFill>
          </w14:textFill>
        </w:rPr>
      </w:pPr>
    </w:p>
    <w:p w14:paraId="39A16686">
      <w:pPr>
        <w:pStyle w:val="206"/>
        <w:rPr>
          <w:rFonts w:hint="eastAsia"/>
          <w:snapToGrid w:val="0"/>
          <w:color w:val="000000" w:themeColor="text1"/>
          <w:lang w:val="en-US" w:eastAsia="zh-CN"/>
          <w14:textFill>
            <w14:solidFill>
              <w14:schemeClr w14:val="tx1"/>
            </w14:solidFill>
          </w14:textFill>
        </w:rPr>
      </w:pPr>
    </w:p>
    <w:p w14:paraId="19749C08">
      <w:pPr>
        <w:pStyle w:val="206"/>
        <w:rPr>
          <w:rFonts w:hint="eastAsia"/>
          <w:snapToGrid w:val="0"/>
          <w:color w:val="000000" w:themeColor="text1"/>
          <w:lang w:val="en-US" w:eastAsia="zh-CN"/>
          <w14:textFill>
            <w14:solidFill>
              <w14:schemeClr w14:val="tx1"/>
            </w14:solidFill>
          </w14:textFill>
        </w:rPr>
      </w:pPr>
    </w:p>
    <w:p w14:paraId="48E0AEBE">
      <w:pPr>
        <w:pStyle w:val="206"/>
        <w:rPr>
          <w:rFonts w:hint="eastAsia"/>
          <w:snapToGrid w:val="0"/>
          <w:color w:val="000000" w:themeColor="text1"/>
          <w:lang w:val="en-US" w:eastAsia="zh-CN"/>
          <w14:textFill>
            <w14:solidFill>
              <w14:schemeClr w14:val="tx1"/>
            </w14:solidFill>
          </w14:textFill>
        </w:rPr>
      </w:pPr>
    </w:p>
    <w:p w14:paraId="2B747313">
      <w:pPr>
        <w:pStyle w:val="206"/>
        <w:rPr>
          <w:rFonts w:hint="eastAsia"/>
          <w:snapToGrid w:val="0"/>
          <w:color w:val="000000" w:themeColor="text1"/>
          <w:lang w:val="en-US" w:eastAsia="zh-CN"/>
          <w14:textFill>
            <w14:solidFill>
              <w14:schemeClr w14:val="tx1"/>
            </w14:solidFill>
          </w14:textFill>
        </w:rPr>
      </w:pPr>
    </w:p>
    <w:p w14:paraId="0F63E28C">
      <w:pPr>
        <w:pStyle w:val="206"/>
        <w:rPr>
          <w:rFonts w:hint="eastAsia"/>
          <w:snapToGrid w:val="0"/>
          <w:color w:val="000000" w:themeColor="text1"/>
          <w:lang w:val="en-US" w:eastAsia="zh-CN"/>
          <w14:textFill>
            <w14:solidFill>
              <w14:schemeClr w14:val="tx1"/>
            </w14:solidFill>
          </w14:textFill>
        </w:rPr>
      </w:pPr>
      <w:r>
        <w:rPr>
          <w:sz w:val="24"/>
        </w:rPr>
        <mc:AlternateContent>
          <mc:Choice Requires="wps">
            <w:drawing>
              <wp:anchor distT="0" distB="0" distL="114300" distR="114300" simplePos="0" relativeHeight="251701248" behindDoc="0" locked="0" layoutInCell="1" allowOverlap="1">
                <wp:simplePos x="0" y="0"/>
                <wp:positionH relativeFrom="column">
                  <wp:posOffset>2893695</wp:posOffset>
                </wp:positionH>
                <wp:positionV relativeFrom="paragraph">
                  <wp:posOffset>3003550</wp:posOffset>
                </wp:positionV>
                <wp:extent cx="103505" cy="79375"/>
                <wp:effectExtent l="12700" t="12700" r="17145" b="22225"/>
                <wp:wrapNone/>
                <wp:docPr id="72" name="五角星 72"/>
                <wp:cNvGraphicFramePr/>
                <a:graphic xmlns:a="http://schemas.openxmlformats.org/drawingml/2006/main">
                  <a:graphicData uri="http://schemas.microsoft.com/office/word/2010/wordprocessingShape">
                    <wps:wsp>
                      <wps:cNvSpPr/>
                      <wps:spPr>
                        <a:xfrm>
                          <a:off x="0" y="0"/>
                          <a:ext cx="103505" cy="7937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27.85pt;margin-top:236.5pt;height:6.25pt;width:8.15pt;z-index:251701248;v-text-anchor:middle;mso-width-relative:page;mso-height-relative:page;" fillcolor="#FF0000" filled="t" stroked="t" coordsize="103505,79375" o:gfxdata="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fJabq2gAAAAsBAAAPAAAAAAAAAAEAIAAAACIAAABkcnMvZG93bnJldi54bWxQ&#10;SwECFAAUAAAACACHTuJAu1tpz2cCAADhBAAADgAAAAAAAAABACAAAAApAQAAZHJzL2Uyb0RvYy54&#10;bWxQSwUGAAAAAAYABgBZAQAAAgYAAAAA&#10;" path="m0,30318l39535,30318,51752,0,63969,30318,103504,30318,71519,49056,83737,79374,51752,60636,19767,79374,31985,49056xe">
                <v:path o:connectlocs="51752,0;0,30318;19767,79374;83737,79374;103504,30318" o:connectangles="247,164,82,82,0"/>
                <v:fill on="t" focussize="0,0"/>
                <v:stroke weight="2pt" color="#FF0000 [2404]" joinstyle="round"/>
                <v:imagedata o:title=""/>
                <o:lock v:ext="edit" aspectratio="f"/>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3410585</wp:posOffset>
                </wp:positionH>
                <wp:positionV relativeFrom="paragraph">
                  <wp:posOffset>2908935</wp:posOffset>
                </wp:positionV>
                <wp:extent cx="1031240" cy="340995"/>
                <wp:effectExtent l="384810" t="12700" r="12700" b="27305"/>
                <wp:wrapNone/>
                <wp:docPr id="73" name="矩形标注 73"/>
                <wp:cNvGraphicFramePr/>
                <a:graphic xmlns:a="http://schemas.openxmlformats.org/drawingml/2006/main">
                  <a:graphicData uri="http://schemas.microsoft.com/office/word/2010/wordprocessingShape">
                    <wps:wsp>
                      <wps:cNvSpPr/>
                      <wps:spPr>
                        <a:xfrm>
                          <a:off x="0" y="0"/>
                          <a:ext cx="1031240" cy="340995"/>
                        </a:xfrm>
                        <a:prstGeom prst="wedgeRectCallout">
                          <a:avLst>
                            <a:gd name="adj1" fmla="val -86083"/>
                            <a:gd name="adj2" fmla="val -1396"/>
                          </a:avLst>
                        </a:prstGeom>
                        <a:noFill/>
                      </wps:spPr>
                      <wps:style>
                        <a:lnRef idx="2">
                          <a:schemeClr val="accent1">
                            <a:lumMod val="75000"/>
                          </a:schemeClr>
                        </a:lnRef>
                        <a:fillRef idx="1">
                          <a:schemeClr val="accent1"/>
                        </a:fillRef>
                        <a:effectRef idx="0">
                          <a:srgbClr val="FFFFFF"/>
                        </a:effectRef>
                        <a:fontRef idx="minor">
                          <a:schemeClr val="lt1"/>
                        </a:fontRef>
                      </wps:style>
                      <wps:txbx>
                        <w:txbxContent>
                          <w:p w14:paraId="0393DDDB">
                            <w:pPr>
                              <w:ind w:left="0" w:leftChars="0" w:firstLine="0" w:firstLineChars="0"/>
                              <w:jc w:val="both"/>
                              <w:rPr>
                                <w:rFonts w:hint="default" w:eastAsia="宋体"/>
                                <w:b/>
                                <w:bCs/>
                                <w:color w:val="FF0000"/>
                                <w:lang w:val="en-US" w:eastAsia="zh-CN"/>
                              </w:rPr>
                            </w:pPr>
                            <w:r>
                              <w:rPr>
                                <w:rFonts w:hint="eastAsia"/>
                                <w:b/>
                                <w:bCs/>
                                <w:color w:val="FF0000"/>
                                <w:lang w:val="en-US" w:eastAsia="zh-CN"/>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68.55pt;margin-top:229.05pt;height:26.85pt;width:81.2pt;z-index:251702272;v-text-anchor:middle;mso-width-relative:page;mso-height-relative:page;" filled="f" stroked="t" coordsize="21600,21600" o:gfxdata="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&#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DhWdnc2wAAAAsBAAAPAAAAAAAAAAEAIAAAACIAAABk&#10;cnMvZG93bnJldi54bWxQSwECFAAUAAAACACHTuJAihrE4a4CAABHBQAADgAAAAAAAAABACAAAAAq&#10;AQAAZHJzL2Uyb0RvYy54bWxQSwUGAAAAAAYABgBZAQAASgYAAAAA&#10;" adj="-7794,10498">
                <v:fill on="f" focussize="0,0"/>
                <v:stroke weight="2pt" color="#376092 [2404]" joinstyle="round"/>
                <v:imagedata o:title=""/>
                <o:lock v:ext="edit" aspectratio="f"/>
                <v:textbox>
                  <w:txbxContent>
                    <w:p w14:paraId="0393DDDB">
                      <w:pPr>
                        <w:ind w:left="0" w:leftChars="0" w:firstLine="0" w:firstLineChars="0"/>
                        <w:jc w:val="both"/>
                        <w:rPr>
                          <w:rFonts w:hint="default" w:eastAsia="宋体"/>
                          <w:b/>
                          <w:bCs/>
                          <w:color w:val="FF0000"/>
                          <w:lang w:val="en-US" w:eastAsia="zh-CN"/>
                        </w:rPr>
                      </w:pPr>
                      <w:r>
                        <w:rPr>
                          <w:rFonts w:hint="eastAsia"/>
                          <w:b/>
                          <w:bCs/>
                          <w:color w:val="FF0000"/>
                          <w:lang w:val="en-US" w:eastAsia="zh-CN"/>
                        </w:rPr>
                        <w:t>本项目位置</w:t>
                      </w:r>
                    </w:p>
                  </w:txbxContent>
                </v:textbox>
              </v:shape>
            </w:pict>
          </mc:Fallback>
        </mc:AlternateContent>
      </w:r>
      <w:r>
        <w:drawing>
          <wp:inline distT="0" distB="0" distL="114300" distR="114300">
            <wp:extent cx="5269230" cy="6115050"/>
            <wp:effectExtent l="9525" t="9525" r="17145" b="9525"/>
            <wp:docPr id="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
                    <pic:cNvPicPr>
                      <a:picLocks noChangeAspect="1"/>
                    </pic:cNvPicPr>
                  </pic:nvPicPr>
                  <pic:blipFill>
                    <a:blip r:embed="rId108"/>
                    <a:stretch>
                      <a:fillRect/>
                    </a:stretch>
                  </pic:blipFill>
                  <pic:spPr>
                    <a:xfrm>
                      <a:off x="0" y="0"/>
                      <a:ext cx="5269230" cy="6115050"/>
                    </a:xfrm>
                    <a:prstGeom prst="rect">
                      <a:avLst/>
                    </a:prstGeom>
                    <a:noFill/>
                    <a:ln>
                      <a:solidFill>
                        <a:schemeClr val="tx1"/>
                      </a:solidFill>
                    </a:ln>
                  </pic:spPr>
                </pic:pic>
              </a:graphicData>
            </a:graphic>
          </wp:inline>
        </w:drawing>
      </w:r>
    </w:p>
    <w:p w14:paraId="521834D7">
      <w:pPr>
        <w:pStyle w:val="206"/>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图4</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4</w:t>
      </w:r>
      <w:r>
        <w:rPr>
          <w:snapToGrid w:val="0"/>
          <w:color w:val="000000" w:themeColor="text1"/>
          <w14:textFill>
            <w14:solidFill>
              <w14:schemeClr w14:val="tx1"/>
            </w14:solidFill>
          </w14:textFill>
        </w:rPr>
        <w:t xml:space="preserve"> </w:t>
      </w:r>
      <w:r>
        <w:rPr>
          <w:rFonts w:hint="eastAsia"/>
          <w:snapToGrid w:val="0"/>
          <w:color w:val="000000" w:themeColor="text1"/>
          <w:lang w:val="en-US" w:eastAsia="zh-CN"/>
          <w14:textFill>
            <w14:solidFill>
              <w14:schemeClr w14:val="tx1"/>
            </w14:solidFill>
          </w14:textFill>
        </w:rPr>
        <w:t>评价区枯水期等水位线图</w:t>
      </w:r>
    </w:p>
    <w:p w14:paraId="040D39AC">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.1.1.6</w:t>
      </w:r>
      <w:r>
        <w:rPr>
          <w:rFonts w:hint="eastAsia"/>
          <w:color w:val="000000" w:themeColor="text1"/>
          <w14:textFill>
            <w14:solidFill>
              <w14:schemeClr w14:val="tx1"/>
            </w14:solidFill>
          </w14:textFill>
        </w:rPr>
        <w:t>土壤</w:t>
      </w:r>
    </w:p>
    <w:p w14:paraId="3A77B34A">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桦南县土壤主要以暗棕壤、黑土、白浆土和草甸土为主，耕地土壤以黑土和白浆土为主。</w:t>
      </w:r>
    </w:p>
    <w:p w14:paraId="13AF98D2">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东部、北部低山丘陵区地势较高，海拔一般在 250m 以上，是暗棕壤土类的集中分布区，白浆土、黑土、草甸土等也间有分布；中部丘陵漫岗区山地延伸地带，多为丘陵漫岗和缓平岗，受河溪切割呈连续性条状分布，境内岗坡相连，沟坡相连，相对高差变化不大，是白浆土的集中分布区；西部、西南部平原区地势低洼，水源丰富，是我县农业、牧业和渔业的重点产区，也是黑土、草甸土和水稻土的集中分布区。</w:t>
      </w:r>
    </w:p>
    <w:p w14:paraId="5E4916FC">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.1.1.</w:t>
      </w:r>
      <w:r>
        <w:rPr>
          <w:rFonts w:hint="eastAsia"/>
          <w:color w:val="000000" w:themeColor="text1"/>
          <w:lang w:val="en-US" w:eastAsia="zh-CN"/>
          <w14:textFill>
            <w14:solidFill>
              <w14:schemeClr w14:val="tx1"/>
            </w14:solidFill>
          </w14:textFill>
        </w:rPr>
        <w:t>7</w:t>
      </w:r>
      <w:r>
        <w:rPr>
          <w:rFonts w:hint="eastAsia"/>
          <w:color w:val="000000" w:themeColor="text1"/>
          <w:lang w:eastAsia="zh-CN"/>
          <w14:textFill>
            <w14:solidFill>
              <w14:schemeClr w14:val="tx1"/>
            </w14:solidFill>
          </w14:textFill>
        </w:rPr>
        <w:t>气候</w:t>
      </w:r>
      <w:r>
        <w:rPr>
          <w:rFonts w:hint="eastAsia"/>
          <w:color w:val="000000" w:themeColor="text1"/>
          <w14:textFill>
            <w14:solidFill>
              <w14:schemeClr w14:val="tx1"/>
            </w14:solidFill>
          </w14:textFill>
        </w:rPr>
        <w:t>气象</w:t>
      </w:r>
    </w:p>
    <w:p w14:paraId="4A11A202">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桦南县地处寒温带，属大陆性季风气候，基本特征为冬季漫长寒冷，夏季短促酷热，春秋短暂。春季干旱风大，冷暖空气交替激烈，降水少、温度低、风力强；夏季空气活动旺盛，高温多雨；秋季湿润多雨，降温迅速伴有早霜，风力增大，雨量减少；冬季严寒干燥，降雪少，多有偏西北大风。 </w:t>
      </w:r>
    </w:p>
    <w:p w14:paraId="27DDAF24">
      <w:pPr>
        <w:pStyle w:val="85"/>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项目采用的是桦南气象站（50879）资料，该气象站地理坐标为东经 130.5581 度，北纬 46.2264 度，海拔 187m，是距项目最近的国家气象站，拥有长期的气象观测资料。</w:t>
      </w:r>
    </w:p>
    <w:p w14:paraId="583900AA">
      <w:pPr>
        <w:pStyle w:val="206"/>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w:t>
      </w:r>
      <w:r>
        <w:rPr>
          <w:rFonts w:hint="eastAsia"/>
          <w:snapToGrid w:val="0"/>
          <w:color w:val="000000" w:themeColor="text1"/>
          <w:lang w:val="en-US" w:eastAsia="zh-CN"/>
          <w14:textFill>
            <w14:solidFill>
              <w14:schemeClr w14:val="tx1"/>
            </w14:solidFill>
          </w14:textFill>
        </w:rPr>
        <w:t>4</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w:t>
      </w:r>
      <w:r>
        <w:rPr>
          <w:snapToGrid w:val="0"/>
          <w:color w:val="000000" w:themeColor="text1"/>
          <w14:textFill>
            <w14:solidFill>
              <w14:schemeClr w14:val="tx1"/>
            </w14:solidFill>
          </w14:textFill>
        </w:rPr>
        <w:t xml:space="preserve">-1 </w:t>
      </w:r>
      <w:r>
        <w:rPr>
          <w:rFonts w:hint="eastAsia"/>
          <w:snapToGrid w:val="0"/>
          <w:color w:val="000000" w:themeColor="text1"/>
          <w14:textFill>
            <w14:solidFill>
              <w14:schemeClr w14:val="tx1"/>
            </w14:solidFill>
          </w14:textFill>
        </w:rPr>
        <w:t>本项目</w:t>
      </w:r>
      <w:r>
        <w:rPr>
          <w:snapToGrid w:val="0"/>
          <w:color w:val="000000" w:themeColor="text1"/>
          <w14:textFill>
            <w14:solidFill>
              <w14:schemeClr w14:val="tx1"/>
            </w14:solidFill>
          </w14:textFill>
        </w:rPr>
        <w:t>组成一览表</w:t>
      </w:r>
    </w:p>
    <w:tbl>
      <w:tblPr>
        <w:tblStyle w:val="50"/>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156"/>
        <w:gridCol w:w="4156"/>
      </w:tblGrid>
      <w:tr w14:paraId="7CE8A0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6" w:type="dxa"/>
            <w:tcBorders>
              <w:tl2br w:val="nil"/>
              <w:tr2bl w:val="nil"/>
            </w:tcBorders>
            <w:vAlign w:val="center"/>
          </w:tcPr>
          <w:p w14:paraId="4B4A5472">
            <w:pPr>
              <w:pStyle w:val="143"/>
              <w:jc w:val="center"/>
              <w:rPr>
                <w:rFonts w:hint="eastAsia"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项目</w:t>
            </w:r>
          </w:p>
        </w:tc>
        <w:tc>
          <w:tcPr>
            <w:tcW w:w="4156" w:type="dxa"/>
            <w:tcBorders>
              <w:tl2br w:val="nil"/>
              <w:tr2bl w:val="nil"/>
            </w:tcBorders>
            <w:vAlign w:val="center"/>
          </w:tcPr>
          <w:p w14:paraId="7FED9B7E">
            <w:pPr>
              <w:pStyle w:val="143"/>
              <w:jc w:val="center"/>
              <w:rPr>
                <w:rFonts w:hint="default"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数值</w:t>
            </w:r>
          </w:p>
        </w:tc>
      </w:tr>
      <w:tr w14:paraId="3B78E3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6" w:type="dxa"/>
            <w:tcBorders>
              <w:tl2br w:val="nil"/>
              <w:tr2bl w:val="nil"/>
            </w:tcBorders>
            <w:vAlign w:val="center"/>
          </w:tcPr>
          <w:p w14:paraId="68F457EC">
            <w:pPr>
              <w:pStyle w:val="143"/>
              <w:jc w:val="center"/>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多年平均气温</w:t>
            </w:r>
          </w:p>
        </w:tc>
        <w:tc>
          <w:tcPr>
            <w:tcW w:w="4156" w:type="dxa"/>
            <w:tcBorders>
              <w:tl2br w:val="nil"/>
              <w:tr2bl w:val="nil"/>
            </w:tcBorders>
            <w:vAlign w:val="center"/>
          </w:tcPr>
          <w:p w14:paraId="5B993ECB">
            <w:pPr>
              <w:pStyle w:val="143"/>
              <w:jc w:val="center"/>
              <w:rPr>
                <w:rFonts w:hint="default"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4.1</w:t>
            </w:r>
          </w:p>
        </w:tc>
      </w:tr>
      <w:tr w14:paraId="2ADA51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6" w:type="dxa"/>
            <w:tcBorders>
              <w:tl2br w:val="nil"/>
              <w:tr2bl w:val="nil"/>
            </w:tcBorders>
            <w:vAlign w:val="center"/>
          </w:tcPr>
          <w:p w14:paraId="0E2AF9B3">
            <w:pPr>
              <w:pStyle w:val="143"/>
              <w:jc w:val="cente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多年极端最高气温（</w:t>
            </w:r>
            <w:r>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w:t>
            </w:r>
          </w:p>
        </w:tc>
        <w:tc>
          <w:tcPr>
            <w:tcW w:w="4156" w:type="dxa"/>
            <w:tcBorders>
              <w:tl2br w:val="nil"/>
              <w:tr2bl w:val="nil"/>
            </w:tcBorders>
            <w:vAlign w:val="center"/>
          </w:tcPr>
          <w:p w14:paraId="7B4FB15A">
            <w:pPr>
              <w:pStyle w:val="143"/>
              <w:jc w:val="center"/>
              <w:rPr>
                <w:rFonts w:hint="default"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36.7</w:t>
            </w:r>
          </w:p>
        </w:tc>
      </w:tr>
      <w:tr w14:paraId="4C5CD8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4156" w:type="dxa"/>
            <w:tcBorders>
              <w:tl2br w:val="nil"/>
              <w:tr2bl w:val="nil"/>
            </w:tcBorders>
            <w:vAlign w:val="center"/>
          </w:tcPr>
          <w:p w14:paraId="0722C6E0">
            <w:pPr>
              <w:keepNext w:val="0"/>
              <w:keepLines w:val="0"/>
              <w:widowControl/>
              <w:suppressLineNumbers w:val="0"/>
              <w:jc w:val="cente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多年极端最低气温（</w:t>
            </w:r>
            <w:r>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w:t>
            </w:r>
          </w:p>
        </w:tc>
        <w:tc>
          <w:tcPr>
            <w:tcW w:w="4156" w:type="dxa"/>
            <w:tcBorders>
              <w:tl2br w:val="nil"/>
              <w:tr2bl w:val="nil"/>
            </w:tcBorders>
            <w:vAlign w:val="center"/>
          </w:tcPr>
          <w:p w14:paraId="5E5C39D9">
            <w:pPr>
              <w:pStyle w:val="143"/>
              <w:jc w:val="center"/>
              <w:rPr>
                <w:rFonts w:hint="default"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-34.2</w:t>
            </w:r>
          </w:p>
        </w:tc>
      </w:tr>
      <w:tr w14:paraId="427C0C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6" w:type="dxa"/>
            <w:tcBorders>
              <w:tl2br w:val="nil"/>
              <w:tr2bl w:val="nil"/>
            </w:tcBorders>
            <w:vAlign w:val="center"/>
          </w:tcPr>
          <w:p w14:paraId="14BA4BD4">
            <w:pPr>
              <w:keepNext w:val="0"/>
              <w:keepLines w:val="0"/>
              <w:widowControl/>
              <w:suppressLineNumbers w:val="0"/>
              <w:jc w:val="cente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平均相对湿度（</w:t>
            </w:r>
            <w:r>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w:t>
            </w:r>
          </w:p>
        </w:tc>
        <w:tc>
          <w:tcPr>
            <w:tcW w:w="4156" w:type="dxa"/>
            <w:tcBorders>
              <w:tl2br w:val="nil"/>
              <w:tr2bl w:val="nil"/>
            </w:tcBorders>
            <w:vAlign w:val="center"/>
          </w:tcPr>
          <w:p w14:paraId="6EAF1002">
            <w:pPr>
              <w:pStyle w:val="143"/>
              <w:jc w:val="center"/>
              <w:rPr>
                <w:rFonts w:hint="default"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69.36</w:t>
            </w:r>
          </w:p>
        </w:tc>
      </w:tr>
      <w:tr w14:paraId="116EBF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6" w:type="dxa"/>
            <w:tcBorders>
              <w:tl2br w:val="nil"/>
              <w:tr2bl w:val="nil"/>
            </w:tcBorders>
            <w:vAlign w:val="center"/>
          </w:tcPr>
          <w:p w14:paraId="6CF0631E">
            <w:pPr>
              <w:keepNext w:val="0"/>
              <w:keepLines w:val="0"/>
              <w:widowControl/>
              <w:suppressLineNumbers w:val="0"/>
              <w:jc w:val="cente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平均年降水量（</w:t>
            </w:r>
            <w:r>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mm</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w:t>
            </w:r>
          </w:p>
        </w:tc>
        <w:tc>
          <w:tcPr>
            <w:tcW w:w="4156" w:type="dxa"/>
            <w:tcBorders>
              <w:tl2br w:val="nil"/>
              <w:tr2bl w:val="nil"/>
            </w:tcBorders>
            <w:vAlign w:val="center"/>
          </w:tcPr>
          <w:p w14:paraId="2EA3A3B2">
            <w:pPr>
              <w:pStyle w:val="143"/>
              <w:jc w:val="center"/>
              <w:rPr>
                <w:rFonts w:hint="default"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563.43</w:t>
            </w:r>
          </w:p>
        </w:tc>
      </w:tr>
      <w:tr w14:paraId="3492C8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6" w:type="dxa"/>
            <w:tcBorders>
              <w:tl2br w:val="nil"/>
              <w:tr2bl w:val="nil"/>
            </w:tcBorders>
            <w:vAlign w:val="center"/>
          </w:tcPr>
          <w:p w14:paraId="1D741AB9">
            <w:pPr>
              <w:keepNext w:val="0"/>
              <w:keepLines w:val="0"/>
              <w:widowControl/>
              <w:suppressLineNumbers w:val="0"/>
              <w:jc w:val="center"/>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平均风速（</w:t>
            </w:r>
            <w:r>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m/s</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w:t>
            </w:r>
          </w:p>
        </w:tc>
        <w:tc>
          <w:tcPr>
            <w:tcW w:w="4156" w:type="dxa"/>
            <w:tcBorders>
              <w:tl2br w:val="nil"/>
              <w:tr2bl w:val="nil"/>
            </w:tcBorders>
            <w:vAlign w:val="center"/>
          </w:tcPr>
          <w:p w14:paraId="226BD73C">
            <w:pPr>
              <w:pStyle w:val="143"/>
              <w:jc w:val="center"/>
              <w:rPr>
                <w:rFonts w:hint="default"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3.3</w:t>
            </w:r>
          </w:p>
        </w:tc>
      </w:tr>
      <w:tr w14:paraId="249C4A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156" w:type="dxa"/>
            <w:tcBorders>
              <w:tl2br w:val="nil"/>
              <w:tr2bl w:val="nil"/>
            </w:tcBorders>
            <w:vAlign w:val="center"/>
          </w:tcPr>
          <w:p w14:paraId="22AF0895">
            <w:pPr>
              <w:keepNext w:val="0"/>
              <w:keepLines w:val="0"/>
              <w:widowControl/>
              <w:suppressLineNumbers w:val="0"/>
              <w:jc w:val="cente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多年主导风向、风向频率</w:t>
            </w:r>
          </w:p>
        </w:tc>
        <w:tc>
          <w:tcPr>
            <w:tcW w:w="4156" w:type="dxa"/>
            <w:tcBorders>
              <w:tl2br w:val="nil"/>
              <w:tr2bl w:val="nil"/>
            </w:tcBorders>
            <w:vAlign w:val="center"/>
          </w:tcPr>
          <w:p w14:paraId="04339FF3">
            <w:pPr>
              <w:pStyle w:val="143"/>
              <w:jc w:val="center"/>
              <w:rPr>
                <w:rFonts w:hint="eastAsia" w:eastAsia="宋体"/>
                <w:snapToGrid w:val="0"/>
                <w:color w:val="000000" w:themeColor="text1"/>
                <w:kern w:val="0"/>
                <w:lang w:val="en-US" w:eastAsia="zh-CN"/>
                <w14:textFill>
                  <w14:solidFill>
                    <w14:schemeClr w14:val="tx1"/>
                  </w14:solidFill>
                </w14:textFill>
              </w:rPr>
            </w:pPr>
            <w:r>
              <w:rPr>
                <w:rFonts w:hint="eastAsia" w:eastAsia="宋体"/>
                <w:snapToGrid w:val="0"/>
                <w:color w:val="000000" w:themeColor="text1"/>
                <w:kern w:val="0"/>
                <w:lang w:val="en-US" w:eastAsia="zh-CN"/>
                <w14:textFill>
                  <w14:solidFill>
                    <w14:schemeClr w14:val="tx1"/>
                  </w14:solidFill>
                </w14:textFill>
              </w:rPr>
              <w:t>W/23.15%，WNW/11.27</w:t>
            </w:r>
          </w:p>
        </w:tc>
      </w:tr>
    </w:tbl>
    <w:p w14:paraId="54E5CBD7">
      <w:pPr>
        <w:pStyle w:val="85"/>
        <w:ind w:left="0" w:leftChars="0" w:firstLine="480" w:firstLine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桦南县多年主要风向为 W（23.15%）、WNW（11.27%），风频之和为 34.42%˃30%，因此，桦南县近 20 年主导风向为 W-WNW。</w:t>
      </w:r>
    </w:p>
    <w:p w14:paraId="66097C9A">
      <w:pPr>
        <w:pStyle w:val="6"/>
        <w:rPr>
          <w:snapToGrid w:val="0"/>
          <w:color w:val="000000" w:themeColor="text1"/>
          <w14:textFill>
            <w14:solidFill>
              <w14:schemeClr w14:val="tx1"/>
            </w14:solidFill>
          </w14:textFill>
        </w:rPr>
      </w:pPr>
      <w:bookmarkStart w:id="206" w:name="_Toc15345"/>
      <w:r>
        <w:rPr>
          <w:snapToGrid w:val="0"/>
          <w:color w:val="000000" w:themeColor="text1"/>
          <w14:textFill>
            <w14:solidFill>
              <w14:schemeClr w14:val="tx1"/>
            </w14:solidFill>
          </w14:textFill>
        </w:rPr>
        <w:t>4.1</w:t>
      </w:r>
      <w:bookmarkStart w:id="207" w:name="_Toc402352956"/>
      <w:bookmarkStart w:id="208" w:name="_Toc422224754"/>
      <w:bookmarkStart w:id="209" w:name="_Toc244330533"/>
      <w:bookmarkStart w:id="210" w:name="_Toc244330367"/>
      <w:bookmarkStart w:id="211" w:name="_Toc449393549"/>
      <w:bookmarkStart w:id="212" w:name="_Toc244329293"/>
      <w:r>
        <w:rPr>
          <w:snapToGrid w:val="0"/>
          <w:color w:val="000000" w:themeColor="text1"/>
          <w14:textFill>
            <w14:solidFill>
              <w14:schemeClr w14:val="tx1"/>
            </w14:solidFill>
          </w14:textFill>
        </w:rPr>
        <w:t>.2区域环境功能区划</w:t>
      </w:r>
      <w:bookmarkEnd w:id="206"/>
      <w:bookmarkEnd w:id="207"/>
      <w:bookmarkEnd w:id="208"/>
      <w:bookmarkEnd w:id="209"/>
      <w:bookmarkEnd w:id="210"/>
      <w:bookmarkEnd w:id="211"/>
      <w:bookmarkEnd w:id="212"/>
    </w:p>
    <w:p w14:paraId="7166EC79">
      <w:pPr>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w:t>
      </w:r>
      <w:r>
        <w:rPr>
          <w:rFonts w:hint="eastAsia"/>
          <w:snapToGrid w:val="0"/>
          <w:color w:val="000000" w:themeColor="text1"/>
          <w:lang w:eastAsia="zh-CN"/>
          <w14:textFill>
            <w14:solidFill>
              <w14:schemeClr w14:val="tx1"/>
            </w14:solidFill>
          </w14:textFill>
        </w:rPr>
        <w:t>黑龙江桦南经济开发区总体规划（2021-2035年）环境影响报告书</w:t>
      </w:r>
      <w:r>
        <w:rPr>
          <w:rFonts w:hint="eastAsia"/>
          <w:snapToGrid w:val="0"/>
          <w:color w:val="000000" w:themeColor="text1"/>
          <w14:textFill>
            <w14:solidFill>
              <w14:schemeClr w14:val="tx1"/>
            </w14:solidFill>
          </w14:textFill>
        </w:rPr>
        <w:t>》及其审查意见，本项目位于</w:t>
      </w:r>
      <w:r>
        <w:rPr>
          <w:rFonts w:hint="eastAsia"/>
          <w:snapToGrid w:val="0"/>
          <w:color w:val="000000" w:themeColor="text1"/>
          <w:lang w:eastAsia="zh-CN"/>
          <w14:textFill>
            <w14:solidFill>
              <w14:schemeClr w14:val="tx1"/>
            </w14:solidFill>
          </w14:textFill>
        </w:rPr>
        <w:t>黑龙江桦南经济开发区</w:t>
      </w:r>
      <w:r>
        <w:rPr>
          <w:rFonts w:hint="eastAsia"/>
          <w:snapToGrid w:val="0"/>
          <w:color w:val="000000" w:themeColor="text1"/>
          <w14:textFill>
            <w14:solidFill>
              <w14:schemeClr w14:val="tx1"/>
            </w14:solidFill>
          </w14:textFill>
        </w:rPr>
        <w:t>规划范围内，环境功能区划如下。</w:t>
      </w:r>
    </w:p>
    <w:p w14:paraId="4DE162B5">
      <w:pPr>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（1）环境空气：评价范围属于环境空气功能区中二类区，执行《环境空气质量标准》（</w:t>
      </w:r>
      <w:r>
        <w:rPr>
          <w:rFonts w:hint="eastAsia"/>
          <w:snapToGrid w:val="0"/>
          <w:color w:val="000000" w:themeColor="text1"/>
          <w:lang w:eastAsia="zh-CN"/>
          <w14:textFill>
            <w14:solidFill>
              <w14:schemeClr w14:val="tx1"/>
            </w14:solidFill>
          </w14:textFill>
        </w:rPr>
        <w:t>GB3095-2026</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二级标准浓度限值。另外，规划区域不在酸雨和二氧化硫控制区内。</w:t>
      </w:r>
    </w:p>
    <w:p w14:paraId="5A94A0A1">
      <w:pPr>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（2）地表水环境：</w:t>
      </w:r>
      <w:r>
        <w:rPr>
          <w:rFonts w:hint="eastAsia"/>
          <w:snapToGrid w:val="0"/>
          <w:color w:val="000000" w:themeColor="text1"/>
          <w:lang w:val="en-US" w:eastAsia="zh-CN"/>
          <w14:textFill>
            <w14:solidFill>
              <w14:schemeClr w14:val="tx1"/>
            </w14:solidFill>
          </w14:textFill>
        </w:rPr>
        <w:t>本项目纳污水体为八虎力河，八虎力河小八虎力河汇入口断面至入倭肯河河口断面</w:t>
      </w:r>
      <w:r>
        <w:rPr>
          <w:rFonts w:hint="eastAsia"/>
          <w:snapToGrid w:val="0"/>
          <w:color w:val="000000" w:themeColor="text1"/>
          <w14:textFill>
            <w14:solidFill>
              <w14:schemeClr w14:val="tx1"/>
            </w14:solidFill>
          </w14:textFill>
        </w:rPr>
        <w:t>为《地表水环境质量标准》（GB3838-2002）中</w:t>
      </w:r>
      <w:r>
        <w:rPr>
          <w:rFonts w:hint="eastAsia"/>
          <w:snapToGrid w:val="0"/>
          <w:color w:val="000000" w:themeColor="text1"/>
          <w:lang w:val="en-US" w:eastAsia="zh-CN"/>
          <w14:textFill>
            <w14:solidFill>
              <w14:schemeClr w14:val="tx1"/>
            </w14:solidFill>
          </w14:textFill>
        </w:rPr>
        <w:t>IV类</w:t>
      </w:r>
      <w:r>
        <w:rPr>
          <w:rFonts w:hint="eastAsia"/>
          <w:snapToGrid w:val="0"/>
          <w:color w:val="000000" w:themeColor="text1"/>
          <w14:textFill>
            <w14:solidFill>
              <w14:schemeClr w14:val="tx1"/>
            </w14:solidFill>
          </w14:textFill>
        </w:rPr>
        <w:t>水域功能。</w:t>
      </w:r>
    </w:p>
    <w:p w14:paraId="12E32964">
      <w:pPr>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（3）地下水环境：评价范围内执行《地下水质量标准》（GB/T14848-2017）中Ⅲ类地下水质量。</w:t>
      </w:r>
    </w:p>
    <w:p w14:paraId="2FB7A032">
      <w:pPr>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（4）声环境：</w:t>
      </w:r>
      <w:r>
        <w:rPr>
          <w:rFonts w:hint="eastAsia"/>
          <w:snapToGrid w:val="0"/>
          <w:color w:val="000000" w:themeColor="text1"/>
          <w:lang w:val="en-US" w:eastAsia="zh-CN"/>
          <w14:textFill>
            <w14:solidFill>
              <w14:schemeClr w14:val="tx1"/>
            </w14:solidFill>
          </w14:textFill>
        </w:rPr>
        <w:t>交通干线边界线外 25m 范围且位于开发区内区域执行 4a 类声环境功能区限值，开发区内其余区域执行 3 类标准声环境功能区限值</w:t>
      </w:r>
      <w:r>
        <w:rPr>
          <w:rFonts w:hint="eastAsia"/>
          <w:snapToGrid w:val="0"/>
          <w:color w:val="000000" w:themeColor="text1"/>
          <w14:textFill>
            <w14:solidFill>
              <w14:schemeClr w14:val="tx1"/>
            </w14:solidFill>
          </w14:textFill>
        </w:rPr>
        <w:t>。</w:t>
      </w:r>
    </w:p>
    <w:p w14:paraId="5A83D3C3">
      <w:pPr>
        <w:pStyle w:val="6"/>
        <w:rPr>
          <w:color w:val="000000" w:themeColor="text1"/>
          <w:highlight w:val="none"/>
          <w14:textFill>
            <w14:solidFill>
              <w14:schemeClr w14:val="tx1"/>
            </w14:solidFill>
          </w14:textFill>
        </w:rPr>
      </w:pPr>
      <w:bookmarkStart w:id="213" w:name="_Toc21640"/>
      <w:r>
        <w:rPr>
          <w:rFonts w:hint="eastAsia"/>
          <w:color w:val="000000" w:themeColor="text1"/>
          <w:highlight w:val="none"/>
          <w14:textFill>
            <w14:solidFill>
              <w14:schemeClr w14:val="tx1"/>
            </w14:solidFill>
          </w14:textFill>
        </w:rPr>
        <w:t>4.1.3环境保护</w:t>
      </w:r>
      <w:r>
        <w:rPr>
          <w:color w:val="000000" w:themeColor="text1"/>
          <w:highlight w:val="none"/>
          <w14:textFill>
            <w14:solidFill>
              <w14:schemeClr w14:val="tx1"/>
            </w14:solidFill>
          </w14:textFill>
        </w:rPr>
        <w:t>目标</w:t>
      </w:r>
      <w:bookmarkEnd w:id="213"/>
    </w:p>
    <w:p w14:paraId="0E5FD5A1">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调查过程：</w:t>
      </w:r>
      <w:r>
        <w:rPr>
          <w:snapToGrid w:val="0"/>
          <w:color w:val="000000" w:themeColor="text1"/>
          <w14:textFill>
            <w14:solidFill>
              <w14:schemeClr w14:val="tx1"/>
            </w14:solidFill>
          </w14:textFill>
        </w:rPr>
        <w:t>根据《</w:t>
      </w:r>
      <w:r>
        <w:rPr>
          <w:rFonts w:hint="eastAsia"/>
          <w:snapToGrid w:val="0"/>
          <w:color w:val="000000" w:themeColor="text1"/>
          <w14:textFill>
            <w14:solidFill>
              <w14:schemeClr w14:val="tx1"/>
            </w14:solidFill>
          </w14:textFill>
        </w:rPr>
        <w:t>建设项目环境影响评价技术导则 总纲</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HJ2.1-2016</w:t>
      </w:r>
      <w:r>
        <w:rPr>
          <w:rFonts w:hint="eastAsia"/>
          <w:snapToGrid w:val="0"/>
          <w:color w:val="000000" w:themeColor="text1"/>
          <w14:textFill>
            <w14:solidFill>
              <w14:schemeClr w14:val="tx1"/>
            </w14:solidFill>
          </w14:textFill>
        </w:rPr>
        <w:t>），环境保护目标调查应调查评价范围内的环境功能区划和主要的环境敏感区，详细了解环境保护目标的地理位置、服务功能、四至范围、保护对象和保护要求等。</w:t>
      </w:r>
    </w:p>
    <w:p w14:paraId="0D9349A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本项目</w:t>
      </w:r>
      <w:r>
        <w:rPr>
          <w:rFonts w:hint="eastAsia"/>
          <w:snapToGrid w:val="0"/>
          <w:color w:val="000000" w:themeColor="text1"/>
          <w14:textFill>
            <w14:solidFill>
              <w14:schemeClr w14:val="tx1"/>
            </w14:solidFill>
          </w14:textFill>
        </w:rPr>
        <w:t>位于</w:t>
      </w:r>
      <w:r>
        <w:rPr>
          <w:rFonts w:hint="eastAsia"/>
          <w:snapToGrid w:val="0"/>
          <w:color w:val="000000" w:themeColor="text1"/>
          <w:lang w:eastAsia="zh-CN"/>
          <w14:textFill>
            <w14:solidFill>
              <w14:schemeClr w14:val="tx1"/>
            </w14:solidFill>
          </w14:textFill>
        </w:rPr>
        <w:t>黑龙江省佳木斯市桦南县经济开发区兴企路东园兴街北</w:t>
      </w:r>
      <w:r>
        <w:rPr>
          <w:snapToGrid w:val="0"/>
          <w:color w:val="000000" w:themeColor="text1"/>
          <w14:textFill>
            <w14:solidFill>
              <w14:schemeClr w14:val="tx1"/>
            </w14:solidFill>
          </w14:textFill>
        </w:rPr>
        <w:t>。</w:t>
      </w:r>
    </w:p>
    <w:p w14:paraId="667D15B5">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w:t>
      </w:r>
      <w:bookmarkStart w:id="214" w:name="_Hlk121235135"/>
      <w:r>
        <w:rPr>
          <w:rFonts w:hint="eastAsia"/>
          <w:snapToGrid w:val="0"/>
          <w:color w:val="000000" w:themeColor="text1"/>
          <w14:textFill>
            <w14:solidFill>
              <w14:schemeClr w14:val="tx1"/>
            </w14:solidFill>
          </w14:textFill>
        </w:rPr>
        <w:t>本</w:t>
      </w:r>
      <w:r>
        <w:rPr>
          <w:rFonts w:hint="eastAsia" w:cs="Times New Roman"/>
          <w:color w:val="000000" w:themeColor="text1"/>
          <w14:textFill>
            <w14:solidFill>
              <w14:schemeClr w14:val="tx1"/>
            </w14:solidFill>
          </w14:textFill>
        </w:rPr>
        <w:t>项目</w:t>
      </w:r>
      <w:r>
        <w:rPr>
          <w:rFonts w:hint="eastAsia" w:cs="Times New Roman"/>
          <w:color w:val="000000" w:themeColor="text1"/>
          <w:lang w:val="en-US" w:eastAsia="zh-CN"/>
          <w14:textFill>
            <w14:solidFill>
              <w14:schemeClr w14:val="tx1"/>
            </w14:solidFill>
          </w14:textFill>
        </w:rPr>
        <w:t>距离八虎力</w:t>
      </w:r>
      <w:r>
        <w:rPr>
          <w:rFonts w:hint="eastAsia" w:cs="Times New Roman"/>
          <w:color w:val="000000" w:themeColor="text1"/>
          <w14:textFill>
            <w14:solidFill>
              <w14:schemeClr w14:val="tx1"/>
            </w14:solidFill>
          </w14:textFill>
        </w:rPr>
        <w:t>河</w:t>
      </w:r>
      <w:r>
        <w:rPr>
          <w:rFonts w:hint="eastAsia"/>
          <w:snapToGrid w:val="0"/>
          <w:color w:val="000000" w:themeColor="text1"/>
          <w:kern w:val="0"/>
          <w14:textFill>
            <w14:solidFill>
              <w14:schemeClr w14:val="tx1"/>
            </w14:solidFill>
          </w14:textFill>
        </w:rPr>
        <w:t>最近距离</w:t>
      </w:r>
      <w:r>
        <w:rPr>
          <w:rFonts w:hint="eastAsia" w:cs="Times New Roman"/>
          <w:color w:val="000000" w:themeColor="text1"/>
          <w14:textFill>
            <w14:solidFill>
              <w14:schemeClr w14:val="tx1"/>
            </w14:solidFill>
          </w14:textFill>
        </w:rPr>
        <w:t>为</w:t>
      </w:r>
      <w:r>
        <w:rPr>
          <w:rFonts w:hint="eastAsia" w:cs="Times New Roman"/>
          <w:color w:val="000000" w:themeColor="text1"/>
          <w:lang w:val="en-US" w:eastAsia="zh-CN"/>
          <w14:textFill>
            <w14:solidFill>
              <w14:schemeClr w14:val="tx1"/>
            </w14:solidFill>
          </w14:textFill>
        </w:rPr>
        <w:t>515</w:t>
      </w:r>
      <w:r>
        <w:rPr>
          <w:rFonts w:hint="eastAsia" w:cs="Times New Roman"/>
          <w:color w:val="000000" w:themeColor="text1"/>
          <w14:textFill>
            <w14:solidFill>
              <w14:schemeClr w14:val="tx1"/>
            </w14:solidFill>
          </w14:textFill>
        </w:rPr>
        <w:t>m，项目选址</w:t>
      </w:r>
      <w:r>
        <w:rPr>
          <w:rFonts w:hint="eastAsia"/>
          <w:snapToGrid w:val="0"/>
          <w:color w:val="000000" w:themeColor="text1"/>
          <w14:textFill>
            <w14:solidFill>
              <w14:schemeClr w14:val="tx1"/>
            </w14:solidFill>
          </w14:textFill>
        </w:rPr>
        <w:t>周边地表水</w:t>
      </w:r>
      <w:r>
        <w:rPr>
          <w:snapToGrid w:val="0"/>
          <w:color w:val="000000" w:themeColor="text1"/>
          <w14:textFill>
            <w14:solidFill>
              <w14:schemeClr w14:val="tx1"/>
            </w14:solidFill>
          </w14:textFill>
        </w:rPr>
        <w:t>不涉及重要湿地</w:t>
      </w:r>
      <w:r>
        <w:rPr>
          <w:rFonts w:hint="eastAsia"/>
          <w:snapToGrid w:val="0"/>
          <w:color w:val="000000" w:themeColor="text1"/>
          <w14:textFill>
            <w14:solidFill>
              <w14:schemeClr w14:val="tx1"/>
            </w14:solidFill>
          </w14:textFill>
        </w:rPr>
        <w:t>和重要水生生物的自然产卵场、索饵场、越冬场和洄游通道</w:t>
      </w:r>
      <w:r>
        <w:rPr>
          <w:snapToGrid w:val="0"/>
          <w:color w:val="000000" w:themeColor="text1"/>
          <w14:textFill>
            <w14:solidFill>
              <w14:schemeClr w14:val="tx1"/>
            </w14:solidFill>
          </w14:textFill>
        </w:rPr>
        <w:t>。</w:t>
      </w:r>
    </w:p>
    <w:p w14:paraId="67B6A7A1">
      <w:pPr>
        <w:adjustRightInd/>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）本项目评价范围内</w:t>
      </w:r>
      <w:r>
        <w:rPr>
          <w:snapToGrid w:val="0"/>
          <w:color w:val="000000" w:themeColor="text1"/>
          <w14:textFill>
            <w14:solidFill>
              <w14:schemeClr w14:val="tx1"/>
            </w14:solidFill>
          </w14:textFill>
        </w:rPr>
        <w:t>无森林公园、地质公园、天然林</w:t>
      </w:r>
      <w:r>
        <w:rPr>
          <w:rFonts w:hint="eastAsia"/>
          <w:snapToGrid w:val="0"/>
          <w:color w:val="000000" w:themeColor="text1"/>
          <w14:textFill>
            <w14:solidFill>
              <w14:schemeClr w14:val="tx1"/>
            </w14:solidFill>
          </w14:textFill>
        </w:rPr>
        <w:t>等。</w:t>
      </w:r>
      <w:bookmarkEnd w:id="214"/>
    </w:p>
    <w:p w14:paraId="6549B463">
      <w:pPr>
        <w:adjustRightInd/>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4</w:t>
      </w:r>
      <w:r>
        <w:rPr>
          <w:rFonts w:hint="eastAsia"/>
          <w:snapToGrid w:val="0"/>
          <w:color w:val="000000" w:themeColor="text1"/>
          <w14:textFill>
            <w14:solidFill>
              <w14:schemeClr w14:val="tx1"/>
            </w14:solidFill>
          </w14:textFill>
        </w:rPr>
        <w:t>）本项目</w:t>
      </w:r>
      <w:r>
        <w:rPr>
          <w:rFonts w:hint="eastAsia"/>
          <w:snapToGrid w:val="0"/>
          <w:color w:val="000000" w:themeColor="text1"/>
          <w:kern w:val="0"/>
          <w14:textFill>
            <w14:solidFill>
              <w14:schemeClr w14:val="tx1"/>
            </w14:solidFill>
          </w14:textFill>
        </w:rPr>
        <w:t>地下水评价范围内无饮用水水源地保护区</w:t>
      </w:r>
      <w:r>
        <w:rPr>
          <w:rFonts w:hint="eastAsia"/>
          <w:snapToGrid w:val="0"/>
          <w:color w:val="000000" w:themeColor="text1"/>
          <w14:textFill>
            <w14:solidFill>
              <w14:schemeClr w14:val="tx1"/>
            </w14:solidFill>
          </w14:textFill>
        </w:rPr>
        <w:t>；</w:t>
      </w:r>
    </w:p>
    <w:p w14:paraId="579A1F31">
      <w:pPr>
        <w:adjustRightInd/>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5</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本项目最近的村屯为</w:t>
      </w:r>
      <w:r>
        <w:rPr>
          <w:rFonts w:hint="eastAsia"/>
          <w:snapToGrid w:val="0"/>
          <w:color w:val="000000" w:themeColor="text1"/>
          <w:lang w:val="en-US" w:eastAsia="zh-CN"/>
          <w14:textFill>
            <w14:solidFill>
              <w14:schemeClr w14:val="tx1"/>
            </w14:solidFill>
          </w14:textFill>
        </w:rPr>
        <w:t>隆胜村小四队屯</w:t>
      </w:r>
      <w:r>
        <w:rPr>
          <w:snapToGrid w:val="0"/>
          <w:color w:val="000000" w:themeColor="text1"/>
          <w14:textFill>
            <w14:solidFill>
              <w14:schemeClr w14:val="tx1"/>
            </w14:solidFill>
          </w14:textFill>
        </w:rPr>
        <w:t>，距离</w:t>
      </w:r>
      <w:r>
        <w:rPr>
          <w:rFonts w:hint="eastAsia"/>
          <w:snapToGrid w:val="0"/>
          <w:color w:val="000000" w:themeColor="text1"/>
          <w14:textFill>
            <w14:solidFill>
              <w14:schemeClr w14:val="tx1"/>
            </w14:solidFill>
          </w14:textFill>
        </w:rPr>
        <w:t>厂界最近</w:t>
      </w:r>
      <w:r>
        <w:rPr>
          <w:snapToGrid w:val="0"/>
          <w:color w:val="000000" w:themeColor="text1"/>
          <w14:textFill>
            <w14:solidFill>
              <w14:schemeClr w14:val="tx1"/>
            </w14:solidFill>
          </w14:textFill>
        </w:rPr>
        <w:t>为</w:t>
      </w:r>
      <w:r>
        <w:rPr>
          <w:rFonts w:hint="eastAsia"/>
          <w:snapToGrid w:val="0"/>
          <w:color w:val="000000" w:themeColor="text1"/>
          <w:lang w:val="en-US" w:eastAsia="zh-CN"/>
          <w14:textFill>
            <w14:solidFill>
              <w14:schemeClr w14:val="tx1"/>
            </w14:solidFill>
          </w14:textFill>
        </w:rPr>
        <w:t>145</w:t>
      </w:r>
      <w:r>
        <w:rPr>
          <w:snapToGrid w:val="0"/>
          <w:color w:val="000000" w:themeColor="text1"/>
          <w14:textFill>
            <w14:solidFill>
              <w14:schemeClr w14:val="tx1"/>
            </w14:solidFill>
          </w14:textFill>
        </w:rPr>
        <w:t>m</w:t>
      </w:r>
      <w:r>
        <w:rPr>
          <w:rFonts w:hint="eastAsia"/>
          <w:snapToGrid w:val="0"/>
          <w:color w:val="000000" w:themeColor="text1"/>
          <w14:textFill>
            <w14:solidFill>
              <w14:schemeClr w14:val="tx1"/>
            </w14:solidFill>
          </w14:textFill>
        </w:rPr>
        <w:t>；</w:t>
      </w:r>
    </w:p>
    <w:p w14:paraId="580F1EC1">
      <w:pPr>
        <w:adjustRightInd/>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（6）项目东侧为</w:t>
      </w:r>
      <w:r>
        <w:rPr>
          <w:rFonts w:hint="eastAsia"/>
          <w:snapToGrid w:val="0"/>
          <w:color w:val="000000" w:themeColor="text1"/>
          <w:lang w:val="en-US" w:eastAsia="zh-CN"/>
          <w14:textFill>
            <w14:solidFill>
              <w14:schemeClr w14:val="tx1"/>
            </w14:solidFill>
          </w14:textFill>
        </w:rPr>
        <w:t>农田</w:t>
      </w:r>
      <w:r>
        <w:rPr>
          <w:rFonts w:hint="eastAsia"/>
          <w:snapToGrid w:val="0"/>
          <w:color w:val="000000" w:themeColor="text1"/>
          <w14:textFill>
            <w14:solidFill>
              <w14:schemeClr w14:val="tx1"/>
            </w14:solidFill>
          </w14:textFill>
        </w:rPr>
        <w:t>，南侧为</w:t>
      </w:r>
      <w:r>
        <w:rPr>
          <w:rFonts w:hint="eastAsia"/>
          <w:snapToGrid w:val="0"/>
          <w:color w:val="000000" w:themeColor="text1"/>
          <w:lang w:val="en-US" w:eastAsia="zh-CN"/>
          <w14:textFill>
            <w14:solidFill>
              <w14:schemeClr w14:val="tx1"/>
            </w14:solidFill>
          </w14:textFill>
        </w:rPr>
        <w:t>空地</w:t>
      </w:r>
      <w:r>
        <w:rPr>
          <w:rFonts w:hint="eastAsia"/>
          <w:snapToGrid w:val="0"/>
          <w:color w:val="000000" w:themeColor="text1"/>
          <w14:textFill>
            <w14:solidFill>
              <w14:schemeClr w14:val="tx1"/>
            </w14:solidFill>
          </w14:textFill>
        </w:rPr>
        <w:t>，西侧为</w:t>
      </w:r>
      <w:r>
        <w:rPr>
          <w:rFonts w:hint="eastAsia"/>
          <w:snapToGrid w:val="0"/>
          <w:color w:val="000000" w:themeColor="text1"/>
          <w:lang w:eastAsia="zh-CN"/>
          <w14:textFill>
            <w14:solidFill>
              <w14:schemeClr w14:val="tx1"/>
            </w14:solidFill>
          </w14:textFill>
        </w:rPr>
        <w:t>桦南县桦润食品有限公司</w:t>
      </w:r>
      <w:r>
        <w:rPr>
          <w:rFonts w:hint="eastAsia"/>
          <w:snapToGrid w:val="0"/>
          <w:color w:val="000000" w:themeColor="text1"/>
          <w14:textFill>
            <w14:solidFill>
              <w14:schemeClr w14:val="tx1"/>
            </w14:solidFill>
          </w14:textFill>
        </w:rPr>
        <w:t>，北侧为</w:t>
      </w:r>
      <w:r>
        <w:rPr>
          <w:rFonts w:hint="eastAsia"/>
          <w:snapToGrid w:val="0"/>
          <w:color w:val="000000" w:themeColor="text1"/>
          <w:lang w:val="en-US" w:eastAsia="zh-CN"/>
          <w14:textFill>
            <w14:solidFill>
              <w14:schemeClr w14:val="tx1"/>
            </w14:solidFill>
          </w14:textFill>
        </w:rPr>
        <w:t>空地</w:t>
      </w:r>
      <w:r>
        <w:rPr>
          <w:rFonts w:hint="eastAsia"/>
          <w:snapToGrid w:val="0"/>
          <w:color w:val="000000" w:themeColor="text1"/>
          <w14:textFill>
            <w14:solidFill>
              <w14:schemeClr w14:val="tx1"/>
            </w14:solidFill>
          </w14:textFill>
        </w:rPr>
        <w:t>。</w:t>
      </w:r>
    </w:p>
    <w:p w14:paraId="0E90CD3A">
      <w:pPr>
        <w:pStyle w:val="5"/>
        <w:rPr>
          <w:snapToGrid w:val="0"/>
          <w:color w:val="000000" w:themeColor="text1"/>
          <w14:textFill>
            <w14:solidFill>
              <w14:schemeClr w14:val="tx1"/>
            </w14:solidFill>
          </w14:textFill>
        </w:rPr>
      </w:pPr>
      <w:bookmarkStart w:id="215" w:name="_Toc24684"/>
      <w:r>
        <w:rPr>
          <w:rFonts w:hint="eastAsia"/>
          <w:snapToGrid w:val="0"/>
          <w:color w:val="000000" w:themeColor="text1"/>
          <w14:textFill>
            <w14:solidFill>
              <w14:schemeClr w14:val="tx1"/>
            </w14:solidFill>
          </w14:textFill>
        </w:rPr>
        <w:t>4.2环境</w:t>
      </w:r>
      <w:r>
        <w:rPr>
          <w:snapToGrid w:val="0"/>
          <w:color w:val="000000" w:themeColor="text1"/>
          <w14:textFill>
            <w14:solidFill>
              <w14:schemeClr w14:val="tx1"/>
            </w14:solidFill>
          </w14:textFill>
        </w:rPr>
        <w:t>质量现状评价</w:t>
      </w:r>
      <w:bookmarkEnd w:id="215"/>
    </w:p>
    <w:p w14:paraId="6A3904FA">
      <w:pPr>
        <w:pStyle w:val="6"/>
        <w:rPr>
          <w:snapToGrid w:val="0"/>
          <w:color w:val="000000" w:themeColor="text1"/>
          <w14:textFill>
            <w14:solidFill>
              <w14:schemeClr w14:val="tx1"/>
            </w14:solidFill>
          </w14:textFill>
        </w:rPr>
      </w:pPr>
      <w:bookmarkStart w:id="216" w:name="_Toc1461"/>
      <w:bookmarkStart w:id="217" w:name="_Toc396852153"/>
      <w:bookmarkStart w:id="218" w:name="_Toc457029097"/>
      <w:r>
        <w:rPr>
          <w:snapToGrid w:val="0"/>
          <w:color w:val="000000" w:themeColor="text1"/>
          <w14:textFill>
            <w14:solidFill>
              <w14:schemeClr w14:val="tx1"/>
            </w14:solidFill>
          </w14:textFill>
        </w:rPr>
        <w:t>4.2.1环境空气质量现状</w:t>
      </w:r>
      <w:bookmarkEnd w:id="216"/>
      <w:bookmarkEnd w:id="217"/>
      <w:bookmarkEnd w:id="218"/>
    </w:p>
    <w:p w14:paraId="0D138EC6">
      <w:pPr>
        <w:pStyle w:val="7"/>
        <w:spacing w:line="360" w:lineRule="auto"/>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4.2.1.1</w:t>
      </w:r>
      <w:r>
        <w:rPr>
          <w:rFonts w:hint="eastAsia"/>
          <w:snapToGrid w:val="0"/>
          <w:color w:val="000000" w:themeColor="text1"/>
          <w14:textFill>
            <w14:solidFill>
              <w14:schemeClr w14:val="tx1"/>
            </w14:solidFill>
          </w14:textFill>
        </w:rPr>
        <w:t>项目所在区域环境质量现状</w:t>
      </w:r>
    </w:p>
    <w:p w14:paraId="3CB0732C">
      <w:pPr>
        <w:spacing w:line="360" w:lineRule="auto"/>
        <w:ind w:firstLine="480" w:firstLineChars="200"/>
        <w:rPr>
          <w:rFonts w:hint="eastAsia" w:ascii="Times New Roman" w:hAnsi="Times New Roman" w:eastAsia="宋体"/>
          <w:color w:val="auto"/>
          <w:highlight w:val="none"/>
        </w:rPr>
      </w:pPr>
      <w:r>
        <w:rPr>
          <w:rFonts w:hint="eastAsia" w:ascii="Times New Roman" w:hAnsi="Times New Roman" w:eastAsia="宋体"/>
          <w:color w:val="auto"/>
          <w:highlight w:val="none"/>
        </w:rPr>
        <w:t>（1）环境空气质量达标区判定</w:t>
      </w:r>
    </w:p>
    <w:p w14:paraId="0D443B68">
      <w:pPr>
        <w:spacing w:line="360" w:lineRule="auto"/>
        <w:ind w:firstLine="480" w:firstLineChars="200"/>
        <w:rPr>
          <w:rFonts w:hint="eastAsia" w:ascii="Times New Roman" w:hAnsi="Times New Roman" w:eastAsia="宋体"/>
          <w:color w:val="auto"/>
          <w:highlight w:val="none"/>
        </w:rPr>
      </w:pPr>
      <w:r>
        <w:rPr>
          <w:rFonts w:hint="eastAsia" w:ascii="Times New Roman" w:hAnsi="Times New Roman" w:eastAsia="宋体"/>
          <w:color w:val="auto"/>
          <w:highlight w:val="none"/>
        </w:rPr>
        <w:t>根据《佳木斯市生态环境质量简报（2024年）》可知</w:t>
      </w:r>
      <w:r>
        <w:rPr>
          <w:rFonts w:hint="eastAsia"/>
          <w:color w:val="auto"/>
          <w:highlight w:val="none"/>
          <w:lang w:val="en-US" w:eastAsia="zh-CN"/>
        </w:rPr>
        <w:t>佳木斯</w:t>
      </w:r>
      <w:r>
        <w:rPr>
          <w:rFonts w:hint="eastAsia" w:ascii="Times New Roman" w:hAnsi="Times New Roman" w:eastAsia="宋体"/>
          <w:color w:val="auto"/>
          <w:highlight w:val="none"/>
        </w:rPr>
        <w:t>市202</w:t>
      </w:r>
      <w:r>
        <w:rPr>
          <w:rFonts w:hint="eastAsia" w:eastAsia="宋体"/>
          <w:color w:val="auto"/>
          <w:highlight w:val="none"/>
          <w:lang w:val="en-US" w:eastAsia="zh-CN"/>
        </w:rPr>
        <w:t>4</w:t>
      </w:r>
      <w:r>
        <w:rPr>
          <w:rFonts w:hint="eastAsia" w:ascii="Times New Roman" w:hAnsi="Times New Roman" w:eastAsia="宋体"/>
          <w:color w:val="auto"/>
          <w:highlight w:val="none"/>
        </w:rPr>
        <w:t>年SO</w:t>
      </w:r>
      <w:r>
        <w:rPr>
          <w:rFonts w:hint="eastAsia" w:ascii="Times New Roman" w:hAnsi="Times New Roman" w:eastAsia="宋体"/>
          <w:color w:val="auto"/>
          <w:highlight w:val="none"/>
          <w:vertAlign w:val="subscript"/>
        </w:rPr>
        <w:t>2</w:t>
      </w:r>
      <w:r>
        <w:rPr>
          <w:rFonts w:hint="eastAsia" w:ascii="Times New Roman" w:hAnsi="Times New Roman" w:eastAsia="宋体"/>
          <w:color w:val="auto"/>
          <w:highlight w:val="none"/>
        </w:rPr>
        <w:t>、NO</w:t>
      </w:r>
      <w:r>
        <w:rPr>
          <w:rFonts w:hint="eastAsia" w:ascii="Times New Roman" w:hAnsi="Times New Roman" w:eastAsia="宋体"/>
          <w:color w:val="auto"/>
          <w:highlight w:val="none"/>
          <w:vertAlign w:val="subscript"/>
        </w:rPr>
        <w:t>2</w:t>
      </w:r>
      <w:r>
        <w:rPr>
          <w:rFonts w:hint="eastAsia" w:ascii="Times New Roman" w:hAnsi="Times New Roman" w:eastAsia="宋体"/>
          <w:color w:val="auto"/>
          <w:highlight w:val="none"/>
        </w:rPr>
        <w:t>、PM</w:t>
      </w:r>
      <w:r>
        <w:rPr>
          <w:rFonts w:hint="eastAsia" w:ascii="Times New Roman" w:hAnsi="Times New Roman" w:eastAsia="宋体"/>
          <w:color w:val="auto"/>
          <w:highlight w:val="none"/>
          <w:vertAlign w:val="subscript"/>
        </w:rPr>
        <w:t>10</w:t>
      </w:r>
      <w:r>
        <w:rPr>
          <w:rFonts w:hint="eastAsia" w:ascii="Times New Roman" w:hAnsi="Times New Roman" w:eastAsia="宋体"/>
          <w:color w:val="auto"/>
          <w:highlight w:val="none"/>
        </w:rPr>
        <w:t>、PM</w:t>
      </w:r>
      <w:r>
        <w:rPr>
          <w:rFonts w:hint="eastAsia" w:ascii="Times New Roman" w:hAnsi="Times New Roman" w:eastAsia="宋体"/>
          <w:color w:val="auto"/>
          <w:highlight w:val="none"/>
          <w:vertAlign w:val="subscript"/>
        </w:rPr>
        <w:t>2.5</w:t>
      </w:r>
      <w:r>
        <w:rPr>
          <w:rFonts w:hint="eastAsia" w:ascii="Times New Roman" w:hAnsi="Times New Roman" w:eastAsia="宋体"/>
          <w:color w:val="auto"/>
          <w:highlight w:val="none"/>
        </w:rPr>
        <w:t>年均浓度分别为7µg/m</w:t>
      </w:r>
      <w:r>
        <w:rPr>
          <w:rFonts w:hint="eastAsia" w:ascii="Times New Roman" w:hAnsi="Times New Roman" w:eastAsia="宋体"/>
          <w:color w:val="auto"/>
          <w:highlight w:val="none"/>
          <w:vertAlign w:val="superscript"/>
        </w:rPr>
        <w:t>3</w:t>
      </w:r>
      <w:r>
        <w:rPr>
          <w:rFonts w:hint="eastAsia" w:ascii="Times New Roman" w:hAnsi="Times New Roman" w:eastAsia="宋体"/>
          <w:color w:val="auto"/>
          <w:highlight w:val="none"/>
        </w:rPr>
        <w:t>、19µg/m</w:t>
      </w:r>
      <w:r>
        <w:rPr>
          <w:rFonts w:hint="eastAsia" w:ascii="Times New Roman" w:hAnsi="Times New Roman" w:eastAsia="宋体"/>
          <w:color w:val="auto"/>
          <w:highlight w:val="none"/>
          <w:vertAlign w:val="superscript"/>
        </w:rPr>
        <w:t>3</w:t>
      </w:r>
      <w:r>
        <w:rPr>
          <w:rFonts w:hint="eastAsia" w:ascii="Times New Roman" w:hAnsi="Times New Roman" w:eastAsia="宋体"/>
          <w:color w:val="auto"/>
          <w:highlight w:val="none"/>
        </w:rPr>
        <w:t>、39µg/m</w:t>
      </w:r>
      <w:r>
        <w:rPr>
          <w:rFonts w:hint="eastAsia" w:ascii="Times New Roman" w:hAnsi="Times New Roman" w:eastAsia="宋体"/>
          <w:color w:val="auto"/>
          <w:highlight w:val="none"/>
          <w:vertAlign w:val="superscript"/>
        </w:rPr>
        <w:t>3</w:t>
      </w:r>
      <w:r>
        <w:rPr>
          <w:rFonts w:hint="eastAsia" w:ascii="Times New Roman" w:hAnsi="Times New Roman" w:eastAsia="宋体"/>
          <w:color w:val="auto"/>
          <w:highlight w:val="none"/>
        </w:rPr>
        <w:t>、28µg/m</w:t>
      </w:r>
      <w:r>
        <w:rPr>
          <w:rFonts w:hint="eastAsia" w:ascii="Times New Roman" w:hAnsi="Times New Roman" w:eastAsia="宋体"/>
          <w:color w:val="auto"/>
          <w:highlight w:val="none"/>
          <w:vertAlign w:val="superscript"/>
        </w:rPr>
        <w:t>3</w:t>
      </w:r>
      <w:r>
        <w:rPr>
          <w:rFonts w:hint="eastAsia" w:ascii="Times New Roman" w:hAnsi="Times New Roman" w:eastAsia="宋体"/>
          <w:color w:val="auto"/>
          <w:highlight w:val="none"/>
        </w:rPr>
        <w:t>，CO</w:t>
      </w:r>
      <w:r>
        <w:rPr>
          <w:rFonts w:hint="eastAsia" w:ascii="Times New Roman" w:hAnsi="Times New Roman" w:eastAsia="宋体"/>
          <w:color w:val="auto"/>
          <w:highlight w:val="none"/>
          <w:vertAlign w:val="subscript"/>
        </w:rPr>
        <w:t>24</w:t>
      </w:r>
      <w:r>
        <w:rPr>
          <w:rFonts w:hint="eastAsia" w:ascii="Times New Roman" w:hAnsi="Times New Roman" w:eastAsia="宋体"/>
          <w:color w:val="auto"/>
          <w:highlight w:val="none"/>
        </w:rPr>
        <w:t>小时平均第95百分位数为0.9mg/m</w:t>
      </w:r>
      <w:r>
        <w:rPr>
          <w:rFonts w:hint="eastAsia" w:ascii="Times New Roman" w:hAnsi="Times New Roman" w:eastAsia="宋体"/>
          <w:color w:val="auto"/>
          <w:highlight w:val="none"/>
          <w:vertAlign w:val="superscript"/>
        </w:rPr>
        <w:t>3</w:t>
      </w:r>
      <w:r>
        <w:rPr>
          <w:rFonts w:hint="eastAsia" w:ascii="Times New Roman" w:hAnsi="Times New Roman" w:eastAsia="宋体"/>
          <w:color w:val="auto"/>
          <w:highlight w:val="none"/>
        </w:rPr>
        <w:t>，O</w:t>
      </w:r>
      <w:r>
        <w:rPr>
          <w:rFonts w:hint="eastAsia" w:ascii="Times New Roman" w:hAnsi="Times New Roman" w:eastAsia="宋体"/>
          <w:color w:val="auto"/>
          <w:highlight w:val="none"/>
          <w:vertAlign w:val="subscript"/>
        </w:rPr>
        <w:t>3</w:t>
      </w:r>
      <w:r>
        <w:rPr>
          <w:rFonts w:hint="eastAsia" w:ascii="Times New Roman" w:hAnsi="Times New Roman" w:eastAsia="宋体"/>
          <w:color w:val="auto"/>
          <w:highlight w:val="none"/>
        </w:rPr>
        <w:t>日最大8小时平均第90百分位数为107µg/m</w:t>
      </w:r>
      <w:r>
        <w:rPr>
          <w:rFonts w:hint="eastAsia" w:ascii="Times New Roman" w:hAnsi="Times New Roman" w:eastAsia="宋体"/>
          <w:color w:val="auto"/>
          <w:highlight w:val="none"/>
          <w:vertAlign w:val="superscript"/>
        </w:rPr>
        <w:t>3</w:t>
      </w:r>
      <w:r>
        <w:rPr>
          <w:rFonts w:hint="eastAsia" w:ascii="Times New Roman" w:hAnsi="Times New Roman" w:eastAsia="宋体"/>
          <w:color w:val="auto"/>
          <w:highlight w:val="none"/>
        </w:rPr>
        <w:t>，各污染物平均浓度均优于《环境空气质量标准》（GB3095-2012）二级标准要求。</w:t>
      </w:r>
    </w:p>
    <w:p w14:paraId="75BE02CF">
      <w:pPr>
        <w:pStyle w:val="206"/>
        <w:spacing w:line="360" w:lineRule="auto"/>
        <w:rPr>
          <w:snapToGrid w:val="0"/>
          <w:color w:val="000000" w:themeColor="text1"/>
          <w:vertAlign w:val="superscript"/>
          <w14:textFill>
            <w14:solidFill>
              <w14:schemeClr w14:val="tx1"/>
            </w14:solidFill>
          </w14:textFill>
        </w:rPr>
      </w:pPr>
      <w:r>
        <w:rPr>
          <w:snapToGrid w:val="0"/>
          <w:color w:val="000000" w:themeColor="text1"/>
          <w14:textFill>
            <w14:solidFill>
              <w14:schemeClr w14:val="tx1"/>
            </w14:solidFill>
          </w14:textFill>
        </w:rPr>
        <w:t>表4-2-1</w:t>
      </w:r>
      <w:r>
        <w:rPr>
          <w:rFonts w:hint="eastAsia"/>
          <w:snapToGrid w:val="0"/>
          <w:color w:val="000000" w:themeColor="text1"/>
          <w:lang w:eastAsia="zh-CN"/>
          <w14:textFill>
            <w14:solidFill>
              <w14:schemeClr w14:val="tx1"/>
            </w14:solidFill>
          </w14:textFill>
        </w:rPr>
        <w:t>佳木斯市</w:t>
      </w:r>
      <w:r>
        <w:rPr>
          <w:snapToGrid w:val="0"/>
          <w:color w:val="000000" w:themeColor="text1"/>
          <w14:textFill>
            <w14:solidFill>
              <w14:schemeClr w14:val="tx1"/>
            </w14:solidFill>
          </w14:textFill>
        </w:rPr>
        <w:t>环境空气污染物年平均值及达标情况</w:t>
      </w:r>
    </w:p>
    <w:tbl>
      <w:tblPr>
        <w:tblStyle w:val="49"/>
        <w:tblW w:w="4891"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515"/>
        <w:gridCol w:w="1912"/>
        <w:gridCol w:w="1170"/>
        <w:gridCol w:w="1229"/>
        <w:gridCol w:w="1161"/>
        <w:gridCol w:w="1144"/>
      </w:tblGrid>
      <w:tr w14:paraId="09CAF44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1" w:type="pct"/>
            <w:noWrap w:val="0"/>
            <w:vAlign w:val="center"/>
          </w:tcPr>
          <w:p w14:paraId="076573EA">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污染物</w:t>
            </w:r>
          </w:p>
        </w:tc>
        <w:tc>
          <w:tcPr>
            <w:tcW w:w="1175" w:type="pct"/>
            <w:noWrap w:val="0"/>
            <w:vAlign w:val="center"/>
          </w:tcPr>
          <w:p w14:paraId="052C4889">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评价指标</w:t>
            </w:r>
          </w:p>
        </w:tc>
        <w:tc>
          <w:tcPr>
            <w:tcW w:w="719" w:type="pct"/>
            <w:noWrap w:val="0"/>
            <w:vAlign w:val="center"/>
          </w:tcPr>
          <w:p w14:paraId="4EB767B4">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现状浓度/</w:t>
            </w:r>
          </w:p>
          <w:p w14:paraId="2C176155">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（μg/m</w:t>
            </w:r>
            <w:r>
              <w:rPr>
                <w:rFonts w:ascii="Times New Roman" w:eastAsia="宋体"/>
                <w:color w:val="auto"/>
                <w:sz w:val="21"/>
                <w:szCs w:val="21"/>
                <w:highlight w:val="none"/>
                <w:vertAlign w:val="superscript"/>
              </w:rPr>
              <w:t>3</w:t>
            </w:r>
            <w:r>
              <w:rPr>
                <w:rFonts w:ascii="Times New Roman" w:eastAsia="宋体"/>
                <w:color w:val="auto"/>
                <w:sz w:val="21"/>
                <w:szCs w:val="21"/>
                <w:highlight w:val="none"/>
              </w:rPr>
              <w:t>）</w:t>
            </w:r>
          </w:p>
        </w:tc>
        <w:tc>
          <w:tcPr>
            <w:tcW w:w="755" w:type="pct"/>
            <w:noWrap w:val="0"/>
            <w:vAlign w:val="center"/>
          </w:tcPr>
          <w:p w14:paraId="3F1DAF2F">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标准值/</w:t>
            </w:r>
          </w:p>
          <w:p w14:paraId="3A2364F8">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（μg/m</w:t>
            </w:r>
            <w:r>
              <w:rPr>
                <w:rFonts w:ascii="Times New Roman" w:eastAsia="宋体"/>
                <w:color w:val="auto"/>
                <w:sz w:val="21"/>
                <w:szCs w:val="21"/>
                <w:highlight w:val="none"/>
                <w:vertAlign w:val="superscript"/>
              </w:rPr>
              <w:t>3</w:t>
            </w:r>
            <w:r>
              <w:rPr>
                <w:rFonts w:ascii="Times New Roman" w:eastAsia="宋体"/>
                <w:color w:val="auto"/>
                <w:sz w:val="21"/>
                <w:szCs w:val="21"/>
                <w:highlight w:val="none"/>
              </w:rPr>
              <w:t>）</w:t>
            </w:r>
          </w:p>
        </w:tc>
        <w:tc>
          <w:tcPr>
            <w:tcW w:w="713" w:type="pct"/>
            <w:noWrap w:val="0"/>
            <w:vAlign w:val="center"/>
          </w:tcPr>
          <w:p w14:paraId="283FC43C">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占标率/</w:t>
            </w:r>
          </w:p>
          <w:p w14:paraId="57B284CD">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w:t>
            </w:r>
          </w:p>
        </w:tc>
        <w:tc>
          <w:tcPr>
            <w:tcW w:w="703" w:type="pct"/>
            <w:noWrap w:val="0"/>
            <w:vAlign w:val="center"/>
          </w:tcPr>
          <w:p w14:paraId="708F1326">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eastAsia="宋体"/>
                <w:color w:val="auto"/>
                <w:sz w:val="21"/>
                <w:szCs w:val="21"/>
                <w:highlight w:val="none"/>
              </w:rPr>
            </w:pPr>
            <w:r>
              <w:rPr>
                <w:rFonts w:ascii="Times New Roman" w:eastAsia="宋体"/>
                <w:color w:val="auto"/>
                <w:sz w:val="21"/>
                <w:szCs w:val="21"/>
                <w:highlight w:val="none"/>
              </w:rPr>
              <w:t>达标情况</w:t>
            </w:r>
          </w:p>
        </w:tc>
      </w:tr>
      <w:tr w14:paraId="56D619D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1" w:type="pct"/>
            <w:noWrap w:val="0"/>
            <w:vAlign w:val="center"/>
          </w:tcPr>
          <w:p w14:paraId="574E880D">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SO</w:t>
            </w:r>
            <w:r>
              <w:rPr>
                <w:rFonts w:ascii="Times New Roman" w:hAnsi="Times New Roman"/>
                <w:color w:val="auto"/>
                <w:sz w:val="21"/>
                <w:highlight w:val="none"/>
                <w:vertAlign w:val="subscript"/>
              </w:rPr>
              <w:t>2</w:t>
            </w:r>
          </w:p>
        </w:tc>
        <w:tc>
          <w:tcPr>
            <w:tcW w:w="1175" w:type="pct"/>
            <w:noWrap w:val="0"/>
            <w:vAlign w:val="center"/>
          </w:tcPr>
          <w:p w14:paraId="2E6B46F1">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年平均</w:t>
            </w:r>
          </w:p>
        </w:tc>
        <w:tc>
          <w:tcPr>
            <w:tcW w:w="719" w:type="pct"/>
            <w:noWrap w:val="0"/>
            <w:vAlign w:val="center"/>
          </w:tcPr>
          <w:p w14:paraId="1154C44F">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hint="eastAsia" w:ascii="Times New Roman" w:hAnsi="Times New Roman"/>
                <w:color w:val="auto"/>
                <w:sz w:val="21"/>
                <w:highlight w:val="none"/>
              </w:rPr>
              <w:t>7</w:t>
            </w:r>
          </w:p>
        </w:tc>
        <w:tc>
          <w:tcPr>
            <w:tcW w:w="755" w:type="pct"/>
            <w:noWrap w:val="0"/>
            <w:vAlign w:val="center"/>
          </w:tcPr>
          <w:p w14:paraId="23C901C8">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60</w:t>
            </w:r>
          </w:p>
        </w:tc>
        <w:tc>
          <w:tcPr>
            <w:tcW w:w="713" w:type="pct"/>
            <w:noWrap w:val="0"/>
            <w:vAlign w:val="center"/>
          </w:tcPr>
          <w:p w14:paraId="1BCD0508">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Theme="minorEastAsia"/>
                <w:color w:val="auto"/>
                <w:sz w:val="21"/>
                <w:highlight w:val="none"/>
                <w:lang w:val="en-US" w:eastAsia="zh-CN"/>
              </w:rPr>
            </w:pPr>
            <w:r>
              <w:rPr>
                <w:rFonts w:hint="eastAsia" w:ascii="Times New Roman" w:hAnsi="Times New Roman"/>
                <w:color w:val="auto"/>
                <w:sz w:val="21"/>
                <w:highlight w:val="none"/>
                <w:lang w:val="en-US" w:eastAsia="zh-CN"/>
              </w:rPr>
              <w:t>11.67</w:t>
            </w:r>
          </w:p>
        </w:tc>
        <w:tc>
          <w:tcPr>
            <w:tcW w:w="703" w:type="pct"/>
            <w:noWrap w:val="0"/>
            <w:vAlign w:val="center"/>
          </w:tcPr>
          <w:p w14:paraId="4850BEB5">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达标</w:t>
            </w:r>
          </w:p>
        </w:tc>
      </w:tr>
      <w:tr w14:paraId="000871B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1" w:type="pct"/>
            <w:noWrap w:val="0"/>
            <w:vAlign w:val="center"/>
          </w:tcPr>
          <w:p w14:paraId="05F6C656">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NO</w:t>
            </w:r>
            <w:r>
              <w:rPr>
                <w:rFonts w:ascii="Times New Roman" w:hAnsi="Times New Roman"/>
                <w:color w:val="auto"/>
                <w:sz w:val="21"/>
                <w:highlight w:val="none"/>
                <w:vertAlign w:val="subscript"/>
              </w:rPr>
              <w:t>2</w:t>
            </w:r>
          </w:p>
        </w:tc>
        <w:tc>
          <w:tcPr>
            <w:tcW w:w="1175" w:type="pct"/>
            <w:noWrap w:val="0"/>
            <w:vAlign w:val="center"/>
          </w:tcPr>
          <w:p w14:paraId="283106A3">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年平均</w:t>
            </w:r>
          </w:p>
        </w:tc>
        <w:tc>
          <w:tcPr>
            <w:tcW w:w="719" w:type="pct"/>
            <w:noWrap w:val="0"/>
            <w:vAlign w:val="center"/>
          </w:tcPr>
          <w:p w14:paraId="1D1B66C2">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hint="eastAsia" w:ascii="Times New Roman" w:hAnsi="Times New Roman"/>
                <w:color w:val="auto"/>
                <w:sz w:val="21"/>
                <w:highlight w:val="none"/>
              </w:rPr>
              <w:t>19</w:t>
            </w:r>
          </w:p>
        </w:tc>
        <w:tc>
          <w:tcPr>
            <w:tcW w:w="755" w:type="pct"/>
            <w:noWrap w:val="0"/>
            <w:vAlign w:val="center"/>
          </w:tcPr>
          <w:p w14:paraId="0ACB31F8">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40</w:t>
            </w:r>
          </w:p>
        </w:tc>
        <w:tc>
          <w:tcPr>
            <w:tcW w:w="713" w:type="pct"/>
            <w:noWrap w:val="0"/>
            <w:vAlign w:val="center"/>
          </w:tcPr>
          <w:p w14:paraId="1E164A06">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Theme="minorEastAsia"/>
                <w:color w:val="auto"/>
                <w:sz w:val="21"/>
                <w:highlight w:val="none"/>
                <w:lang w:val="en-US" w:eastAsia="zh-CN"/>
              </w:rPr>
            </w:pPr>
            <w:r>
              <w:rPr>
                <w:rFonts w:hint="eastAsia" w:ascii="Times New Roman" w:hAnsi="Times New Roman"/>
                <w:color w:val="auto"/>
                <w:sz w:val="21"/>
                <w:highlight w:val="none"/>
                <w:lang w:val="en-US" w:eastAsia="zh-CN"/>
              </w:rPr>
              <w:t>47.50</w:t>
            </w:r>
          </w:p>
        </w:tc>
        <w:tc>
          <w:tcPr>
            <w:tcW w:w="703" w:type="pct"/>
            <w:noWrap w:val="0"/>
            <w:vAlign w:val="center"/>
          </w:tcPr>
          <w:p w14:paraId="73E58BB6">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达标</w:t>
            </w:r>
          </w:p>
        </w:tc>
      </w:tr>
      <w:tr w14:paraId="0AED1B3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1" w:type="pct"/>
            <w:noWrap w:val="0"/>
            <w:vAlign w:val="center"/>
          </w:tcPr>
          <w:p w14:paraId="26DE0C8D">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PM</w:t>
            </w:r>
            <w:r>
              <w:rPr>
                <w:rFonts w:ascii="Times New Roman" w:hAnsi="Times New Roman"/>
                <w:color w:val="auto"/>
                <w:sz w:val="21"/>
                <w:highlight w:val="none"/>
                <w:vertAlign w:val="subscript"/>
              </w:rPr>
              <w:t>10</w:t>
            </w:r>
          </w:p>
        </w:tc>
        <w:tc>
          <w:tcPr>
            <w:tcW w:w="1175" w:type="pct"/>
            <w:noWrap w:val="0"/>
            <w:vAlign w:val="center"/>
          </w:tcPr>
          <w:p w14:paraId="583C0C73">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年平均</w:t>
            </w:r>
          </w:p>
        </w:tc>
        <w:tc>
          <w:tcPr>
            <w:tcW w:w="719" w:type="pct"/>
            <w:noWrap w:val="0"/>
            <w:vAlign w:val="center"/>
          </w:tcPr>
          <w:p w14:paraId="7DCE7DCC">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hint="eastAsia" w:ascii="Times New Roman" w:hAnsi="Times New Roman"/>
                <w:color w:val="auto"/>
                <w:sz w:val="21"/>
                <w:highlight w:val="none"/>
              </w:rPr>
              <w:t>39</w:t>
            </w:r>
          </w:p>
        </w:tc>
        <w:tc>
          <w:tcPr>
            <w:tcW w:w="755" w:type="pct"/>
            <w:noWrap w:val="0"/>
            <w:vAlign w:val="center"/>
          </w:tcPr>
          <w:p w14:paraId="04AB8C9E">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Theme="minorEastAsia"/>
                <w:color w:val="auto"/>
                <w:sz w:val="21"/>
                <w:highlight w:val="none"/>
                <w:lang w:val="en-US" w:eastAsia="zh-CN"/>
              </w:rPr>
            </w:pPr>
            <w:r>
              <w:rPr>
                <w:rFonts w:hint="eastAsia" w:ascii="Times New Roman" w:hAnsi="Times New Roman"/>
                <w:color w:val="auto"/>
                <w:sz w:val="21"/>
                <w:highlight w:val="none"/>
                <w:lang w:val="en-US" w:eastAsia="zh-CN"/>
              </w:rPr>
              <w:t>60</w:t>
            </w:r>
          </w:p>
        </w:tc>
        <w:tc>
          <w:tcPr>
            <w:tcW w:w="713" w:type="pct"/>
            <w:noWrap w:val="0"/>
            <w:vAlign w:val="center"/>
          </w:tcPr>
          <w:p w14:paraId="032B9E3F">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Theme="minorEastAsia"/>
                <w:color w:val="auto"/>
                <w:sz w:val="21"/>
                <w:highlight w:val="none"/>
                <w:lang w:val="en-US" w:eastAsia="zh-CN"/>
              </w:rPr>
            </w:pPr>
            <w:r>
              <w:rPr>
                <w:rFonts w:hint="eastAsia" w:ascii="Times New Roman" w:hAnsi="Times New Roman"/>
                <w:color w:val="auto"/>
                <w:sz w:val="21"/>
                <w:highlight w:val="none"/>
                <w:lang w:val="en-US" w:eastAsia="zh-CN"/>
              </w:rPr>
              <w:t>65.00</w:t>
            </w:r>
          </w:p>
        </w:tc>
        <w:tc>
          <w:tcPr>
            <w:tcW w:w="703" w:type="pct"/>
            <w:noWrap w:val="0"/>
            <w:vAlign w:val="center"/>
          </w:tcPr>
          <w:p w14:paraId="2E52031F">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达标</w:t>
            </w:r>
          </w:p>
        </w:tc>
      </w:tr>
      <w:tr w14:paraId="079DC2E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1" w:type="pct"/>
            <w:noWrap w:val="0"/>
            <w:vAlign w:val="center"/>
          </w:tcPr>
          <w:p w14:paraId="7880CDBB">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PM</w:t>
            </w:r>
            <w:r>
              <w:rPr>
                <w:rFonts w:ascii="Times New Roman" w:hAnsi="Times New Roman"/>
                <w:color w:val="auto"/>
                <w:sz w:val="21"/>
                <w:highlight w:val="none"/>
                <w:vertAlign w:val="subscript"/>
              </w:rPr>
              <w:t>2.5</w:t>
            </w:r>
          </w:p>
        </w:tc>
        <w:tc>
          <w:tcPr>
            <w:tcW w:w="1175" w:type="pct"/>
            <w:noWrap w:val="0"/>
            <w:vAlign w:val="center"/>
          </w:tcPr>
          <w:p w14:paraId="159D4938">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年平均</w:t>
            </w:r>
          </w:p>
        </w:tc>
        <w:tc>
          <w:tcPr>
            <w:tcW w:w="719" w:type="pct"/>
            <w:noWrap w:val="0"/>
            <w:vAlign w:val="center"/>
          </w:tcPr>
          <w:p w14:paraId="792841D1">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hint="eastAsia" w:ascii="Times New Roman" w:hAnsi="Times New Roman"/>
                <w:color w:val="auto"/>
                <w:sz w:val="21"/>
                <w:highlight w:val="none"/>
              </w:rPr>
              <w:t>28</w:t>
            </w:r>
          </w:p>
        </w:tc>
        <w:tc>
          <w:tcPr>
            <w:tcW w:w="755" w:type="pct"/>
            <w:noWrap w:val="0"/>
            <w:vAlign w:val="center"/>
          </w:tcPr>
          <w:p w14:paraId="2D07EF58">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Theme="minorEastAsia"/>
                <w:color w:val="auto"/>
                <w:sz w:val="21"/>
                <w:highlight w:val="none"/>
                <w:lang w:val="en-US" w:eastAsia="zh-CN"/>
              </w:rPr>
            </w:pPr>
            <w:r>
              <w:rPr>
                <w:rFonts w:hint="eastAsia" w:ascii="Times New Roman" w:hAnsi="Times New Roman"/>
                <w:color w:val="auto"/>
                <w:sz w:val="21"/>
                <w:highlight w:val="none"/>
                <w:lang w:val="en-US" w:eastAsia="zh-CN"/>
              </w:rPr>
              <w:t>30</w:t>
            </w:r>
          </w:p>
        </w:tc>
        <w:tc>
          <w:tcPr>
            <w:tcW w:w="713" w:type="pct"/>
            <w:noWrap w:val="0"/>
            <w:vAlign w:val="center"/>
          </w:tcPr>
          <w:p w14:paraId="6BE8EC96">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Theme="minorEastAsia"/>
                <w:color w:val="auto"/>
                <w:sz w:val="21"/>
                <w:highlight w:val="none"/>
                <w:lang w:val="en-US" w:eastAsia="zh-CN"/>
              </w:rPr>
            </w:pPr>
            <w:r>
              <w:rPr>
                <w:rFonts w:hint="eastAsia" w:ascii="Times New Roman" w:hAnsi="Times New Roman"/>
                <w:color w:val="auto"/>
                <w:sz w:val="21"/>
                <w:highlight w:val="none"/>
                <w:lang w:val="en-US" w:eastAsia="zh-CN"/>
              </w:rPr>
              <w:t>93.33</w:t>
            </w:r>
          </w:p>
        </w:tc>
        <w:tc>
          <w:tcPr>
            <w:tcW w:w="703" w:type="pct"/>
            <w:noWrap w:val="0"/>
            <w:vAlign w:val="center"/>
          </w:tcPr>
          <w:p w14:paraId="375D32A5">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达标</w:t>
            </w:r>
          </w:p>
        </w:tc>
      </w:tr>
      <w:tr w14:paraId="59DC757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1" w:type="pct"/>
            <w:noWrap w:val="0"/>
            <w:vAlign w:val="center"/>
          </w:tcPr>
          <w:p w14:paraId="503A86BB">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CO</w:t>
            </w:r>
          </w:p>
        </w:tc>
        <w:tc>
          <w:tcPr>
            <w:tcW w:w="1175" w:type="pct"/>
            <w:noWrap w:val="0"/>
            <w:vAlign w:val="center"/>
          </w:tcPr>
          <w:p w14:paraId="77CA6263">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CO-95per</w:t>
            </w:r>
          </w:p>
        </w:tc>
        <w:tc>
          <w:tcPr>
            <w:tcW w:w="719" w:type="pct"/>
            <w:noWrap w:val="0"/>
            <w:vAlign w:val="center"/>
          </w:tcPr>
          <w:p w14:paraId="1ED36A29">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hint="eastAsia" w:ascii="Times New Roman" w:hAnsi="Times New Roman"/>
                <w:color w:val="auto"/>
                <w:sz w:val="21"/>
                <w:highlight w:val="none"/>
              </w:rPr>
              <w:t>900</w:t>
            </w:r>
          </w:p>
        </w:tc>
        <w:tc>
          <w:tcPr>
            <w:tcW w:w="755" w:type="pct"/>
            <w:noWrap w:val="0"/>
            <w:vAlign w:val="center"/>
          </w:tcPr>
          <w:p w14:paraId="7AEFB8D6">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4000</w:t>
            </w:r>
          </w:p>
        </w:tc>
        <w:tc>
          <w:tcPr>
            <w:tcW w:w="713" w:type="pct"/>
            <w:noWrap w:val="0"/>
            <w:vAlign w:val="center"/>
          </w:tcPr>
          <w:p w14:paraId="02B779F6">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Theme="minorEastAsia"/>
                <w:color w:val="auto"/>
                <w:sz w:val="21"/>
                <w:highlight w:val="none"/>
                <w:lang w:val="en-US" w:eastAsia="zh-CN"/>
              </w:rPr>
            </w:pPr>
            <w:r>
              <w:rPr>
                <w:rFonts w:hint="eastAsia" w:ascii="Times New Roman" w:hAnsi="Times New Roman"/>
                <w:color w:val="auto"/>
                <w:sz w:val="21"/>
                <w:highlight w:val="none"/>
                <w:lang w:val="en-US" w:eastAsia="zh-CN"/>
              </w:rPr>
              <w:t>22.50</w:t>
            </w:r>
          </w:p>
        </w:tc>
        <w:tc>
          <w:tcPr>
            <w:tcW w:w="703" w:type="pct"/>
            <w:noWrap w:val="0"/>
            <w:vAlign w:val="center"/>
          </w:tcPr>
          <w:p w14:paraId="5A8F5151">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达标</w:t>
            </w:r>
          </w:p>
        </w:tc>
      </w:tr>
      <w:tr w14:paraId="55D7595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1" w:type="pct"/>
            <w:noWrap w:val="0"/>
            <w:vAlign w:val="center"/>
          </w:tcPr>
          <w:p w14:paraId="61632694">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O</w:t>
            </w:r>
            <w:r>
              <w:rPr>
                <w:rFonts w:ascii="Times New Roman" w:hAnsi="Times New Roman"/>
                <w:color w:val="auto"/>
                <w:sz w:val="21"/>
                <w:highlight w:val="none"/>
                <w:vertAlign w:val="subscript"/>
              </w:rPr>
              <w:t>3</w:t>
            </w:r>
          </w:p>
        </w:tc>
        <w:tc>
          <w:tcPr>
            <w:tcW w:w="1175" w:type="pct"/>
            <w:noWrap w:val="0"/>
            <w:vAlign w:val="center"/>
          </w:tcPr>
          <w:p w14:paraId="7EACEAA5">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O</w:t>
            </w:r>
            <w:r>
              <w:rPr>
                <w:rFonts w:ascii="Times New Roman" w:hAnsi="Times New Roman"/>
                <w:color w:val="auto"/>
                <w:sz w:val="21"/>
                <w:highlight w:val="none"/>
                <w:vertAlign w:val="subscript"/>
              </w:rPr>
              <w:t>3</w:t>
            </w:r>
            <w:r>
              <w:rPr>
                <w:rFonts w:ascii="Times New Roman" w:hAnsi="Times New Roman"/>
                <w:color w:val="auto"/>
                <w:sz w:val="21"/>
                <w:highlight w:val="none"/>
              </w:rPr>
              <w:t>-8H-90per</w:t>
            </w:r>
          </w:p>
        </w:tc>
        <w:tc>
          <w:tcPr>
            <w:tcW w:w="719" w:type="pct"/>
            <w:noWrap w:val="0"/>
            <w:vAlign w:val="center"/>
          </w:tcPr>
          <w:p w14:paraId="2515E7BF">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1</w:t>
            </w:r>
            <w:r>
              <w:rPr>
                <w:rFonts w:hint="eastAsia" w:ascii="Times New Roman" w:hAnsi="Times New Roman"/>
                <w:color w:val="auto"/>
                <w:sz w:val="21"/>
                <w:highlight w:val="none"/>
              </w:rPr>
              <w:t>07</w:t>
            </w:r>
          </w:p>
        </w:tc>
        <w:tc>
          <w:tcPr>
            <w:tcW w:w="755" w:type="pct"/>
            <w:noWrap w:val="0"/>
            <w:vAlign w:val="center"/>
          </w:tcPr>
          <w:p w14:paraId="326FD289">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160</w:t>
            </w:r>
          </w:p>
        </w:tc>
        <w:tc>
          <w:tcPr>
            <w:tcW w:w="713" w:type="pct"/>
            <w:noWrap w:val="0"/>
            <w:vAlign w:val="center"/>
          </w:tcPr>
          <w:p w14:paraId="6C2945C0">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Theme="minorEastAsia"/>
                <w:color w:val="auto"/>
                <w:sz w:val="21"/>
                <w:highlight w:val="none"/>
                <w:lang w:val="en-US" w:eastAsia="zh-CN"/>
              </w:rPr>
            </w:pPr>
            <w:r>
              <w:rPr>
                <w:rFonts w:hint="eastAsia" w:ascii="Times New Roman" w:hAnsi="Times New Roman"/>
                <w:color w:val="auto"/>
                <w:sz w:val="21"/>
                <w:highlight w:val="none"/>
                <w:lang w:val="en-US" w:eastAsia="zh-CN"/>
              </w:rPr>
              <w:t>66.88</w:t>
            </w:r>
          </w:p>
        </w:tc>
        <w:tc>
          <w:tcPr>
            <w:tcW w:w="703" w:type="pct"/>
            <w:noWrap w:val="0"/>
            <w:vAlign w:val="center"/>
          </w:tcPr>
          <w:p w14:paraId="0DFA82E8">
            <w:pPr>
              <w:pStyle w:val="26"/>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ascii="Times New Roman" w:hAnsi="Times New Roman"/>
                <w:color w:val="auto"/>
                <w:sz w:val="21"/>
                <w:highlight w:val="none"/>
              </w:rPr>
            </w:pPr>
            <w:r>
              <w:rPr>
                <w:rFonts w:ascii="Times New Roman" w:hAnsi="Times New Roman"/>
                <w:color w:val="auto"/>
                <w:sz w:val="21"/>
                <w:highlight w:val="none"/>
              </w:rPr>
              <w:t>达标</w:t>
            </w:r>
          </w:p>
        </w:tc>
      </w:tr>
    </w:tbl>
    <w:p w14:paraId="7F71C225">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因此，本项目所在区域202</w:t>
      </w:r>
      <w:r>
        <w:rPr>
          <w:snapToGrid w:val="0"/>
          <w:color w:val="000000" w:themeColor="text1"/>
          <w14:textFill>
            <w14:solidFill>
              <w14:schemeClr w14:val="tx1"/>
            </w14:solidFill>
          </w14:textFill>
        </w:rPr>
        <w:t>4</w:t>
      </w:r>
      <w:r>
        <w:rPr>
          <w:rFonts w:hint="eastAsia"/>
          <w:snapToGrid w:val="0"/>
          <w:color w:val="000000" w:themeColor="text1"/>
          <w14:textFill>
            <w14:solidFill>
              <w14:schemeClr w14:val="tx1"/>
            </w14:solidFill>
          </w14:textFill>
        </w:rPr>
        <w:t>年基本污染物（SO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、NO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、PM</w:t>
      </w:r>
      <w:r>
        <w:rPr>
          <w:rFonts w:hint="eastAsia"/>
          <w:snapToGrid w:val="0"/>
          <w:color w:val="000000" w:themeColor="text1"/>
          <w:vertAlign w:val="subscript"/>
          <w14:textFill>
            <w14:solidFill>
              <w14:schemeClr w14:val="tx1"/>
            </w14:solidFill>
          </w14:textFill>
        </w:rPr>
        <w:t>10</w:t>
      </w:r>
      <w:r>
        <w:rPr>
          <w:rFonts w:hint="eastAsia"/>
          <w:snapToGrid w:val="0"/>
          <w:color w:val="000000" w:themeColor="text1"/>
          <w14:textFill>
            <w14:solidFill>
              <w14:schemeClr w14:val="tx1"/>
            </w14:solidFill>
          </w14:textFill>
        </w:rPr>
        <w:t>、PM</w:t>
      </w:r>
      <w:r>
        <w:rPr>
          <w:rFonts w:hint="eastAsia"/>
          <w:snapToGrid w:val="0"/>
          <w:color w:val="000000" w:themeColor="text1"/>
          <w:vertAlign w:val="subscript"/>
          <w14:textFill>
            <w14:solidFill>
              <w14:schemeClr w14:val="tx1"/>
            </w14:solidFill>
          </w14:textFill>
        </w:rPr>
        <w:t>2.5</w:t>
      </w:r>
      <w:r>
        <w:rPr>
          <w:rFonts w:hint="eastAsia"/>
          <w:snapToGrid w:val="0"/>
          <w:color w:val="000000" w:themeColor="text1"/>
          <w14:textFill>
            <w14:solidFill>
              <w14:schemeClr w14:val="tx1"/>
            </w14:solidFill>
          </w14:textFill>
        </w:rPr>
        <w:t>、O</w:t>
      </w:r>
      <w:r>
        <w:rPr>
          <w:rFonts w:hint="eastAsia"/>
          <w:snapToGrid w:val="0"/>
          <w:color w:val="000000" w:themeColor="text1"/>
          <w:vertAlign w:val="subscript"/>
          <w14:textFill>
            <w14:solidFill>
              <w14:schemeClr w14:val="tx1"/>
            </w14:solidFill>
          </w14:textFill>
        </w:rPr>
        <w:t>3</w:t>
      </w:r>
      <w:r>
        <w:rPr>
          <w:rFonts w:hint="eastAsia"/>
          <w:snapToGrid w:val="0"/>
          <w:color w:val="000000" w:themeColor="text1"/>
          <w14:textFill>
            <w14:solidFill>
              <w14:schemeClr w14:val="tx1"/>
            </w14:solidFill>
          </w14:textFill>
        </w:rPr>
        <w:t>、CO）浓度满足《环境空气质量标准》（</w:t>
      </w:r>
      <w:r>
        <w:rPr>
          <w:rFonts w:hint="eastAsia"/>
          <w:snapToGrid w:val="0"/>
          <w:color w:val="000000" w:themeColor="text1"/>
          <w:lang w:eastAsia="zh-CN"/>
          <w14:textFill>
            <w14:solidFill>
              <w14:schemeClr w14:val="tx1"/>
            </w14:solidFill>
          </w14:textFill>
        </w:rPr>
        <w:t>GB3095-2026</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二级标准浓度限值，判定本项目所在区域环境空气质量为达标区。</w:t>
      </w:r>
    </w:p>
    <w:p w14:paraId="2880CDCD">
      <w:pPr>
        <w:pStyle w:val="7"/>
        <w:rPr>
          <w:snapToGrid w:val="0"/>
          <w:color w:val="000000" w:themeColor="text1"/>
          <w:highlight w:val="none"/>
          <w14:textFill>
            <w14:solidFill>
              <w14:schemeClr w14:val="tx1"/>
            </w14:solidFill>
          </w14:textFill>
        </w:rPr>
      </w:pPr>
      <w:r>
        <w:rPr>
          <w:snapToGrid w:val="0"/>
          <w:color w:val="000000" w:themeColor="text1"/>
          <w:highlight w:val="none"/>
          <w14:textFill>
            <w14:solidFill>
              <w14:schemeClr w14:val="tx1"/>
            </w14:solidFill>
          </w14:textFill>
        </w:rPr>
        <w:t>4.2.1.2</w:t>
      </w:r>
      <w:r>
        <w:rPr>
          <w:rFonts w:hint="eastAsia"/>
          <w:snapToGrid w:val="0"/>
          <w:color w:val="000000" w:themeColor="text1"/>
          <w:highlight w:val="none"/>
          <w14:textFill>
            <w14:solidFill>
              <w14:schemeClr w14:val="tx1"/>
            </w14:solidFill>
          </w14:textFill>
        </w:rPr>
        <w:t>其他污染物</w:t>
      </w:r>
      <w:r>
        <w:rPr>
          <w:snapToGrid w:val="0"/>
          <w:color w:val="000000" w:themeColor="text1"/>
          <w:highlight w:val="none"/>
          <w14:textFill>
            <w14:solidFill>
              <w14:schemeClr w14:val="tx1"/>
            </w14:solidFill>
          </w14:textFill>
        </w:rPr>
        <w:t>空气质量监测</w:t>
      </w:r>
    </w:p>
    <w:p w14:paraId="7064094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监测</w:t>
      </w:r>
      <w:r>
        <w:rPr>
          <w:rFonts w:hint="eastAsia"/>
          <w:snapToGrid w:val="0"/>
          <w:color w:val="000000" w:themeColor="text1"/>
          <w14:textFill>
            <w14:solidFill>
              <w14:schemeClr w14:val="tx1"/>
            </w14:solidFill>
          </w14:textFill>
        </w:rPr>
        <w:t>时间及监测</w:t>
      </w:r>
      <w:r>
        <w:rPr>
          <w:snapToGrid w:val="0"/>
          <w:color w:val="000000" w:themeColor="text1"/>
          <w14:textFill>
            <w14:solidFill>
              <w14:schemeClr w14:val="tx1"/>
            </w14:solidFill>
          </w14:textFill>
        </w:rPr>
        <w:t>项目</w:t>
      </w:r>
    </w:p>
    <w:p w14:paraId="48C5313A">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本次环评采取建设单位委托</w:t>
      </w:r>
      <w:r>
        <w:rPr>
          <w:rFonts w:hint="eastAsia"/>
          <w:snapToGrid w:val="0"/>
          <w:color w:val="000000" w:themeColor="text1"/>
          <w:lang w:eastAsia="zh-CN"/>
          <w14:textFill>
            <w14:solidFill>
              <w14:schemeClr w14:val="tx1"/>
            </w14:solidFill>
          </w14:textFill>
        </w:rPr>
        <w:t>黑龙江凌霄环境监测有限公司</w:t>
      </w:r>
      <w:r>
        <w:rPr>
          <w:rFonts w:hint="eastAsia"/>
          <w:snapToGrid w:val="0"/>
          <w:color w:val="000000" w:themeColor="text1"/>
          <w14:textFill>
            <w14:solidFill>
              <w14:schemeClr w14:val="tx1"/>
            </w14:solidFill>
          </w14:textFill>
        </w:rPr>
        <w:t>对项目区环境空气质量补充监测数据</w:t>
      </w:r>
      <w:r>
        <w:rPr>
          <w:rFonts w:hint="eastAsia"/>
          <w:snapToGrid w:val="0"/>
          <w:color w:val="auto"/>
        </w:rPr>
        <w:t>，</w:t>
      </w:r>
      <w:r>
        <w:rPr>
          <w:color w:val="000000" w:themeColor="text1"/>
          <w14:textFill>
            <w14:solidFill>
              <w14:schemeClr w14:val="tx1"/>
            </w14:solidFill>
          </w14:textFill>
        </w:rPr>
        <w:t>于202</w:t>
      </w:r>
      <w:r>
        <w:rPr>
          <w:rFonts w:hint="eastAsia"/>
          <w:color w:val="000000" w:themeColor="text1"/>
          <w:lang w:val="en-US" w:eastAsia="zh-CN"/>
          <w14:textFill>
            <w14:solidFill>
              <w14:schemeClr w14:val="tx1"/>
            </w14:solidFill>
          </w14:textFill>
        </w:rPr>
        <w:t>6</w:t>
      </w:r>
      <w:r>
        <w:rPr>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5</w:t>
      </w:r>
      <w:r>
        <w:rPr>
          <w:color w:val="000000" w:themeColor="text1"/>
          <w14:textFill>
            <w14:solidFill>
              <w14:schemeClr w14:val="tx1"/>
            </w14:solidFill>
          </w14:textFill>
        </w:rPr>
        <w:t>月</w:t>
      </w:r>
      <w:r>
        <w:rPr>
          <w:rFonts w:hint="eastAsia"/>
          <w:color w:val="000000" w:themeColor="text1"/>
          <w:lang w:val="en-US" w:eastAsia="zh-CN"/>
          <w14:textFill>
            <w14:solidFill>
              <w14:schemeClr w14:val="tx1"/>
            </w14:solidFill>
          </w14:textFill>
        </w:rPr>
        <w:t>19</w:t>
      </w:r>
      <w:r>
        <w:rPr>
          <w:color w:val="000000" w:themeColor="text1"/>
          <w14:textFill>
            <w14:solidFill>
              <w14:schemeClr w14:val="tx1"/>
            </w14:solidFill>
          </w14:textFill>
        </w:rPr>
        <w:t>日～202</w:t>
      </w:r>
      <w:r>
        <w:rPr>
          <w:rFonts w:hint="eastAsia"/>
          <w:color w:val="000000" w:themeColor="text1"/>
          <w:lang w:val="en-US" w:eastAsia="zh-CN"/>
          <w14:textFill>
            <w14:solidFill>
              <w14:schemeClr w14:val="tx1"/>
            </w14:solidFill>
          </w14:textFill>
        </w:rPr>
        <w:t>6</w:t>
      </w:r>
      <w:r>
        <w:rPr>
          <w:rFonts w:hint="eastAsia"/>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5</w:t>
      </w:r>
      <w:r>
        <w:rPr>
          <w:color w:val="000000" w:themeColor="text1"/>
          <w14:textFill>
            <w14:solidFill>
              <w14:schemeClr w14:val="tx1"/>
            </w14:solidFill>
          </w14:textFill>
        </w:rPr>
        <w:t>月</w:t>
      </w:r>
      <w:r>
        <w:rPr>
          <w:rFonts w:hint="eastAsia"/>
          <w:color w:val="000000" w:themeColor="text1"/>
          <w:lang w:val="en-US" w:eastAsia="zh-CN"/>
          <w14:textFill>
            <w14:solidFill>
              <w14:schemeClr w14:val="tx1"/>
            </w14:solidFill>
          </w14:textFill>
        </w:rPr>
        <w:t>25</w:t>
      </w:r>
      <w:r>
        <w:rPr>
          <w:color w:val="000000" w:themeColor="text1"/>
          <w14:textFill>
            <w14:solidFill>
              <w14:schemeClr w14:val="tx1"/>
            </w14:solidFill>
          </w14:textFill>
        </w:rPr>
        <w:t>日为期7天监测有效数据，</w:t>
      </w:r>
      <w:r>
        <w:rPr>
          <w:rFonts w:hint="eastAsia"/>
          <w:snapToGrid w:val="0"/>
          <w:color w:val="000000" w:themeColor="text1"/>
          <w14:textFill>
            <w14:solidFill>
              <w14:schemeClr w14:val="tx1"/>
            </w14:solidFill>
          </w14:textFill>
        </w:rPr>
        <w:t>监测项目为</w:t>
      </w:r>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r>
        <w:rPr>
          <w:rFonts w:hint="eastAsia"/>
          <w:snapToGrid w:val="0"/>
          <w:color w:val="000000" w:themeColor="text1"/>
          <w14:textFill>
            <w14:solidFill>
              <w14:schemeClr w14:val="tx1"/>
            </w14:solidFill>
          </w14:textFill>
        </w:rPr>
        <w:t>、T</w:t>
      </w:r>
      <w:r>
        <w:rPr>
          <w:snapToGrid w:val="0"/>
          <w:color w:val="000000" w:themeColor="text1"/>
          <w14:textFill>
            <w14:solidFill>
              <w14:schemeClr w14:val="tx1"/>
            </w14:solidFill>
          </w14:textFill>
        </w:rPr>
        <w:t>SP</w:t>
      </w:r>
      <w:r>
        <w:rPr>
          <w:rFonts w:hint="eastAsia"/>
          <w:snapToGrid w:val="0"/>
          <w:color w:val="000000" w:themeColor="text1"/>
          <w:lang w:val="en-US" w:eastAsia="zh-CN"/>
          <w14:textFill>
            <w14:solidFill>
              <w14:schemeClr w14:val="tx1"/>
            </w14:solidFill>
          </w14:textFill>
        </w:rPr>
        <w:t>和臭气浓度</w:t>
      </w:r>
      <w:r>
        <w:rPr>
          <w:rFonts w:hint="eastAsia"/>
          <w:snapToGrid w:val="0"/>
          <w:color w:val="000000" w:themeColor="text1"/>
          <w14:textFill>
            <w14:solidFill>
              <w14:schemeClr w14:val="tx1"/>
            </w14:solidFill>
          </w14:textFill>
        </w:rPr>
        <w:t>。</w:t>
      </w:r>
    </w:p>
    <w:p w14:paraId="6B586DE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（2）</w:t>
      </w:r>
      <w:r>
        <w:rPr>
          <w:snapToGrid w:val="0"/>
          <w:color w:val="000000" w:themeColor="text1"/>
          <w14:textFill>
            <w14:solidFill>
              <w14:schemeClr w14:val="tx1"/>
            </w14:solidFill>
          </w14:textFill>
        </w:rPr>
        <w:t>监测点布设</w:t>
      </w:r>
    </w:p>
    <w:p w14:paraId="43B3D02C">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根据《环境影响评价技术导则</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大气环境》（</w:t>
      </w:r>
      <w:r>
        <w:rPr>
          <w:snapToGrid w:val="0"/>
          <w:color w:val="000000" w:themeColor="text1"/>
          <w14:textFill>
            <w14:solidFill>
              <w14:schemeClr w14:val="tx1"/>
            </w14:solidFill>
          </w14:textFill>
        </w:rPr>
        <w:t>HJ2.2-2018</w:t>
      </w:r>
      <w:r>
        <w:rPr>
          <w:rFonts w:hint="eastAsia"/>
          <w:snapToGrid w:val="0"/>
          <w:color w:val="000000" w:themeColor="text1"/>
          <w14:textFill>
            <w14:solidFill>
              <w14:schemeClr w14:val="tx1"/>
            </w14:solidFill>
          </w14:textFill>
        </w:rPr>
        <w:t>），补充监测布点以近</w:t>
      </w:r>
      <w:r>
        <w:rPr>
          <w:snapToGrid w:val="0"/>
          <w:color w:val="000000" w:themeColor="text1"/>
          <w14:textFill>
            <w14:solidFill>
              <w14:schemeClr w14:val="tx1"/>
            </w14:solidFill>
          </w14:textFill>
        </w:rPr>
        <w:t>20</w:t>
      </w:r>
      <w:r>
        <w:rPr>
          <w:rFonts w:hint="eastAsia"/>
          <w:snapToGrid w:val="0"/>
          <w:color w:val="000000" w:themeColor="text1"/>
          <w14:textFill>
            <w14:solidFill>
              <w14:schemeClr w14:val="tx1"/>
            </w14:solidFill>
          </w14:textFill>
        </w:rPr>
        <w:t>年的当地主导风向为轴向，在厂址及主导风向下风向</w:t>
      </w:r>
      <w:r>
        <w:rPr>
          <w:snapToGrid w:val="0"/>
          <w:color w:val="000000" w:themeColor="text1"/>
          <w14:textFill>
            <w14:solidFill>
              <w14:schemeClr w14:val="tx1"/>
            </w14:solidFill>
          </w14:textFill>
        </w:rPr>
        <w:t>5km</w:t>
      </w:r>
      <w:r>
        <w:rPr>
          <w:rFonts w:hint="eastAsia"/>
          <w:snapToGrid w:val="0"/>
          <w:color w:val="000000" w:themeColor="text1"/>
          <w14:textFill>
            <w14:solidFill>
              <w14:schemeClr w14:val="tx1"/>
            </w14:solidFill>
          </w14:textFill>
        </w:rPr>
        <w:t>范围内设置</w:t>
      </w:r>
      <w:r>
        <w:rPr>
          <w:snapToGrid w:val="0"/>
          <w:color w:val="000000" w:themeColor="text1"/>
          <w14:textFill>
            <w14:solidFill>
              <w14:schemeClr w14:val="tx1"/>
            </w14:solidFill>
          </w14:textFill>
        </w:rPr>
        <w:t>1~2</w:t>
      </w:r>
      <w:r>
        <w:rPr>
          <w:rFonts w:hint="eastAsia"/>
          <w:snapToGrid w:val="0"/>
          <w:color w:val="000000" w:themeColor="text1"/>
          <w14:textFill>
            <w14:solidFill>
              <w14:schemeClr w14:val="tx1"/>
            </w14:solidFill>
          </w14:textFill>
        </w:rPr>
        <w:t>个监测点。</w:t>
      </w:r>
    </w:p>
    <w:p w14:paraId="69F0401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项目所处区域各监测点的情况见表4-2-2</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监测布点图见</w:t>
      </w:r>
      <w:r>
        <w:rPr>
          <w:rFonts w:hint="eastAsia"/>
          <w:snapToGrid w:val="0"/>
          <w:color w:val="000000" w:themeColor="text1"/>
          <w:lang w:val="en-US" w:eastAsia="zh-CN"/>
          <w14:textFill>
            <w14:solidFill>
              <w14:schemeClr w14:val="tx1"/>
            </w14:solidFill>
          </w14:textFill>
        </w:rPr>
        <w:t>图4-2-1</w:t>
      </w:r>
      <w:r>
        <w:rPr>
          <w:snapToGrid w:val="0"/>
          <w:color w:val="000000" w:themeColor="text1"/>
          <w14:textFill>
            <w14:solidFill>
              <w14:schemeClr w14:val="tx1"/>
            </w14:solidFill>
          </w14:textFill>
        </w:rPr>
        <w:t>。</w:t>
      </w:r>
    </w:p>
    <w:p w14:paraId="40D8C120">
      <w:pPr>
        <w:pStyle w:val="206"/>
        <w:rPr>
          <w:rFonts w:hint="eastAsia"/>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表4-2</w:t>
      </w:r>
      <w:r>
        <w:rPr>
          <w:snapToGrid w:val="0"/>
          <w:color w:val="000000" w:themeColor="text1"/>
          <w14:textFill>
            <w14:solidFill>
              <w14:schemeClr w14:val="tx1"/>
            </w14:solidFill>
          </w14:textFill>
        </w:rPr>
        <w:t xml:space="preserve">-2 </w:t>
      </w:r>
      <w:r>
        <w:rPr>
          <w:rFonts w:hint="eastAsia"/>
          <w:snapToGrid w:val="0"/>
          <w:color w:val="000000" w:themeColor="text1"/>
          <w14:textFill>
            <w14:solidFill>
              <w14:schemeClr w14:val="tx1"/>
            </w14:solidFill>
          </w14:textFill>
        </w:rPr>
        <w:t>环境空气监测布点情况</w:t>
      </w:r>
    </w:p>
    <w:tbl>
      <w:tblPr>
        <w:tblStyle w:val="49"/>
        <w:tblW w:w="512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1737"/>
        <w:gridCol w:w="1320"/>
        <w:gridCol w:w="1583"/>
        <w:gridCol w:w="1365"/>
        <w:gridCol w:w="1534"/>
      </w:tblGrid>
      <w:tr w14:paraId="466D81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9" w:type="pct"/>
            <w:vMerge w:val="restart"/>
            <w:noWrap w:val="0"/>
            <w:vAlign w:val="center"/>
          </w:tcPr>
          <w:p w14:paraId="766471A3">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监测点名称</w:t>
            </w:r>
          </w:p>
        </w:tc>
        <w:tc>
          <w:tcPr>
            <w:tcW w:w="1792" w:type="pct"/>
            <w:gridSpan w:val="2"/>
            <w:noWrap w:val="0"/>
            <w:vAlign w:val="center"/>
          </w:tcPr>
          <w:p w14:paraId="4E592314">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监测点位坐标</w:t>
            </w:r>
          </w:p>
        </w:tc>
        <w:tc>
          <w:tcPr>
            <w:tcW w:w="928" w:type="pct"/>
            <w:vMerge w:val="restart"/>
            <w:noWrap w:val="0"/>
            <w:vAlign w:val="center"/>
          </w:tcPr>
          <w:p w14:paraId="0C6D88F8">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监测因子</w:t>
            </w:r>
          </w:p>
        </w:tc>
        <w:tc>
          <w:tcPr>
            <w:tcW w:w="800" w:type="pct"/>
            <w:vMerge w:val="restart"/>
            <w:noWrap w:val="0"/>
            <w:vAlign w:val="center"/>
          </w:tcPr>
          <w:p w14:paraId="3542F05B">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监测时段</w:t>
            </w:r>
          </w:p>
        </w:tc>
        <w:tc>
          <w:tcPr>
            <w:tcW w:w="899" w:type="pct"/>
            <w:vMerge w:val="restart"/>
            <w:noWrap w:val="0"/>
            <w:vAlign w:val="center"/>
          </w:tcPr>
          <w:p w14:paraId="3DF17687">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监测点相对位置关系</w:t>
            </w:r>
          </w:p>
        </w:tc>
      </w:tr>
      <w:tr w14:paraId="30377D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9" w:type="pct"/>
            <w:vMerge w:val="continue"/>
            <w:noWrap w:val="0"/>
            <w:vAlign w:val="center"/>
          </w:tcPr>
          <w:p w14:paraId="26BC8701">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p>
        </w:tc>
        <w:tc>
          <w:tcPr>
            <w:tcW w:w="1018" w:type="pct"/>
            <w:noWrap w:val="0"/>
            <w:vAlign w:val="center"/>
          </w:tcPr>
          <w:p w14:paraId="75AF7C97">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经度</w:t>
            </w:r>
          </w:p>
        </w:tc>
        <w:tc>
          <w:tcPr>
            <w:tcW w:w="773" w:type="pct"/>
            <w:noWrap w:val="0"/>
            <w:vAlign w:val="center"/>
          </w:tcPr>
          <w:p w14:paraId="4C54E661">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纬度</w:t>
            </w:r>
          </w:p>
        </w:tc>
        <w:tc>
          <w:tcPr>
            <w:tcW w:w="928" w:type="pct"/>
            <w:vMerge w:val="continue"/>
            <w:noWrap w:val="0"/>
            <w:vAlign w:val="center"/>
          </w:tcPr>
          <w:p w14:paraId="70887528">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p>
        </w:tc>
        <w:tc>
          <w:tcPr>
            <w:tcW w:w="800" w:type="pct"/>
            <w:vMerge w:val="continue"/>
            <w:noWrap w:val="0"/>
            <w:vAlign w:val="center"/>
          </w:tcPr>
          <w:p w14:paraId="7E026C04">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p>
        </w:tc>
        <w:tc>
          <w:tcPr>
            <w:tcW w:w="899" w:type="pct"/>
            <w:vMerge w:val="continue"/>
            <w:noWrap w:val="0"/>
            <w:vAlign w:val="center"/>
          </w:tcPr>
          <w:p w14:paraId="00854C7F">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p>
        </w:tc>
      </w:tr>
      <w:tr w14:paraId="2EFDB2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9" w:type="pct"/>
            <w:noWrap w:val="0"/>
            <w:vAlign w:val="center"/>
          </w:tcPr>
          <w:p w14:paraId="13F168C6">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cs="Times New Roman"/>
                <w:color w:val="auto"/>
                <w:sz w:val="21"/>
                <w:szCs w:val="21"/>
                <w:highlight w:val="none"/>
              </w:rPr>
              <w:t>1#</w:t>
            </w:r>
            <w:r>
              <w:rPr>
                <w:rFonts w:hint="default" w:ascii="Times New Roman" w:hAnsi="Times New Roman" w:cs="Times New Roman"/>
                <w:color w:val="auto"/>
                <w:sz w:val="21"/>
                <w:szCs w:val="21"/>
                <w:highlight w:val="none"/>
                <w:lang w:eastAsia="zh-CN"/>
              </w:rPr>
              <w:t>厂区内</w:t>
            </w:r>
          </w:p>
        </w:tc>
        <w:tc>
          <w:tcPr>
            <w:tcW w:w="1018" w:type="pct"/>
            <w:noWrap w:val="0"/>
            <w:vAlign w:val="center"/>
          </w:tcPr>
          <w:p w14:paraId="08D871E4">
            <w:pPr>
              <w:pStyle w:val="143"/>
              <w:ind w:firstLine="0" w:firstLineChars="0"/>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130.57539708</w:t>
            </w:r>
          </w:p>
        </w:tc>
        <w:tc>
          <w:tcPr>
            <w:tcW w:w="773" w:type="pct"/>
            <w:noWrap w:val="0"/>
            <w:vAlign w:val="center"/>
          </w:tcPr>
          <w:p w14:paraId="6440B6D2">
            <w:pPr>
              <w:pStyle w:val="143"/>
              <w:ind w:firstLine="0" w:firstLineChars="0"/>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46.26933100</w:t>
            </w:r>
          </w:p>
        </w:tc>
        <w:tc>
          <w:tcPr>
            <w:tcW w:w="928" w:type="pct"/>
            <w:vMerge w:val="restart"/>
            <w:noWrap w:val="0"/>
            <w:vAlign w:val="center"/>
          </w:tcPr>
          <w:p w14:paraId="4607F9C5">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olor w:val="auto"/>
                <w:sz w:val="21"/>
                <w:szCs w:val="21"/>
                <w:highlight w:val="none"/>
                <w:lang w:val="en-US" w:eastAsia="zh-CN"/>
              </w:rPr>
            </w:pPr>
            <w:r>
              <w:rPr>
                <w:rFonts w:ascii="Times New Roman" w:hAnsi="Times New Roman"/>
                <w:color w:val="auto"/>
                <w:sz w:val="21"/>
                <w:szCs w:val="21"/>
                <w:highlight w:val="none"/>
              </w:rPr>
              <w:t>臭气浓度、总悬浮颗粒物</w:t>
            </w:r>
            <w:r>
              <w:rPr>
                <w:rFonts w:hint="eastAsia" w:ascii="Times New Roman" w:hAnsi="Times New Roman" w:eastAsia="宋体"/>
                <w:color w:val="auto"/>
                <w:sz w:val="21"/>
                <w:szCs w:val="21"/>
                <w:highlight w:val="none"/>
                <w:lang w:eastAsia="zh-CN"/>
              </w:rPr>
              <w:t>、</w:t>
            </w:r>
            <w:r>
              <w:rPr>
                <w:color w:val="auto"/>
                <w:sz w:val="21"/>
                <w:szCs w:val="21"/>
                <w:highlight w:val="none"/>
              </w:rPr>
              <w:t>氨、硫化氢</w:t>
            </w:r>
          </w:p>
        </w:tc>
        <w:tc>
          <w:tcPr>
            <w:tcW w:w="800" w:type="pct"/>
            <w:vMerge w:val="restart"/>
            <w:noWrap w:val="0"/>
            <w:vAlign w:val="center"/>
          </w:tcPr>
          <w:p w14:paraId="41887A79">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r>
              <w:rPr>
                <w:rFonts w:ascii="Times New Roman" w:hAnsi="Times New Roman"/>
                <w:color w:val="000000" w:themeColor="text1"/>
                <w:sz w:val="21"/>
                <w:szCs w:val="21"/>
                <w:highlight w:val="none"/>
                <w14:textFill>
                  <w14:solidFill>
                    <w14:schemeClr w14:val="tx1"/>
                  </w14:solidFill>
                </w14:textFill>
              </w:rPr>
              <w:t>202</w:t>
            </w:r>
            <w:r>
              <w:rPr>
                <w:rFonts w:hint="eastAsia"/>
                <w:color w:val="000000" w:themeColor="text1"/>
                <w:sz w:val="21"/>
                <w:szCs w:val="21"/>
                <w:highlight w:val="none"/>
                <w:lang w:val="en-US" w:eastAsia="zh-CN"/>
                <w14:textFill>
                  <w14:solidFill>
                    <w14:schemeClr w14:val="tx1"/>
                  </w14:solidFill>
                </w14:textFill>
              </w:rPr>
              <w:t>6</w:t>
            </w:r>
            <w:r>
              <w:rPr>
                <w:rFonts w:ascii="Times New Roman" w:hAnsi="Times New Roman"/>
                <w:color w:val="000000" w:themeColor="text1"/>
                <w:sz w:val="21"/>
                <w:szCs w:val="21"/>
                <w:highlight w:val="none"/>
                <w14:textFill>
                  <w14:solidFill>
                    <w14:schemeClr w14:val="tx1"/>
                  </w14:solidFill>
                </w14:textFill>
              </w:rPr>
              <w:t>年</w:t>
            </w:r>
            <w:r>
              <w:rPr>
                <w:rFonts w:hint="eastAsia"/>
                <w:color w:val="000000" w:themeColor="text1"/>
                <w:sz w:val="21"/>
                <w:szCs w:val="21"/>
                <w:highlight w:val="none"/>
                <w:lang w:val="en-US" w:eastAsia="zh-CN"/>
                <w14:textFill>
                  <w14:solidFill>
                    <w14:schemeClr w14:val="tx1"/>
                  </w14:solidFill>
                </w14:textFill>
              </w:rPr>
              <w:t>5</w:t>
            </w:r>
            <w:r>
              <w:rPr>
                <w:rFonts w:ascii="Times New Roman" w:hAnsi="Times New Roman"/>
                <w:color w:val="000000" w:themeColor="text1"/>
                <w:sz w:val="21"/>
                <w:szCs w:val="21"/>
                <w:highlight w:val="none"/>
                <w14:textFill>
                  <w14:solidFill>
                    <w14:schemeClr w14:val="tx1"/>
                  </w14:solidFill>
                </w14:textFill>
              </w:rPr>
              <w:t>月</w:t>
            </w:r>
            <w:r>
              <w:rPr>
                <w:rFonts w:hint="eastAsia"/>
                <w:color w:val="000000" w:themeColor="text1"/>
                <w:sz w:val="21"/>
                <w:szCs w:val="21"/>
                <w:highlight w:val="none"/>
                <w:lang w:val="en-US" w:eastAsia="zh-CN"/>
                <w14:textFill>
                  <w14:solidFill>
                    <w14:schemeClr w14:val="tx1"/>
                  </w14:solidFill>
                </w14:textFill>
              </w:rPr>
              <w:t>19</w:t>
            </w:r>
            <w:r>
              <w:rPr>
                <w:rFonts w:ascii="Times New Roman" w:hAnsi="Times New Roman"/>
                <w:color w:val="000000" w:themeColor="text1"/>
                <w:sz w:val="21"/>
                <w:szCs w:val="21"/>
                <w:highlight w:val="none"/>
                <w14:textFill>
                  <w14:solidFill>
                    <w14:schemeClr w14:val="tx1"/>
                  </w14:solidFill>
                </w14:textFill>
              </w:rPr>
              <w:t>日-</w:t>
            </w:r>
            <w:r>
              <w:rPr>
                <w:rFonts w:hint="eastAsia"/>
                <w:color w:val="000000" w:themeColor="text1"/>
                <w:sz w:val="21"/>
                <w:szCs w:val="21"/>
                <w:highlight w:val="none"/>
                <w:lang w:val="en-US" w:eastAsia="zh-CN"/>
                <w14:textFill>
                  <w14:solidFill>
                    <w14:schemeClr w14:val="tx1"/>
                  </w14:solidFill>
                </w14:textFill>
              </w:rPr>
              <w:t>25</w:t>
            </w:r>
            <w:r>
              <w:rPr>
                <w:rFonts w:ascii="Times New Roman" w:hAnsi="Times New Roman"/>
                <w:color w:val="000000" w:themeColor="text1"/>
                <w:sz w:val="21"/>
                <w:szCs w:val="21"/>
                <w:highlight w:val="none"/>
                <w14:textFill>
                  <w14:solidFill>
                    <w14:schemeClr w14:val="tx1"/>
                  </w14:solidFill>
                </w14:textFill>
              </w:rPr>
              <w:t>日</w:t>
            </w:r>
          </w:p>
        </w:tc>
        <w:tc>
          <w:tcPr>
            <w:tcW w:w="899" w:type="pct"/>
            <w:noWrap w:val="0"/>
            <w:vAlign w:val="center"/>
          </w:tcPr>
          <w:p w14:paraId="2EC1B4C3">
            <w:pPr>
              <w:pStyle w:val="143"/>
              <w:ind w:firstLine="0" w:firstLineChars="0"/>
              <w:rPr>
                <w:rFonts w:hint="default" w:ascii="Times New Roman" w:hAnsi="Times New Roman" w:eastAsia="宋体"/>
                <w:bCs/>
                <w:color w:val="auto"/>
                <w:sz w:val="21"/>
                <w:szCs w:val="21"/>
                <w:highlight w:val="none"/>
                <w:lang w:val="en-US" w:eastAsia="zh-CN"/>
              </w:rPr>
            </w:pPr>
            <w:r>
              <w:rPr>
                <w:rFonts w:hint="eastAsia"/>
                <w:color w:val="000000" w:themeColor="text1"/>
                <w:lang w:eastAsia="zh-CN"/>
                <w14:textFill>
                  <w14:solidFill>
                    <w14:schemeClr w14:val="tx1"/>
                  </w14:solidFill>
                </w14:textFill>
              </w:rPr>
              <w:t>厂区内</w:t>
            </w:r>
          </w:p>
        </w:tc>
      </w:tr>
      <w:tr w14:paraId="7EFA53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9" w:type="pct"/>
            <w:noWrap w:val="0"/>
            <w:vAlign w:val="center"/>
          </w:tcPr>
          <w:p w14:paraId="301A0808">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auto"/>
                <w:sz w:val="21"/>
                <w:szCs w:val="21"/>
                <w:highlight w:val="none"/>
              </w:rPr>
            </w:pPr>
            <w:r>
              <w:rPr>
                <w:rFonts w:hint="eastAsia" w:ascii="Times New Roman" w:hAnsi="Times New Roman" w:eastAsia="宋体"/>
                <w:color w:val="auto"/>
                <w:sz w:val="21"/>
                <w:szCs w:val="21"/>
                <w:highlight w:val="none"/>
              </w:rPr>
              <w:t>2#</w:t>
            </w:r>
            <w:r>
              <w:rPr>
                <w:rFonts w:hint="eastAsia" w:ascii="Times New Roman" w:hAnsi="Times New Roman" w:eastAsia="宋体"/>
                <w:color w:val="auto"/>
                <w:sz w:val="21"/>
                <w:szCs w:val="21"/>
                <w:highlight w:val="none"/>
                <w:lang w:eastAsia="zh-CN"/>
              </w:rPr>
              <w:t>厂区下风向</w:t>
            </w:r>
          </w:p>
        </w:tc>
        <w:tc>
          <w:tcPr>
            <w:tcW w:w="1018" w:type="pct"/>
            <w:noWrap w:val="0"/>
            <w:vAlign w:val="center"/>
          </w:tcPr>
          <w:p w14:paraId="1EAD387B">
            <w:pPr>
              <w:pStyle w:val="143"/>
              <w:ind w:firstLine="0" w:firstLineChars="0"/>
              <w:rPr>
                <w:rFonts w:ascii="Times New Roman" w:hAnsi="Times New Roman"/>
                <w:color w:val="auto"/>
                <w:sz w:val="21"/>
                <w:szCs w:val="21"/>
                <w:highlight w:val="none"/>
              </w:rPr>
            </w:pPr>
            <w:r>
              <w:rPr>
                <w:rFonts w:hint="eastAsia" w:ascii="Times New Roman" w:hAnsi="Times New Roman"/>
                <w:color w:val="auto"/>
                <w:sz w:val="21"/>
                <w:szCs w:val="21"/>
                <w:highlight w:val="none"/>
              </w:rPr>
              <w:t>130.58139635</w:t>
            </w:r>
          </w:p>
        </w:tc>
        <w:tc>
          <w:tcPr>
            <w:tcW w:w="773" w:type="pct"/>
            <w:noWrap w:val="0"/>
            <w:vAlign w:val="center"/>
          </w:tcPr>
          <w:p w14:paraId="29C9EAA8">
            <w:pPr>
              <w:pStyle w:val="143"/>
              <w:ind w:firstLine="0" w:firstLineChars="0"/>
              <w:rPr>
                <w:rFonts w:ascii="Times New Roman" w:hAnsi="Times New Roman"/>
                <w:color w:val="auto"/>
                <w:sz w:val="21"/>
                <w:szCs w:val="21"/>
                <w:highlight w:val="none"/>
              </w:rPr>
            </w:pPr>
            <w:r>
              <w:rPr>
                <w:rFonts w:hint="eastAsia" w:ascii="Times New Roman" w:hAnsi="Times New Roman"/>
                <w:color w:val="auto"/>
                <w:sz w:val="21"/>
                <w:szCs w:val="21"/>
                <w:highlight w:val="none"/>
              </w:rPr>
              <w:t>46.26915341</w:t>
            </w:r>
          </w:p>
        </w:tc>
        <w:tc>
          <w:tcPr>
            <w:tcW w:w="928" w:type="pct"/>
            <w:vMerge w:val="continue"/>
            <w:noWrap w:val="0"/>
            <w:vAlign w:val="center"/>
          </w:tcPr>
          <w:p w14:paraId="3F3DCB37">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p>
        </w:tc>
        <w:tc>
          <w:tcPr>
            <w:tcW w:w="800" w:type="pct"/>
            <w:vMerge w:val="continue"/>
            <w:noWrap w:val="0"/>
            <w:vAlign w:val="center"/>
          </w:tcPr>
          <w:p w14:paraId="1986086D">
            <w:pPr>
              <w:keepNext w:val="0"/>
              <w:keepLines w:val="0"/>
              <w:pageBreakBefore w:val="0"/>
              <w:widowControl w:val="0"/>
              <w:kinsoku/>
              <w:overflowPunct/>
              <w:topLinePunct w:val="0"/>
              <w:autoSpaceDE/>
              <w:autoSpaceDN/>
              <w:bidi w:val="0"/>
              <w:adjustRightInd w:val="0"/>
              <w:snapToGrid w:val="0"/>
              <w:spacing w:line="240" w:lineRule="auto"/>
              <w:ind w:firstLine="0" w:firstLineChars="0"/>
              <w:jc w:val="center"/>
              <w:textAlignment w:val="auto"/>
              <w:rPr>
                <w:rFonts w:ascii="Times New Roman" w:hAnsi="Times New Roman"/>
                <w:color w:val="auto"/>
                <w:sz w:val="21"/>
                <w:szCs w:val="21"/>
                <w:highlight w:val="none"/>
              </w:rPr>
            </w:pPr>
          </w:p>
        </w:tc>
        <w:tc>
          <w:tcPr>
            <w:tcW w:w="899" w:type="pct"/>
            <w:noWrap w:val="0"/>
            <w:vAlign w:val="center"/>
          </w:tcPr>
          <w:p w14:paraId="19447298">
            <w:pPr>
              <w:pStyle w:val="143"/>
              <w:ind w:firstLine="0" w:firstLineChars="0"/>
              <w:rPr>
                <w:rFonts w:hint="default" w:ascii="Times New Roman" w:hAnsi="Times New Roman" w:eastAsia="宋体"/>
                <w:bCs/>
                <w:color w:val="auto"/>
                <w:sz w:val="21"/>
                <w:szCs w:val="21"/>
                <w:highlight w:val="none"/>
                <w:lang w:val="en-US"/>
              </w:rPr>
            </w:pPr>
            <w:r>
              <w:rPr>
                <w:rFonts w:hint="eastAsia"/>
                <w:color w:val="000000" w:themeColor="text1"/>
                <w:lang w:eastAsia="zh-CN"/>
                <w14:textFill>
                  <w14:solidFill>
                    <w14:schemeClr w14:val="tx1"/>
                  </w14:solidFill>
                </w14:textFill>
              </w:rPr>
              <w:t>厂区</w:t>
            </w:r>
            <w:r>
              <w:rPr>
                <w:rFonts w:ascii="Times New Roman" w:hAnsi="Times New Roman" w:cs="Times New Roman"/>
                <w:szCs w:val="21"/>
              </w:rPr>
              <w:t>主导风向</w:t>
            </w:r>
            <w:r>
              <w:rPr>
                <w:rFonts w:hint="eastAsia" w:ascii="Times New Roman" w:hAnsi="Times New Roman" w:cs="Times New Roman"/>
                <w:szCs w:val="21"/>
              </w:rPr>
              <w:t>下</w:t>
            </w:r>
            <w:r>
              <w:rPr>
                <w:rFonts w:ascii="Times New Roman" w:hAnsi="Times New Roman" w:cs="Times New Roman"/>
                <w:szCs w:val="21"/>
              </w:rPr>
              <w:t>风向</w:t>
            </w:r>
            <w:r>
              <w:rPr>
                <w:rFonts w:hint="eastAsia"/>
                <w:color w:val="000000" w:themeColor="text1"/>
                <w:lang w:val="en-US" w:eastAsia="zh-CN"/>
                <w14:textFill>
                  <w14:solidFill>
                    <w14:schemeClr w14:val="tx1"/>
                  </w14:solidFill>
                </w14:textFill>
              </w:rPr>
              <w:t>300m处</w:t>
            </w:r>
          </w:p>
        </w:tc>
      </w:tr>
    </w:tbl>
    <w:p w14:paraId="7D6E928B">
      <w:pPr>
        <w:pStyle w:val="206"/>
        <w:rPr>
          <w:rFonts w:hint="eastAsia"/>
          <w:snapToGrid w:val="0"/>
          <w:color w:val="000000" w:themeColor="text1"/>
          <w14:textFill>
            <w14:solidFill>
              <w14:schemeClr w14:val="tx1"/>
            </w14:solidFill>
          </w14:textFill>
        </w:rPr>
      </w:pPr>
    </w:p>
    <w:p w14:paraId="53A42B60">
      <w:pPr>
        <w:pStyle w:val="206"/>
        <w:rPr>
          <w:rFonts w:hint="eastAsia"/>
          <w:snapToGrid w:val="0"/>
          <w:color w:val="000000" w:themeColor="text1"/>
          <w14:textFill>
            <w14:solidFill>
              <w14:schemeClr w14:val="tx1"/>
            </w14:solidFill>
          </w14:textFill>
        </w:rPr>
      </w:pPr>
    </w:p>
    <w:p w14:paraId="4DDC3CFA">
      <w:pPr>
        <w:widowControl/>
        <w:spacing w:line="500" w:lineRule="atLeast"/>
        <w:ind w:left="0" w:leftChars="0" w:firstLine="0" w:firstLineChars="0"/>
        <w:rPr>
          <w:rFonts w:hint="eastAsia"/>
          <w:snapToGrid w:val="0"/>
          <w:color w:val="FF0000"/>
          <w:kern w:val="0"/>
        </w:rPr>
      </w:pPr>
      <w:r>
        <w:rPr>
          <w:sz w:val="24"/>
        </w:rPr>
        <mc:AlternateContent>
          <mc:Choice Requires="wps">
            <w:drawing>
              <wp:anchor distT="0" distB="0" distL="114300" distR="114300" simplePos="0" relativeHeight="251672576" behindDoc="0" locked="0" layoutInCell="1" allowOverlap="1">
                <wp:simplePos x="0" y="0"/>
                <wp:positionH relativeFrom="column">
                  <wp:posOffset>3673475</wp:posOffset>
                </wp:positionH>
                <wp:positionV relativeFrom="paragraph">
                  <wp:posOffset>1844040</wp:posOffset>
                </wp:positionV>
                <wp:extent cx="364490" cy="25400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364490" cy="254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63B9C1">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color w:val="FF0000"/>
                                <w:lang w:val="en-US" w:eastAsia="zh-CN"/>
                              </w:rPr>
                            </w:pPr>
                            <w:r>
                              <w:rPr>
                                <w:rFonts w:hint="eastAsia"/>
                                <w:color w:val="FF0000"/>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9.25pt;margin-top:145.2pt;height:20pt;width:28.7pt;z-index:251672576;mso-width-relative:page;mso-height-relative:page;" filled="f" stroked="f" coordsize="21600,21600" o:gfxdata="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xTw5LdwAAAALAQAADwAAAAAAAAABACAAAAAiAAAA&#10;ZHJzL2Rvd25yZXYueG1sUEsBAhQAFAAAAAgAh07iQBMptJ08AgAAZwQAAA4AAAAAAAAAAQAgAAAA&#10;KwEAAGRycy9lMm9Eb2MueG1sUEsFBgAAAAAGAAYAWQEAANkFAAAAAA==&#10;">
                <v:fill on="f" focussize="0,0"/>
                <v:stroke on="f" weight="0.5pt"/>
                <v:imagedata o:title=""/>
                <o:lock v:ext="edit" aspectratio="f"/>
                <v:textbox>
                  <w:txbxContent>
                    <w:p w14:paraId="1D63B9C1">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color w:val="FF0000"/>
                          <w:lang w:val="en-US" w:eastAsia="zh-CN"/>
                        </w:rPr>
                      </w:pPr>
                      <w:r>
                        <w:rPr>
                          <w:rFonts w:hint="eastAsia"/>
                          <w:color w:val="FF0000"/>
                          <w:lang w:val="en-US" w:eastAsia="zh-CN"/>
                        </w:rPr>
                        <w:t>2#</w:t>
                      </w:r>
                    </w:p>
                  </w:txbxContent>
                </v:textbox>
              </v:shape>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1767205</wp:posOffset>
                </wp:positionH>
                <wp:positionV relativeFrom="paragraph">
                  <wp:posOffset>1866265</wp:posOffset>
                </wp:positionV>
                <wp:extent cx="364490" cy="254000"/>
                <wp:effectExtent l="0" t="0" r="0" b="0"/>
                <wp:wrapNone/>
                <wp:docPr id="70" name="文本框 70"/>
                <wp:cNvGraphicFramePr/>
                <a:graphic xmlns:a="http://schemas.openxmlformats.org/drawingml/2006/main">
                  <a:graphicData uri="http://schemas.microsoft.com/office/word/2010/wordprocessingShape">
                    <wps:wsp>
                      <wps:cNvSpPr txBox="1"/>
                      <wps:spPr>
                        <a:xfrm>
                          <a:off x="4201795" y="2487295"/>
                          <a:ext cx="364490" cy="254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83669D">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color w:val="FF0000"/>
                                <w:lang w:val="en-US" w:eastAsia="zh-CN"/>
                              </w:rPr>
                            </w:pPr>
                            <w:r>
                              <w:rPr>
                                <w:rFonts w:hint="eastAsia"/>
                                <w:color w:val="FF0000"/>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9.15pt;margin-top:146.95pt;height:20pt;width:28.7pt;z-index:251671552;mso-width-relative:page;mso-height-relative:page;" filled="f" stroked="f" coordsize="21600,21600" o:gfxdata="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Go+kzbbAAAACwEAAA8AAAAAAAAA&#10;AQAgAAAAIgAAAGRycy9kb3ducmV2LnhtbFBLAQIUABQAAAAIAIdO4kDfVITURwIAAHMEAAAOAAAA&#10;AAAAAAEAIAAAACoBAABkcnMvZTJvRG9jLnhtbFBLBQYAAAAABgAGAFkBAADjBQAAAAA=&#10;">
                <v:fill on="f" focussize="0,0"/>
                <v:stroke on="f" weight="0.5pt"/>
                <v:imagedata o:title=""/>
                <o:lock v:ext="edit" aspectratio="f"/>
                <v:textbox>
                  <w:txbxContent>
                    <w:p w14:paraId="4983669D">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color w:val="FF0000"/>
                          <w:lang w:val="en-US" w:eastAsia="zh-CN"/>
                        </w:rPr>
                      </w:pPr>
                      <w:r>
                        <w:rPr>
                          <w:rFonts w:hint="eastAsia"/>
                          <w:color w:val="FF0000"/>
                          <w:lang w:val="en-US" w:eastAsia="zh-CN"/>
                        </w:rPr>
                        <w:t>1#</w:t>
                      </w:r>
                    </w:p>
                  </w:txbxContent>
                </v:textbox>
              </v:shape>
            </w:pict>
          </mc:Fallback>
        </mc:AlternateContent>
      </w:r>
      <w:r>
        <w:rPr>
          <w:sz w:val="24"/>
        </w:rPr>
        <mc:AlternateContent>
          <mc:Choice Requires="wps">
            <w:drawing>
              <wp:anchor distT="0" distB="0" distL="114300" distR="114300" simplePos="0" relativeHeight="251670528" behindDoc="0" locked="0" layoutInCell="1" allowOverlap="1">
                <wp:simplePos x="0" y="0"/>
                <wp:positionH relativeFrom="column">
                  <wp:posOffset>3766820</wp:posOffset>
                </wp:positionH>
                <wp:positionV relativeFrom="paragraph">
                  <wp:posOffset>3589020</wp:posOffset>
                </wp:positionV>
                <wp:extent cx="151130" cy="142875"/>
                <wp:effectExtent l="12700" t="12700" r="26670" b="15875"/>
                <wp:wrapNone/>
                <wp:docPr id="69" name="椭圆 69"/>
                <wp:cNvGraphicFramePr/>
                <a:graphic xmlns:a="http://schemas.openxmlformats.org/drawingml/2006/main">
                  <a:graphicData uri="http://schemas.microsoft.com/office/word/2010/wordprocessingShape">
                    <wps:wsp>
                      <wps:cNvSpPr/>
                      <wps:spPr>
                        <a:xfrm>
                          <a:off x="4955540" y="4519295"/>
                          <a:ext cx="151130" cy="142875"/>
                        </a:xfrm>
                        <a:prstGeom prst="ellipse">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96.6pt;margin-top:282.6pt;height:11.25pt;width:11.9pt;z-index:251670528;v-text-anchor:middle;mso-width-relative:page;mso-height-relative:page;" fillcolor="#FF0000" filled="t" stroked="t" coordsize="21600,21600" o:gfxdata="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dDvvidcAAAALAQAADwAAAAAAAAABACAAAAAiAAAAZHJzL2Rvd25yZXYu&#10;eG1sUEsBAhQAFAAAAAgAh07iQEKbSiJuAgAA7QQAAA4AAAAAAAAAAQAgAAAAJgEAAGRycy9lMm9E&#10;b2MueG1sUEsFBgAAAAAGAAYAWQEAAAYGAAAAAA==&#10;">
                <v:fill on="t" focussize="0,0"/>
                <v:stroke weight="2pt" color="#FF0000 [2404]" joinstyle="round"/>
                <v:imagedata o:title=""/>
                <o:lock v:ext="edit" aspectratio="f"/>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3616325</wp:posOffset>
                </wp:positionH>
                <wp:positionV relativeFrom="paragraph">
                  <wp:posOffset>3279775</wp:posOffset>
                </wp:positionV>
                <wp:extent cx="420370" cy="198120"/>
                <wp:effectExtent l="12700" t="12700" r="24130" b="17780"/>
                <wp:wrapNone/>
                <wp:docPr id="68" name="矩形 68"/>
                <wp:cNvGraphicFramePr/>
                <a:graphic xmlns:a="http://schemas.openxmlformats.org/drawingml/2006/main">
                  <a:graphicData uri="http://schemas.microsoft.com/office/word/2010/wordprocessingShape">
                    <wps:wsp>
                      <wps:cNvSpPr/>
                      <wps:spPr>
                        <a:xfrm>
                          <a:off x="4757420" y="4194175"/>
                          <a:ext cx="420370" cy="19812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4.75pt;margin-top:258.25pt;height:15.6pt;width:33.1pt;z-index:251669504;v-text-anchor:middle;mso-width-relative:page;mso-height-relative:page;" filled="f" stroked="t" coordsize="21600,21600" o:gfxdata="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2UyMftkAAAALAQAADwAAAAAAAAABACAAAAAiAAAAZHJzL2Rvd25yZXYueG1s&#10;UEsBAhQAFAAAAAgAh07iQLnV32dpAgAAwQQAAA4AAAAAAAAAAQAgAAAAKAEAAGRycy9lMm9Eb2Mu&#10;eG1sUEsFBgAAAAAGAAYAWQEAAAMGAAAAAA==&#10;">
                <v:fill on="f" focussize="0,0"/>
                <v:stroke weight="2pt" color="#FF0000 [2404]" joinstyle="round"/>
                <v:imagedata o:title=""/>
                <o:lock v:ext="edit" aspectratio="f"/>
              </v:rect>
            </w:pict>
          </mc:Fallback>
        </mc:AlternateContent>
      </w:r>
      <w:r>
        <w:rPr>
          <w:sz w:val="24"/>
        </w:rPr>
        <mc:AlternateContent>
          <mc:Choice Requires="wps">
            <w:drawing>
              <wp:anchor distT="0" distB="0" distL="114300" distR="114300" simplePos="0" relativeHeight="251668480" behindDoc="0" locked="0" layoutInCell="1" allowOverlap="1">
                <wp:simplePos x="0" y="0"/>
                <wp:positionH relativeFrom="column">
                  <wp:posOffset>3544570</wp:posOffset>
                </wp:positionH>
                <wp:positionV relativeFrom="paragraph">
                  <wp:posOffset>2938145</wp:posOffset>
                </wp:positionV>
                <wp:extent cx="1722755" cy="936625"/>
                <wp:effectExtent l="4445" t="4445" r="6350" b="11430"/>
                <wp:wrapNone/>
                <wp:docPr id="67" name="文本框 67"/>
                <wp:cNvGraphicFramePr/>
                <a:graphic xmlns:a="http://schemas.openxmlformats.org/drawingml/2006/main">
                  <a:graphicData uri="http://schemas.microsoft.com/office/word/2010/wordprocessingShape">
                    <wps:wsp>
                      <wps:cNvSpPr txBox="1"/>
                      <wps:spPr>
                        <a:xfrm>
                          <a:off x="4916170" y="3852545"/>
                          <a:ext cx="1722755" cy="9366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5AF8046">
                            <w:pPr>
                              <w:ind w:firstLine="964" w:firstLineChars="400"/>
                              <w:rPr>
                                <w:rFonts w:hint="eastAsia"/>
                                <w:b/>
                                <w:bCs/>
                                <w:lang w:val="en-US" w:eastAsia="zh-CN"/>
                              </w:rPr>
                            </w:pPr>
                            <w:r>
                              <w:rPr>
                                <w:rFonts w:hint="eastAsia"/>
                                <w:b/>
                                <w:bCs/>
                                <w:lang w:val="en-US" w:eastAsia="zh-CN"/>
                              </w:rPr>
                              <w:t>图例</w:t>
                            </w:r>
                          </w:p>
                          <w:p w14:paraId="4393EC70">
                            <w:pPr>
                              <w:ind w:firstLine="720" w:firstLineChars="300"/>
                              <w:rPr>
                                <w:rFonts w:hint="eastAsia"/>
                                <w:lang w:val="en-US" w:eastAsia="zh-CN"/>
                              </w:rPr>
                            </w:pPr>
                            <w:r>
                              <w:rPr>
                                <w:rFonts w:hint="eastAsia"/>
                                <w:lang w:val="en-US" w:eastAsia="zh-CN"/>
                              </w:rPr>
                              <w:t>本项目厂界</w:t>
                            </w:r>
                          </w:p>
                          <w:p w14:paraId="091EACFB">
                            <w:pPr>
                              <w:ind w:firstLine="720" w:firstLineChars="300"/>
                              <w:rPr>
                                <w:rFonts w:hint="default"/>
                                <w:lang w:val="en-US" w:eastAsia="zh-CN"/>
                              </w:rPr>
                            </w:pPr>
                            <w:r>
                              <w:rPr>
                                <w:rFonts w:hint="eastAsia"/>
                                <w:lang w:val="en-US" w:eastAsia="zh-CN"/>
                              </w:rPr>
                              <w:t>环境空气监测点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9.1pt;margin-top:231.35pt;height:73.75pt;width:135.65pt;z-index:251668480;mso-width-relative:page;mso-height-relative:page;" fillcolor="#FFFFFF [3201]" filled="t" stroked="t" coordsize="21600,21600" o:gfxdata="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OWzUGLYAAAACwEAAA8AAAAAAAAAAQAgAAAAIgAAAGRycy9kb3ducmV2LnhtbFBL&#10;AQIUABQAAAAIAIdO4kB7DptlaAIAAMUEAAAOAAAAAAAAAAEAIAAAACcBAABkcnMvZTJvRG9jLnht&#10;bFBLBQYAAAAABgAGAFkBAAABBgAAAAA=&#10;">
                <v:fill on="t" focussize="0,0"/>
                <v:stroke weight="0.5pt" color="#000000 [3204]" joinstyle="round"/>
                <v:imagedata o:title=""/>
                <o:lock v:ext="edit" aspectratio="f"/>
                <v:textbox>
                  <w:txbxContent>
                    <w:p w14:paraId="25AF8046">
                      <w:pPr>
                        <w:ind w:firstLine="964" w:firstLineChars="400"/>
                        <w:rPr>
                          <w:rFonts w:hint="eastAsia"/>
                          <w:b/>
                          <w:bCs/>
                          <w:lang w:val="en-US" w:eastAsia="zh-CN"/>
                        </w:rPr>
                      </w:pPr>
                      <w:r>
                        <w:rPr>
                          <w:rFonts w:hint="eastAsia"/>
                          <w:b/>
                          <w:bCs/>
                          <w:lang w:val="en-US" w:eastAsia="zh-CN"/>
                        </w:rPr>
                        <w:t>图例</w:t>
                      </w:r>
                    </w:p>
                    <w:p w14:paraId="4393EC70">
                      <w:pPr>
                        <w:ind w:firstLine="720" w:firstLineChars="300"/>
                        <w:rPr>
                          <w:rFonts w:hint="eastAsia"/>
                          <w:lang w:val="en-US" w:eastAsia="zh-CN"/>
                        </w:rPr>
                      </w:pPr>
                      <w:r>
                        <w:rPr>
                          <w:rFonts w:hint="eastAsia"/>
                          <w:lang w:val="en-US" w:eastAsia="zh-CN"/>
                        </w:rPr>
                        <w:t>本项目厂界</w:t>
                      </w:r>
                    </w:p>
                    <w:p w14:paraId="091EACFB">
                      <w:pPr>
                        <w:ind w:firstLine="720" w:firstLineChars="300"/>
                        <w:rPr>
                          <w:rFonts w:hint="default"/>
                          <w:lang w:val="en-US" w:eastAsia="zh-CN"/>
                        </w:rPr>
                      </w:pPr>
                      <w:r>
                        <w:rPr>
                          <w:rFonts w:hint="eastAsia"/>
                          <w:lang w:val="en-US" w:eastAsia="zh-CN"/>
                        </w:rPr>
                        <w:t>环境空气监测点</w:t>
                      </w:r>
                    </w:p>
                  </w:txbxContent>
                </v:textbox>
              </v:shape>
            </w:pict>
          </mc:Fallback>
        </mc:AlternateContent>
      </w:r>
      <w:r>
        <w:drawing>
          <wp:anchor distT="0" distB="0" distL="114300" distR="114300" simplePos="0" relativeHeight="251667456" behindDoc="0" locked="0" layoutInCell="1" allowOverlap="1">
            <wp:simplePos x="0" y="0"/>
            <wp:positionH relativeFrom="column">
              <wp:posOffset>4147185</wp:posOffset>
            </wp:positionH>
            <wp:positionV relativeFrom="paragraph">
              <wp:posOffset>5715</wp:posOffset>
            </wp:positionV>
            <wp:extent cx="1118870" cy="887730"/>
            <wp:effectExtent l="0" t="0" r="5080" b="7620"/>
            <wp:wrapNone/>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109"/>
                    <a:stretch>
                      <a:fillRect/>
                    </a:stretch>
                  </pic:blipFill>
                  <pic:spPr>
                    <a:xfrm>
                      <a:off x="0" y="0"/>
                      <a:ext cx="1118870" cy="887730"/>
                    </a:xfrm>
                    <a:prstGeom prst="rect">
                      <a:avLst/>
                    </a:prstGeom>
                    <a:noFill/>
                    <a:ln>
                      <a:noFill/>
                    </a:ln>
                  </pic:spPr>
                </pic:pic>
              </a:graphicData>
            </a:graphic>
          </wp:anchor>
        </w:drawing>
      </w:r>
      <w:r>
        <w:drawing>
          <wp:inline distT="0" distB="0" distL="114300" distR="114300">
            <wp:extent cx="5276215" cy="3883660"/>
            <wp:effectExtent l="0" t="0" r="635" b="2540"/>
            <wp:docPr id="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5"/>
                    <pic:cNvPicPr>
                      <a:picLocks noChangeAspect="1"/>
                    </pic:cNvPicPr>
                  </pic:nvPicPr>
                  <pic:blipFill>
                    <a:blip r:embed="rId110"/>
                    <a:stretch>
                      <a:fillRect/>
                    </a:stretch>
                  </pic:blipFill>
                  <pic:spPr>
                    <a:xfrm>
                      <a:off x="0" y="0"/>
                      <a:ext cx="5276215" cy="3883660"/>
                    </a:xfrm>
                    <a:prstGeom prst="rect">
                      <a:avLst/>
                    </a:prstGeom>
                    <a:noFill/>
                    <a:ln>
                      <a:noFill/>
                    </a:ln>
                  </pic:spPr>
                </pic:pic>
              </a:graphicData>
            </a:graphic>
          </wp:inline>
        </w:drawing>
      </w:r>
    </w:p>
    <w:p w14:paraId="07FB920A">
      <w:pPr>
        <w:pStyle w:val="206"/>
        <w:rPr>
          <w:rFonts w:hint="eastAsia" w:eastAsia="黑体"/>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图</w:t>
      </w:r>
      <w:r>
        <w:rPr>
          <w:rFonts w:hint="eastAsia"/>
          <w:snapToGrid w:val="0"/>
          <w:color w:val="000000" w:themeColor="text1"/>
          <w14:textFill>
            <w14:solidFill>
              <w14:schemeClr w14:val="tx1"/>
            </w14:solidFill>
          </w14:textFill>
        </w:rPr>
        <w:t>4-2</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环境空气监测布点</w:t>
      </w:r>
      <w:r>
        <w:rPr>
          <w:rFonts w:hint="eastAsia"/>
          <w:snapToGrid w:val="0"/>
          <w:color w:val="000000" w:themeColor="text1"/>
          <w:lang w:val="en-US" w:eastAsia="zh-CN"/>
          <w14:textFill>
            <w14:solidFill>
              <w14:schemeClr w14:val="tx1"/>
            </w14:solidFill>
          </w14:textFill>
        </w:rPr>
        <w:t>图</w:t>
      </w:r>
    </w:p>
    <w:p w14:paraId="694C4374">
      <w:pPr>
        <w:widowControl/>
        <w:spacing w:line="500" w:lineRule="atLeas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（3）</w:t>
      </w:r>
      <w:r>
        <w:rPr>
          <w:snapToGrid w:val="0"/>
          <w:color w:val="000000" w:themeColor="text1"/>
          <w:kern w:val="0"/>
          <w14:textFill>
            <w14:solidFill>
              <w14:schemeClr w14:val="tx1"/>
            </w14:solidFill>
          </w14:textFill>
        </w:rPr>
        <w:t>监测分析方法及检出限</w:t>
      </w:r>
    </w:p>
    <w:p w14:paraId="2DC4B42D">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eastAsia="黑体"/>
          <w:snapToGrid w:val="0"/>
          <w:color w:val="000000" w:themeColor="text1"/>
          <w:kern w:val="0"/>
          <w:lang w:val="zh-CN" w:eastAsia="zh-CN"/>
          <w14:textFill>
            <w14:solidFill>
              <w14:schemeClr w14:val="tx1"/>
            </w14:solidFill>
          </w14:textFill>
        </w:rPr>
        <w:t>表4-2-3 监测分析方法及检出限</w:t>
      </w:r>
    </w:p>
    <w:tbl>
      <w:tblPr>
        <w:tblStyle w:val="479"/>
        <w:tblW w:w="462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553"/>
        <w:gridCol w:w="1957"/>
        <w:gridCol w:w="910"/>
        <w:gridCol w:w="1626"/>
        <w:gridCol w:w="2222"/>
      </w:tblGrid>
      <w:tr w14:paraId="0DBE2C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6" w:type="pct"/>
            <w:vAlign w:val="center"/>
          </w:tcPr>
          <w:p w14:paraId="7906F751">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检测</w:t>
            </w:r>
          </w:p>
          <w:p w14:paraId="1B4AC7C7">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类别</w:t>
            </w:r>
          </w:p>
        </w:tc>
        <w:tc>
          <w:tcPr>
            <w:tcW w:w="360" w:type="pct"/>
            <w:vAlign w:val="center"/>
          </w:tcPr>
          <w:p w14:paraId="1EDEDFC2">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检测指标</w:t>
            </w:r>
          </w:p>
        </w:tc>
        <w:tc>
          <w:tcPr>
            <w:tcW w:w="1271" w:type="pct"/>
            <w:vAlign w:val="center"/>
          </w:tcPr>
          <w:p w14:paraId="673ACD5F">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分析方法及标准、代号</w:t>
            </w:r>
          </w:p>
        </w:tc>
        <w:tc>
          <w:tcPr>
            <w:tcW w:w="591" w:type="pct"/>
            <w:vAlign w:val="center"/>
          </w:tcPr>
          <w:p w14:paraId="55E5A2AE">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仪器名称</w:t>
            </w:r>
          </w:p>
        </w:tc>
        <w:tc>
          <w:tcPr>
            <w:tcW w:w="1056" w:type="pct"/>
            <w:vAlign w:val="center"/>
          </w:tcPr>
          <w:p w14:paraId="659EE000">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仪器型号</w:t>
            </w:r>
          </w:p>
        </w:tc>
        <w:tc>
          <w:tcPr>
            <w:tcW w:w="1443" w:type="pct"/>
            <w:vAlign w:val="center"/>
          </w:tcPr>
          <w:p w14:paraId="1B044455">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仪器编号</w:t>
            </w:r>
          </w:p>
        </w:tc>
      </w:tr>
      <w:tr w14:paraId="52C241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6" w:type="pct"/>
            <w:vMerge w:val="restart"/>
            <w:vAlign w:val="center"/>
          </w:tcPr>
          <w:p w14:paraId="53C49A60">
            <w:pPr>
              <w:pStyle w:val="143"/>
              <w:rPr>
                <w:rFonts w:cs="Times New Roman"/>
                <w:color w:val="000000" w:themeColor="text1"/>
                <w:kern w:val="0"/>
                <w14:textFill>
                  <w14:solidFill>
                    <w14:schemeClr w14:val="tx1"/>
                  </w14:solidFill>
                </w14:textFill>
              </w:rPr>
            </w:pPr>
            <w:r>
              <w:rPr>
                <w:rFonts w:hint="eastAsia" w:cs="Times New Roman"/>
                <w:color w:val="000000" w:themeColor="text1"/>
                <w:kern w:val="0"/>
                <w14:textFill>
                  <w14:solidFill>
                    <w14:schemeClr w14:val="tx1"/>
                  </w14:solidFill>
                </w14:textFill>
              </w:rPr>
              <w:t>环境</w:t>
            </w:r>
          </w:p>
          <w:p w14:paraId="38633130">
            <w:pPr>
              <w:pStyle w:val="143"/>
              <w:rPr>
                <w:rFonts w:cs="Times New Roman"/>
                <w:color w:val="000000" w:themeColor="text1"/>
                <w:kern w:val="0"/>
                <w14:textFill>
                  <w14:solidFill>
                    <w14:schemeClr w14:val="tx1"/>
                  </w14:solidFill>
                </w14:textFill>
              </w:rPr>
            </w:pPr>
            <w:r>
              <w:rPr>
                <w:rFonts w:hint="eastAsia" w:cs="Times New Roman"/>
                <w:color w:val="000000" w:themeColor="text1"/>
                <w:kern w:val="0"/>
                <w14:textFill>
                  <w14:solidFill>
                    <w14:schemeClr w14:val="tx1"/>
                  </w14:solidFill>
                </w14:textFill>
              </w:rPr>
              <w:t>空气</w:t>
            </w:r>
          </w:p>
        </w:tc>
        <w:tc>
          <w:tcPr>
            <w:tcW w:w="360" w:type="pct"/>
            <w:vMerge w:val="restart"/>
            <w:vAlign w:val="center"/>
          </w:tcPr>
          <w:p w14:paraId="5062CFE2">
            <w:pPr>
              <w:pStyle w:val="143"/>
              <w:rPr>
                <w:rFonts w:cs="Times New Roman"/>
                <w:color w:val="000000" w:themeColor="text1"/>
                <w:kern w:val="0"/>
                <w14:textFill>
                  <w14:solidFill>
                    <w14:schemeClr w14:val="tx1"/>
                  </w14:solidFill>
                </w14:textFill>
              </w:rPr>
            </w:pPr>
            <w:r>
              <w:rPr>
                <w:rFonts w:hint="eastAsia" w:cs="Times New Roman"/>
                <w:color w:val="000000" w:themeColor="text1"/>
                <w:kern w:val="0"/>
                <w14:textFill>
                  <w14:solidFill>
                    <w14:schemeClr w14:val="tx1"/>
                  </w14:solidFill>
                </w14:textFill>
              </w:rPr>
              <w:t>总悬浮颗粒物</w:t>
            </w:r>
          </w:p>
        </w:tc>
        <w:tc>
          <w:tcPr>
            <w:tcW w:w="1271" w:type="pct"/>
            <w:vMerge w:val="restart"/>
            <w:vAlign w:val="center"/>
          </w:tcPr>
          <w:p w14:paraId="4634D65A">
            <w:pPr>
              <w:pStyle w:val="143"/>
              <w:rPr>
                <w:rFonts w:cs="Times New Roman"/>
                <w:color w:val="000000" w:themeColor="text1"/>
                <w:kern w:val="0"/>
                <w14:textFill>
                  <w14:solidFill>
                    <w14:schemeClr w14:val="tx1"/>
                  </w14:solidFill>
                </w14:textFill>
              </w:rPr>
            </w:pPr>
            <w:r>
              <w:rPr>
                <w:rFonts w:cs="Times New Roman"/>
                <w:color w:val="000000" w:themeColor="text1"/>
                <w:kern w:val="0"/>
                <w14:textFill>
                  <w14:solidFill>
                    <w14:schemeClr w14:val="tx1"/>
                  </w14:solidFill>
                </w14:textFill>
              </w:rPr>
              <w:t>环境空气 总悬浮颗粒物的测定 重量法</w:t>
            </w:r>
            <w:r>
              <w:rPr>
                <w:rFonts w:hint="eastAsia" w:cs="Times New Roman"/>
                <w:color w:val="000000" w:themeColor="text1"/>
                <w:kern w:val="0"/>
                <w14:textFill>
                  <w14:solidFill>
                    <w14:schemeClr w14:val="tx1"/>
                  </w14:solidFill>
                </w14:textFill>
              </w:rPr>
              <w:t>（</w:t>
            </w:r>
            <w:r>
              <w:rPr>
                <w:rFonts w:cs="Times New Roman"/>
                <w:color w:val="000000" w:themeColor="text1"/>
                <w:kern w:val="0"/>
                <w14:textFill>
                  <w14:solidFill>
                    <w14:schemeClr w14:val="tx1"/>
                  </w14:solidFill>
                </w14:textFill>
              </w:rPr>
              <w:t>HJ 1263-2022</w:t>
            </w:r>
            <w:r>
              <w:rPr>
                <w:rFonts w:hint="eastAsia" w:cs="Times New Roman"/>
                <w:color w:val="000000" w:themeColor="text1"/>
                <w:kern w:val="0"/>
                <w14:textFill>
                  <w14:solidFill>
                    <w14:schemeClr w14:val="tx1"/>
                  </w14:solidFill>
                </w14:textFill>
              </w:rPr>
              <w:t>）</w:t>
            </w:r>
          </w:p>
        </w:tc>
        <w:tc>
          <w:tcPr>
            <w:tcW w:w="591" w:type="pct"/>
            <w:vAlign w:val="center"/>
          </w:tcPr>
          <w:p w14:paraId="288056FA">
            <w:pPr>
              <w:pStyle w:val="143"/>
              <w:rPr>
                <w:rFonts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电子天平</w:t>
            </w:r>
          </w:p>
        </w:tc>
        <w:tc>
          <w:tcPr>
            <w:tcW w:w="1056" w:type="pct"/>
            <w:vAlign w:val="center"/>
          </w:tcPr>
          <w:p w14:paraId="5E957FF9">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ESJ30-5B</w:t>
            </w:r>
          </w:p>
        </w:tc>
        <w:tc>
          <w:tcPr>
            <w:tcW w:w="1443" w:type="pct"/>
            <w:vAlign w:val="center"/>
          </w:tcPr>
          <w:p w14:paraId="285B546A">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LX-YQ-73</w:t>
            </w:r>
          </w:p>
        </w:tc>
      </w:tr>
      <w:tr w14:paraId="7281C6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6" w:type="pct"/>
            <w:vMerge w:val="continue"/>
            <w:vAlign w:val="center"/>
          </w:tcPr>
          <w:p w14:paraId="016AA52A">
            <w:pPr>
              <w:pStyle w:val="143"/>
              <w:rPr>
                <w:rFonts w:cs="Times New Roman"/>
                <w:color w:val="FF0000"/>
                <w:kern w:val="0"/>
              </w:rPr>
            </w:pPr>
          </w:p>
        </w:tc>
        <w:tc>
          <w:tcPr>
            <w:tcW w:w="360" w:type="pct"/>
            <w:vMerge w:val="continue"/>
            <w:vAlign w:val="center"/>
          </w:tcPr>
          <w:p w14:paraId="734EE158">
            <w:pPr>
              <w:pStyle w:val="143"/>
              <w:rPr>
                <w:rFonts w:cs="Times New Roman"/>
                <w:color w:val="FF0000"/>
                <w:kern w:val="0"/>
              </w:rPr>
            </w:pPr>
          </w:p>
        </w:tc>
        <w:tc>
          <w:tcPr>
            <w:tcW w:w="1271" w:type="pct"/>
            <w:vMerge w:val="continue"/>
            <w:vAlign w:val="center"/>
          </w:tcPr>
          <w:p w14:paraId="3427E9CD">
            <w:pPr>
              <w:pStyle w:val="143"/>
              <w:rPr>
                <w:rFonts w:cs="Times New Roman"/>
                <w:color w:val="FF0000"/>
                <w:kern w:val="0"/>
              </w:rPr>
            </w:pPr>
          </w:p>
        </w:tc>
        <w:tc>
          <w:tcPr>
            <w:tcW w:w="591" w:type="pct"/>
            <w:vAlign w:val="center"/>
          </w:tcPr>
          <w:p w14:paraId="7A413403">
            <w:pPr>
              <w:pStyle w:val="143"/>
              <w:rPr>
                <w:rFonts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恒温恒湿称重系统</w:t>
            </w:r>
          </w:p>
        </w:tc>
        <w:tc>
          <w:tcPr>
            <w:tcW w:w="1056" w:type="pct"/>
            <w:vAlign w:val="center"/>
          </w:tcPr>
          <w:p w14:paraId="32754F6D">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LB-350N</w:t>
            </w:r>
          </w:p>
        </w:tc>
        <w:tc>
          <w:tcPr>
            <w:tcW w:w="1443" w:type="pct"/>
            <w:vAlign w:val="center"/>
          </w:tcPr>
          <w:p w14:paraId="5974D7A5">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LX-YQ-144</w:t>
            </w:r>
          </w:p>
        </w:tc>
      </w:tr>
      <w:tr w14:paraId="63388B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6" w:type="pct"/>
            <w:vMerge w:val="continue"/>
            <w:vAlign w:val="center"/>
          </w:tcPr>
          <w:p w14:paraId="77BB768E">
            <w:pPr>
              <w:pStyle w:val="143"/>
              <w:rPr>
                <w:rFonts w:cs="Times New Roman"/>
                <w:color w:val="FF0000"/>
                <w:kern w:val="0"/>
              </w:rPr>
            </w:pPr>
          </w:p>
        </w:tc>
        <w:tc>
          <w:tcPr>
            <w:tcW w:w="360" w:type="pct"/>
            <w:vMerge w:val="continue"/>
            <w:vAlign w:val="center"/>
          </w:tcPr>
          <w:p w14:paraId="6DC00AA9">
            <w:pPr>
              <w:pStyle w:val="143"/>
              <w:rPr>
                <w:rFonts w:cs="Times New Roman"/>
                <w:color w:val="FF0000"/>
                <w:kern w:val="0"/>
              </w:rPr>
            </w:pPr>
          </w:p>
        </w:tc>
        <w:tc>
          <w:tcPr>
            <w:tcW w:w="1271" w:type="pct"/>
            <w:vMerge w:val="continue"/>
            <w:vAlign w:val="center"/>
          </w:tcPr>
          <w:p w14:paraId="7B65F6F1">
            <w:pPr>
              <w:pStyle w:val="143"/>
              <w:rPr>
                <w:rFonts w:cs="Times New Roman"/>
                <w:color w:val="FF0000"/>
                <w:kern w:val="0"/>
              </w:rPr>
            </w:pPr>
          </w:p>
        </w:tc>
        <w:tc>
          <w:tcPr>
            <w:tcW w:w="591" w:type="pct"/>
            <w:vAlign w:val="center"/>
          </w:tcPr>
          <w:p w14:paraId="7A51A8FA">
            <w:pPr>
              <w:pStyle w:val="143"/>
              <w:rPr>
                <w:rFonts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智能颗粒物采样器</w:t>
            </w:r>
          </w:p>
        </w:tc>
        <w:tc>
          <w:tcPr>
            <w:tcW w:w="1056" w:type="pct"/>
            <w:vAlign w:val="center"/>
          </w:tcPr>
          <w:p w14:paraId="29CC7D00">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LB-120F</w:t>
            </w:r>
          </w:p>
        </w:tc>
        <w:tc>
          <w:tcPr>
            <w:tcW w:w="1443" w:type="pct"/>
            <w:vAlign w:val="center"/>
          </w:tcPr>
          <w:p w14:paraId="24E43E58">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LX-YQ-22-</w:t>
            </w:r>
            <w:r>
              <w:rPr>
                <w:rFonts w:hint="eastAsia" w:ascii="Times New Roman" w:hAnsi="Times New Roman" w:eastAsia="宋体" w:cs="Times New Roman"/>
                <w:color w:val="000000" w:themeColor="text1"/>
                <w:lang w:val="en-US" w:eastAsia="zh-CN"/>
                <w14:textFill>
                  <w14:solidFill>
                    <w14:schemeClr w14:val="tx1"/>
                  </w14:solidFill>
                </w14:textFill>
              </w:rPr>
              <w:t>37/38</w:t>
            </w:r>
          </w:p>
        </w:tc>
      </w:tr>
      <w:tr w14:paraId="494270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6" w:type="pct"/>
            <w:vMerge w:val="continue"/>
            <w:vAlign w:val="center"/>
          </w:tcPr>
          <w:p w14:paraId="1DD456E4">
            <w:pPr>
              <w:pStyle w:val="143"/>
              <w:rPr>
                <w:rFonts w:cs="Times New Roman"/>
                <w:color w:val="FF0000"/>
                <w:kern w:val="0"/>
              </w:rPr>
            </w:pPr>
          </w:p>
        </w:tc>
        <w:tc>
          <w:tcPr>
            <w:tcW w:w="360" w:type="pct"/>
            <w:vMerge w:val="restart"/>
            <w:vAlign w:val="center"/>
          </w:tcPr>
          <w:p w14:paraId="76162D29">
            <w:pPr>
              <w:pStyle w:val="143"/>
              <w:rPr>
                <w:rFonts w:cs="Times New Roman"/>
                <w:color w:val="000000" w:themeColor="text1"/>
                <w:kern w:val="0"/>
                <w14:textFill>
                  <w14:solidFill>
                    <w14:schemeClr w14:val="tx1"/>
                  </w14:solidFill>
                </w14:textFill>
              </w:rPr>
            </w:pPr>
            <w:r>
              <w:rPr>
                <w:rFonts w:cs="Times New Roman"/>
                <w:color w:val="000000" w:themeColor="text1"/>
                <w14:textFill>
                  <w14:solidFill>
                    <w14:schemeClr w14:val="tx1"/>
                  </w14:solidFill>
                </w14:textFill>
              </w:rPr>
              <w:t>氨</w:t>
            </w:r>
          </w:p>
        </w:tc>
        <w:tc>
          <w:tcPr>
            <w:tcW w:w="1271" w:type="pct"/>
            <w:vMerge w:val="restart"/>
            <w:vAlign w:val="center"/>
          </w:tcPr>
          <w:p w14:paraId="4D18169E">
            <w:pPr>
              <w:pStyle w:val="143"/>
              <w:rPr>
                <w:rFonts w:cs="Times New Roman"/>
                <w:color w:val="000000" w:themeColor="text1"/>
                <w:kern w:val="0"/>
                <w14:textFill>
                  <w14:solidFill>
                    <w14:schemeClr w14:val="tx1"/>
                  </w14:solidFill>
                </w14:textFill>
              </w:rPr>
            </w:pPr>
            <w:r>
              <w:rPr>
                <w:rFonts w:cs="Times New Roman"/>
                <w:color w:val="000000" w:themeColor="text1"/>
                <w14:textFill>
                  <w14:solidFill>
                    <w14:schemeClr w14:val="tx1"/>
                  </w14:solidFill>
                </w14:textFill>
              </w:rPr>
              <w:t>环境空气和废气 氨的测定</w:t>
            </w:r>
            <w:r>
              <w:rPr>
                <w:rFonts w:hint="eastAsia" w:cs="Times New Roman"/>
                <w:color w:val="000000" w:themeColor="text1"/>
                <w:lang w:eastAsia="zh-CN"/>
                <w14:textFill>
                  <w14:solidFill>
                    <w14:schemeClr w14:val="tx1"/>
                  </w14:solidFill>
                </w14:textFill>
              </w:rPr>
              <w:t xml:space="preserve"> </w:t>
            </w:r>
            <w:r>
              <w:rPr>
                <w:rFonts w:cs="Times New Roman"/>
                <w:color w:val="000000" w:themeColor="text1"/>
                <w14:textFill>
                  <w14:solidFill>
                    <w14:schemeClr w14:val="tx1"/>
                  </w14:solidFill>
                </w14:textFill>
              </w:rPr>
              <w:t xml:space="preserve">纳氏试剂分光光度法 </w:t>
            </w:r>
            <w:r>
              <w:rPr>
                <w:rFonts w:hint="eastAsia" w:cs="Times New Roman"/>
                <w:color w:val="000000" w:themeColor="text1"/>
                <w14:textFill>
                  <w14:solidFill>
                    <w14:schemeClr w14:val="tx1"/>
                  </w14:solidFill>
                </w14:textFill>
              </w:rPr>
              <w:t>（</w:t>
            </w:r>
            <w:r>
              <w:rPr>
                <w:rFonts w:cs="Times New Roman"/>
                <w:color w:val="000000" w:themeColor="text1"/>
                <w14:textFill>
                  <w14:solidFill>
                    <w14:schemeClr w14:val="tx1"/>
                  </w14:solidFill>
                </w14:textFill>
              </w:rPr>
              <w:t>HJ 533-2009</w:t>
            </w:r>
            <w:r>
              <w:rPr>
                <w:rFonts w:hint="eastAsia" w:cs="Times New Roman"/>
                <w:color w:val="000000" w:themeColor="text1"/>
                <w14:textFill>
                  <w14:solidFill>
                    <w14:schemeClr w14:val="tx1"/>
                  </w14:solidFill>
                </w14:textFill>
              </w:rPr>
              <w:t>）</w:t>
            </w:r>
          </w:p>
        </w:tc>
        <w:tc>
          <w:tcPr>
            <w:tcW w:w="591" w:type="pct"/>
            <w:vAlign w:val="center"/>
          </w:tcPr>
          <w:p w14:paraId="30288071">
            <w:pPr>
              <w:pStyle w:val="143"/>
              <w:rPr>
                <w:rFonts w:hint="eastAsia" w:ascii="Times New Roman" w:hAnsi="Times New Roman" w:eastAsia="宋体" w:cs="Times New Roman"/>
                <w:color w:val="000000" w:themeColor="text1"/>
                <w:kern w:val="0"/>
                <w14:textFill>
                  <w14:solidFill>
                    <w14:schemeClr w14:val="tx1"/>
                  </w14:solidFill>
                </w14:textFill>
              </w:rPr>
            </w:pPr>
            <w:r>
              <w:rPr>
                <w:rFonts w:hint="default" w:ascii="Times New Roman" w:hAnsi="Times New Roman" w:eastAsia="宋体" w:cs="Times New Roman"/>
                <w:color w:val="000000" w:themeColor="text1"/>
                <w:kern w:val="0"/>
                <w:lang w:val="en-US" w:eastAsia="zh-CN"/>
                <w14:textFill>
                  <w14:solidFill>
                    <w14:schemeClr w14:val="tx1"/>
                  </w14:solidFill>
                </w14:textFill>
              </w:rPr>
              <w:t>可见分光光度计</w:t>
            </w:r>
          </w:p>
        </w:tc>
        <w:tc>
          <w:tcPr>
            <w:tcW w:w="1056" w:type="pct"/>
            <w:vAlign w:val="center"/>
          </w:tcPr>
          <w:p w14:paraId="1CD44F1C">
            <w:pPr>
              <w:pStyle w:val="143"/>
              <w:rPr>
                <w:rFonts w:hint="eastAsia" w:ascii="Times New Roman" w:hAnsi="Times New Roman" w:eastAsia="宋体" w:cs="Times New Roman"/>
                <w:color w:val="000000" w:themeColor="text1"/>
                <w:kern w:val="0"/>
                <w14:textFill>
                  <w14:solidFill>
                    <w14:schemeClr w14:val="tx1"/>
                  </w14:solidFill>
                </w14:textFill>
              </w:rPr>
            </w:pPr>
            <w:r>
              <w:rPr>
                <w:rFonts w:hint="default" w:ascii="Times New Roman" w:hAnsi="Times New Roman" w:eastAsia="宋体" w:cs="Times New Roman"/>
                <w:color w:val="000000" w:themeColor="text1"/>
                <w:kern w:val="0"/>
                <w:lang w:val="en-US" w:eastAsia="zh-CN"/>
                <w14:textFill>
                  <w14:solidFill>
                    <w14:schemeClr w14:val="tx1"/>
                  </w14:solidFill>
                </w14:textFill>
              </w:rPr>
              <w:t>V-5600</w:t>
            </w:r>
          </w:p>
        </w:tc>
        <w:tc>
          <w:tcPr>
            <w:tcW w:w="1443" w:type="pct"/>
            <w:vAlign w:val="center"/>
          </w:tcPr>
          <w:p w14:paraId="17EBB9C5">
            <w:pPr>
              <w:pStyle w:val="143"/>
              <w:rPr>
                <w:rFonts w:hint="eastAsia" w:ascii="Times New Roman" w:hAnsi="Times New Roman" w:eastAsia="宋体" w:cs="Times New Roman"/>
                <w:color w:val="000000" w:themeColor="text1"/>
                <w:kern w:val="0"/>
                <w14:textFill>
                  <w14:solidFill>
                    <w14:schemeClr w14:val="tx1"/>
                  </w14:solidFill>
                </w14:textFill>
              </w:rPr>
            </w:pPr>
            <w:r>
              <w:rPr>
                <w:rFonts w:hint="default" w:ascii="Times New Roman" w:hAnsi="Times New Roman" w:eastAsia="宋体" w:cs="Times New Roman"/>
                <w:color w:val="000000" w:themeColor="text1"/>
                <w:kern w:val="0"/>
                <w:lang w:val="en-US" w:eastAsia="zh-CN"/>
                <w14:textFill>
                  <w14:solidFill>
                    <w14:schemeClr w14:val="tx1"/>
                  </w14:solidFill>
                </w14:textFill>
              </w:rPr>
              <w:t>LX-YQ-03</w:t>
            </w:r>
          </w:p>
        </w:tc>
      </w:tr>
      <w:tr w14:paraId="7E1F77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6" w:type="pct"/>
            <w:vMerge w:val="continue"/>
            <w:vAlign w:val="center"/>
          </w:tcPr>
          <w:p w14:paraId="14EEC8E3">
            <w:pPr>
              <w:pStyle w:val="143"/>
              <w:rPr>
                <w:rFonts w:cs="Times New Roman"/>
                <w:color w:val="FF0000"/>
                <w:kern w:val="0"/>
              </w:rPr>
            </w:pPr>
          </w:p>
        </w:tc>
        <w:tc>
          <w:tcPr>
            <w:tcW w:w="360" w:type="pct"/>
            <w:vMerge w:val="continue"/>
            <w:vAlign w:val="center"/>
          </w:tcPr>
          <w:p w14:paraId="279D6078">
            <w:pPr>
              <w:pStyle w:val="143"/>
              <w:rPr>
                <w:rFonts w:cs="Times New Roman"/>
                <w:color w:val="000000" w:themeColor="text1"/>
                <w:kern w:val="0"/>
                <w14:textFill>
                  <w14:solidFill>
                    <w14:schemeClr w14:val="tx1"/>
                  </w14:solidFill>
                </w14:textFill>
              </w:rPr>
            </w:pPr>
          </w:p>
        </w:tc>
        <w:tc>
          <w:tcPr>
            <w:tcW w:w="1271" w:type="pct"/>
            <w:vMerge w:val="continue"/>
            <w:vAlign w:val="center"/>
          </w:tcPr>
          <w:p w14:paraId="5B8A9151">
            <w:pPr>
              <w:pStyle w:val="143"/>
              <w:rPr>
                <w:rFonts w:cs="Times New Roman"/>
                <w:color w:val="000000" w:themeColor="text1"/>
                <w:kern w:val="0"/>
                <w14:textFill>
                  <w14:solidFill>
                    <w14:schemeClr w14:val="tx1"/>
                  </w14:solidFill>
                </w14:textFill>
              </w:rPr>
            </w:pPr>
          </w:p>
        </w:tc>
        <w:tc>
          <w:tcPr>
            <w:tcW w:w="591" w:type="pct"/>
            <w:vAlign w:val="center"/>
          </w:tcPr>
          <w:p w14:paraId="6DF5B354">
            <w:pPr>
              <w:pStyle w:val="143"/>
              <w:rPr>
                <w:rFonts w:hint="eastAsia" w:ascii="Times New Roman" w:hAnsi="Times New Roman" w:eastAsia="宋体" w:cs="Times New Roman"/>
                <w:color w:val="000000" w:themeColor="text1"/>
                <w:kern w:val="0"/>
                <w14:textFill>
                  <w14:solidFill>
                    <w14:schemeClr w14:val="tx1"/>
                  </w14:solidFill>
                </w14:textFill>
              </w:rPr>
            </w:pPr>
            <w:r>
              <w:rPr>
                <w:rFonts w:hint="eastAsia" w:ascii="Times New Roman" w:hAnsi="Times New Roman" w:eastAsia="宋体" w:cs="Times New Roman"/>
                <w:color w:val="000000" w:themeColor="text1"/>
                <w:kern w:val="0"/>
                <w:lang w:val="en-US" w:eastAsia="zh-CN"/>
                <w14:textFill>
                  <w14:solidFill>
                    <w14:schemeClr w14:val="tx1"/>
                  </w14:solidFill>
                </w14:textFill>
              </w:rPr>
              <w:t>恒温恒流自动连续大气采样器</w:t>
            </w:r>
            <w:r>
              <w:rPr>
                <w:rFonts w:hint="default" w:ascii="Times New Roman" w:hAnsi="Times New Roman" w:eastAsia="宋体" w:cs="Times New Roman"/>
                <w:color w:val="000000" w:themeColor="text1"/>
                <w:kern w:val="0"/>
                <w:lang w:val="en-US" w:eastAsia="zh-CN"/>
                <w14:textFill>
                  <w14:solidFill>
                    <w14:schemeClr w14:val="tx1"/>
                  </w14:solidFill>
                </w14:textFill>
              </w:rPr>
              <w:t>(</w:t>
            </w:r>
            <w:r>
              <w:rPr>
                <w:rFonts w:hint="eastAsia" w:ascii="Times New Roman" w:hAnsi="Times New Roman" w:eastAsia="宋体" w:cs="Times New Roman"/>
                <w:color w:val="000000" w:themeColor="text1"/>
                <w:kern w:val="0"/>
                <w:lang w:val="en-US" w:eastAsia="zh-CN"/>
                <w14:textFill>
                  <w14:solidFill>
                    <w14:schemeClr w14:val="tx1"/>
                  </w14:solidFill>
                </w14:textFill>
              </w:rPr>
              <w:t>四路</w:t>
            </w:r>
            <w:r>
              <w:rPr>
                <w:rFonts w:hint="default" w:ascii="Times New Roman" w:hAnsi="Times New Roman" w:eastAsia="宋体" w:cs="Times New Roman"/>
                <w:color w:val="000000" w:themeColor="text1"/>
                <w:kern w:val="0"/>
                <w:lang w:val="en-US" w:eastAsia="zh-CN"/>
                <w14:textFill>
                  <w14:solidFill>
                    <w14:schemeClr w14:val="tx1"/>
                  </w14:solidFill>
                </w14:textFill>
              </w:rPr>
              <w:t>)</w:t>
            </w:r>
          </w:p>
        </w:tc>
        <w:tc>
          <w:tcPr>
            <w:tcW w:w="1056" w:type="pct"/>
            <w:vAlign w:val="center"/>
          </w:tcPr>
          <w:p w14:paraId="05ED94BB">
            <w:pPr>
              <w:pStyle w:val="143"/>
              <w:rPr>
                <w:rFonts w:hint="eastAsia" w:ascii="Times New Roman" w:hAnsi="Times New Roman" w:eastAsia="宋体" w:cs="Times New Roman"/>
                <w:color w:val="000000" w:themeColor="text1"/>
                <w:kern w:val="0"/>
                <w14:textFill>
                  <w14:solidFill>
                    <w14:schemeClr w14:val="tx1"/>
                  </w14:solidFill>
                </w14:textFill>
              </w:rPr>
            </w:pPr>
            <w:r>
              <w:rPr>
                <w:rFonts w:hint="default" w:ascii="Times New Roman" w:hAnsi="Times New Roman" w:eastAsia="宋体" w:cs="Times New Roman"/>
                <w:color w:val="000000" w:themeColor="text1"/>
                <w:kern w:val="0"/>
                <w:lang w:val="en-US" w:eastAsia="zh-CN"/>
                <w14:textFill>
                  <w14:solidFill>
                    <w14:schemeClr w14:val="tx1"/>
                  </w14:solidFill>
                </w14:textFill>
              </w:rPr>
              <w:t>LB-2400C</w:t>
            </w:r>
          </w:p>
        </w:tc>
        <w:tc>
          <w:tcPr>
            <w:tcW w:w="1443" w:type="pct"/>
            <w:vAlign w:val="center"/>
          </w:tcPr>
          <w:p w14:paraId="066F7D1D">
            <w:pPr>
              <w:pStyle w:val="143"/>
              <w:rPr>
                <w:rFonts w:hint="eastAsia" w:ascii="Times New Roman" w:hAnsi="Times New Roman" w:eastAsia="宋体" w:cs="Times New Roman"/>
                <w:color w:val="000000" w:themeColor="text1"/>
                <w:kern w:val="0"/>
                <w14:textFill>
                  <w14:solidFill>
                    <w14:schemeClr w14:val="tx1"/>
                  </w14:solidFill>
                </w14:textFill>
              </w:rPr>
            </w:pPr>
            <w:r>
              <w:rPr>
                <w:rFonts w:hint="default" w:ascii="Times New Roman" w:hAnsi="Times New Roman" w:eastAsia="宋体" w:cs="Times New Roman"/>
                <w:color w:val="000000" w:themeColor="text1"/>
                <w:kern w:val="0"/>
                <w14:textFill>
                  <w14:solidFill>
                    <w14:schemeClr w14:val="tx1"/>
                  </w14:solidFill>
                </w14:textFill>
              </w:rPr>
              <w:t>LX-YQ-</w:t>
            </w:r>
            <w:r>
              <w:rPr>
                <w:rFonts w:hint="eastAsia" w:ascii="Times New Roman" w:hAnsi="Times New Roman" w:eastAsia="宋体" w:cs="Times New Roman"/>
                <w:color w:val="000000" w:themeColor="text1"/>
                <w:kern w:val="0"/>
                <w:lang w:val="en-US" w:eastAsia="zh-CN"/>
                <w14:textFill>
                  <w14:solidFill>
                    <w14:schemeClr w14:val="tx1"/>
                  </w14:solidFill>
                </w14:textFill>
              </w:rPr>
              <w:t>57-29/30</w:t>
            </w:r>
          </w:p>
        </w:tc>
      </w:tr>
      <w:tr w14:paraId="7E8DA3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276" w:type="pct"/>
            <w:vMerge w:val="continue"/>
            <w:vAlign w:val="center"/>
          </w:tcPr>
          <w:p w14:paraId="2BDDC54D">
            <w:pPr>
              <w:pStyle w:val="143"/>
              <w:rPr>
                <w:rFonts w:cs="Times New Roman"/>
                <w:color w:val="FF0000"/>
                <w:kern w:val="0"/>
              </w:rPr>
            </w:pPr>
          </w:p>
        </w:tc>
        <w:tc>
          <w:tcPr>
            <w:tcW w:w="360" w:type="pct"/>
            <w:vMerge w:val="restart"/>
            <w:vAlign w:val="center"/>
          </w:tcPr>
          <w:p w14:paraId="75E6D650">
            <w:pPr>
              <w:pStyle w:val="143"/>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硫化氢</w:t>
            </w:r>
          </w:p>
        </w:tc>
        <w:tc>
          <w:tcPr>
            <w:tcW w:w="1271" w:type="pct"/>
            <w:vMerge w:val="restart"/>
            <w:vAlign w:val="center"/>
          </w:tcPr>
          <w:p w14:paraId="34F1DF39">
            <w:pPr>
              <w:pStyle w:val="143"/>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环境空气 硫化氢 亚甲基蓝分光光度法国家环境保护总局（第四版，2003年）</w:t>
            </w:r>
          </w:p>
        </w:tc>
        <w:tc>
          <w:tcPr>
            <w:tcW w:w="591" w:type="pct"/>
            <w:vAlign w:val="center"/>
          </w:tcPr>
          <w:p w14:paraId="3E0D4AD9">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可见分光光度计</w:t>
            </w:r>
          </w:p>
        </w:tc>
        <w:tc>
          <w:tcPr>
            <w:tcW w:w="1056" w:type="pct"/>
            <w:vAlign w:val="center"/>
          </w:tcPr>
          <w:p w14:paraId="1EFD4911">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V-5600</w:t>
            </w:r>
          </w:p>
        </w:tc>
        <w:tc>
          <w:tcPr>
            <w:tcW w:w="1443" w:type="pct"/>
            <w:vAlign w:val="center"/>
          </w:tcPr>
          <w:p w14:paraId="75E8C9AB">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LX-YQ-03</w:t>
            </w:r>
          </w:p>
        </w:tc>
      </w:tr>
      <w:tr w14:paraId="363B40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6" w:type="pct"/>
            <w:vMerge w:val="continue"/>
            <w:vAlign w:val="center"/>
          </w:tcPr>
          <w:p w14:paraId="1ACCF5BF">
            <w:pPr>
              <w:pStyle w:val="143"/>
              <w:rPr>
                <w:rFonts w:cs="Times New Roman"/>
                <w:color w:val="FF0000"/>
                <w:kern w:val="0"/>
              </w:rPr>
            </w:pPr>
          </w:p>
        </w:tc>
        <w:tc>
          <w:tcPr>
            <w:tcW w:w="360" w:type="pct"/>
            <w:vMerge w:val="continue"/>
            <w:vAlign w:val="center"/>
          </w:tcPr>
          <w:p w14:paraId="43FC6865">
            <w:pPr>
              <w:pStyle w:val="143"/>
              <w:rPr>
                <w:rFonts w:ascii="Times New Roman" w:hAnsi="Times New Roman" w:eastAsia="宋体" w:cs="Times New Roman"/>
                <w:color w:val="000000" w:themeColor="text1"/>
                <w14:textFill>
                  <w14:solidFill>
                    <w14:schemeClr w14:val="tx1"/>
                  </w14:solidFill>
                </w14:textFill>
              </w:rPr>
            </w:pPr>
          </w:p>
        </w:tc>
        <w:tc>
          <w:tcPr>
            <w:tcW w:w="1271" w:type="pct"/>
            <w:vMerge w:val="continue"/>
            <w:vAlign w:val="center"/>
          </w:tcPr>
          <w:p w14:paraId="453DB386">
            <w:pPr>
              <w:pStyle w:val="143"/>
              <w:rPr>
                <w:rFonts w:ascii="Times New Roman" w:hAnsi="Times New Roman" w:eastAsia="宋体" w:cs="Times New Roman"/>
                <w:color w:val="000000" w:themeColor="text1"/>
                <w14:textFill>
                  <w14:solidFill>
                    <w14:schemeClr w14:val="tx1"/>
                  </w14:solidFill>
                </w14:textFill>
              </w:rPr>
            </w:pPr>
          </w:p>
        </w:tc>
        <w:tc>
          <w:tcPr>
            <w:tcW w:w="591" w:type="pct"/>
            <w:vAlign w:val="center"/>
          </w:tcPr>
          <w:p w14:paraId="6B1CE46F">
            <w:pPr>
              <w:pStyle w:val="143"/>
              <w:rPr>
                <w:rFonts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恒温恒流自动连续大气采样器</w:t>
            </w:r>
            <w:r>
              <w:rPr>
                <w:rFonts w:hint="default" w:ascii="Times New Roman" w:hAnsi="Times New Roman" w:eastAsia="宋体" w:cs="Times New Roman"/>
                <w:color w:val="000000" w:themeColor="text1"/>
                <w:lang w:val="en-US" w:eastAsia="zh-CN"/>
                <w14:textFill>
                  <w14:solidFill>
                    <w14:schemeClr w14:val="tx1"/>
                  </w14:solidFill>
                </w14:textFill>
              </w:rPr>
              <w:t>(</w:t>
            </w:r>
            <w:r>
              <w:rPr>
                <w:rFonts w:hint="eastAsia" w:ascii="Times New Roman" w:hAnsi="Times New Roman" w:eastAsia="宋体" w:cs="Times New Roman"/>
                <w:color w:val="000000" w:themeColor="text1"/>
                <w:lang w:val="en-US" w:eastAsia="zh-CN"/>
                <w14:textFill>
                  <w14:solidFill>
                    <w14:schemeClr w14:val="tx1"/>
                  </w14:solidFill>
                </w14:textFill>
              </w:rPr>
              <w:t>四路</w:t>
            </w:r>
            <w:r>
              <w:rPr>
                <w:rFonts w:hint="default" w:ascii="Times New Roman" w:hAnsi="Times New Roman" w:eastAsia="宋体" w:cs="Times New Roman"/>
                <w:color w:val="000000" w:themeColor="text1"/>
                <w:lang w:val="en-US" w:eastAsia="zh-CN"/>
                <w14:textFill>
                  <w14:solidFill>
                    <w14:schemeClr w14:val="tx1"/>
                  </w14:solidFill>
                </w14:textFill>
              </w:rPr>
              <w:t>)</w:t>
            </w:r>
          </w:p>
        </w:tc>
        <w:tc>
          <w:tcPr>
            <w:tcW w:w="1056" w:type="pct"/>
            <w:vAlign w:val="center"/>
          </w:tcPr>
          <w:p w14:paraId="4E745E79">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LB-2400C</w:t>
            </w:r>
          </w:p>
        </w:tc>
        <w:tc>
          <w:tcPr>
            <w:tcW w:w="1443" w:type="pct"/>
            <w:vAlign w:val="center"/>
          </w:tcPr>
          <w:p w14:paraId="61593460">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LX-YQ-</w:t>
            </w:r>
            <w:r>
              <w:rPr>
                <w:rFonts w:hint="eastAsia" w:ascii="Times New Roman" w:hAnsi="Times New Roman" w:eastAsia="宋体" w:cs="Times New Roman"/>
                <w:color w:val="000000" w:themeColor="text1"/>
                <w:lang w:val="en-US" w:eastAsia="zh-CN"/>
                <w14:textFill>
                  <w14:solidFill>
                    <w14:schemeClr w14:val="tx1"/>
                  </w14:solidFill>
                </w14:textFill>
              </w:rPr>
              <w:t>57-29/30</w:t>
            </w:r>
          </w:p>
        </w:tc>
      </w:tr>
      <w:tr w14:paraId="1D8793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6" w:type="pct"/>
            <w:vMerge w:val="continue"/>
            <w:vAlign w:val="center"/>
          </w:tcPr>
          <w:p w14:paraId="5D72DAA0">
            <w:pPr>
              <w:pStyle w:val="143"/>
              <w:rPr>
                <w:rFonts w:cs="Times New Roman"/>
                <w:color w:val="FF0000"/>
                <w:kern w:val="0"/>
              </w:rPr>
            </w:pPr>
          </w:p>
        </w:tc>
        <w:tc>
          <w:tcPr>
            <w:tcW w:w="360" w:type="pct"/>
            <w:vAlign w:val="center"/>
          </w:tcPr>
          <w:p w14:paraId="2D34CDDF">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臭气浓度</w:t>
            </w:r>
          </w:p>
        </w:tc>
        <w:tc>
          <w:tcPr>
            <w:tcW w:w="1271" w:type="pct"/>
            <w:vAlign w:val="center"/>
          </w:tcPr>
          <w:p w14:paraId="277F2B93">
            <w:pPr>
              <w:pStyle w:val="143"/>
              <w:rPr>
                <w:rFonts w:hint="default"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14:textFill>
                  <w14:solidFill>
                    <w14:schemeClr w14:val="tx1"/>
                  </w14:solidFill>
                </w14:textFill>
              </w:rPr>
              <w:t>环境</w:t>
            </w:r>
            <w:r>
              <w:rPr>
                <w:rFonts w:hint="default" w:ascii="Times New Roman" w:hAnsi="Times New Roman" w:eastAsia="宋体" w:cs="Times New Roman"/>
                <w:color w:val="000000" w:themeColor="text1"/>
                <w14:textFill>
                  <w14:solidFill>
                    <w14:schemeClr w14:val="tx1"/>
                  </w14:solidFill>
                </w14:textFill>
              </w:rPr>
              <w:t xml:space="preserve">空气和废气  臭气的测定 </w:t>
            </w:r>
          </w:p>
          <w:p w14:paraId="0C0726D0">
            <w:pPr>
              <w:pStyle w:val="143"/>
              <w:rPr>
                <w:rFonts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三点比较式臭袋法 HJ 1262-2022</w:t>
            </w:r>
          </w:p>
        </w:tc>
        <w:tc>
          <w:tcPr>
            <w:tcW w:w="591" w:type="pct"/>
            <w:vAlign w:val="center"/>
          </w:tcPr>
          <w:p w14:paraId="0F66E071">
            <w:pPr>
              <w:pStyle w:val="143"/>
              <w:rPr>
                <w:rFonts w:hint="eastAsia"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恶臭真空采样器</w:t>
            </w:r>
          </w:p>
        </w:tc>
        <w:tc>
          <w:tcPr>
            <w:tcW w:w="1056" w:type="pct"/>
            <w:vAlign w:val="center"/>
          </w:tcPr>
          <w:p w14:paraId="534778A1">
            <w:pPr>
              <w:pStyle w:val="143"/>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1~10L</w:t>
            </w:r>
          </w:p>
        </w:tc>
        <w:tc>
          <w:tcPr>
            <w:tcW w:w="1443" w:type="pct"/>
            <w:vAlign w:val="center"/>
          </w:tcPr>
          <w:p w14:paraId="7CECDFE6">
            <w:pPr>
              <w:pStyle w:val="143"/>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LX-YQ-</w:t>
            </w:r>
            <w:r>
              <w:rPr>
                <w:rFonts w:hint="eastAsia" w:ascii="Times New Roman" w:hAnsi="Times New Roman" w:eastAsia="宋体" w:cs="Times New Roman"/>
                <w:color w:val="000000" w:themeColor="text1"/>
                <w:lang w:val="en-US" w:eastAsia="zh-CN"/>
                <w14:textFill>
                  <w14:solidFill>
                    <w14:schemeClr w14:val="tx1"/>
                  </w14:solidFill>
                </w14:textFill>
              </w:rPr>
              <w:t>113-7</w:t>
            </w:r>
          </w:p>
        </w:tc>
      </w:tr>
    </w:tbl>
    <w:p w14:paraId="1DF9FE1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w:t>
      </w:r>
      <w:r>
        <w:rPr>
          <w:snapToGrid w:val="0"/>
          <w:color w:val="000000" w:themeColor="text1"/>
          <w14:textFill>
            <w14:solidFill>
              <w14:schemeClr w14:val="tx1"/>
            </w14:solidFill>
          </w14:textFill>
        </w:rPr>
        <w:t>监测结果及分析</w:t>
      </w:r>
    </w:p>
    <w:p w14:paraId="1A95470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现状监测统计结果列于</w:t>
      </w:r>
      <w:r>
        <w:rPr>
          <w:rFonts w:hint="eastAsia"/>
          <w:snapToGrid w:val="0"/>
          <w:color w:val="000000" w:themeColor="text1"/>
          <w14:textFill>
            <w14:solidFill>
              <w14:schemeClr w14:val="tx1"/>
            </w14:solidFill>
          </w14:textFill>
        </w:rPr>
        <w:t>下</w:t>
      </w:r>
      <w:r>
        <w:rPr>
          <w:snapToGrid w:val="0"/>
          <w:color w:val="000000" w:themeColor="text1"/>
          <w14:textFill>
            <w14:solidFill>
              <w14:schemeClr w14:val="tx1"/>
            </w14:solidFill>
          </w14:textFill>
        </w:rPr>
        <w:t>表</w:t>
      </w:r>
      <w:r>
        <w:rPr>
          <w:rFonts w:hint="eastAsia"/>
          <w:snapToGrid w:val="0"/>
          <w:color w:val="000000" w:themeColor="text1"/>
          <w14:textFill>
            <w14:solidFill>
              <w14:schemeClr w14:val="tx1"/>
            </w14:solidFill>
          </w14:textFill>
        </w:rPr>
        <w:t>。</w:t>
      </w:r>
    </w:p>
    <w:p w14:paraId="6BD33B8C">
      <w:pPr>
        <w:pStyle w:val="206"/>
        <w:rPr>
          <w:snapToGrid w:val="0"/>
          <w:color w:val="000000" w:themeColor="text1"/>
          <w:vertAlign w:val="superscript"/>
          <w14:textFill>
            <w14:solidFill>
              <w14:schemeClr w14:val="tx1"/>
            </w14:solidFill>
          </w14:textFill>
        </w:rPr>
      </w:pPr>
      <w:r>
        <w:rPr>
          <w:rFonts w:hint="eastAsia"/>
          <w:snapToGrid w:val="0"/>
          <w:color w:val="000000" w:themeColor="text1"/>
          <w14:textFill>
            <w14:solidFill>
              <w14:schemeClr w14:val="tx1"/>
            </w14:solidFill>
          </w14:textFill>
        </w:rPr>
        <w:t>表4-2</w:t>
      </w:r>
      <w:r>
        <w:rPr>
          <w:snapToGrid w:val="0"/>
          <w:color w:val="000000" w:themeColor="text1"/>
          <w14:textFill>
            <w14:solidFill>
              <w14:schemeClr w14:val="tx1"/>
            </w14:solidFill>
          </w14:textFill>
        </w:rPr>
        <w:t xml:space="preserve">-4 </w:t>
      </w:r>
      <w:r>
        <w:rPr>
          <w:rFonts w:hint="eastAsia"/>
          <w:snapToGrid w:val="0"/>
          <w:color w:val="000000" w:themeColor="text1"/>
          <w14:textFill>
            <w14:solidFill>
              <w14:schemeClr w14:val="tx1"/>
            </w14:solidFill>
          </w14:textFill>
        </w:rPr>
        <w:t>其他污染物环境</w:t>
      </w:r>
      <w:r>
        <w:rPr>
          <w:snapToGrid w:val="0"/>
          <w:color w:val="000000" w:themeColor="text1"/>
          <w14:textFill>
            <w14:solidFill>
              <w14:schemeClr w14:val="tx1"/>
            </w14:solidFill>
          </w14:textFill>
        </w:rPr>
        <w:t>空气监测结果</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一</w:t>
      </w:r>
      <w:r>
        <w:rPr>
          <w:rFonts w:hint="eastAsia"/>
          <w:snapToGrid w:val="0"/>
          <w:color w:val="000000" w:themeColor="text1"/>
          <w:lang w:eastAsia="zh-CN"/>
          <w14:textFill>
            <w14:solidFill>
              <w14:schemeClr w14:val="tx1"/>
            </w14:solidFill>
          </w14:textFill>
        </w:rPr>
        <w:t>）</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单位</w:t>
      </w:r>
      <w:r>
        <w:rPr>
          <w:snapToGrid w:val="0"/>
          <w:color w:val="000000" w:themeColor="text1"/>
          <w14:textFill>
            <w14:solidFill>
              <w14:schemeClr w14:val="tx1"/>
            </w14:solidFill>
          </w14:textFill>
        </w:rPr>
        <w:t>：mg/m</w:t>
      </w:r>
      <w:r>
        <w:rPr>
          <w:snapToGrid w:val="0"/>
          <w:color w:val="000000" w:themeColor="text1"/>
          <w:vertAlign w:val="superscript"/>
          <w14:textFill>
            <w14:solidFill>
              <w14:schemeClr w14:val="tx1"/>
            </w14:solidFill>
          </w14:textFill>
        </w:rPr>
        <w:t>3</w:t>
      </w:r>
    </w:p>
    <w:tbl>
      <w:tblPr>
        <w:tblStyle w:val="50"/>
        <w:tblW w:w="4998" w:type="pct"/>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49"/>
        <w:gridCol w:w="617"/>
        <w:gridCol w:w="695"/>
        <w:gridCol w:w="731"/>
        <w:gridCol w:w="731"/>
        <w:gridCol w:w="731"/>
        <w:gridCol w:w="731"/>
        <w:gridCol w:w="731"/>
        <w:gridCol w:w="731"/>
        <w:gridCol w:w="731"/>
        <w:gridCol w:w="731"/>
      </w:tblGrid>
      <w:tr w14:paraId="3222731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PrEx>
        <w:trPr>
          <w:trHeight w:val="397" w:hRule="atLeast"/>
          <w:tblHeader/>
          <w:jc w:val="center"/>
        </w:trPr>
        <w:tc>
          <w:tcPr>
            <w:tcW w:w="795" w:type="pct"/>
            <w:vMerge w:val="restart"/>
            <w:tcBorders>
              <w:tl2br w:val="nil"/>
              <w:tr2bl w:val="nil"/>
            </w:tcBorders>
            <w:vAlign w:val="center"/>
          </w:tcPr>
          <w:p w14:paraId="1ABB192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采样日期</w:t>
            </w:r>
          </w:p>
        </w:tc>
        <w:tc>
          <w:tcPr>
            <w:tcW w:w="475" w:type="pct"/>
            <w:vMerge w:val="restart"/>
            <w:tcBorders>
              <w:tl2br w:val="nil"/>
              <w:tr2bl w:val="nil"/>
            </w:tcBorders>
            <w:vAlign w:val="center"/>
          </w:tcPr>
          <w:p w14:paraId="0A783AD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eastAsia="zh-CN"/>
                <w14:textFill>
                  <w14:solidFill>
                    <w14:schemeClr w14:val="tx1"/>
                  </w14:solidFill>
                </w14:textFill>
              </w:rPr>
              <w:t>检测项目</w:t>
            </w:r>
          </w:p>
        </w:tc>
        <w:tc>
          <w:tcPr>
            <w:tcW w:w="350" w:type="pct"/>
            <w:vMerge w:val="restart"/>
            <w:tcBorders>
              <w:tl2br w:val="nil"/>
              <w:tr2bl w:val="nil"/>
            </w:tcBorders>
            <w:vAlign w:val="center"/>
          </w:tcPr>
          <w:p w14:paraId="7C15B2A6">
            <w:pPr>
              <w:pStyle w:val="143"/>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单位</w:t>
            </w:r>
          </w:p>
        </w:tc>
        <w:tc>
          <w:tcPr>
            <w:tcW w:w="3377" w:type="pct"/>
            <w:gridSpan w:val="8"/>
            <w:tcBorders>
              <w:tl2br w:val="nil"/>
              <w:tr2bl w:val="nil"/>
            </w:tcBorders>
            <w:vAlign w:val="center"/>
          </w:tcPr>
          <w:p w14:paraId="556C9C0E">
            <w:pPr>
              <w:pStyle w:val="143"/>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采样</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点位、采样频次</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及</w:t>
            </w:r>
            <w:r>
              <w:rPr>
                <w:rFonts w:hint="default" w:ascii="Times New Roman" w:hAnsi="Times New Roman" w:eastAsia="宋体" w:cs="Times New Roman"/>
                <w:color w:val="000000" w:themeColor="text1"/>
                <w:sz w:val="18"/>
                <w:szCs w:val="18"/>
                <w:lang w:eastAsia="zh-CN"/>
                <w14:textFill>
                  <w14:solidFill>
                    <w14:schemeClr w14:val="tx1"/>
                  </w14:solidFill>
                </w14:textFill>
              </w:rPr>
              <w:t>检测结果</w:t>
            </w:r>
          </w:p>
        </w:tc>
      </w:tr>
      <w:tr w14:paraId="21F5E0B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95" w:type="pct"/>
            <w:vMerge w:val="continue"/>
            <w:tcBorders>
              <w:tl2br w:val="nil"/>
              <w:tr2bl w:val="nil"/>
            </w:tcBorders>
            <w:vAlign w:val="center"/>
          </w:tcPr>
          <w:p w14:paraId="1F3D851C">
            <w:pPr>
              <w:pStyle w:val="143"/>
              <w:rPr>
                <w:rFonts w:hint="default" w:ascii="Times New Roman" w:hAnsi="Times New Roman" w:eastAsia="宋体" w:cs="Times New Roman"/>
                <w:color w:val="000000" w:themeColor="text1"/>
                <w:sz w:val="18"/>
                <w:szCs w:val="18"/>
                <w14:textFill>
                  <w14:solidFill>
                    <w14:schemeClr w14:val="tx1"/>
                  </w14:solidFill>
                </w14:textFill>
              </w:rPr>
            </w:pPr>
          </w:p>
        </w:tc>
        <w:tc>
          <w:tcPr>
            <w:tcW w:w="475" w:type="pct"/>
            <w:vMerge w:val="continue"/>
            <w:tcBorders>
              <w:tl2br w:val="nil"/>
              <w:tr2bl w:val="nil"/>
            </w:tcBorders>
            <w:vAlign w:val="center"/>
          </w:tcPr>
          <w:p w14:paraId="2A40B525">
            <w:pPr>
              <w:pStyle w:val="143"/>
              <w:rPr>
                <w:rFonts w:hint="default" w:ascii="Times New Roman" w:hAnsi="Times New Roman" w:eastAsia="宋体" w:cs="Times New Roman"/>
                <w:color w:val="000000" w:themeColor="text1"/>
                <w:sz w:val="18"/>
                <w:szCs w:val="18"/>
                <w14:textFill>
                  <w14:solidFill>
                    <w14:schemeClr w14:val="tx1"/>
                  </w14:solidFill>
                </w14:textFill>
              </w:rPr>
            </w:pPr>
          </w:p>
        </w:tc>
        <w:tc>
          <w:tcPr>
            <w:tcW w:w="350" w:type="pct"/>
            <w:vMerge w:val="continue"/>
            <w:tcBorders>
              <w:tl2br w:val="nil"/>
              <w:tr2bl w:val="nil"/>
            </w:tcBorders>
            <w:vAlign w:val="center"/>
          </w:tcPr>
          <w:p w14:paraId="2CF7CDCC">
            <w:pPr>
              <w:pStyle w:val="143"/>
              <w:rPr>
                <w:rFonts w:hint="default" w:ascii="Times New Roman" w:hAnsi="Times New Roman" w:eastAsia="宋体" w:cs="Times New Roman"/>
                <w:color w:val="000000" w:themeColor="text1"/>
                <w:sz w:val="18"/>
                <w:szCs w:val="18"/>
                <w14:textFill>
                  <w14:solidFill>
                    <w14:schemeClr w14:val="tx1"/>
                  </w14:solidFill>
                </w14:textFill>
              </w:rPr>
            </w:pPr>
          </w:p>
        </w:tc>
        <w:tc>
          <w:tcPr>
            <w:tcW w:w="1688" w:type="pct"/>
            <w:gridSpan w:val="4"/>
            <w:tcBorders>
              <w:tl2br w:val="nil"/>
              <w:tr2bl w:val="nil"/>
            </w:tcBorders>
            <w:vAlign w:val="center"/>
          </w:tcPr>
          <w:p w14:paraId="6FC34EA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厂区内G1</w:t>
            </w:r>
          </w:p>
        </w:tc>
        <w:tc>
          <w:tcPr>
            <w:tcW w:w="1688" w:type="pct"/>
            <w:gridSpan w:val="4"/>
            <w:tcBorders>
              <w:tl2br w:val="nil"/>
              <w:tr2bl w:val="nil"/>
            </w:tcBorders>
            <w:vAlign w:val="center"/>
          </w:tcPr>
          <w:p w14:paraId="29F9F3E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厂界主导风向下风向G2</w:t>
            </w:r>
          </w:p>
        </w:tc>
      </w:tr>
      <w:tr w14:paraId="2106E10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95" w:type="pct"/>
            <w:vMerge w:val="continue"/>
            <w:tcBorders>
              <w:tl2br w:val="nil"/>
              <w:tr2bl w:val="nil"/>
            </w:tcBorders>
            <w:vAlign w:val="center"/>
          </w:tcPr>
          <w:p w14:paraId="6A1B653D">
            <w:pPr>
              <w:pStyle w:val="143"/>
              <w:rPr>
                <w:rFonts w:hint="default" w:ascii="Times New Roman" w:hAnsi="Times New Roman" w:eastAsia="宋体" w:cs="Times New Roman"/>
                <w:color w:val="000000" w:themeColor="text1"/>
                <w:sz w:val="18"/>
                <w:szCs w:val="18"/>
                <w14:textFill>
                  <w14:solidFill>
                    <w14:schemeClr w14:val="tx1"/>
                  </w14:solidFill>
                </w14:textFill>
              </w:rPr>
            </w:pPr>
          </w:p>
        </w:tc>
        <w:tc>
          <w:tcPr>
            <w:tcW w:w="475" w:type="pct"/>
            <w:vMerge w:val="continue"/>
            <w:tcBorders>
              <w:tl2br w:val="nil"/>
              <w:tr2bl w:val="nil"/>
            </w:tcBorders>
            <w:vAlign w:val="center"/>
          </w:tcPr>
          <w:p w14:paraId="4267495F">
            <w:pPr>
              <w:pStyle w:val="143"/>
              <w:rPr>
                <w:rFonts w:hint="default" w:ascii="Times New Roman" w:hAnsi="Times New Roman" w:eastAsia="宋体" w:cs="Times New Roman"/>
                <w:color w:val="000000" w:themeColor="text1"/>
                <w:sz w:val="18"/>
                <w:szCs w:val="18"/>
                <w14:textFill>
                  <w14:solidFill>
                    <w14:schemeClr w14:val="tx1"/>
                  </w14:solidFill>
                </w14:textFill>
              </w:rPr>
            </w:pPr>
          </w:p>
        </w:tc>
        <w:tc>
          <w:tcPr>
            <w:tcW w:w="350" w:type="pct"/>
            <w:vMerge w:val="continue"/>
            <w:tcBorders>
              <w:tl2br w:val="nil"/>
              <w:tr2bl w:val="nil"/>
            </w:tcBorders>
            <w:vAlign w:val="center"/>
          </w:tcPr>
          <w:p w14:paraId="3530609E">
            <w:pPr>
              <w:pStyle w:val="143"/>
              <w:rPr>
                <w:rFonts w:hint="default" w:ascii="Times New Roman" w:hAnsi="Times New Roman" w:eastAsia="宋体" w:cs="Times New Roman"/>
                <w:color w:val="000000" w:themeColor="text1"/>
                <w:sz w:val="18"/>
                <w:szCs w:val="18"/>
                <w14:textFill>
                  <w14:solidFill>
                    <w14:schemeClr w14:val="tx1"/>
                  </w14:solidFill>
                </w14:textFill>
              </w:rPr>
            </w:pPr>
          </w:p>
        </w:tc>
        <w:tc>
          <w:tcPr>
            <w:tcW w:w="421" w:type="pct"/>
            <w:tcBorders>
              <w:tl2br w:val="nil"/>
              <w:tr2bl w:val="nil"/>
            </w:tcBorders>
            <w:vAlign w:val="center"/>
          </w:tcPr>
          <w:p w14:paraId="1B9EAC6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第一次</w:t>
            </w:r>
          </w:p>
        </w:tc>
        <w:tc>
          <w:tcPr>
            <w:tcW w:w="421" w:type="pct"/>
            <w:tcBorders>
              <w:tl2br w:val="nil"/>
              <w:tr2bl w:val="nil"/>
            </w:tcBorders>
            <w:vAlign w:val="center"/>
          </w:tcPr>
          <w:p w14:paraId="6C07383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第二次</w:t>
            </w:r>
          </w:p>
        </w:tc>
        <w:tc>
          <w:tcPr>
            <w:tcW w:w="421" w:type="pct"/>
            <w:tcBorders>
              <w:tl2br w:val="nil"/>
              <w:tr2bl w:val="nil"/>
            </w:tcBorders>
            <w:vAlign w:val="center"/>
          </w:tcPr>
          <w:p w14:paraId="34252CF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第三次</w:t>
            </w:r>
          </w:p>
        </w:tc>
        <w:tc>
          <w:tcPr>
            <w:tcW w:w="423" w:type="pct"/>
            <w:tcBorders>
              <w:tl2br w:val="nil"/>
              <w:tr2bl w:val="nil"/>
            </w:tcBorders>
            <w:vAlign w:val="center"/>
          </w:tcPr>
          <w:p w14:paraId="41CABEB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第四次</w:t>
            </w:r>
          </w:p>
        </w:tc>
        <w:tc>
          <w:tcPr>
            <w:tcW w:w="421" w:type="pct"/>
            <w:tcBorders>
              <w:tl2br w:val="nil"/>
              <w:tr2bl w:val="nil"/>
            </w:tcBorders>
            <w:vAlign w:val="center"/>
          </w:tcPr>
          <w:p w14:paraId="6FF7A05B">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第一次</w:t>
            </w:r>
          </w:p>
        </w:tc>
        <w:tc>
          <w:tcPr>
            <w:tcW w:w="421" w:type="pct"/>
            <w:tcBorders>
              <w:tl2br w:val="nil"/>
              <w:tr2bl w:val="nil"/>
            </w:tcBorders>
            <w:vAlign w:val="center"/>
          </w:tcPr>
          <w:p w14:paraId="02326960">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第二次</w:t>
            </w:r>
          </w:p>
        </w:tc>
        <w:tc>
          <w:tcPr>
            <w:tcW w:w="421" w:type="pct"/>
            <w:tcBorders>
              <w:tl2br w:val="nil"/>
              <w:tr2bl w:val="nil"/>
            </w:tcBorders>
            <w:vAlign w:val="center"/>
          </w:tcPr>
          <w:p w14:paraId="4E944A8B">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第三次</w:t>
            </w:r>
          </w:p>
        </w:tc>
        <w:tc>
          <w:tcPr>
            <w:tcW w:w="423" w:type="pct"/>
            <w:tcBorders>
              <w:tl2br w:val="nil"/>
              <w:tr2bl w:val="nil"/>
            </w:tcBorders>
            <w:vAlign w:val="center"/>
          </w:tcPr>
          <w:p w14:paraId="29F4F4AB">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第四次</w:t>
            </w:r>
          </w:p>
        </w:tc>
      </w:tr>
      <w:tr w14:paraId="01C9F63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restart"/>
            <w:vAlign w:val="center"/>
          </w:tcPr>
          <w:p w14:paraId="21E49C0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年05月1</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9</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475" w:type="pct"/>
            <w:vAlign w:val="center"/>
          </w:tcPr>
          <w:p w14:paraId="283399C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氨</w:t>
            </w:r>
          </w:p>
        </w:tc>
        <w:tc>
          <w:tcPr>
            <w:tcW w:w="350" w:type="pct"/>
            <w:vAlign w:val="center"/>
          </w:tcPr>
          <w:p w14:paraId="668E4A3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2C7CC3B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0.03</w:t>
            </w:r>
          </w:p>
        </w:tc>
        <w:tc>
          <w:tcPr>
            <w:tcW w:w="421" w:type="pct"/>
            <w:vAlign w:val="center"/>
          </w:tcPr>
          <w:p w14:paraId="3BC8893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vAlign w:val="center"/>
          </w:tcPr>
          <w:p w14:paraId="4432A23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3" w:type="pct"/>
            <w:vAlign w:val="center"/>
          </w:tcPr>
          <w:p w14:paraId="1A65AFB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vAlign w:val="center"/>
          </w:tcPr>
          <w:p w14:paraId="39CFCE4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vAlign w:val="center"/>
          </w:tcPr>
          <w:p w14:paraId="7009562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vAlign w:val="center"/>
          </w:tcPr>
          <w:p w14:paraId="5E6DDA5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3" w:type="pct"/>
            <w:vAlign w:val="center"/>
          </w:tcPr>
          <w:p w14:paraId="58CFBB2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r>
      <w:tr w14:paraId="23EBF83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continue"/>
            <w:vAlign w:val="center"/>
          </w:tcPr>
          <w:p w14:paraId="28C2F12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75" w:type="pct"/>
            <w:vAlign w:val="center"/>
          </w:tcPr>
          <w:p w14:paraId="3F90A0D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硫化氢</w:t>
            </w:r>
          </w:p>
        </w:tc>
        <w:tc>
          <w:tcPr>
            <w:tcW w:w="350" w:type="pct"/>
            <w:vAlign w:val="center"/>
          </w:tcPr>
          <w:p w14:paraId="3D01A8E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52DB291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69FFB22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2891F59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1F64CA3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7B4E356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21A0446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492537C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75248EA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r>
      <w:tr w14:paraId="0A49E3A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restart"/>
            <w:vAlign w:val="center"/>
          </w:tcPr>
          <w:p w14:paraId="040F3A8E">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20</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475" w:type="pct"/>
            <w:vAlign w:val="center"/>
          </w:tcPr>
          <w:p w14:paraId="576130F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氨</w:t>
            </w:r>
          </w:p>
        </w:tc>
        <w:tc>
          <w:tcPr>
            <w:tcW w:w="350" w:type="pct"/>
            <w:vAlign w:val="center"/>
          </w:tcPr>
          <w:p w14:paraId="79243D2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shd w:val="clear" w:color="auto" w:fill="auto"/>
            <w:vAlign w:val="center"/>
          </w:tcPr>
          <w:p w14:paraId="5EF5F2A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shd w:val="clear" w:color="auto" w:fill="auto"/>
            <w:vAlign w:val="center"/>
          </w:tcPr>
          <w:p w14:paraId="059F9E5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shd w:val="clear" w:color="auto" w:fill="auto"/>
            <w:vAlign w:val="center"/>
          </w:tcPr>
          <w:p w14:paraId="1DC39BA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3" w:type="pct"/>
            <w:shd w:val="clear" w:color="auto" w:fill="auto"/>
            <w:vAlign w:val="center"/>
          </w:tcPr>
          <w:p w14:paraId="4A5EB81E">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1" w:type="pct"/>
            <w:shd w:val="clear" w:color="auto" w:fill="auto"/>
            <w:vAlign w:val="center"/>
          </w:tcPr>
          <w:p w14:paraId="07F8B65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shd w:val="clear" w:color="auto" w:fill="auto"/>
            <w:vAlign w:val="center"/>
          </w:tcPr>
          <w:p w14:paraId="48BEE43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shd w:val="clear" w:color="auto" w:fill="auto"/>
            <w:vAlign w:val="center"/>
          </w:tcPr>
          <w:p w14:paraId="0228AB3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3" w:type="pct"/>
            <w:shd w:val="clear" w:color="auto" w:fill="auto"/>
            <w:vAlign w:val="center"/>
          </w:tcPr>
          <w:p w14:paraId="7D3F8DA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r>
      <w:tr w14:paraId="219BDAA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continue"/>
            <w:vAlign w:val="center"/>
          </w:tcPr>
          <w:p w14:paraId="0BF6E91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75" w:type="pct"/>
            <w:vAlign w:val="center"/>
          </w:tcPr>
          <w:p w14:paraId="1188FB8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硫化氢</w:t>
            </w:r>
          </w:p>
        </w:tc>
        <w:tc>
          <w:tcPr>
            <w:tcW w:w="350" w:type="pct"/>
            <w:vAlign w:val="center"/>
          </w:tcPr>
          <w:p w14:paraId="128673B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2CAA5FC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0C117D6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25301F8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4FB26F4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166EB1F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521672C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687E175E">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14F3A11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r>
      <w:tr w14:paraId="3BA5FA1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restart"/>
            <w:vAlign w:val="center"/>
          </w:tcPr>
          <w:p w14:paraId="348AC42E">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21</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475" w:type="pct"/>
            <w:vAlign w:val="center"/>
          </w:tcPr>
          <w:p w14:paraId="5AA0EA9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氨</w:t>
            </w:r>
          </w:p>
        </w:tc>
        <w:tc>
          <w:tcPr>
            <w:tcW w:w="350" w:type="pct"/>
            <w:vAlign w:val="center"/>
          </w:tcPr>
          <w:p w14:paraId="71CA031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shd w:val="clear" w:color="auto" w:fill="auto"/>
            <w:vAlign w:val="center"/>
          </w:tcPr>
          <w:p w14:paraId="5617061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shd w:val="clear" w:color="auto" w:fill="auto"/>
            <w:vAlign w:val="center"/>
          </w:tcPr>
          <w:p w14:paraId="082BE93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1" w:type="pct"/>
            <w:shd w:val="clear" w:color="auto" w:fill="auto"/>
            <w:vAlign w:val="center"/>
          </w:tcPr>
          <w:p w14:paraId="06AD344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3" w:type="pct"/>
            <w:shd w:val="clear" w:color="auto" w:fill="auto"/>
            <w:vAlign w:val="center"/>
          </w:tcPr>
          <w:p w14:paraId="10BDBBD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shd w:val="clear" w:color="auto" w:fill="auto"/>
            <w:vAlign w:val="center"/>
          </w:tcPr>
          <w:p w14:paraId="1E97B37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shd w:val="clear" w:color="auto" w:fill="auto"/>
            <w:vAlign w:val="center"/>
          </w:tcPr>
          <w:p w14:paraId="7B40193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shd w:val="clear" w:color="auto" w:fill="auto"/>
            <w:vAlign w:val="center"/>
          </w:tcPr>
          <w:p w14:paraId="10688BF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3" w:type="pct"/>
            <w:shd w:val="clear" w:color="auto" w:fill="auto"/>
            <w:vAlign w:val="center"/>
          </w:tcPr>
          <w:p w14:paraId="16B00E0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r>
      <w:tr w14:paraId="68D43431">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continue"/>
            <w:vAlign w:val="center"/>
          </w:tcPr>
          <w:p w14:paraId="5D7EE8B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75" w:type="pct"/>
            <w:vAlign w:val="center"/>
          </w:tcPr>
          <w:p w14:paraId="194ECAD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硫化氢</w:t>
            </w:r>
          </w:p>
        </w:tc>
        <w:tc>
          <w:tcPr>
            <w:tcW w:w="350" w:type="pct"/>
            <w:vAlign w:val="center"/>
          </w:tcPr>
          <w:p w14:paraId="0EFFF45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76040E4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774FB8B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097E253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1952FFE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62B6296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75305BB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4C2F853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69B1C0C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r>
      <w:tr w14:paraId="1BB4AD63">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795" w:type="pct"/>
            <w:vMerge w:val="restart"/>
            <w:vAlign w:val="center"/>
          </w:tcPr>
          <w:p w14:paraId="709B99B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22</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475" w:type="pct"/>
            <w:vAlign w:val="center"/>
          </w:tcPr>
          <w:p w14:paraId="42E5537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氨</w:t>
            </w:r>
          </w:p>
        </w:tc>
        <w:tc>
          <w:tcPr>
            <w:tcW w:w="350" w:type="pct"/>
            <w:vAlign w:val="center"/>
          </w:tcPr>
          <w:p w14:paraId="2378F91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shd w:val="clear" w:color="auto" w:fill="auto"/>
            <w:vAlign w:val="center"/>
          </w:tcPr>
          <w:p w14:paraId="6EE1184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0.03</w:t>
            </w:r>
          </w:p>
        </w:tc>
        <w:tc>
          <w:tcPr>
            <w:tcW w:w="421" w:type="pct"/>
            <w:shd w:val="clear" w:color="auto" w:fill="auto"/>
            <w:vAlign w:val="center"/>
          </w:tcPr>
          <w:p w14:paraId="6DB6474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shd w:val="clear" w:color="auto" w:fill="auto"/>
            <w:vAlign w:val="center"/>
          </w:tcPr>
          <w:p w14:paraId="1122CC3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3" w:type="pct"/>
            <w:shd w:val="clear" w:color="auto" w:fill="auto"/>
            <w:vAlign w:val="center"/>
          </w:tcPr>
          <w:p w14:paraId="78E4965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shd w:val="clear" w:color="auto" w:fill="auto"/>
            <w:vAlign w:val="center"/>
          </w:tcPr>
          <w:p w14:paraId="60724A7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shd w:val="clear" w:color="auto" w:fill="auto"/>
            <w:vAlign w:val="center"/>
          </w:tcPr>
          <w:p w14:paraId="52B47B2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shd w:val="clear" w:color="auto" w:fill="auto"/>
            <w:vAlign w:val="center"/>
          </w:tcPr>
          <w:p w14:paraId="3DA7288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3" w:type="pct"/>
            <w:shd w:val="clear" w:color="auto" w:fill="auto"/>
            <w:vAlign w:val="center"/>
          </w:tcPr>
          <w:p w14:paraId="77E7590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r>
      <w:tr w14:paraId="3A94F0D7">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continue"/>
            <w:vAlign w:val="center"/>
          </w:tcPr>
          <w:p w14:paraId="12B4A68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75" w:type="pct"/>
            <w:vAlign w:val="center"/>
          </w:tcPr>
          <w:p w14:paraId="4F8FD5D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硫化氢</w:t>
            </w:r>
          </w:p>
        </w:tc>
        <w:tc>
          <w:tcPr>
            <w:tcW w:w="350" w:type="pct"/>
            <w:vAlign w:val="center"/>
          </w:tcPr>
          <w:p w14:paraId="6A6BB7D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70DFBA96">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2AC01DDB">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0C0B99CF">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787D851A">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56E2E4DF">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68835179">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0F4D45F8">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6447EA30">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r>
      <w:tr w14:paraId="43FF99F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restart"/>
            <w:vAlign w:val="center"/>
          </w:tcPr>
          <w:p w14:paraId="7F9E895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23</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475" w:type="pct"/>
            <w:vAlign w:val="center"/>
          </w:tcPr>
          <w:p w14:paraId="1D99D0C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氨</w:t>
            </w:r>
          </w:p>
        </w:tc>
        <w:tc>
          <w:tcPr>
            <w:tcW w:w="350" w:type="pct"/>
            <w:vAlign w:val="center"/>
          </w:tcPr>
          <w:p w14:paraId="26451E4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653326C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vAlign w:val="center"/>
          </w:tcPr>
          <w:p w14:paraId="34B754E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vAlign w:val="center"/>
          </w:tcPr>
          <w:p w14:paraId="3ED91F9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3" w:type="pct"/>
            <w:vAlign w:val="center"/>
          </w:tcPr>
          <w:p w14:paraId="4ACE082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1" w:type="pct"/>
            <w:vAlign w:val="center"/>
          </w:tcPr>
          <w:p w14:paraId="38049A7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0.03</w:t>
            </w:r>
          </w:p>
        </w:tc>
        <w:tc>
          <w:tcPr>
            <w:tcW w:w="421" w:type="pct"/>
            <w:vAlign w:val="center"/>
          </w:tcPr>
          <w:p w14:paraId="258D569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vAlign w:val="center"/>
          </w:tcPr>
          <w:p w14:paraId="59C3D01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3" w:type="pct"/>
            <w:vAlign w:val="center"/>
          </w:tcPr>
          <w:p w14:paraId="74527D6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r>
      <w:tr w14:paraId="397A74E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continue"/>
            <w:vAlign w:val="center"/>
          </w:tcPr>
          <w:p w14:paraId="3D8E535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75" w:type="pct"/>
            <w:vAlign w:val="center"/>
          </w:tcPr>
          <w:p w14:paraId="337A620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硫化氢</w:t>
            </w:r>
          </w:p>
        </w:tc>
        <w:tc>
          <w:tcPr>
            <w:tcW w:w="350" w:type="pct"/>
            <w:vAlign w:val="center"/>
          </w:tcPr>
          <w:p w14:paraId="2FC2049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3AAF2A3B">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68A15D3E">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29491873">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7864E815">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624D66A2">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7DA4E1E3">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57F48D0B">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30085E02">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r>
      <w:tr w14:paraId="37151A9B">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restart"/>
            <w:vAlign w:val="center"/>
          </w:tcPr>
          <w:p w14:paraId="36FA060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24</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475" w:type="pct"/>
            <w:vAlign w:val="center"/>
          </w:tcPr>
          <w:p w14:paraId="3D275C1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氨</w:t>
            </w:r>
          </w:p>
        </w:tc>
        <w:tc>
          <w:tcPr>
            <w:tcW w:w="350" w:type="pct"/>
            <w:vAlign w:val="center"/>
          </w:tcPr>
          <w:p w14:paraId="751B10B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15F8AAD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vAlign w:val="center"/>
          </w:tcPr>
          <w:p w14:paraId="696F57F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1" w:type="pct"/>
            <w:vAlign w:val="center"/>
          </w:tcPr>
          <w:p w14:paraId="4F8F8B3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3" w:type="pct"/>
            <w:vAlign w:val="center"/>
          </w:tcPr>
          <w:p w14:paraId="2484441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vAlign w:val="center"/>
          </w:tcPr>
          <w:p w14:paraId="6666001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vAlign w:val="center"/>
          </w:tcPr>
          <w:p w14:paraId="5EEE5AB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1" w:type="pct"/>
            <w:vAlign w:val="center"/>
          </w:tcPr>
          <w:p w14:paraId="20878A1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3" w:type="pct"/>
            <w:vAlign w:val="center"/>
          </w:tcPr>
          <w:p w14:paraId="7679B99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r>
      <w:tr w14:paraId="1C1C548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continue"/>
            <w:vAlign w:val="center"/>
          </w:tcPr>
          <w:p w14:paraId="7E7B360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75" w:type="pct"/>
            <w:vAlign w:val="center"/>
          </w:tcPr>
          <w:p w14:paraId="0DAB449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硫化氢</w:t>
            </w:r>
          </w:p>
        </w:tc>
        <w:tc>
          <w:tcPr>
            <w:tcW w:w="350" w:type="pct"/>
            <w:vAlign w:val="center"/>
          </w:tcPr>
          <w:p w14:paraId="7DFBFD0E">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09A63C6C">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09F97109">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1264BAE5">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7AC2DBE3">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04E7C049">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630D3D57">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690DBF2B">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16234000">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r>
      <w:tr w14:paraId="6E69E49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restart"/>
            <w:vAlign w:val="center"/>
          </w:tcPr>
          <w:p w14:paraId="088DF90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25</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475" w:type="pct"/>
            <w:vAlign w:val="center"/>
          </w:tcPr>
          <w:p w14:paraId="01E87AB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氨</w:t>
            </w:r>
          </w:p>
        </w:tc>
        <w:tc>
          <w:tcPr>
            <w:tcW w:w="350" w:type="pct"/>
            <w:vAlign w:val="center"/>
          </w:tcPr>
          <w:p w14:paraId="66F9580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668BE07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vAlign w:val="center"/>
          </w:tcPr>
          <w:p w14:paraId="69506E9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c>
          <w:tcPr>
            <w:tcW w:w="421" w:type="pct"/>
            <w:vAlign w:val="center"/>
          </w:tcPr>
          <w:p w14:paraId="5BE0ECF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3" w:type="pct"/>
            <w:vAlign w:val="center"/>
          </w:tcPr>
          <w:p w14:paraId="5440C6B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vAlign w:val="center"/>
          </w:tcPr>
          <w:p w14:paraId="0574664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0.03</w:t>
            </w:r>
          </w:p>
        </w:tc>
        <w:tc>
          <w:tcPr>
            <w:tcW w:w="421" w:type="pct"/>
            <w:vAlign w:val="center"/>
          </w:tcPr>
          <w:p w14:paraId="6FB6FFD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0.04</w:t>
            </w:r>
          </w:p>
        </w:tc>
        <w:tc>
          <w:tcPr>
            <w:tcW w:w="421" w:type="pct"/>
            <w:vAlign w:val="center"/>
          </w:tcPr>
          <w:p w14:paraId="18DEE4FE">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0.06</w:t>
            </w:r>
          </w:p>
        </w:tc>
        <w:tc>
          <w:tcPr>
            <w:tcW w:w="423" w:type="pct"/>
            <w:vAlign w:val="center"/>
          </w:tcPr>
          <w:p w14:paraId="4456ADA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0.05</w:t>
            </w:r>
          </w:p>
        </w:tc>
      </w:tr>
      <w:tr w14:paraId="2FFEC7B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95" w:type="pct"/>
            <w:vMerge w:val="continue"/>
            <w:vAlign w:val="center"/>
          </w:tcPr>
          <w:p w14:paraId="1669CA5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75" w:type="pct"/>
            <w:vAlign w:val="center"/>
          </w:tcPr>
          <w:p w14:paraId="0B85043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硫化氢</w:t>
            </w:r>
          </w:p>
        </w:tc>
        <w:tc>
          <w:tcPr>
            <w:tcW w:w="350" w:type="pct"/>
            <w:vAlign w:val="center"/>
          </w:tcPr>
          <w:p w14:paraId="756EE984">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421" w:type="pct"/>
            <w:vAlign w:val="center"/>
          </w:tcPr>
          <w:p w14:paraId="34BFC4C2">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1BB5231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47F7A292">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6F2CBAC8">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78C141AD">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1957D4E6">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1" w:type="pct"/>
            <w:vAlign w:val="center"/>
          </w:tcPr>
          <w:p w14:paraId="0FCB02ED">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c>
          <w:tcPr>
            <w:tcW w:w="423" w:type="pct"/>
            <w:vAlign w:val="center"/>
          </w:tcPr>
          <w:p w14:paraId="0F4BAA3F">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0.001L</w:t>
            </w:r>
          </w:p>
        </w:tc>
      </w:tr>
      <w:tr w14:paraId="7870DA4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11"/>
            <w:vAlign w:val="center"/>
          </w:tcPr>
          <w:p w14:paraId="1CC99D87">
            <w:pPr>
              <w:pStyle w:val="143"/>
              <w:rPr>
                <w:rFonts w:hint="default"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注：如检测结果小于方法检出限报检出限加</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限加</w:t>
            </w:r>
            <w:r>
              <w:rPr>
                <w:rFonts w:hint="default" w:ascii="Times New Roman" w:hAnsi="Times New Roman" w:eastAsia="宋体" w:cs="Times New Roman"/>
                <w:color w:val="000000" w:themeColor="text1"/>
                <w:sz w:val="18"/>
                <w:szCs w:val="18"/>
                <w:lang w:eastAsia="zh-CN"/>
                <w14:textFill>
                  <w14:solidFill>
                    <w14:schemeClr w14:val="tx1"/>
                  </w14:solidFill>
                </w14:textFill>
              </w:rPr>
              <w:t>“</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L</w:t>
            </w:r>
            <w:r>
              <w:rPr>
                <w:rFonts w:hint="default" w:ascii="Times New Roman" w:hAnsi="Times New Roman" w:eastAsia="宋体" w:cs="Times New Roman"/>
                <w:color w:val="000000" w:themeColor="text1"/>
                <w:sz w:val="18"/>
                <w:szCs w:val="18"/>
                <w:lang w:eastAsia="zh-CN"/>
                <w14:textFill>
                  <w14:solidFill>
                    <w14:schemeClr w14:val="tx1"/>
                  </w14:solidFill>
                </w14:textFill>
              </w:rPr>
              <w:t>”</w:t>
            </w:r>
            <w:r>
              <w:rPr>
                <w:rFonts w:hint="eastAsia" w:ascii="Times New Roman" w:hAnsi="Times New Roman" w:eastAsia="宋体" w:cs="Times New Roman"/>
                <w:color w:val="000000" w:themeColor="text1"/>
                <w:sz w:val="18"/>
                <w:szCs w:val="18"/>
                <w:lang w:eastAsia="zh-CN"/>
                <w14:textFill>
                  <w14:solidFill>
                    <w14:schemeClr w14:val="tx1"/>
                  </w14:solidFill>
                </w14:textFill>
              </w:rPr>
              <w:t>。</w:t>
            </w:r>
          </w:p>
        </w:tc>
      </w:tr>
    </w:tbl>
    <w:p w14:paraId="305406CB">
      <w:pPr>
        <w:pStyle w:val="206"/>
        <w:rPr>
          <w:rFonts w:hint="eastAsia"/>
          <w:snapToGrid w:val="0"/>
          <w:color w:val="000000" w:themeColor="text1"/>
          <w14:textFill>
            <w14:solidFill>
              <w14:schemeClr w14:val="tx1"/>
            </w14:solidFill>
          </w14:textFill>
        </w:rPr>
      </w:pPr>
    </w:p>
    <w:p w14:paraId="1EECAA67">
      <w:pPr>
        <w:pStyle w:val="206"/>
        <w:rPr>
          <w:rFonts w:hint="eastAsia"/>
          <w:snapToGrid w:val="0"/>
          <w:color w:val="000000" w:themeColor="text1"/>
          <w14:textFill>
            <w14:solidFill>
              <w14:schemeClr w14:val="tx1"/>
            </w14:solidFill>
          </w14:textFill>
        </w:rPr>
      </w:pPr>
    </w:p>
    <w:p w14:paraId="67844475">
      <w:pPr>
        <w:pStyle w:val="206"/>
        <w:rPr>
          <w:rFonts w:hint="eastAsia"/>
          <w:snapToGrid w:val="0"/>
          <w:color w:val="000000" w:themeColor="text1"/>
          <w14:textFill>
            <w14:solidFill>
              <w14:schemeClr w14:val="tx1"/>
            </w14:solidFill>
          </w14:textFill>
        </w:rPr>
      </w:pPr>
    </w:p>
    <w:p w14:paraId="425BC3B0">
      <w:pPr>
        <w:pStyle w:val="206"/>
        <w:rPr>
          <w:rFonts w:hint="eastAsia"/>
          <w:snapToGrid w:val="0"/>
          <w:color w:val="000000" w:themeColor="text1"/>
          <w14:textFill>
            <w14:solidFill>
              <w14:schemeClr w14:val="tx1"/>
            </w14:solidFill>
          </w14:textFill>
        </w:rPr>
      </w:pPr>
    </w:p>
    <w:p w14:paraId="6DF9AF3C">
      <w:pPr>
        <w:pStyle w:val="206"/>
        <w:rPr>
          <w:snapToGrid w:val="0"/>
          <w:color w:val="000000" w:themeColor="text1"/>
          <w:vertAlign w:val="superscript"/>
          <w14:textFill>
            <w14:solidFill>
              <w14:schemeClr w14:val="tx1"/>
            </w14:solidFill>
          </w14:textFill>
        </w:rPr>
      </w:pPr>
      <w:r>
        <w:rPr>
          <w:rFonts w:hint="eastAsia"/>
          <w:snapToGrid w:val="0"/>
          <w:color w:val="000000" w:themeColor="text1"/>
          <w14:textFill>
            <w14:solidFill>
              <w14:schemeClr w14:val="tx1"/>
            </w14:solidFill>
          </w14:textFill>
        </w:rPr>
        <w:t>表4-2</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5</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其他污染物环境</w:t>
      </w:r>
      <w:r>
        <w:rPr>
          <w:snapToGrid w:val="0"/>
          <w:color w:val="000000" w:themeColor="text1"/>
          <w14:textFill>
            <w14:solidFill>
              <w14:schemeClr w14:val="tx1"/>
            </w14:solidFill>
          </w14:textFill>
        </w:rPr>
        <w:t>空气监测结果</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二</w:t>
      </w:r>
      <w:r>
        <w:rPr>
          <w:rFonts w:hint="eastAsia"/>
          <w:snapToGrid w:val="0"/>
          <w:color w:val="000000" w:themeColor="text1"/>
          <w:lang w:eastAsia="zh-CN"/>
          <w14:textFill>
            <w14:solidFill>
              <w14:schemeClr w14:val="tx1"/>
            </w14:solidFill>
          </w14:textFill>
        </w:rPr>
        <w:t>）</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单位</w:t>
      </w:r>
      <w:r>
        <w:rPr>
          <w:snapToGrid w:val="0"/>
          <w:color w:val="000000" w:themeColor="text1"/>
          <w14:textFill>
            <w14:solidFill>
              <w14:schemeClr w14:val="tx1"/>
            </w14:solidFill>
          </w14:textFill>
        </w:rPr>
        <w:t>：mg/m</w:t>
      </w:r>
      <w:r>
        <w:rPr>
          <w:snapToGrid w:val="0"/>
          <w:color w:val="000000" w:themeColor="text1"/>
          <w:vertAlign w:val="superscript"/>
          <w14:textFill>
            <w14:solidFill>
              <w14:schemeClr w14:val="tx1"/>
            </w14:solidFill>
          </w14:textFill>
        </w:rPr>
        <w:t>3</w:t>
      </w:r>
    </w:p>
    <w:tbl>
      <w:tblPr>
        <w:tblStyle w:val="50"/>
        <w:tblW w:w="4999" w:type="pct"/>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58"/>
        <w:gridCol w:w="931"/>
        <w:gridCol w:w="801"/>
        <w:gridCol w:w="2358"/>
        <w:gridCol w:w="2362"/>
      </w:tblGrid>
      <w:tr w14:paraId="68025D9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118" w:type="pct"/>
            <w:vMerge w:val="restart"/>
            <w:tcBorders>
              <w:tl2br w:val="nil"/>
              <w:tr2bl w:val="nil"/>
            </w:tcBorders>
            <w:vAlign w:val="center"/>
          </w:tcPr>
          <w:p w14:paraId="5987545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采样日期</w:t>
            </w:r>
          </w:p>
        </w:tc>
        <w:tc>
          <w:tcPr>
            <w:tcW w:w="560" w:type="pct"/>
            <w:vMerge w:val="restart"/>
            <w:tcBorders>
              <w:tl2br w:val="nil"/>
              <w:tr2bl w:val="nil"/>
            </w:tcBorders>
            <w:vAlign w:val="center"/>
          </w:tcPr>
          <w:p w14:paraId="5BA8089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检测项目</w:t>
            </w:r>
          </w:p>
        </w:tc>
        <w:tc>
          <w:tcPr>
            <w:tcW w:w="482" w:type="pct"/>
            <w:vMerge w:val="restart"/>
            <w:tcBorders>
              <w:tl2br w:val="nil"/>
              <w:tr2bl w:val="nil"/>
            </w:tcBorders>
            <w:vAlign w:val="center"/>
          </w:tcPr>
          <w:p w14:paraId="1069378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单位</w:t>
            </w:r>
          </w:p>
        </w:tc>
        <w:tc>
          <w:tcPr>
            <w:tcW w:w="2839" w:type="pct"/>
            <w:gridSpan w:val="2"/>
            <w:tcBorders>
              <w:tl2br w:val="nil"/>
              <w:tr2bl w:val="nil"/>
            </w:tcBorders>
            <w:vAlign w:val="center"/>
          </w:tcPr>
          <w:p w14:paraId="3E5E8F0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采样</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点位</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及检测结果</w:t>
            </w:r>
          </w:p>
        </w:tc>
      </w:tr>
      <w:tr w14:paraId="5CF3E8E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118" w:type="pct"/>
            <w:vMerge w:val="continue"/>
            <w:tcBorders>
              <w:tl2br w:val="nil"/>
              <w:tr2bl w:val="nil"/>
            </w:tcBorders>
            <w:vAlign w:val="center"/>
          </w:tcPr>
          <w:p w14:paraId="2ABCD19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560" w:type="pct"/>
            <w:vMerge w:val="continue"/>
            <w:tcBorders>
              <w:tl2br w:val="nil"/>
              <w:tr2bl w:val="nil"/>
            </w:tcBorders>
            <w:vAlign w:val="center"/>
          </w:tcPr>
          <w:p w14:paraId="6576261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tcBorders>
              <w:tl2br w:val="nil"/>
              <w:tr2bl w:val="nil"/>
            </w:tcBorders>
            <w:vAlign w:val="center"/>
          </w:tcPr>
          <w:p w14:paraId="09440FA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tcBorders>
              <w:tl2br w:val="nil"/>
              <w:tr2bl w:val="nil"/>
            </w:tcBorders>
            <w:vAlign w:val="center"/>
          </w:tcPr>
          <w:p w14:paraId="7762B76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厂区内G1</w:t>
            </w:r>
          </w:p>
        </w:tc>
        <w:tc>
          <w:tcPr>
            <w:tcW w:w="1419" w:type="pct"/>
            <w:tcBorders>
              <w:tl2br w:val="nil"/>
              <w:tr2bl w:val="nil"/>
            </w:tcBorders>
            <w:vAlign w:val="center"/>
          </w:tcPr>
          <w:p w14:paraId="75C5B65E">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厂界主导风向下风向G2</w:t>
            </w:r>
          </w:p>
        </w:tc>
      </w:tr>
      <w:tr w14:paraId="4EE94BB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69B768F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年05月1</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9</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restart"/>
            <w:vAlign w:val="center"/>
          </w:tcPr>
          <w:p w14:paraId="2FB7DAD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臭气浓度</w:t>
            </w:r>
          </w:p>
        </w:tc>
        <w:tc>
          <w:tcPr>
            <w:tcW w:w="482" w:type="pct"/>
            <w:vMerge w:val="restart"/>
            <w:vAlign w:val="center"/>
          </w:tcPr>
          <w:p w14:paraId="40AD40A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1419" w:type="pct"/>
            <w:vAlign w:val="center"/>
          </w:tcPr>
          <w:p w14:paraId="405260F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c>
          <w:tcPr>
            <w:tcW w:w="1419" w:type="pct"/>
            <w:vAlign w:val="center"/>
          </w:tcPr>
          <w:p w14:paraId="27EE580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r>
      <w:tr w14:paraId="4FF630D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5B69EEA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20</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5F31C9C0">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4528E1F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175C898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c>
          <w:tcPr>
            <w:tcW w:w="1419" w:type="pct"/>
            <w:vAlign w:val="center"/>
          </w:tcPr>
          <w:p w14:paraId="642AA76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r>
      <w:tr w14:paraId="33AABB4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5407B37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21</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2867841D">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156FAD8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19968F17">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c>
          <w:tcPr>
            <w:tcW w:w="1419" w:type="pct"/>
            <w:vAlign w:val="center"/>
          </w:tcPr>
          <w:p w14:paraId="60CA219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r>
      <w:tr w14:paraId="612ED813">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05F8C27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22</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0B036B46">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12A2462E">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760A125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c>
          <w:tcPr>
            <w:tcW w:w="1419" w:type="pct"/>
            <w:vAlign w:val="center"/>
          </w:tcPr>
          <w:p w14:paraId="2A134C1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r>
      <w:tr w14:paraId="2C5A155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61FD8C5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23</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1F932A97">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685C9D8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3FCAD26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c>
          <w:tcPr>
            <w:tcW w:w="1419" w:type="pct"/>
            <w:vAlign w:val="center"/>
          </w:tcPr>
          <w:p w14:paraId="41A9A63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r>
      <w:tr w14:paraId="3309F3E1">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2834229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24</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52BC54E6">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1F85668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4B3D3D2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c>
          <w:tcPr>
            <w:tcW w:w="1419" w:type="pct"/>
            <w:vAlign w:val="center"/>
          </w:tcPr>
          <w:p w14:paraId="254CD23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r>
      <w:tr w14:paraId="703A151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21D9F7E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25</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2794C40C">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6E1E47D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4C8543D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c>
          <w:tcPr>
            <w:tcW w:w="1419" w:type="pct"/>
            <w:vAlign w:val="center"/>
          </w:tcPr>
          <w:p w14:paraId="0CA8D97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10L</w:t>
            </w:r>
          </w:p>
        </w:tc>
      </w:tr>
      <w:tr w14:paraId="223413D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1564C27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年05月1</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9</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restart"/>
            <w:vAlign w:val="center"/>
          </w:tcPr>
          <w:p w14:paraId="0B91D0CF">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总悬浮</w:t>
            </w:r>
          </w:p>
          <w:p w14:paraId="6C52DDD9">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颗粒物</w:t>
            </w:r>
          </w:p>
        </w:tc>
        <w:tc>
          <w:tcPr>
            <w:tcW w:w="482" w:type="pct"/>
            <w:vMerge w:val="restart"/>
            <w:vAlign w:val="center"/>
          </w:tcPr>
          <w:p w14:paraId="61E372A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mg/m</w:t>
            </w:r>
            <w:r>
              <w:rPr>
                <w:rFonts w:hint="default" w:ascii="Times New Roman" w:hAnsi="Times New Roman" w:eastAsia="宋体" w:cs="Times New Roman"/>
                <w:color w:val="000000" w:themeColor="text1"/>
                <w:sz w:val="18"/>
                <w:szCs w:val="18"/>
                <w:vertAlign w:val="superscript"/>
                <w:lang w:val="en-US" w:eastAsia="zh-CN"/>
                <w14:textFill>
                  <w14:solidFill>
                    <w14:schemeClr w14:val="tx1"/>
                  </w14:solidFill>
                </w14:textFill>
              </w:rPr>
              <w:t>3</w:t>
            </w:r>
          </w:p>
        </w:tc>
        <w:tc>
          <w:tcPr>
            <w:tcW w:w="1419" w:type="pct"/>
            <w:vAlign w:val="center"/>
          </w:tcPr>
          <w:p w14:paraId="3B88CD8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0.136</w:t>
            </w:r>
          </w:p>
        </w:tc>
        <w:tc>
          <w:tcPr>
            <w:tcW w:w="1419" w:type="pct"/>
            <w:vAlign w:val="center"/>
          </w:tcPr>
          <w:p w14:paraId="2850981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0.133</w:t>
            </w:r>
          </w:p>
        </w:tc>
      </w:tr>
      <w:tr w14:paraId="022DD48B">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77797EB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20</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22AA641F">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79D84C9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2BF7B9C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0.133</w:t>
            </w:r>
          </w:p>
        </w:tc>
        <w:tc>
          <w:tcPr>
            <w:tcW w:w="1419" w:type="pct"/>
            <w:vAlign w:val="center"/>
          </w:tcPr>
          <w:p w14:paraId="62F092C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0.134</w:t>
            </w:r>
          </w:p>
        </w:tc>
      </w:tr>
      <w:tr w14:paraId="0255FD5B">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17D1CF8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21</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0462C139">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477AE87E">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3CFEBE1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0.136</w:t>
            </w:r>
          </w:p>
        </w:tc>
        <w:tc>
          <w:tcPr>
            <w:tcW w:w="1419" w:type="pct"/>
            <w:vAlign w:val="center"/>
          </w:tcPr>
          <w:p w14:paraId="3CA7D49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0.135</w:t>
            </w:r>
          </w:p>
        </w:tc>
      </w:tr>
      <w:tr w14:paraId="52E9122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5A7B5B92">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22</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0411758C">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396A908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309565F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0.138</w:t>
            </w:r>
          </w:p>
        </w:tc>
        <w:tc>
          <w:tcPr>
            <w:tcW w:w="1419" w:type="pct"/>
            <w:vAlign w:val="center"/>
          </w:tcPr>
          <w:p w14:paraId="698F622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0.134</w:t>
            </w:r>
          </w:p>
        </w:tc>
      </w:tr>
      <w:tr w14:paraId="4C80956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28C6862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23</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0F665414">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4DE704F1">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2B691F08">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0.136</w:t>
            </w:r>
          </w:p>
        </w:tc>
        <w:tc>
          <w:tcPr>
            <w:tcW w:w="1419" w:type="pct"/>
            <w:vAlign w:val="center"/>
          </w:tcPr>
          <w:p w14:paraId="48A4AA55">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0.138</w:t>
            </w:r>
          </w:p>
        </w:tc>
      </w:tr>
      <w:tr w14:paraId="01B38AC7">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5887972B">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24</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10280DA8">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71284200">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608F9F83">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0.134</w:t>
            </w:r>
          </w:p>
        </w:tc>
        <w:tc>
          <w:tcPr>
            <w:tcW w:w="1419" w:type="pct"/>
            <w:vAlign w:val="center"/>
          </w:tcPr>
          <w:p w14:paraId="15A7742C">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0.136</w:t>
            </w:r>
          </w:p>
        </w:tc>
      </w:tr>
      <w:tr w14:paraId="5181F66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8" w:type="pct"/>
            <w:vAlign w:val="center"/>
          </w:tcPr>
          <w:p w14:paraId="6806158D">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202</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年05月</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25</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日</w:t>
            </w:r>
          </w:p>
        </w:tc>
        <w:tc>
          <w:tcPr>
            <w:tcW w:w="560" w:type="pct"/>
            <w:vMerge w:val="continue"/>
            <w:vAlign w:val="center"/>
          </w:tcPr>
          <w:p w14:paraId="307F11F2">
            <w:pPr>
              <w:pStyle w:val="143"/>
              <w:rPr>
                <w:rFonts w:hint="eastAsia" w:ascii="Times New Roman" w:hAnsi="Times New Roman" w:eastAsia="宋体" w:cs="Times New Roman"/>
                <w:color w:val="000000" w:themeColor="text1"/>
                <w:sz w:val="18"/>
                <w:szCs w:val="18"/>
                <w:lang w:val="en-US" w:eastAsia="zh-CN"/>
                <w14:textFill>
                  <w14:solidFill>
                    <w14:schemeClr w14:val="tx1"/>
                  </w14:solidFill>
                </w14:textFill>
              </w:rPr>
            </w:pPr>
          </w:p>
        </w:tc>
        <w:tc>
          <w:tcPr>
            <w:tcW w:w="482" w:type="pct"/>
            <w:vMerge w:val="continue"/>
            <w:vAlign w:val="center"/>
          </w:tcPr>
          <w:p w14:paraId="5036BFCA">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1419" w:type="pct"/>
            <w:vAlign w:val="center"/>
          </w:tcPr>
          <w:p w14:paraId="5D6BF794">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0.136</w:t>
            </w:r>
          </w:p>
        </w:tc>
        <w:tc>
          <w:tcPr>
            <w:tcW w:w="1419" w:type="pct"/>
            <w:vAlign w:val="center"/>
          </w:tcPr>
          <w:p w14:paraId="55883E76">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0.134</w:t>
            </w:r>
          </w:p>
        </w:tc>
      </w:tr>
      <w:tr w14:paraId="2B23423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5"/>
            <w:vAlign w:val="center"/>
          </w:tcPr>
          <w:p w14:paraId="4FC1F50F">
            <w:pPr>
              <w:pStyle w:val="143"/>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注：如检测结果小于方法检出限报检出限加</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限加“L”</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w:t>
            </w:r>
          </w:p>
        </w:tc>
      </w:tr>
    </w:tbl>
    <w:p w14:paraId="3C24AE9B">
      <w:pPr>
        <w:keepNext/>
        <w:keepLines/>
        <w:spacing w:line="500" w:lineRule="exact"/>
        <w:ind w:firstLine="0" w:firstLineChars="0"/>
        <w:outlineLvl w:val="3"/>
        <w:rPr>
          <w:rFonts w:cs="Times New Roman"/>
          <w:snapToGrid w:val="0"/>
          <w:color w:val="auto"/>
          <w:szCs w:val="20"/>
          <w:lang w:val="zh-CN" w:eastAsia="zh-CN"/>
        </w:rPr>
      </w:pPr>
      <w:r>
        <w:rPr>
          <w:rFonts w:cs="Times New Roman"/>
          <w:snapToGrid w:val="0"/>
          <w:color w:val="auto"/>
          <w:szCs w:val="20"/>
          <w:lang w:val="zh-CN" w:eastAsia="zh-CN"/>
        </w:rPr>
        <w:t>4.2.1.2环境空气质量现状评价</w:t>
      </w:r>
    </w:p>
    <w:p w14:paraId="664B4593">
      <w:pPr>
        <w:adjustRightInd/>
        <w:snapToGrid/>
        <w:spacing w:line="500" w:lineRule="exact"/>
        <w:rPr>
          <w:snapToGrid w:val="0"/>
          <w:color w:val="auto"/>
          <w:kern w:val="0"/>
        </w:rPr>
      </w:pPr>
      <w:r>
        <w:rPr>
          <w:rFonts w:hint="eastAsia"/>
          <w:snapToGrid w:val="0"/>
          <w:color w:val="auto"/>
          <w:kern w:val="0"/>
        </w:rPr>
        <w:t>（1）</w:t>
      </w:r>
      <w:r>
        <w:rPr>
          <w:snapToGrid w:val="0"/>
          <w:color w:val="auto"/>
          <w:kern w:val="0"/>
        </w:rPr>
        <w:t>评价参数</w:t>
      </w:r>
    </w:p>
    <w:p w14:paraId="70B90D5D">
      <w:pPr>
        <w:adjustRightInd/>
        <w:snapToGrid/>
        <w:spacing w:line="500" w:lineRule="exact"/>
        <w:rPr>
          <w:snapToGrid w:val="0"/>
          <w:color w:val="auto"/>
          <w:kern w:val="0"/>
        </w:rPr>
      </w:pPr>
      <w:r>
        <w:rPr>
          <w:snapToGrid w:val="0"/>
          <w:color w:val="auto"/>
          <w:kern w:val="0"/>
        </w:rPr>
        <w:t>评价因子选择NH</w:t>
      </w:r>
      <w:r>
        <w:rPr>
          <w:snapToGrid w:val="0"/>
          <w:color w:val="auto"/>
          <w:kern w:val="0"/>
          <w:vertAlign w:val="subscript"/>
        </w:rPr>
        <w:t>3</w:t>
      </w:r>
      <w:r>
        <w:rPr>
          <w:snapToGrid w:val="0"/>
          <w:color w:val="auto"/>
          <w:kern w:val="0"/>
        </w:rPr>
        <w:t>、H</w:t>
      </w:r>
      <w:r>
        <w:rPr>
          <w:snapToGrid w:val="0"/>
          <w:color w:val="auto"/>
          <w:kern w:val="0"/>
          <w:vertAlign w:val="subscript"/>
        </w:rPr>
        <w:t>2</w:t>
      </w:r>
      <w:r>
        <w:rPr>
          <w:snapToGrid w:val="0"/>
          <w:color w:val="auto"/>
          <w:kern w:val="0"/>
        </w:rPr>
        <w:t>S</w:t>
      </w:r>
      <w:r>
        <w:rPr>
          <w:rFonts w:hint="eastAsia"/>
          <w:snapToGrid w:val="0"/>
          <w:color w:val="auto"/>
          <w:kern w:val="0"/>
        </w:rPr>
        <w:t>、T</w:t>
      </w:r>
      <w:r>
        <w:rPr>
          <w:snapToGrid w:val="0"/>
          <w:color w:val="auto"/>
          <w:kern w:val="0"/>
        </w:rPr>
        <w:t>SP</w:t>
      </w:r>
      <w:r>
        <w:rPr>
          <w:rFonts w:hint="eastAsia"/>
          <w:snapToGrid w:val="0"/>
          <w:color w:val="auto"/>
          <w:kern w:val="0"/>
          <w:lang w:val="en-US" w:eastAsia="zh-CN"/>
        </w:rPr>
        <w:t>和臭气浓度</w:t>
      </w:r>
      <w:r>
        <w:rPr>
          <w:snapToGrid w:val="0"/>
          <w:color w:val="auto"/>
          <w:kern w:val="0"/>
        </w:rPr>
        <w:t>。</w:t>
      </w:r>
    </w:p>
    <w:p w14:paraId="06429762">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w:t>
      </w:r>
      <w:r>
        <w:rPr>
          <w:snapToGrid w:val="0"/>
          <w:color w:val="000000" w:themeColor="text1"/>
          <w:kern w:val="0"/>
          <w14:textFill>
            <w14:solidFill>
              <w14:schemeClr w14:val="tx1"/>
            </w14:solidFill>
          </w14:textFill>
        </w:rPr>
        <w:t>评价标准</w:t>
      </w:r>
    </w:p>
    <w:p w14:paraId="43B641F9">
      <w:pPr>
        <w:pStyle w:val="85"/>
        <w:rPr>
          <w:snapToGrid w:val="0"/>
          <w:color w:val="000000" w:themeColor="text1"/>
          <w14:textFill>
            <w14:solidFill>
              <w14:schemeClr w14:val="tx1"/>
            </w14:solidFill>
          </w14:textFill>
        </w:rPr>
      </w:pPr>
      <w:bookmarkStart w:id="219" w:name="_Hlk202538262"/>
      <w:r>
        <w:rPr>
          <w:snapToGrid w:val="0"/>
          <w:color w:val="000000" w:themeColor="text1"/>
          <w14:textFill>
            <w14:solidFill>
              <w14:schemeClr w14:val="tx1"/>
            </w14:solidFill>
          </w14:textFill>
        </w:rPr>
        <w:t>NH</w:t>
      </w:r>
      <w:r>
        <w:rPr>
          <w:snapToGrid w:val="0"/>
          <w:color w:val="000000" w:themeColor="text1"/>
          <w:vertAlign w:val="subscript"/>
          <w14:textFill>
            <w14:solidFill>
              <w14:schemeClr w14:val="tx1"/>
            </w14:solidFill>
          </w14:textFill>
        </w:rPr>
        <w:t>3</w:t>
      </w: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r>
        <w:rPr>
          <w:rFonts w:hint="eastAsia"/>
          <w:snapToGrid w:val="0"/>
          <w:color w:val="000000" w:themeColor="text1"/>
          <w14:textFill>
            <w14:solidFill>
              <w14:schemeClr w14:val="tx1"/>
            </w14:solidFill>
          </w14:textFill>
        </w:rPr>
        <w:t>执行《环境影响评价技术导则</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大气环境》（</w:t>
      </w:r>
      <w:r>
        <w:rPr>
          <w:snapToGrid w:val="0"/>
          <w:color w:val="000000" w:themeColor="text1"/>
          <w14:textFill>
            <w14:solidFill>
              <w14:schemeClr w14:val="tx1"/>
            </w14:solidFill>
          </w14:textFill>
        </w:rPr>
        <w:t>HJ2.2-2018</w:t>
      </w:r>
      <w:r>
        <w:rPr>
          <w:rFonts w:hint="eastAsia"/>
          <w:snapToGrid w:val="0"/>
          <w:color w:val="000000" w:themeColor="text1"/>
          <w14:textFill>
            <w14:solidFill>
              <w14:schemeClr w14:val="tx1"/>
            </w14:solidFill>
          </w14:textFill>
        </w:rPr>
        <w:t>）附录D</w:t>
      </w:r>
      <w:r>
        <w:rPr>
          <w:color w:val="000000" w:themeColor="text1"/>
          <w14:textFill>
            <w14:solidFill>
              <w14:schemeClr w14:val="tx1"/>
            </w14:solidFill>
          </w14:textFill>
        </w:rPr>
        <w:t>表</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其他污染物空气质量浓度参考限值要求</w:t>
      </w:r>
      <w:r>
        <w:rPr>
          <w:rFonts w:hint="eastAsia"/>
          <w:snapToGrid w:val="0"/>
          <w:color w:val="000000" w:themeColor="text1"/>
          <w14:textFill>
            <w14:solidFill>
              <w14:schemeClr w14:val="tx1"/>
            </w14:solidFill>
          </w14:textFill>
        </w:rPr>
        <w:t>，</w:t>
      </w:r>
      <w:r>
        <w:rPr>
          <w:rFonts w:ascii="Times New Roman" w:hAnsi="Times New Roman" w:cs="Times New Roman"/>
          <w:color w:val="000000" w:themeColor="text1"/>
          <w:highlight w:val="none"/>
          <w14:textFill>
            <w14:solidFill>
              <w14:schemeClr w14:val="tx1"/>
            </w14:solidFill>
          </w14:textFill>
        </w:rPr>
        <w:t>臭气浓度满足《恶臭污染物排放标准》（GB14554-93）</w:t>
      </w:r>
      <w:r>
        <w:rPr>
          <w:rFonts w:hint="eastAsia" w:ascii="Times New Roman" w:hAnsi="Times New Roman" w:cs="Times New Roman"/>
          <w:color w:val="000000" w:themeColor="text1"/>
          <w:highlight w:val="none"/>
          <w:lang w:val="en-US" w:eastAsia="zh-CN"/>
          <w14:textFill>
            <w14:solidFill>
              <w14:schemeClr w14:val="tx1"/>
            </w14:solidFill>
          </w14:textFill>
        </w:rPr>
        <w:t>二级新改扩建厂界标准限值</w:t>
      </w:r>
      <w:r>
        <w:rPr>
          <w:rFonts w:ascii="Times New Roman" w:hAnsi="Times New Roman" w:cs="Times New Roman"/>
          <w:color w:val="000000" w:themeColor="text1"/>
          <w:highlight w:val="none"/>
          <w14:textFill>
            <w14:solidFill>
              <w14:schemeClr w14:val="tx1"/>
            </w14:solidFill>
          </w14:textFill>
        </w:rPr>
        <w:t>要求</w:t>
      </w:r>
      <w:r>
        <w:rPr>
          <w:rFonts w:hint="eastAsia" w:cs="Times New Roman"/>
          <w:color w:val="000000" w:themeColor="text1"/>
          <w:highlight w:val="none"/>
          <w:lang w:eastAsia="zh-CN"/>
          <w14:textFill>
            <w14:solidFill>
              <w14:schemeClr w14:val="tx1"/>
            </w14:solidFill>
          </w14:textFill>
        </w:rPr>
        <w:t>，</w:t>
      </w:r>
      <w:r>
        <w:rPr>
          <w:rFonts w:hint="eastAsia"/>
          <w:snapToGrid w:val="0"/>
          <w:color w:val="000000" w:themeColor="text1"/>
          <w14:textFill>
            <w14:solidFill>
              <w14:schemeClr w14:val="tx1"/>
            </w14:solidFill>
          </w14:textFill>
        </w:rPr>
        <w:t>T</w:t>
      </w:r>
      <w:r>
        <w:rPr>
          <w:snapToGrid w:val="0"/>
          <w:color w:val="000000" w:themeColor="text1"/>
          <w14:textFill>
            <w14:solidFill>
              <w14:schemeClr w14:val="tx1"/>
            </w14:solidFill>
          </w14:textFill>
        </w:rPr>
        <w:t>SP</w:t>
      </w:r>
      <w:r>
        <w:rPr>
          <w:rFonts w:hint="eastAsia"/>
          <w:snapToGrid w:val="0"/>
          <w:color w:val="000000" w:themeColor="text1"/>
          <w14:textFill>
            <w14:solidFill>
              <w14:schemeClr w14:val="tx1"/>
            </w14:solidFill>
          </w14:textFill>
        </w:rPr>
        <w:t>执行</w:t>
      </w:r>
      <w:bookmarkStart w:id="220" w:name="_Hlk120804419"/>
      <w:r>
        <w:rPr>
          <w:rFonts w:hint="eastAsia"/>
          <w:snapToGrid w:val="0"/>
          <w:color w:val="000000" w:themeColor="text1"/>
          <w14:textFill>
            <w14:solidFill>
              <w14:schemeClr w14:val="tx1"/>
            </w14:solidFill>
          </w14:textFill>
        </w:rPr>
        <w:t>《环境空气质量标准》（</w:t>
      </w:r>
      <w:r>
        <w:rPr>
          <w:rFonts w:hint="eastAsia"/>
          <w:snapToGrid w:val="0"/>
          <w:color w:val="000000" w:themeColor="text1"/>
          <w:lang w:eastAsia="zh-CN"/>
          <w14:textFill>
            <w14:solidFill>
              <w14:schemeClr w14:val="tx1"/>
            </w14:solidFill>
          </w14:textFill>
        </w:rPr>
        <w:t>GB3095-2026</w:t>
      </w:r>
      <w:r>
        <w:rPr>
          <w:rFonts w:hint="eastAsia"/>
          <w:snapToGrid w:val="0"/>
          <w:color w:val="000000" w:themeColor="text1"/>
          <w14:textFill>
            <w14:solidFill>
              <w14:schemeClr w14:val="tx1"/>
            </w14:solidFill>
          </w14:textFill>
        </w:rPr>
        <w:t>）中二级标准浓度限值</w:t>
      </w:r>
      <w:bookmarkEnd w:id="220"/>
      <w:r>
        <w:rPr>
          <w:rFonts w:hint="eastAsia"/>
          <w:snapToGrid w:val="0"/>
          <w:color w:val="000000" w:themeColor="text1"/>
          <w:lang w:val="en-US" w:eastAsia="zh-CN"/>
          <w14:textFill>
            <w14:solidFill>
              <w14:schemeClr w14:val="tx1"/>
            </w14:solidFill>
          </w14:textFill>
        </w:rPr>
        <w:t>要求</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评价标准见表4-2-</w:t>
      </w:r>
      <w:r>
        <w:rPr>
          <w:rFonts w:hint="eastAsia"/>
          <w:snapToGrid w:val="0"/>
          <w:color w:val="000000" w:themeColor="text1"/>
          <w:lang w:val="en-US" w:eastAsia="zh-CN"/>
          <w14:textFill>
            <w14:solidFill>
              <w14:schemeClr w14:val="tx1"/>
            </w14:solidFill>
          </w14:textFill>
        </w:rPr>
        <w:t>6</w:t>
      </w:r>
      <w:r>
        <w:rPr>
          <w:snapToGrid w:val="0"/>
          <w:color w:val="000000" w:themeColor="text1"/>
          <w14:textFill>
            <w14:solidFill>
              <w14:schemeClr w14:val="tx1"/>
            </w14:solidFill>
          </w14:textFill>
        </w:rPr>
        <w:t>。</w:t>
      </w:r>
      <w:bookmarkEnd w:id="219"/>
    </w:p>
    <w:p w14:paraId="420DD036">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hint="eastAsia" w:eastAsia="黑体"/>
          <w:snapToGrid w:val="0"/>
          <w:color w:val="000000" w:themeColor="text1"/>
          <w:kern w:val="0"/>
          <w:lang w:val="zh-CN" w:eastAsia="zh-CN"/>
          <w14:textFill>
            <w14:solidFill>
              <w14:schemeClr w14:val="tx1"/>
            </w14:solidFill>
          </w14:textFill>
        </w:rPr>
        <w:t>表4-2</w:t>
      </w:r>
      <w:r>
        <w:rPr>
          <w:rFonts w:eastAsia="黑体"/>
          <w:snapToGrid w:val="0"/>
          <w:color w:val="000000" w:themeColor="text1"/>
          <w:kern w:val="0"/>
          <w:lang w:val="zh-CN" w:eastAsia="zh-CN"/>
          <w14:textFill>
            <w14:solidFill>
              <w14:schemeClr w14:val="tx1"/>
            </w14:solidFill>
          </w14:textFill>
        </w:rPr>
        <w:t>-</w:t>
      </w:r>
      <w:r>
        <w:rPr>
          <w:rFonts w:hint="eastAsia" w:eastAsia="黑体"/>
          <w:snapToGrid w:val="0"/>
          <w:color w:val="000000" w:themeColor="text1"/>
          <w:kern w:val="0"/>
          <w:lang w:val="en-US" w:eastAsia="zh-CN"/>
          <w14:textFill>
            <w14:solidFill>
              <w14:schemeClr w14:val="tx1"/>
            </w14:solidFill>
          </w14:textFill>
        </w:rPr>
        <w:t>6</w:t>
      </w:r>
      <w:r>
        <w:rPr>
          <w:rFonts w:eastAsia="黑体"/>
          <w:snapToGrid w:val="0"/>
          <w:color w:val="000000" w:themeColor="text1"/>
          <w:kern w:val="0"/>
          <w:lang w:val="zh-CN" w:eastAsia="zh-CN"/>
          <w14:textFill>
            <w14:solidFill>
              <w14:schemeClr w14:val="tx1"/>
            </w14:solidFill>
          </w14:textFill>
        </w:rPr>
        <w:t xml:space="preserve"> </w:t>
      </w:r>
      <w:r>
        <w:rPr>
          <w:rFonts w:hint="eastAsia" w:eastAsia="黑体"/>
          <w:snapToGrid w:val="0"/>
          <w:color w:val="000000" w:themeColor="text1"/>
          <w:kern w:val="0"/>
          <w:lang w:val="zh-CN" w:eastAsia="zh-CN"/>
          <w14:textFill>
            <w14:solidFill>
              <w14:schemeClr w14:val="tx1"/>
            </w14:solidFill>
          </w14:textFill>
        </w:rPr>
        <w:t>评价标准一览表</w:t>
      </w:r>
    </w:p>
    <w:tbl>
      <w:tblPr>
        <w:tblStyle w:val="49"/>
        <w:tblW w:w="5129"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2329"/>
        <w:gridCol w:w="1351"/>
        <w:gridCol w:w="1269"/>
        <w:gridCol w:w="3577"/>
      </w:tblGrid>
      <w:tr w14:paraId="0BAA603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jc w:val="center"/>
        </w:trPr>
        <w:tc>
          <w:tcPr>
            <w:tcW w:w="1366" w:type="pct"/>
            <w:shd w:val="clear" w:color="auto" w:fill="auto"/>
            <w:vAlign w:val="center"/>
          </w:tcPr>
          <w:p w14:paraId="26F990E5">
            <w:pPr>
              <w:adjustRightInd/>
              <w:snapToGrid/>
              <w:spacing w:line="240" w:lineRule="auto"/>
              <w:ind w:firstLine="0" w:firstLineChars="0"/>
              <w:jc w:val="center"/>
              <w:rPr>
                <w:rFonts w:eastAsia="Times New Roman"/>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污染物名称</w:t>
            </w:r>
          </w:p>
        </w:tc>
        <w:tc>
          <w:tcPr>
            <w:tcW w:w="792" w:type="pct"/>
            <w:shd w:val="clear" w:color="auto" w:fill="auto"/>
            <w:vAlign w:val="center"/>
          </w:tcPr>
          <w:p w14:paraId="4F385C89">
            <w:pPr>
              <w:adjustRightInd/>
              <w:snapToGrid/>
              <w:spacing w:line="240" w:lineRule="auto"/>
              <w:ind w:firstLine="0" w:firstLineChars="0"/>
              <w:jc w:val="center"/>
              <w:rPr>
                <w:rFonts w:eastAsia="Times New Roman"/>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浓度限值</w:t>
            </w:r>
          </w:p>
        </w:tc>
        <w:tc>
          <w:tcPr>
            <w:tcW w:w="744" w:type="pct"/>
            <w:shd w:val="clear" w:color="auto" w:fill="auto"/>
            <w:vAlign w:val="center"/>
          </w:tcPr>
          <w:p w14:paraId="4042C837">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浓度单位</w:t>
            </w:r>
          </w:p>
        </w:tc>
        <w:tc>
          <w:tcPr>
            <w:tcW w:w="2097" w:type="pct"/>
            <w:vAlign w:val="center"/>
          </w:tcPr>
          <w:p w14:paraId="5D07B4A7">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eastAsia="zh-CN"/>
                <w14:textFill>
                  <w14:solidFill>
                    <w14:schemeClr w14:val="tx1"/>
                  </w14:solidFill>
                </w14:textFill>
              </w:rPr>
              <w:t>标准来源</w:t>
            </w:r>
          </w:p>
        </w:tc>
      </w:tr>
      <w:tr w14:paraId="313DE05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66" w:type="pct"/>
            <w:shd w:val="clear" w:color="auto" w:fill="auto"/>
            <w:vAlign w:val="center"/>
          </w:tcPr>
          <w:p w14:paraId="32833621">
            <w:pPr>
              <w:adjustRightInd/>
              <w:snapToGrid/>
              <w:spacing w:line="240" w:lineRule="auto"/>
              <w:ind w:firstLine="0" w:firstLineChars="0"/>
              <w:jc w:val="center"/>
              <w:rPr>
                <w:rFonts w:cs="宋体"/>
                <w:snapToGrid w:val="0"/>
                <w:color w:val="000000" w:themeColor="text1"/>
                <w:kern w:val="0"/>
                <w:sz w:val="21"/>
                <w:lang w:val="zh-CN"/>
                <w14:textFill>
                  <w14:solidFill>
                    <w14:schemeClr w14:val="tx1"/>
                  </w14:solidFill>
                </w14:textFill>
              </w:rPr>
            </w:pPr>
            <w:r>
              <w:rPr>
                <w:rFonts w:eastAsia="Times New Roman"/>
                <w:snapToGrid w:val="0"/>
                <w:color w:val="000000" w:themeColor="text1"/>
                <w:kern w:val="0"/>
                <w:sz w:val="21"/>
                <w:lang w:val="zh-CN" w:eastAsia="zh-CN"/>
                <w14:textFill>
                  <w14:solidFill>
                    <w14:schemeClr w14:val="tx1"/>
                  </w14:solidFill>
                </w14:textFill>
              </w:rPr>
              <w:t>H</w:t>
            </w:r>
            <w:r>
              <w:rPr>
                <w:rFonts w:eastAsia="Times New Roman"/>
                <w:snapToGrid w:val="0"/>
                <w:color w:val="000000" w:themeColor="text1"/>
                <w:kern w:val="0"/>
                <w:sz w:val="21"/>
                <w:vertAlign w:val="subscript"/>
                <w:lang w:val="zh-CN" w:eastAsia="zh-CN"/>
                <w14:textFill>
                  <w14:solidFill>
                    <w14:schemeClr w14:val="tx1"/>
                  </w14:solidFill>
                </w14:textFill>
              </w:rPr>
              <w:t>2</w:t>
            </w:r>
            <w:r>
              <w:rPr>
                <w:rFonts w:eastAsia="Times New Roman"/>
                <w:snapToGrid w:val="0"/>
                <w:color w:val="000000" w:themeColor="text1"/>
                <w:kern w:val="0"/>
                <w:sz w:val="21"/>
                <w:lang w:val="zh-CN" w:eastAsia="zh-CN"/>
                <w14:textFill>
                  <w14:solidFill>
                    <w14:schemeClr w14:val="tx1"/>
                  </w14:solidFill>
                </w14:textFill>
              </w:rPr>
              <w:t>S</w:t>
            </w:r>
            <w:r>
              <w:rPr>
                <w:rFonts w:hint="eastAsia" w:cs="宋体"/>
                <w:snapToGrid w:val="0"/>
                <w:color w:val="000000" w:themeColor="text1"/>
                <w:kern w:val="0"/>
                <w:sz w:val="21"/>
                <w:lang w:val="zh-CN"/>
                <w14:textFill>
                  <w14:solidFill>
                    <w14:schemeClr w14:val="tx1"/>
                  </w14:solidFill>
                </w14:textFill>
              </w:rPr>
              <w:t>（1小时平均）</w:t>
            </w:r>
          </w:p>
        </w:tc>
        <w:tc>
          <w:tcPr>
            <w:tcW w:w="792" w:type="pct"/>
            <w:shd w:val="clear" w:color="auto" w:fill="auto"/>
            <w:vAlign w:val="center"/>
          </w:tcPr>
          <w:p w14:paraId="6621A1C4">
            <w:pPr>
              <w:adjustRightInd/>
              <w:snapToGrid/>
              <w:spacing w:line="240" w:lineRule="auto"/>
              <w:ind w:firstLine="0" w:firstLineChars="0"/>
              <w:jc w:val="center"/>
              <w:rPr>
                <w:rFonts w:eastAsia="Times New Roman"/>
                <w:snapToGrid w:val="0"/>
                <w:color w:val="000000" w:themeColor="text1"/>
                <w:kern w:val="0"/>
                <w:sz w:val="21"/>
                <w:lang w:val="zh-CN" w:eastAsia="zh-CN"/>
                <w14:textFill>
                  <w14:solidFill>
                    <w14:schemeClr w14:val="tx1"/>
                  </w14:solidFill>
                </w14:textFill>
              </w:rPr>
            </w:pPr>
            <w:r>
              <w:rPr>
                <w:rFonts w:eastAsia="Times New Roman"/>
                <w:snapToGrid w:val="0"/>
                <w:color w:val="000000" w:themeColor="text1"/>
                <w:kern w:val="0"/>
                <w:sz w:val="21"/>
                <w:lang w:val="zh-CN" w:eastAsia="zh-CN"/>
                <w14:textFill>
                  <w14:solidFill>
                    <w14:schemeClr w14:val="tx1"/>
                  </w14:solidFill>
                </w14:textFill>
              </w:rPr>
              <w:t>0.01</w:t>
            </w:r>
          </w:p>
        </w:tc>
        <w:tc>
          <w:tcPr>
            <w:tcW w:w="744" w:type="pct"/>
            <w:vMerge w:val="restart"/>
            <w:shd w:val="clear" w:color="auto" w:fill="auto"/>
            <w:vAlign w:val="center"/>
          </w:tcPr>
          <w:p w14:paraId="3347B78B">
            <w:pPr>
              <w:adjustRightInd/>
              <w:snapToGrid/>
              <w:spacing w:line="240" w:lineRule="auto"/>
              <w:ind w:firstLine="0" w:firstLineChars="0"/>
              <w:jc w:val="center"/>
              <w:rPr>
                <w:rFonts w:eastAsia="Times New Roman"/>
                <w:snapToGrid w:val="0"/>
                <w:color w:val="000000" w:themeColor="text1"/>
                <w:kern w:val="0"/>
                <w:sz w:val="21"/>
                <w:lang w:val="zh-CN" w:eastAsia="zh-CN"/>
                <w14:textFill>
                  <w14:solidFill>
                    <w14:schemeClr w14:val="tx1"/>
                  </w14:solidFill>
                </w14:textFill>
              </w:rPr>
            </w:pPr>
            <w:r>
              <w:rPr>
                <w:rFonts w:eastAsia="Times New Roman"/>
                <w:snapToGrid w:val="0"/>
                <w:color w:val="000000" w:themeColor="text1"/>
                <w:kern w:val="0"/>
                <w:sz w:val="21"/>
                <w:lang w:val="zh-CN" w:eastAsia="zh-CN"/>
                <w14:textFill>
                  <w14:solidFill>
                    <w14:schemeClr w14:val="tx1"/>
                  </w14:solidFill>
                </w14:textFill>
              </w:rPr>
              <w:t>mg/m</w:t>
            </w:r>
            <w:r>
              <w:rPr>
                <w:rFonts w:eastAsia="Times New Roman"/>
                <w:snapToGrid w:val="0"/>
                <w:color w:val="000000" w:themeColor="text1"/>
                <w:kern w:val="0"/>
                <w:sz w:val="21"/>
                <w:vertAlign w:val="superscript"/>
                <w:lang w:val="zh-CN" w:eastAsia="zh-CN"/>
                <w14:textFill>
                  <w14:solidFill>
                    <w14:schemeClr w14:val="tx1"/>
                  </w14:solidFill>
                </w14:textFill>
              </w:rPr>
              <w:t>3</w:t>
            </w:r>
          </w:p>
        </w:tc>
        <w:tc>
          <w:tcPr>
            <w:tcW w:w="2097" w:type="pct"/>
            <w:vMerge w:val="restart"/>
            <w:vAlign w:val="center"/>
          </w:tcPr>
          <w:p w14:paraId="61591314">
            <w:pPr>
              <w:adjustRightInd/>
              <w:snapToGrid/>
              <w:spacing w:line="240" w:lineRule="auto"/>
              <w:ind w:firstLine="0" w:firstLineChars="0"/>
              <w:rPr>
                <w:rFonts w:eastAsia="Times New Roman"/>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《环境影响评价技术导则 大气环境》（HJ2.2-2018）中</w:t>
            </w:r>
            <w:r>
              <w:rPr>
                <w:rFonts w:hint="eastAsia"/>
                <w:snapToGrid w:val="0"/>
                <w:color w:val="000000" w:themeColor="text1"/>
                <w:kern w:val="0"/>
                <w:sz w:val="21"/>
                <w:lang w:val="zh-CN" w:eastAsia="zh-CN"/>
                <w14:textFill>
                  <w14:solidFill>
                    <w14:schemeClr w14:val="tx1"/>
                  </w14:solidFill>
                </w14:textFill>
              </w:rPr>
              <w:t>附录D</w:t>
            </w:r>
            <w:r>
              <w:rPr>
                <w:snapToGrid w:val="0"/>
                <w:color w:val="000000" w:themeColor="text1"/>
                <w:kern w:val="0"/>
                <w:sz w:val="21"/>
                <w:lang w:val="zh-CN" w:eastAsia="zh-CN"/>
                <w14:textFill>
                  <w14:solidFill>
                    <w14:schemeClr w14:val="tx1"/>
                  </w14:solidFill>
                </w14:textFill>
              </w:rPr>
              <w:t xml:space="preserve"> </w:t>
            </w:r>
          </w:p>
        </w:tc>
      </w:tr>
      <w:tr w14:paraId="35D27D4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66" w:type="pct"/>
            <w:shd w:val="clear" w:color="auto" w:fill="auto"/>
            <w:vAlign w:val="center"/>
          </w:tcPr>
          <w:p w14:paraId="2DD3A5DF">
            <w:pPr>
              <w:adjustRightInd/>
              <w:snapToGrid/>
              <w:spacing w:line="240" w:lineRule="auto"/>
              <w:ind w:firstLine="0" w:firstLineChars="0"/>
              <w:jc w:val="center"/>
              <w:rPr>
                <w:rFonts w:cs="宋体"/>
                <w:snapToGrid w:val="0"/>
                <w:color w:val="000000" w:themeColor="text1"/>
                <w:kern w:val="0"/>
                <w:sz w:val="21"/>
                <w:lang w:val="zh-CN"/>
                <w14:textFill>
                  <w14:solidFill>
                    <w14:schemeClr w14:val="tx1"/>
                  </w14:solidFill>
                </w14:textFill>
              </w:rPr>
            </w:pPr>
            <w:r>
              <w:rPr>
                <w:rFonts w:eastAsia="Times New Roman"/>
                <w:snapToGrid w:val="0"/>
                <w:color w:val="000000" w:themeColor="text1"/>
                <w:kern w:val="0"/>
                <w:sz w:val="21"/>
                <w:lang w:val="zh-CN" w:eastAsia="zh-CN"/>
                <w14:textFill>
                  <w14:solidFill>
                    <w14:schemeClr w14:val="tx1"/>
                  </w14:solidFill>
                </w14:textFill>
              </w:rPr>
              <w:t>NH</w:t>
            </w:r>
            <w:r>
              <w:rPr>
                <w:rFonts w:eastAsia="Times New Roman"/>
                <w:snapToGrid w:val="0"/>
                <w:color w:val="000000" w:themeColor="text1"/>
                <w:kern w:val="0"/>
                <w:sz w:val="21"/>
                <w:vertAlign w:val="subscript"/>
                <w:lang w:val="zh-CN" w:eastAsia="zh-CN"/>
                <w14:textFill>
                  <w14:solidFill>
                    <w14:schemeClr w14:val="tx1"/>
                  </w14:solidFill>
                </w14:textFill>
              </w:rPr>
              <w:t>3</w:t>
            </w:r>
            <w:r>
              <w:rPr>
                <w:rFonts w:hint="eastAsia"/>
                <w:snapToGrid w:val="0"/>
                <w:color w:val="000000" w:themeColor="text1"/>
                <w:kern w:val="0"/>
                <w:sz w:val="21"/>
                <w:lang w:val="zh-CN"/>
                <w14:textFill>
                  <w14:solidFill>
                    <w14:schemeClr w14:val="tx1"/>
                  </w14:solidFill>
                </w14:textFill>
              </w:rPr>
              <w:t>（1小时平均）</w:t>
            </w:r>
          </w:p>
        </w:tc>
        <w:tc>
          <w:tcPr>
            <w:tcW w:w="792" w:type="pct"/>
            <w:shd w:val="clear" w:color="auto" w:fill="auto"/>
            <w:vAlign w:val="center"/>
          </w:tcPr>
          <w:p w14:paraId="2EE6CB52">
            <w:pPr>
              <w:adjustRightInd/>
              <w:snapToGrid/>
              <w:spacing w:line="240" w:lineRule="auto"/>
              <w:ind w:firstLine="0" w:firstLineChars="0"/>
              <w:jc w:val="center"/>
              <w:rPr>
                <w:rFonts w:eastAsia="Times New Roman"/>
                <w:snapToGrid w:val="0"/>
                <w:color w:val="000000" w:themeColor="text1"/>
                <w:kern w:val="0"/>
                <w:sz w:val="21"/>
                <w:lang w:val="zh-CN" w:eastAsia="zh-CN"/>
                <w14:textFill>
                  <w14:solidFill>
                    <w14:schemeClr w14:val="tx1"/>
                  </w14:solidFill>
                </w14:textFill>
              </w:rPr>
            </w:pPr>
            <w:r>
              <w:rPr>
                <w:rFonts w:eastAsia="Times New Roman"/>
                <w:snapToGrid w:val="0"/>
                <w:color w:val="000000" w:themeColor="text1"/>
                <w:kern w:val="0"/>
                <w:sz w:val="21"/>
                <w:lang w:val="zh-CN" w:eastAsia="zh-CN"/>
                <w14:textFill>
                  <w14:solidFill>
                    <w14:schemeClr w14:val="tx1"/>
                  </w14:solidFill>
                </w14:textFill>
              </w:rPr>
              <w:t>0.20</w:t>
            </w:r>
          </w:p>
        </w:tc>
        <w:tc>
          <w:tcPr>
            <w:tcW w:w="744" w:type="pct"/>
            <w:vMerge w:val="continue"/>
            <w:shd w:val="clear" w:color="auto" w:fill="auto"/>
            <w:vAlign w:val="center"/>
          </w:tcPr>
          <w:p w14:paraId="6712C268">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097" w:type="pct"/>
            <w:vMerge w:val="continue"/>
            <w:vAlign w:val="center"/>
          </w:tcPr>
          <w:p w14:paraId="55B903C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r>
      <w:tr w14:paraId="34A7173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66" w:type="pct"/>
            <w:shd w:val="clear" w:color="auto" w:fill="auto"/>
            <w:vAlign w:val="center"/>
          </w:tcPr>
          <w:p w14:paraId="06AB4673">
            <w:pPr>
              <w:adjustRightInd/>
              <w:snapToGrid/>
              <w:spacing w:line="240" w:lineRule="auto"/>
              <w:ind w:firstLine="0" w:firstLineChars="0"/>
              <w:jc w:val="center"/>
              <w:rPr>
                <w:rFonts w:cs="宋体"/>
                <w:snapToGrid w:val="0"/>
                <w:color w:val="000000" w:themeColor="text1"/>
                <w:kern w:val="0"/>
                <w:sz w:val="21"/>
                <w:lang w:val="zh-CN"/>
                <w14:textFill>
                  <w14:solidFill>
                    <w14:schemeClr w14:val="tx1"/>
                  </w14:solidFill>
                </w14:textFill>
              </w:rPr>
            </w:pPr>
            <w:r>
              <w:rPr>
                <w:rFonts w:hint="eastAsia" w:cs="宋体"/>
                <w:snapToGrid w:val="0"/>
                <w:color w:val="000000" w:themeColor="text1"/>
                <w:kern w:val="0"/>
                <w:sz w:val="21"/>
                <w:lang w:val="zh-CN"/>
                <w14:textFill>
                  <w14:solidFill>
                    <w14:schemeClr w14:val="tx1"/>
                  </w14:solidFill>
                </w14:textFill>
              </w:rPr>
              <w:t>T</w:t>
            </w:r>
            <w:r>
              <w:rPr>
                <w:rFonts w:cs="宋体"/>
                <w:snapToGrid w:val="0"/>
                <w:color w:val="000000" w:themeColor="text1"/>
                <w:kern w:val="0"/>
                <w:sz w:val="21"/>
                <w:lang w:val="zh-CN"/>
                <w14:textFill>
                  <w14:solidFill>
                    <w14:schemeClr w14:val="tx1"/>
                  </w14:solidFill>
                </w14:textFill>
              </w:rPr>
              <w:t>SP</w:t>
            </w:r>
            <w:r>
              <w:rPr>
                <w:rFonts w:hint="eastAsia" w:cs="宋体"/>
                <w:snapToGrid w:val="0"/>
                <w:color w:val="000000" w:themeColor="text1"/>
                <w:kern w:val="0"/>
                <w:sz w:val="21"/>
                <w:lang w:val="zh-CN"/>
                <w14:textFill>
                  <w14:solidFill>
                    <w14:schemeClr w14:val="tx1"/>
                  </w14:solidFill>
                </w14:textFill>
              </w:rPr>
              <w:t>（</w:t>
            </w:r>
            <w:r>
              <w:rPr>
                <w:rFonts w:cs="宋体"/>
                <w:snapToGrid w:val="0"/>
                <w:color w:val="000000" w:themeColor="text1"/>
                <w:kern w:val="0"/>
                <w:sz w:val="21"/>
                <w:lang w:val="zh-CN"/>
                <w14:textFill>
                  <w14:solidFill>
                    <w14:schemeClr w14:val="tx1"/>
                  </w14:solidFill>
                </w14:textFill>
              </w:rPr>
              <w:t>24</w:t>
            </w:r>
            <w:r>
              <w:rPr>
                <w:rFonts w:hint="eastAsia" w:cs="宋体"/>
                <w:snapToGrid w:val="0"/>
                <w:color w:val="000000" w:themeColor="text1"/>
                <w:kern w:val="0"/>
                <w:sz w:val="21"/>
                <w:lang w:val="zh-CN"/>
                <w14:textFill>
                  <w14:solidFill>
                    <w14:schemeClr w14:val="tx1"/>
                  </w14:solidFill>
                </w14:textFill>
              </w:rPr>
              <w:t>小时平均）</w:t>
            </w:r>
          </w:p>
        </w:tc>
        <w:tc>
          <w:tcPr>
            <w:tcW w:w="792" w:type="pct"/>
            <w:shd w:val="clear" w:color="auto" w:fill="auto"/>
            <w:vAlign w:val="center"/>
          </w:tcPr>
          <w:p w14:paraId="73BA5DDA">
            <w:pPr>
              <w:adjustRightInd/>
              <w:snapToGrid/>
              <w:spacing w:line="240" w:lineRule="auto"/>
              <w:ind w:firstLine="0" w:firstLineChars="0"/>
              <w:jc w:val="center"/>
              <w:rPr>
                <w:rFonts w:hint="default" w:eastAsiaTheme="minorEastAsia"/>
                <w:snapToGrid w:val="0"/>
                <w:color w:val="000000" w:themeColor="text1"/>
                <w:kern w:val="0"/>
                <w:sz w:val="21"/>
                <w:lang w:val="en-US" w:eastAsia="zh-CN"/>
                <w14:textFill>
                  <w14:solidFill>
                    <w14:schemeClr w14:val="tx1"/>
                  </w14:solidFill>
                </w14:textFill>
              </w:rPr>
            </w:pPr>
            <w:r>
              <w:rPr>
                <w:rFonts w:hint="eastAsia" w:eastAsiaTheme="minorEastAsia"/>
                <w:snapToGrid w:val="0"/>
                <w:color w:val="000000" w:themeColor="text1"/>
                <w:kern w:val="0"/>
                <w:sz w:val="21"/>
                <w:lang w:val="en-US" w:eastAsia="zh-CN"/>
                <w14:textFill>
                  <w14:solidFill>
                    <w14:schemeClr w14:val="tx1"/>
                  </w14:solidFill>
                </w14:textFill>
              </w:rPr>
              <w:t>0.30</w:t>
            </w:r>
          </w:p>
        </w:tc>
        <w:tc>
          <w:tcPr>
            <w:tcW w:w="744" w:type="pct"/>
            <w:vMerge w:val="continue"/>
            <w:shd w:val="clear" w:color="auto" w:fill="auto"/>
            <w:vAlign w:val="center"/>
          </w:tcPr>
          <w:p w14:paraId="4FAF5740">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097" w:type="pct"/>
            <w:vAlign w:val="center"/>
          </w:tcPr>
          <w:p w14:paraId="14B31130">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《环境空气质量标准》（GB3095-2026）二级标准浓度限值</w:t>
            </w:r>
          </w:p>
        </w:tc>
      </w:tr>
      <w:tr w14:paraId="054873E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66" w:type="pct"/>
            <w:shd w:val="clear" w:color="auto" w:fill="auto"/>
            <w:vAlign w:val="center"/>
          </w:tcPr>
          <w:p w14:paraId="6728933E">
            <w:pPr>
              <w:adjustRightInd/>
              <w:snapToGrid/>
              <w:spacing w:line="240" w:lineRule="auto"/>
              <w:ind w:firstLine="0" w:firstLineChars="0"/>
              <w:jc w:val="center"/>
              <w:rPr>
                <w:rFonts w:hint="default" w:eastAsia="宋体" w:cs="宋体"/>
                <w:snapToGrid w:val="0"/>
                <w:color w:val="000000" w:themeColor="text1"/>
                <w:kern w:val="0"/>
                <w:sz w:val="21"/>
                <w:lang w:val="en-US" w:eastAsia="zh-CN"/>
                <w14:textFill>
                  <w14:solidFill>
                    <w14:schemeClr w14:val="tx1"/>
                  </w14:solidFill>
                </w14:textFill>
              </w:rPr>
            </w:pPr>
            <w:r>
              <w:rPr>
                <w:rFonts w:hint="eastAsia" w:cs="宋体"/>
                <w:snapToGrid w:val="0"/>
                <w:color w:val="000000" w:themeColor="text1"/>
                <w:kern w:val="0"/>
                <w:sz w:val="21"/>
                <w:lang w:val="en-US" w:eastAsia="zh-CN"/>
                <w14:textFill>
                  <w14:solidFill>
                    <w14:schemeClr w14:val="tx1"/>
                  </w14:solidFill>
                </w14:textFill>
              </w:rPr>
              <w:t>臭气浓度</w:t>
            </w:r>
          </w:p>
        </w:tc>
        <w:tc>
          <w:tcPr>
            <w:tcW w:w="792" w:type="pct"/>
            <w:shd w:val="clear" w:color="auto" w:fill="auto"/>
            <w:vAlign w:val="center"/>
          </w:tcPr>
          <w:p w14:paraId="1C10897C">
            <w:pPr>
              <w:adjustRightInd/>
              <w:snapToGrid/>
              <w:spacing w:line="240" w:lineRule="auto"/>
              <w:ind w:firstLine="0" w:firstLineChars="0"/>
              <w:jc w:val="center"/>
              <w:rPr>
                <w:rFonts w:hint="default" w:eastAsiaTheme="minorEastAsia"/>
                <w:snapToGrid w:val="0"/>
                <w:color w:val="000000" w:themeColor="text1"/>
                <w:kern w:val="0"/>
                <w:sz w:val="21"/>
                <w:lang w:val="en-US" w:eastAsia="zh-CN"/>
                <w14:textFill>
                  <w14:solidFill>
                    <w14:schemeClr w14:val="tx1"/>
                  </w14:solidFill>
                </w14:textFill>
              </w:rPr>
            </w:pPr>
            <w:r>
              <w:rPr>
                <w:rFonts w:hint="eastAsia" w:eastAsiaTheme="minorEastAsia"/>
                <w:snapToGrid w:val="0"/>
                <w:color w:val="000000" w:themeColor="text1"/>
                <w:kern w:val="0"/>
                <w:sz w:val="21"/>
                <w:lang w:val="en-US" w:eastAsia="zh-CN"/>
                <w14:textFill>
                  <w14:solidFill>
                    <w14:schemeClr w14:val="tx1"/>
                  </w14:solidFill>
                </w14:textFill>
              </w:rPr>
              <w:t>20（无量纲）</w:t>
            </w:r>
          </w:p>
        </w:tc>
        <w:tc>
          <w:tcPr>
            <w:tcW w:w="744" w:type="pct"/>
            <w:vMerge w:val="continue"/>
            <w:shd w:val="clear" w:color="auto" w:fill="auto"/>
            <w:vAlign w:val="center"/>
          </w:tcPr>
          <w:p w14:paraId="1BD7DE04">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097" w:type="pct"/>
            <w:vAlign w:val="center"/>
          </w:tcPr>
          <w:p w14:paraId="5AEB7523">
            <w:pPr>
              <w:adjustRightInd/>
              <w:snapToGrid/>
              <w:spacing w:line="240" w:lineRule="auto"/>
              <w:ind w:firstLine="0" w:firstLineChars="0"/>
              <w:rPr>
                <w:rFonts w:hint="default" w:eastAsia="宋体"/>
                <w:snapToGrid w:val="0"/>
                <w:color w:val="000000" w:themeColor="text1"/>
                <w:kern w:val="0"/>
                <w:sz w:val="21"/>
                <w:lang w:val="en-US" w:eastAsia="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《恶臭污染物排放标准》（GB14554-93）</w:t>
            </w:r>
            <w:r>
              <w:rPr>
                <w:rFonts w:hint="eastAsia"/>
                <w:snapToGrid w:val="0"/>
                <w:color w:val="000000" w:themeColor="text1"/>
                <w:kern w:val="0"/>
                <w:sz w:val="21"/>
                <w:lang w:val="en-US" w:eastAsia="zh-CN"/>
                <w14:textFill>
                  <w14:solidFill>
                    <w14:schemeClr w14:val="tx1"/>
                  </w14:solidFill>
                </w14:textFill>
              </w:rPr>
              <w:t>二级新改扩建厂界标准限值</w:t>
            </w:r>
          </w:p>
        </w:tc>
      </w:tr>
    </w:tbl>
    <w:p w14:paraId="671DB98E">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（3）</w:t>
      </w:r>
      <w:r>
        <w:rPr>
          <w:snapToGrid w:val="0"/>
          <w:color w:val="000000" w:themeColor="text1"/>
          <w:kern w:val="0"/>
          <w14:textFill>
            <w14:solidFill>
              <w14:schemeClr w14:val="tx1"/>
            </w14:solidFill>
          </w14:textFill>
        </w:rPr>
        <w:t>评价方法</w:t>
      </w:r>
    </w:p>
    <w:p w14:paraId="7A645A78">
      <w:pPr>
        <w:adjustRightInd/>
        <w:snapToGrid/>
        <w:spacing w:line="500" w:lineRule="exact"/>
        <w:rPr>
          <w:snapToGrid w:val="0"/>
          <w:color w:val="000000" w:themeColor="text1"/>
          <w:kern w:val="0"/>
          <w14:textFill>
            <w14:solidFill>
              <w14:schemeClr w14:val="tx1"/>
            </w14:solidFill>
          </w14:textFill>
        </w:rPr>
      </w:pPr>
      <w:bookmarkStart w:id="221" w:name="_Hlk11617203"/>
      <w:r>
        <w:rPr>
          <w:rFonts w:hint="eastAsia"/>
          <w:snapToGrid w:val="0"/>
          <w:color w:val="000000" w:themeColor="text1"/>
          <w:kern w:val="0"/>
          <w14:textFill>
            <w14:solidFill>
              <w14:schemeClr w14:val="tx1"/>
            </w14:solidFill>
          </w14:textFill>
        </w:rPr>
        <w:t>①</w:t>
      </w:r>
      <w:r>
        <w:rPr>
          <w:snapToGrid w:val="0"/>
          <w:color w:val="000000" w:themeColor="text1"/>
          <w:kern w:val="0"/>
          <w14:textFill>
            <w14:solidFill>
              <w14:schemeClr w14:val="tx1"/>
            </w14:solidFill>
          </w14:textFill>
        </w:rPr>
        <w:t>环境空气质量评价采用</w:t>
      </w:r>
      <w:r>
        <w:rPr>
          <w:rFonts w:hint="eastAsia"/>
          <w:snapToGrid w:val="0"/>
          <w:color w:val="000000" w:themeColor="text1"/>
          <w:kern w:val="0"/>
          <w14:textFill>
            <w14:solidFill>
              <w14:schemeClr w14:val="tx1"/>
            </w14:solidFill>
          </w14:textFill>
        </w:rPr>
        <w:t>最大浓度占标率</w:t>
      </w:r>
      <w:r>
        <w:rPr>
          <w:snapToGrid w:val="0"/>
          <w:color w:val="000000" w:themeColor="text1"/>
          <w:kern w:val="0"/>
          <w14:textFill>
            <w14:solidFill>
              <w14:schemeClr w14:val="tx1"/>
            </w14:solidFill>
          </w14:textFill>
        </w:rPr>
        <w:t>评价法</w:t>
      </w:r>
      <w:bookmarkEnd w:id="221"/>
      <w:r>
        <w:rPr>
          <w:snapToGrid w:val="0"/>
          <w:color w:val="000000" w:themeColor="text1"/>
          <w:kern w:val="0"/>
          <w14:textFill>
            <w14:solidFill>
              <w14:schemeClr w14:val="tx1"/>
            </w14:solidFill>
          </w14:textFill>
        </w:rPr>
        <w:t>，数学表达式：</w:t>
      </w:r>
    </w:p>
    <w:p w14:paraId="76EF9E48">
      <w:pPr>
        <w:adjustRightInd/>
        <w:snapToGrid/>
        <w:spacing w:line="500" w:lineRule="exact"/>
        <w:jc w:val="center"/>
        <w:rPr>
          <w:snapToGrid w:val="0"/>
          <w:color w:val="000000" w:themeColor="text1"/>
          <w:kern w:val="0"/>
          <w14:textFill>
            <w14:solidFill>
              <w14:schemeClr w14:val="tx1"/>
            </w14:solidFill>
          </w14:textFill>
        </w:rPr>
      </w:pPr>
      <w:bookmarkStart w:id="222" w:name="_Toc173912864"/>
      <w:bookmarkStart w:id="223" w:name="_Toc173664414"/>
      <w:bookmarkStart w:id="224" w:name="_Toc173745759"/>
      <w:bookmarkStart w:id="225" w:name="_Toc173719425"/>
      <w:bookmarkStart w:id="226" w:name="_Toc173913381"/>
      <w:bookmarkStart w:id="227" w:name="_Toc173913122"/>
      <w:r>
        <w:rPr>
          <w:snapToGrid w:val="0"/>
          <w:color w:val="000000" w:themeColor="text1"/>
          <w:kern w:val="0"/>
          <w14:textFill>
            <w14:solidFill>
              <w14:schemeClr w14:val="tx1"/>
            </w14:solidFill>
          </w14:textFill>
        </w:rPr>
        <w:t>P</w:t>
      </w:r>
      <w:r>
        <w:rPr>
          <w:snapToGrid w:val="0"/>
          <w:color w:val="000000" w:themeColor="text1"/>
          <w:kern w:val="0"/>
          <w:vertAlign w:val="subscript"/>
          <w14:textFill>
            <w14:solidFill>
              <w14:schemeClr w14:val="tx1"/>
            </w14:solidFill>
          </w14:textFill>
        </w:rPr>
        <w:t>i</w:t>
      </w:r>
      <w:r>
        <w:rPr>
          <w:snapToGrid w:val="0"/>
          <w:color w:val="000000" w:themeColor="text1"/>
          <w:kern w:val="0"/>
          <w14:textFill>
            <w14:solidFill>
              <w14:schemeClr w14:val="tx1"/>
            </w14:solidFill>
          </w14:textFill>
        </w:rPr>
        <w:t>=C</w:t>
      </w:r>
      <w:r>
        <w:rPr>
          <w:snapToGrid w:val="0"/>
          <w:color w:val="000000" w:themeColor="text1"/>
          <w:kern w:val="0"/>
          <w:vertAlign w:val="subscript"/>
          <w14:textFill>
            <w14:solidFill>
              <w14:schemeClr w14:val="tx1"/>
            </w14:solidFill>
          </w14:textFill>
        </w:rPr>
        <w:t>i</w:t>
      </w:r>
      <w:r>
        <w:rPr>
          <w:snapToGrid w:val="0"/>
          <w:color w:val="000000" w:themeColor="text1"/>
          <w:kern w:val="0"/>
          <w14:textFill>
            <w14:solidFill>
              <w14:schemeClr w14:val="tx1"/>
            </w14:solidFill>
          </w14:textFill>
        </w:rPr>
        <w:t>/C</w:t>
      </w:r>
      <w:r>
        <w:rPr>
          <w:snapToGrid w:val="0"/>
          <w:color w:val="000000" w:themeColor="text1"/>
          <w:kern w:val="0"/>
          <w:vertAlign w:val="subscript"/>
          <w14:textFill>
            <w14:solidFill>
              <w14:schemeClr w14:val="tx1"/>
            </w14:solidFill>
          </w14:textFill>
        </w:rPr>
        <w:t>oi</w:t>
      </w:r>
      <w:r>
        <w:rPr>
          <w:snapToGrid w:val="0"/>
          <w:color w:val="000000" w:themeColor="text1"/>
          <w:kern w:val="0"/>
          <w14:textFill>
            <w14:solidFill>
              <w14:schemeClr w14:val="tx1"/>
            </w14:solidFill>
          </w14:textFill>
        </w:rPr>
        <w:t>×10</w:t>
      </w:r>
      <w:bookmarkEnd w:id="222"/>
      <w:bookmarkEnd w:id="223"/>
      <w:bookmarkEnd w:id="224"/>
      <w:bookmarkEnd w:id="225"/>
      <w:bookmarkEnd w:id="226"/>
      <w:bookmarkEnd w:id="227"/>
      <w:r>
        <w:rPr>
          <w:snapToGrid w:val="0"/>
          <w:color w:val="000000" w:themeColor="text1"/>
          <w:kern w:val="0"/>
          <w14:textFill>
            <w14:solidFill>
              <w14:schemeClr w14:val="tx1"/>
            </w14:solidFill>
          </w14:textFill>
        </w:rPr>
        <w:t>0%</w:t>
      </w:r>
    </w:p>
    <w:p w14:paraId="6198378D">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式中：P</w:t>
      </w:r>
      <w:r>
        <w:rPr>
          <w:snapToGrid w:val="0"/>
          <w:color w:val="000000" w:themeColor="text1"/>
          <w:kern w:val="0"/>
          <w:vertAlign w:val="subscript"/>
          <w14:textFill>
            <w14:solidFill>
              <w14:schemeClr w14:val="tx1"/>
            </w14:solidFill>
          </w14:textFill>
        </w:rPr>
        <w:t>i</w:t>
      </w:r>
      <w:r>
        <w:rPr>
          <w:snapToGrid w:val="0"/>
          <w:color w:val="000000" w:themeColor="text1"/>
          <w:kern w:val="0"/>
          <w14:textFill>
            <w14:solidFill>
              <w14:schemeClr w14:val="tx1"/>
            </w14:solidFill>
          </w14:textFill>
        </w:rPr>
        <w:t>——</w:t>
      </w:r>
      <w:bookmarkStart w:id="228" w:name="_Hlk11617209"/>
      <w:r>
        <w:rPr>
          <w:snapToGrid w:val="0"/>
          <w:color w:val="000000" w:themeColor="text1"/>
          <w:kern w:val="0"/>
          <w14:textFill>
            <w14:solidFill>
              <w14:schemeClr w14:val="tx1"/>
            </w14:solidFill>
          </w14:textFill>
        </w:rPr>
        <w:t>第i种污染污染物的</w:t>
      </w:r>
      <w:r>
        <w:rPr>
          <w:rFonts w:hint="eastAsia"/>
          <w:snapToGrid w:val="0"/>
          <w:color w:val="000000" w:themeColor="text1"/>
          <w:kern w:val="0"/>
          <w14:textFill>
            <w14:solidFill>
              <w14:schemeClr w14:val="tx1"/>
            </w14:solidFill>
          </w14:textFill>
        </w:rPr>
        <w:t>最大浓度空气质量占标率</w:t>
      </w:r>
      <w:bookmarkEnd w:id="228"/>
      <w:r>
        <w:rPr>
          <w:snapToGrid w:val="0"/>
          <w:color w:val="000000" w:themeColor="text1"/>
          <w:kern w:val="0"/>
          <w14:textFill>
            <w14:solidFill>
              <w14:schemeClr w14:val="tx1"/>
            </w14:solidFill>
          </w14:textFill>
        </w:rPr>
        <w:t>；</w:t>
      </w:r>
    </w:p>
    <w:p w14:paraId="2797FEC1">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 xml:space="preserve">      Ci——第i种污染因子的监测值，mg/ m</w:t>
      </w:r>
      <w:r>
        <w:rPr>
          <w:snapToGrid w:val="0"/>
          <w:color w:val="000000" w:themeColor="text1"/>
          <w:kern w:val="0"/>
          <w:vertAlign w:val="superscript"/>
          <w14:textFill>
            <w14:solidFill>
              <w14:schemeClr w14:val="tx1"/>
            </w14:solidFill>
          </w14:textFill>
        </w:rPr>
        <w:t>3</w:t>
      </w:r>
      <w:r>
        <w:rPr>
          <w:snapToGrid w:val="0"/>
          <w:color w:val="000000" w:themeColor="text1"/>
          <w:kern w:val="0"/>
          <w14:textFill>
            <w14:solidFill>
              <w14:schemeClr w14:val="tx1"/>
            </w14:solidFill>
          </w14:textFill>
        </w:rPr>
        <w:t>；</w:t>
      </w:r>
    </w:p>
    <w:p w14:paraId="0D15067C">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 xml:space="preserve">      C</w:t>
      </w:r>
      <w:r>
        <w:rPr>
          <w:snapToGrid w:val="0"/>
          <w:color w:val="000000" w:themeColor="text1"/>
          <w:kern w:val="0"/>
          <w:vertAlign w:val="subscript"/>
          <w14:textFill>
            <w14:solidFill>
              <w14:schemeClr w14:val="tx1"/>
            </w14:solidFill>
          </w14:textFill>
        </w:rPr>
        <w:t>oi</w:t>
      </w:r>
      <w:r>
        <w:rPr>
          <w:snapToGrid w:val="0"/>
          <w:color w:val="000000" w:themeColor="text1"/>
          <w:kern w:val="0"/>
          <w14:textFill>
            <w14:solidFill>
              <w14:schemeClr w14:val="tx1"/>
            </w14:solidFill>
          </w14:textFill>
        </w:rPr>
        <w:t>——第i种污染因子的环境空气质量标准值mg/m</w:t>
      </w:r>
      <w:r>
        <w:rPr>
          <w:snapToGrid w:val="0"/>
          <w:color w:val="000000" w:themeColor="text1"/>
          <w:kern w:val="0"/>
          <w:vertAlign w:val="superscript"/>
          <w14:textFill>
            <w14:solidFill>
              <w14:schemeClr w14:val="tx1"/>
            </w14:solidFill>
          </w14:textFill>
        </w:rPr>
        <w:t>3</w:t>
      </w:r>
      <w:r>
        <w:rPr>
          <w:snapToGrid w:val="0"/>
          <w:color w:val="000000" w:themeColor="text1"/>
          <w:kern w:val="0"/>
          <w14:textFill>
            <w14:solidFill>
              <w14:schemeClr w14:val="tx1"/>
            </w14:solidFill>
          </w14:textFill>
        </w:rPr>
        <w:t>；</w:t>
      </w:r>
    </w:p>
    <w:p w14:paraId="7AA68AC0">
      <w:pPr>
        <w:adjustRightInd/>
        <w:snapToGrid/>
        <w:spacing w:line="500" w:lineRule="exact"/>
        <w:rPr>
          <w:snapToGrid w:val="0"/>
          <w:color w:val="000000" w:themeColor="text1"/>
          <w:kern w:val="0"/>
          <w14:textFill>
            <w14:solidFill>
              <w14:schemeClr w14:val="tx1"/>
            </w14:solidFill>
          </w14:textFill>
        </w:rPr>
      </w:pPr>
      <w:bookmarkStart w:id="229" w:name="_Hlk11617214"/>
      <w:r>
        <w:rPr>
          <w:snapToGrid w:val="0"/>
          <w:color w:val="000000" w:themeColor="text1"/>
          <w:kern w:val="0"/>
          <w14:textFill>
            <w14:solidFill>
              <w14:schemeClr w14:val="tx1"/>
            </w14:solidFill>
          </w14:textFill>
        </w:rPr>
        <w:t>凡是</w:t>
      </w:r>
      <w:r>
        <w:rPr>
          <w:rFonts w:hint="eastAsia"/>
          <w:snapToGrid w:val="0"/>
          <w:color w:val="000000" w:themeColor="text1"/>
          <w:kern w:val="0"/>
          <w14:textFill>
            <w14:solidFill>
              <w14:schemeClr w14:val="tx1"/>
            </w14:solidFill>
          </w14:textFill>
        </w:rPr>
        <w:t>最大浓度空气质量占标率</w:t>
      </w:r>
      <w:r>
        <w:rPr>
          <w:snapToGrid w:val="0"/>
          <w:color w:val="000000" w:themeColor="text1"/>
          <w:kern w:val="0"/>
          <w14:textFill>
            <w14:solidFill>
              <w14:schemeClr w14:val="tx1"/>
            </w14:solidFill>
          </w14:textFill>
        </w:rPr>
        <w:t>P</w:t>
      </w:r>
      <w:r>
        <w:rPr>
          <w:snapToGrid w:val="0"/>
          <w:color w:val="000000" w:themeColor="text1"/>
          <w:kern w:val="0"/>
          <w:vertAlign w:val="subscript"/>
          <w14:textFill>
            <w14:solidFill>
              <w14:schemeClr w14:val="tx1"/>
            </w14:solidFill>
          </w14:textFill>
        </w:rPr>
        <w:t>i</w:t>
      </w:r>
      <w:r>
        <w:rPr>
          <w:snapToGrid w:val="0"/>
          <w:color w:val="000000" w:themeColor="text1"/>
          <w:kern w:val="0"/>
          <w14:textFill>
            <w14:solidFill>
              <w14:schemeClr w14:val="tx1"/>
            </w14:solidFill>
          </w14:textFill>
        </w:rPr>
        <w:t>大于100</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，表明该点环境质量劣于评价标准等级，反之则满足标准等级。</w:t>
      </w:r>
    </w:p>
    <w:bookmarkEnd w:id="229"/>
    <w:p w14:paraId="605E78E8">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②根据HJ2.2-2018中6.4.3.2：对于有多个监测点位数据的，先计算相同时刻各监测点位平均值，再取各监测时段平均值中的最大值。计算方法见下式。</w:t>
      </w:r>
    </w:p>
    <w:p w14:paraId="7DBB7340">
      <w:pPr>
        <w:pStyle w:val="206"/>
        <w:rPr>
          <w:snapToGrid w:val="0"/>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229485" cy="401320"/>
            <wp:effectExtent l="0" t="0" r="0" b="0"/>
            <wp:docPr id="1489756374" name="图片 148975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56374" name="图片 1489756374"/>
                    <pic:cNvPicPr>
                      <a:picLocks noChangeAspect="1"/>
                    </pic:cNvPicPr>
                  </pic:nvPicPr>
                  <pic:blipFill>
                    <a:blip r:embed="rId111"/>
                    <a:stretch>
                      <a:fillRect/>
                    </a:stretch>
                  </pic:blipFill>
                  <pic:spPr>
                    <a:xfrm>
                      <a:off x="0" y="0"/>
                      <a:ext cx="2294715" cy="413556"/>
                    </a:xfrm>
                    <a:prstGeom prst="rect">
                      <a:avLst/>
                    </a:prstGeom>
                  </pic:spPr>
                </pic:pic>
              </a:graphicData>
            </a:graphic>
          </wp:inline>
        </w:drawing>
      </w:r>
    </w:p>
    <w:p w14:paraId="337894FE">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式中：C</w:t>
      </w:r>
      <w:r>
        <w:rPr>
          <w:rFonts w:hint="eastAsia"/>
          <w:snapToGrid w:val="0"/>
          <w:color w:val="000000" w:themeColor="text1"/>
          <w:kern w:val="0"/>
          <w:vertAlign w:val="subscript"/>
          <w14:textFill>
            <w14:solidFill>
              <w14:schemeClr w14:val="tx1"/>
            </w14:solidFill>
          </w14:textFill>
        </w:rPr>
        <w:t>现状（</w:t>
      </w:r>
      <w:r>
        <w:rPr>
          <w:rFonts w:hint="eastAsia"/>
          <w:i/>
          <w:iCs/>
          <w:snapToGrid w:val="0"/>
          <w:color w:val="000000" w:themeColor="text1"/>
          <w:kern w:val="0"/>
          <w:vertAlign w:val="subscript"/>
          <w14:textFill>
            <w14:solidFill>
              <w14:schemeClr w14:val="tx1"/>
            </w14:solidFill>
          </w14:textFill>
        </w:rPr>
        <w:t>x，y</w:t>
      </w:r>
      <w:r>
        <w:rPr>
          <w:rFonts w:hint="eastAsia"/>
          <w:snapToGrid w:val="0"/>
          <w:color w:val="000000" w:themeColor="text1"/>
          <w:kern w:val="0"/>
          <w:vertAlign w:val="subscript"/>
          <w14:textFill>
            <w14:solidFill>
              <w14:schemeClr w14:val="tx1"/>
            </w14:solidFill>
          </w14:textFill>
        </w:rPr>
        <w:t>）</w:t>
      </w:r>
      <w:r>
        <w:rPr>
          <w:rFonts w:hint="eastAsia"/>
          <w:snapToGrid w:val="0"/>
          <w:color w:val="000000" w:themeColor="text1"/>
          <w:kern w:val="0"/>
          <w14:textFill>
            <w14:solidFill>
              <w14:schemeClr w14:val="tx1"/>
            </w14:solidFill>
          </w14:textFill>
        </w:rPr>
        <w:t>——环境空气保护目标及网格点</w:t>
      </w:r>
      <w:r>
        <w:rPr>
          <w:snapToGrid w:val="0"/>
          <w:color w:val="000000" w:themeColor="text1"/>
          <w:kern w:val="0"/>
          <w14:textFill>
            <w14:solidFill>
              <w14:schemeClr w14:val="tx1"/>
            </w14:solidFill>
          </w14:textFill>
        </w:rPr>
        <w:t>（</w:t>
      </w:r>
      <w:r>
        <w:rPr>
          <w:rFonts w:hint="eastAsia"/>
          <w:i/>
          <w:iCs/>
          <w:snapToGrid w:val="0"/>
          <w:color w:val="000000" w:themeColor="text1"/>
          <w:kern w:val="0"/>
          <w14:textFill>
            <w14:solidFill>
              <w14:schemeClr w14:val="tx1"/>
            </w14:solidFill>
          </w14:textFill>
        </w:rPr>
        <w:t>x，y</w:t>
      </w:r>
      <w:r>
        <w:rPr>
          <w:snapToGrid w:val="0"/>
          <w:color w:val="000000" w:themeColor="text1"/>
          <w:kern w:val="0"/>
          <w14:textFill>
            <w14:solidFill>
              <w14:schemeClr w14:val="tx1"/>
            </w14:solidFill>
          </w14:textFill>
        </w:rPr>
        <w:t>）</w:t>
      </w:r>
      <w:r>
        <w:rPr>
          <w:rFonts w:hint="eastAsia"/>
          <w:snapToGrid w:val="0"/>
          <w:color w:val="000000" w:themeColor="text1"/>
          <w:kern w:val="0"/>
          <w14:textFill>
            <w14:solidFill>
              <w14:schemeClr w14:val="tx1"/>
            </w14:solidFill>
          </w14:textFill>
        </w:rPr>
        <w:t>环境质量现状浓度，</w:t>
      </w:r>
      <w:r>
        <w:rPr>
          <w:rFonts w:cs="Times New Roman"/>
          <w:snapToGrid w:val="0"/>
          <w:color w:val="000000" w:themeColor="text1"/>
          <w:kern w:val="0"/>
          <w14:textFill>
            <w14:solidFill>
              <w14:schemeClr w14:val="tx1"/>
            </w14:solidFill>
          </w14:textFill>
        </w:rPr>
        <w:t>μ</w:t>
      </w:r>
      <w:r>
        <w:rPr>
          <w:rFonts w:hint="eastAsia"/>
          <w:snapToGrid w:val="0"/>
          <w:color w:val="000000" w:themeColor="text1"/>
          <w:kern w:val="0"/>
          <w14:textFill>
            <w14:solidFill>
              <w14:schemeClr w14:val="tx1"/>
            </w14:solidFill>
          </w14:textFill>
        </w:rPr>
        <w:t>g</w:t>
      </w:r>
      <w:r>
        <w:rPr>
          <w:snapToGrid w:val="0"/>
          <w:color w:val="000000" w:themeColor="text1"/>
          <w:kern w:val="0"/>
          <w14:textFill>
            <w14:solidFill>
              <w14:schemeClr w14:val="tx1"/>
            </w14:solidFill>
          </w14:textFill>
        </w:rPr>
        <w:t>/</w:t>
      </w:r>
      <w:r>
        <w:rPr>
          <w:rFonts w:hint="eastAsia"/>
          <w:snapToGrid w:val="0"/>
          <w:color w:val="000000" w:themeColor="text1"/>
          <w:kern w:val="0"/>
          <w14:textFill>
            <w14:solidFill>
              <w14:schemeClr w14:val="tx1"/>
            </w14:solidFill>
          </w14:textFill>
        </w:rPr>
        <w:t>m</w:t>
      </w:r>
      <w:r>
        <w:rPr>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w:t>
      </w:r>
    </w:p>
    <w:p w14:paraId="3390F7C4">
      <w:pPr>
        <w:adjustRightInd/>
        <w:snapToGrid/>
        <w:spacing w:line="500" w:lineRule="exact"/>
        <w:ind w:firstLine="1200" w:firstLineChars="500"/>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C</w:t>
      </w:r>
      <w:r>
        <w:rPr>
          <w:rFonts w:hint="eastAsia"/>
          <w:snapToGrid w:val="0"/>
          <w:color w:val="000000" w:themeColor="text1"/>
          <w:kern w:val="0"/>
          <w:vertAlign w:val="subscript"/>
          <w14:textFill>
            <w14:solidFill>
              <w14:schemeClr w14:val="tx1"/>
            </w14:solidFill>
          </w14:textFill>
        </w:rPr>
        <w:t>监测</w:t>
      </w:r>
      <w:r>
        <w:rPr>
          <w:snapToGrid w:val="0"/>
          <w:color w:val="000000" w:themeColor="text1"/>
          <w:kern w:val="0"/>
          <w:vertAlign w:val="subscript"/>
          <w14:textFill>
            <w14:solidFill>
              <w14:schemeClr w14:val="tx1"/>
            </w14:solidFill>
          </w14:textFill>
        </w:rPr>
        <w:t>（</w:t>
      </w:r>
      <w:r>
        <w:rPr>
          <w:rFonts w:hint="eastAsia"/>
          <w:i/>
          <w:iCs/>
          <w:snapToGrid w:val="0"/>
          <w:color w:val="000000" w:themeColor="text1"/>
          <w:kern w:val="0"/>
          <w:vertAlign w:val="subscript"/>
          <w14:textFill>
            <w14:solidFill>
              <w14:schemeClr w14:val="tx1"/>
            </w14:solidFill>
          </w14:textFill>
        </w:rPr>
        <w:t>j，t</w:t>
      </w:r>
      <w:r>
        <w:rPr>
          <w:snapToGrid w:val="0"/>
          <w:color w:val="000000" w:themeColor="text1"/>
          <w:kern w:val="0"/>
          <w:vertAlign w:val="subscript"/>
          <w14:textFill>
            <w14:solidFill>
              <w14:schemeClr w14:val="tx1"/>
            </w14:solidFill>
          </w14:textFill>
        </w:rPr>
        <w:t>）</w:t>
      </w:r>
      <w:r>
        <w:rPr>
          <w:snapToGrid w:val="0"/>
          <w:color w:val="000000" w:themeColor="text1"/>
          <w:kern w:val="0"/>
          <w14:textFill>
            <w14:solidFill>
              <w14:schemeClr w14:val="tx1"/>
            </w14:solidFill>
          </w14:textFill>
        </w:rPr>
        <w:t>——</w:t>
      </w:r>
      <w:r>
        <w:rPr>
          <w:rFonts w:hint="eastAsia"/>
          <w:snapToGrid w:val="0"/>
          <w:color w:val="000000" w:themeColor="text1"/>
          <w:kern w:val="0"/>
          <w14:textFill>
            <w14:solidFill>
              <w14:schemeClr w14:val="tx1"/>
            </w14:solidFill>
          </w14:textFill>
        </w:rPr>
        <w:t>第</w:t>
      </w:r>
      <w:r>
        <w:rPr>
          <w:rFonts w:hint="eastAsia"/>
          <w:i/>
          <w:iCs/>
          <w:snapToGrid w:val="0"/>
          <w:color w:val="000000" w:themeColor="text1"/>
          <w:kern w:val="0"/>
          <w14:textFill>
            <w14:solidFill>
              <w14:schemeClr w14:val="tx1"/>
            </w14:solidFill>
          </w14:textFill>
        </w:rPr>
        <w:t>j</w:t>
      </w:r>
      <w:r>
        <w:rPr>
          <w:rFonts w:hint="eastAsia"/>
          <w:snapToGrid w:val="0"/>
          <w:color w:val="000000" w:themeColor="text1"/>
          <w:kern w:val="0"/>
          <w14:textFill>
            <w14:solidFill>
              <w14:schemeClr w14:val="tx1"/>
            </w14:solidFill>
          </w14:textFill>
        </w:rPr>
        <w:t>个监测点位在t时刻环境质量现状浓度（包括1h平均、8h平均或日平均质量浓度）</w:t>
      </w:r>
      <w:r>
        <w:rPr>
          <w:rFonts w:cs="Times New Roman"/>
          <w:snapToGrid w:val="0"/>
          <w:color w:val="000000" w:themeColor="text1"/>
          <w:kern w:val="0"/>
          <w14:textFill>
            <w14:solidFill>
              <w14:schemeClr w14:val="tx1"/>
            </w14:solidFill>
          </w14:textFill>
        </w:rPr>
        <w:t>μ</w:t>
      </w:r>
      <w:r>
        <w:rPr>
          <w:rFonts w:hint="eastAsia"/>
          <w:snapToGrid w:val="0"/>
          <w:color w:val="000000" w:themeColor="text1"/>
          <w:kern w:val="0"/>
          <w14:textFill>
            <w14:solidFill>
              <w14:schemeClr w14:val="tx1"/>
            </w14:solidFill>
          </w14:textFill>
        </w:rPr>
        <w:t>g</w:t>
      </w:r>
      <w:r>
        <w:rPr>
          <w:snapToGrid w:val="0"/>
          <w:color w:val="000000" w:themeColor="text1"/>
          <w:kern w:val="0"/>
          <w14:textFill>
            <w14:solidFill>
              <w14:schemeClr w14:val="tx1"/>
            </w14:solidFill>
          </w14:textFill>
        </w:rPr>
        <w:t>/m</w:t>
      </w:r>
      <w:r>
        <w:rPr>
          <w:snapToGrid w:val="0"/>
          <w:color w:val="000000" w:themeColor="text1"/>
          <w:kern w:val="0"/>
          <w:vertAlign w:val="superscript"/>
          <w14:textFill>
            <w14:solidFill>
              <w14:schemeClr w14:val="tx1"/>
            </w14:solidFill>
          </w14:textFill>
        </w:rPr>
        <w:t>3</w:t>
      </w:r>
      <w:r>
        <w:rPr>
          <w:snapToGrid w:val="0"/>
          <w:color w:val="000000" w:themeColor="text1"/>
          <w:kern w:val="0"/>
          <w14:textFill>
            <w14:solidFill>
              <w14:schemeClr w14:val="tx1"/>
            </w14:solidFill>
          </w14:textFill>
        </w:rPr>
        <w:t>；</w:t>
      </w:r>
    </w:p>
    <w:p w14:paraId="072B1CA6">
      <w:pPr>
        <w:adjustRightInd/>
        <w:snapToGrid/>
        <w:spacing w:line="500" w:lineRule="exact"/>
        <w:ind w:firstLine="1200" w:firstLineChars="500"/>
        <w:rPr>
          <w:snapToGrid w:val="0"/>
          <w:color w:val="000000" w:themeColor="text1"/>
          <w:kern w:val="0"/>
          <w14:textFill>
            <w14:solidFill>
              <w14:schemeClr w14:val="tx1"/>
            </w14:solidFill>
          </w14:textFill>
        </w:rPr>
      </w:pPr>
      <w:r>
        <w:rPr>
          <w:rFonts w:hint="eastAsia"/>
          <w:i/>
          <w:iCs/>
          <w:snapToGrid w:val="0"/>
          <w:color w:val="000000" w:themeColor="text1"/>
          <w:kern w:val="0"/>
          <w14:textFill>
            <w14:solidFill>
              <w14:schemeClr w14:val="tx1"/>
            </w14:solidFill>
          </w14:textFill>
        </w:rPr>
        <w:t>n</w:t>
      </w:r>
      <w:r>
        <w:rPr>
          <w:rFonts w:hint="eastAsia"/>
          <w:snapToGrid w:val="0"/>
          <w:color w:val="000000" w:themeColor="text1"/>
          <w:kern w:val="0"/>
          <w14:textFill>
            <w14:solidFill>
              <w14:schemeClr w14:val="tx1"/>
            </w14:solidFill>
          </w14:textFill>
        </w:rPr>
        <w:t>——现状补充监测点位数。</w:t>
      </w:r>
    </w:p>
    <w:p w14:paraId="0908C605">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（4）</w:t>
      </w:r>
      <w:r>
        <w:rPr>
          <w:snapToGrid w:val="0"/>
          <w:color w:val="000000" w:themeColor="text1"/>
          <w:kern w:val="0"/>
          <w14:textFill>
            <w14:solidFill>
              <w14:schemeClr w14:val="tx1"/>
            </w14:solidFill>
          </w14:textFill>
        </w:rPr>
        <w:t>监测结果分析</w:t>
      </w:r>
    </w:p>
    <w:p w14:paraId="62463890">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经计算，本项目补充</w:t>
      </w:r>
      <w:r>
        <w:rPr>
          <w:snapToGrid w:val="0"/>
          <w:color w:val="000000" w:themeColor="text1"/>
          <w:kern w:val="0"/>
          <w14:textFill>
            <w14:solidFill>
              <w14:schemeClr w14:val="tx1"/>
            </w14:solidFill>
          </w14:textFill>
        </w:rPr>
        <w:t>现状监测统计结果分析情况见表4-2-</w:t>
      </w:r>
      <w:r>
        <w:rPr>
          <w:rFonts w:hint="eastAsia"/>
          <w:snapToGrid w:val="0"/>
          <w:color w:val="000000" w:themeColor="text1"/>
          <w:kern w:val="0"/>
          <w:lang w:val="en-US" w:eastAsia="zh-CN"/>
          <w14:textFill>
            <w14:solidFill>
              <w14:schemeClr w14:val="tx1"/>
            </w14:solidFill>
          </w14:textFill>
        </w:rPr>
        <w:t>7</w:t>
      </w:r>
      <w:r>
        <w:rPr>
          <w:snapToGrid w:val="0"/>
          <w:color w:val="000000" w:themeColor="text1"/>
          <w:kern w:val="0"/>
          <w14:textFill>
            <w14:solidFill>
              <w14:schemeClr w14:val="tx1"/>
            </w14:solidFill>
          </w14:textFill>
        </w:rPr>
        <w:t>。</w:t>
      </w:r>
    </w:p>
    <w:p w14:paraId="016DE285">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eastAsia="黑体"/>
          <w:snapToGrid w:val="0"/>
          <w:color w:val="000000" w:themeColor="text1"/>
          <w:kern w:val="0"/>
          <w:lang w:val="zh-CN" w:eastAsia="zh-CN"/>
          <w14:textFill>
            <w14:solidFill>
              <w14:schemeClr w14:val="tx1"/>
            </w14:solidFill>
          </w14:textFill>
        </w:rPr>
        <w:t>表4-2-</w:t>
      </w:r>
      <w:r>
        <w:rPr>
          <w:rFonts w:hint="eastAsia" w:eastAsia="黑体"/>
          <w:snapToGrid w:val="0"/>
          <w:color w:val="000000" w:themeColor="text1"/>
          <w:kern w:val="0"/>
          <w:lang w:val="en-US" w:eastAsia="zh-CN"/>
          <w14:textFill>
            <w14:solidFill>
              <w14:schemeClr w14:val="tx1"/>
            </w14:solidFill>
          </w14:textFill>
        </w:rPr>
        <w:t>7</w:t>
      </w:r>
      <w:r>
        <w:rPr>
          <w:rFonts w:eastAsia="黑体"/>
          <w:snapToGrid w:val="0"/>
          <w:color w:val="000000" w:themeColor="text1"/>
          <w:kern w:val="0"/>
          <w:lang w:val="zh-CN" w:eastAsia="zh-CN"/>
          <w14:textFill>
            <w14:solidFill>
              <w14:schemeClr w14:val="tx1"/>
            </w14:solidFill>
          </w14:textFill>
        </w:rPr>
        <w:t xml:space="preserve"> </w:t>
      </w:r>
      <w:r>
        <w:rPr>
          <w:rFonts w:hint="eastAsia" w:eastAsia="黑体"/>
          <w:snapToGrid w:val="0"/>
          <w:color w:val="000000" w:themeColor="text1"/>
          <w:kern w:val="0"/>
          <w:lang w:val="zh-CN" w:eastAsia="zh-CN"/>
          <w14:textFill>
            <w14:solidFill>
              <w14:schemeClr w14:val="tx1"/>
            </w14:solidFill>
          </w14:textFill>
        </w:rPr>
        <w:t>其他</w:t>
      </w:r>
      <w:r>
        <w:rPr>
          <w:rFonts w:eastAsia="黑体"/>
          <w:snapToGrid w:val="0"/>
          <w:color w:val="000000" w:themeColor="text1"/>
          <w:kern w:val="0"/>
          <w:lang w:val="zh-CN" w:eastAsia="zh-CN"/>
          <w14:textFill>
            <w14:solidFill>
              <w14:schemeClr w14:val="tx1"/>
            </w14:solidFill>
          </w14:textFill>
        </w:rPr>
        <w:t>污染物环境现状监测统计表</w:t>
      </w:r>
    </w:p>
    <w:tbl>
      <w:tblPr>
        <w:tblStyle w:val="49"/>
        <w:tblW w:w="489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921"/>
        <w:gridCol w:w="475"/>
        <w:gridCol w:w="518"/>
        <w:gridCol w:w="1005"/>
        <w:gridCol w:w="805"/>
        <w:gridCol w:w="984"/>
        <w:gridCol w:w="1417"/>
        <w:gridCol w:w="871"/>
        <w:gridCol w:w="674"/>
        <w:gridCol w:w="466"/>
      </w:tblGrid>
      <w:tr w14:paraId="0E9339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49" w:hRule="atLeast"/>
          <w:jc w:val="center"/>
        </w:trPr>
        <w:tc>
          <w:tcPr>
            <w:tcW w:w="566" w:type="pct"/>
            <w:vMerge w:val="restart"/>
            <w:shd w:val="clear" w:color="000000" w:fill="FFFFFF"/>
            <w:noWrap w:val="0"/>
            <w:vAlign w:val="center"/>
          </w:tcPr>
          <w:p w14:paraId="2EEA2909">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点位名称</w:t>
            </w:r>
          </w:p>
        </w:tc>
        <w:tc>
          <w:tcPr>
            <w:tcW w:w="610" w:type="pct"/>
            <w:gridSpan w:val="2"/>
            <w:shd w:val="clear" w:color="000000" w:fill="FFFFFF"/>
            <w:noWrap w:val="0"/>
            <w:vAlign w:val="center"/>
          </w:tcPr>
          <w:p w14:paraId="3BC1AE22">
            <w:pPr>
              <w:adjustRightInd/>
              <w:snapToGrid/>
              <w:spacing w:line="240" w:lineRule="auto"/>
              <w:ind w:firstLine="0" w:firstLineChars="0"/>
              <w:jc w:val="center"/>
              <w:rPr>
                <w:rFonts w:ascii="宋体" w:hAnsi="Times New Roman" w:eastAsia="宋体" w:cs="Times New Roman"/>
                <w:color w:val="000000"/>
                <w:kern w:val="0"/>
                <w:szCs w:val="21"/>
              </w:rPr>
            </w:pPr>
            <w:r>
              <w:rPr>
                <w:rFonts w:hint="eastAsia" w:ascii="Times New Roman" w:hAnsi="Times New Roman" w:eastAsia="宋体" w:cs="Times New Roman"/>
                <w:color w:val="000000"/>
                <w:kern w:val="0"/>
                <w:sz w:val="21"/>
                <w:szCs w:val="21"/>
              </w:rPr>
              <w:t>监测点位坐标</w:t>
            </w:r>
            <w:r>
              <w:rPr>
                <w:rFonts w:ascii="Times New Roman" w:hAnsi="Times New Roman" w:eastAsia="宋体" w:cs="Times New Roman"/>
                <w:color w:val="000000"/>
                <w:kern w:val="0"/>
                <w:sz w:val="21"/>
                <w:szCs w:val="21"/>
              </w:rPr>
              <w:t>/m</w:t>
            </w:r>
          </w:p>
        </w:tc>
        <w:tc>
          <w:tcPr>
            <w:tcW w:w="617" w:type="pct"/>
            <w:vMerge w:val="restart"/>
            <w:shd w:val="clear" w:color="000000" w:fill="FFFFFF"/>
            <w:noWrap w:val="0"/>
            <w:vAlign w:val="center"/>
          </w:tcPr>
          <w:p w14:paraId="61120CAA">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污染物</w:t>
            </w:r>
          </w:p>
        </w:tc>
        <w:tc>
          <w:tcPr>
            <w:tcW w:w="494" w:type="pct"/>
            <w:vMerge w:val="restart"/>
            <w:shd w:val="clear" w:color="000000" w:fill="FFFFFF"/>
            <w:noWrap w:val="0"/>
            <w:vAlign w:val="center"/>
          </w:tcPr>
          <w:p w14:paraId="606A9B0A">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平均时间</w:t>
            </w:r>
          </w:p>
        </w:tc>
        <w:tc>
          <w:tcPr>
            <w:tcW w:w="604" w:type="pct"/>
            <w:vMerge w:val="restart"/>
            <w:shd w:val="clear" w:color="000000" w:fill="FFFFFF"/>
            <w:noWrap w:val="0"/>
            <w:vAlign w:val="center"/>
          </w:tcPr>
          <w:p w14:paraId="47100108">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评价标准/</w:t>
            </w:r>
          </w:p>
          <w:p w14:paraId="6AC8293E">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（μg/m</w:t>
            </w:r>
            <w:r>
              <w:rPr>
                <w:rFonts w:ascii="Times New Roman" w:hAnsi="Times New Roman" w:eastAsia="宋体" w:cs="Times New Roman"/>
                <w:color w:val="000000"/>
                <w:kern w:val="2"/>
                <w:sz w:val="21"/>
                <w:szCs w:val="21"/>
                <w:vertAlign w:val="superscript"/>
              </w:rPr>
              <w:t>3</w:t>
            </w:r>
            <w:r>
              <w:rPr>
                <w:rFonts w:ascii="Times New Roman" w:hAnsi="Times New Roman" w:eastAsia="宋体" w:cs="Times New Roman"/>
                <w:color w:val="000000"/>
                <w:kern w:val="2"/>
                <w:sz w:val="21"/>
                <w:szCs w:val="21"/>
              </w:rPr>
              <w:t>）</w:t>
            </w:r>
          </w:p>
        </w:tc>
        <w:tc>
          <w:tcPr>
            <w:tcW w:w="870" w:type="pct"/>
            <w:vMerge w:val="restart"/>
            <w:shd w:val="clear" w:color="000000" w:fill="FFFFFF"/>
            <w:noWrap w:val="0"/>
            <w:vAlign w:val="center"/>
          </w:tcPr>
          <w:p w14:paraId="4642184F">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监测浓度</w:t>
            </w:r>
          </w:p>
          <w:p w14:paraId="7E2E0754">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（μg/m</w:t>
            </w:r>
            <w:r>
              <w:rPr>
                <w:rFonts w:ascii="Times New Roman" w:hAnsi="Times New Roman" w:eastAsia="宋体" w:cs="Times New Roman"/>
                <w:color w:val="000000"/>
                <w:kern w:val="2"/>
                <w:sz w:val="21"/>
                <w:szCs w:val="21"/>
                <w:vertAlign w:val="superscript"/>
              </w:rPr>
              <w:t>3</w:t>
            </w:r>
            <w:r>
              <w:rPr>
                <w:rFonts w:ascii="Times New Roman" w:hAnsi="Times New Roman" w:eastAsia="宋体" w:cs="Times New Roman"/>
                <w:color w:val="000000"/>
                <w:kern w:val="2"/>
                <w:sz w:val="21"/>
                <w:szCs w:val="21"/>
              </w:rPr>
              <w:t>）</w:t>
            </w:r>
          </w:p>
        </w:tc>
        <w:tc>
          <w:tcPr>
            <w:tcW w:w="535" w:type="pct"/>
            <w:vMerge w:val="restart"/>
            <w:shd w:val="clear" w:color="000000" w:fill="FFFFFF"/>
            <w:noWrap w:val="0"/>
            <w:vAlign w:val="center"/>
          </w:tcPr>
          <w:p w14:paraId="02C605A4">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最大浓度占标率/%</w:t>
            </w:r>
          </w:p>
        </w:tc>
        <w:tc>
          <w:tcPr>
            <w:tcW w:w="414" w:type="pct"/>
            <w:vMerge w:val="restart"/>
            <w:shd w:val="clear" w:color="000000" w:fill="FFFFFF"/>
            <w:noWrap w:val="0"/>
            <w:vAlign w:val="center"/>
          </w:tcPr>
          <w:p w14:paraId="7D5EAE77">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超标概率/%</w:t>
            </w:r>
          </w:p>
        </w:tc>
        <w:tc>
          <w:tcPr>
            <w:tcW w:w="286" w:type="pct"/>
            <w:vMerge w:val="restart"/>
            <w:shd w:val="clear" w:color="000000" w:fill="FFFFFF"/>
            <w:noWrap w:val="0"/>
            <w:vAlign w:val="center"/>
          </w:tcPr>
          <w:p w14:paraId="55872C03">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ascii="Times New Roman" w:hAnsi="Times New Roman" w:eastAsia="宋体" w:cs="Times New Roman"/>
                <w:color w:val="000000"/>
                <w:kern w:val="2"/>
                <w:sz w:val="21"/>
                <w:szCs w:val="21"/>
              </w:rPr>
              <w:t>达标情况</w:t>
            </w:r>
          </w:p>
        </w:tc>
      </w:tr>
      <w:tr w14:paraId="56294E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49" w:hRule="atLeast"/>
          <w:jc w:val="center"/>
        </w:trPr>
        <w:tc>
          <w:tcPr>
            <w:tcW w:w="566" w:type="pct"/>
            <w:vMerge w:val="continue"/>
            <w:shd w:val="clear" w:color="000000" w:fill="FFFFFF"/>
            <w:noWrap w:val="0"/>
            <w:vAlign w:val="center"/>
          </w:tcPr>
          <w:p w14:paraId="5AD77796">
            <w:pPr>
              <w:adjustRightInd/>
              <w:snapToGrid/>
              <w:spacing w:line="240" w:lineRule="exact"/>
              <w:ind w:firstLine="0" w:firstLineChars="0"/>
              <w:jc w:val="center"/>
              <w:rPr>
                <w:rFonts w:ascii="Times New Roman" w:hAnsi="Times New Roman" w:eastAsia="宋体" w:cs="宋体"/>
                <w:color w:val="000000"/>
                <w:kern w:val="2"/>
                <w:sz w:val="21"/>
                <w:szCs w:val="20"/>
              </w:rPr>
            </w:pPr>
          </w:p>
        </w:tc>
        <w:tc>
          <w:tcPr>
            <w:tcW w:w="292" w:type="pct"/>
            <w:shd w:val="clear" w:color="000000" w:fill="FFFFFF"/>
            <w:noWrap w:val="0"/>
            <w:vAlign w:val="center"/>
          </w:tcPr>
          <w:p w14:paraId="69F431DE">
            <w:pPr>
              <w:adjustRightInd/>
              <w:snapToGrid/>
              <w:spacing w:line="240" w:lineRule="auto"/>
              <w:ind w:firstLine="0" w:firstLineChars="0"/>
              <w:jc w:val="center"/>
              <w:rPr>
                <w:rFonts w:ascii="宋体" w:hAnsi="Times New Roman" w:eastAsia="宋体" w:cs="Times New Roman"/>
                <w:color w:val="000000"/>
                <w:kern w:val="0"/>
                <w:szCs w:val="21"/>
              </w:rPr>
            </w:pPr>
            <w:r>
              <w:rPr>
                <w:rFonts w:ascii="Times New Roman" w:hAnsi="Times New Roman" w:eastAsia="宋体" w:cs="Times New Roman"/>
                <w:color w:val="000000"/>
                <w:kern w:val="0"/>
                <w:sz w:val="21"/>
                <w:szCs w:val="21"/>
              </w:rPr>
              <w:t>X</w:t>
            </w:r>
          </w:p>
        </w:tc>
        <w:tc>
          <w:tcPr>
            <w:tcW w:w="317" w:type="pct"/>
            <w:shd w:val="clear" w:color="000000" w:fill="FFFFFF"/>
            <w:noWrap w:val="0"/>
            <w:vAlign w:val="center"/>
          </w:tcPr>
          <w:p w14:paraId="3B06040D">
            <w:pPr>
              <w:adjustRightInd/>
              <w:snapToGrid/>
              <w:spacing w:line="240" w:lineRule="auto"/>
              <w:ind w:firstLine="0" w:firstLineChars="0"/>
              <w:jc w:val="center"/>
              <w:rPr>
                <w:rFonts w:ascii="宋体" w:hAnsi="Times New Roman" w:eastAsia="宋体" w:cs="Times New Roman"/>
                <w:color w:val="000000"/>
                <w:kern w:val="0"/>
                <w:szCs w:val="21"/>
              </w:rPr>
            </w:pPr>
            <w:r>
              <w:rPr>
                <w:rFonts w:ascii="Times New Roman" w:hAnsi="Times New Roman" w:eastAsia="宋体" w:cs="Times New Roman"/>
                <w:color w:val="000000"/>
                <w:kern w:val="0"/>
                <w:sz w:val="21"/>
                <w:szCs w:val="21"/>
              </w:rPr>
              <w:t>Y</w:t>
            </w:r>
          </w:p>
        </w:tc>
        <w:tc>
          <w:tcPr>
            <w:tcW w:w="617" w:type="pct"/>
            <w:vMerge w:val="continue"/>
            <w:shd w:val="clear" w:color="000000" w:fill="FFFFFF"/>
            <w:noWrap w:val="0"/>
            <w:vAlign w:val="center"/>
          </w:tcPr>
          <w:p w14:paraId="73A7E262">
            <w:pPr>
              <w:adjustRightInd/>
              <w:snapToGrid/>
              <w:spacing w:line="240" w:lineRule="exact"/>
              <w:ind w:firstLine="0" w:firstLineChars="0"/>
              <w:jc w:val="center"/>
              <w:rPr>
                <w:rFonts w:ascii="Times New Roman" w:hAnsi="Times New Roman" w:eastAsia="宋体" w:cs="Times New Roman"/>
                <w:color w:val="000000"/>
                <w:kern w:val="2"/>
                <w:sz w:val="21"/>
                <w:szCs w:val="21"/>
              </w:rPr>
            </w:pPr>
          </w:p>
        </w:tc>
        <w:tc>
          <w:tcPr>
            <w:tcW w:w="494" w:type="pct"/>
            <w:vMerge w:val="continue"/>
            <w:shd w:val="clear" w:color="000000" w:fill="FFFFFF"/>
            <w:noWrap w:val="0"/>
            <w:vAlign w:val="center"/>
          </w:tcPr>
          <w:p w14:paraId="3CC7D012">
            <w:pPr>
              <w:adjustRightInd/>
              <w:snapToGrid/>
              <w:spacing w:line="240" w:lineRule="exact"/>
              <w:ind w:firstLine="0" w:firstLineChars="0"/>
              <w:jc w:val="center"/>
              <w:rPr>
                <w:rFonts w:ascii="Times New Roman" w:hAnsi="Times New Roman" w:eastAsia="宋体" w:cs="Times New Roman"/>
                <w:color w:val="000000"/>
                <w:kern w:val="2"/>
                <w:sz w:val="21"/>
                <w:szCs w:val="21"/>
              </w:rPr>
            </w:pPr>
          </w:p>
        </w:tc>
        <w:tc>
          <w:tcPr>
            <w:tcW w:w="604" w:type="pct"/>
            <w:vMerge w:val="continue"/>
            <w:shd w:val="clear" w:color="000000" w:fill="FFFFFF"/>
            <w:noWrap w:val="0"/>
            <w:vAlign w:val="center"/>
          </w:tcPr>
          <w:p w14:paraId="6E6A9304">
            <w:pPr>
              <w:adjustRightInd/>
              <w:snapToGrid/>
              <w:spacing w:line="240" w:lineRule="exact"/>
              <w:ind w:firstLine="0" w:firstLineChars="0"/>
              <w:jc w:val="center"/>
              <w:rPr>
                <w:rFonts w:ascii="Times New Roman" w:hAnsi="Times New Roman" w:eastAsia="宋体" w:cs="Times New Roman"/>
                <w:color w:val="000000"/>
                <w:kern w:val="2"/>
                <w:sz w:val="21"/>
                <w:szCs w:val="21"/>
              </w:rPr>
            </w:pPr>
          </w:p>
        </w:tc>
        <w:tc>
          <w:tcPr>
            <w:tcW w:w="870" w:type="pct"/>
            <w:vMerge w:val="continue"/>
            <w:shd w:val="clear" w:color="000000" w:fill="FFFFFF"/>
            <w:noWrap w:val="0"/>
            <w:vAlign w:val="center"/>
          </w:tcPr>
          <w:p w14:paraId="105C1C09">
            <w:pPr>
              <w:adjustRightInd/>
              <w:snapToGrid/>
              <w:spacing w:line="240" w:lineRule="exact"/>
              <w:ind w:firstLine="0" w:firstLineChars="0"/>
              <w:jc w:val="center"/>
              <w:rPr>
                <w:rFonts w:ascii="Times New Roman" w:hAnsi="Times New Roman" w:eastAsia="宋体" w:cs="Times New Roman"/>
                <w:color w:val="000000"/>
                <w:kern w:val="2"/>
                <w:sz w:val="21"/>
                <w:szCs w:val="21"/>
              </w:rPr>
            </w:pPr>
          </w:p>
        </w:tc>
        <w:tc>
          <w:tcPr>
            <w:tcW w:w="535" w:type="pct"/>
            <w:vMerge w:val="continue"/>
            <w:shd w:val="clear" w:color="000000" w:fill="FFFFFF"/>
            <w:noWrap w:val="0"/>
            <w:vAlign w:val="center"/>
          </w:tcPr>
          <w:p w14:paraId="0B2A2F49">
            <w:pPr>
              <w:adjustRightInd/>
              <w:snapToGrid/>
              <w:spacing w:line="240" w:lineRule="exact"/>
              <w:ind w:firstLine="0" w:firstLineChars="0"/>
              <w:jc w:val="center"/>
              <w:rPr>
                <w:rFonts w:ascii="Times New Roman" w:hAnsi="Times New Roman" w:eastAsia="宋体" w:cs="Times New Roman"/>
                <w:color w:val="000000"/>
                <w:kern w:val="2"/>
                <w:sz w:val="21"/>
                <w:szCs w:val="21"/>
              </w:rPr>
            </w:pPr>
          </w:p>
        </w:tc>
        <w:tc>
          <w:tcPr>
            <w:tcW w:w="414" w:type="pct"/>
            <w:vMerge w:val="continue"/>
            <w:shd w:val="clear" w:color="000000" w:fill="FFFFFF"/>
            <w:noWrap w:val="0"/>
            <w:vAlign w:val="center"/>
          </w:tcPr>
          <w:p w14:paraId="26A35DA9">
            <w:pPr>
              <w:adjustRightInd/>
              <w:snapToGrid/>
              <w:spacing w:line="240" w:lineRule="exact"/>
              <w:ind w:firstLine="0" w:firstLineChars="0"/>
              <w:jc w:val="center"/>
              <w:rPr>
                <w:rFonts w:ascii="Times New Roman" w:hAnsi="Times New Roman" w:eastAsia="宋体" w:cs="Times New Roman"/>
                <w:color w:val="000000"/>
                <w:kern w:val="2"/>
                <w:sz w:val="21"/>
                <w:szCs w:val="21"/>
              </w:rPr>
            </w:pPr>
          </w:p>
        </w:tc>
        <w:tc>
          <w:tcPr>
            <w:tcW w:w="286" w:type="pct"/>
            <w:vMerge w:val="continue"/>
            <w:shd w:val="clear" w:color="000000" w:fill="FFFFFF"/>
            <w:noWrap w:val="0"/>
            <w:vAlign w:val="center"/>
          </w:tcPr>
          <w:p w14:paraId="451D3CEF">
            <w:pPr>
              <w:adjustRightInd/>
              <w:snapToGrid/>
              <w:spacing w:line="240" w:lineRule="exact"/>
              <w:ind w:firstLine="0" w:firstLineChars="0"/>
              <w:jc w:val="center"/>
              <w:rPr>
                <w:rFonts w:ascii="Times New Roman" w:hAnsi="Times New Roman" w:eastAsia="宋体" w:cs="Times New Roman"/>
                <w:color w:val="000000"/>
                <w:kern w:val="2"/>
                <w:sz w:val="21"/>
                <w:szCs w:val="21"/>
              </w:rPr>
            </w:pPr>
          </w:p>
        </w:tc>
      </w:tr>
      <w:tr w14:paraId="533110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566" w:type="pct"/>
            <w:vMerge w:val="restart"/>
            <w:noWrap w:val="0"/>
            <w:vAlign w:val="center"/>
          </w:tcPr>
          <w:p w14:paraId="0912538A">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1#厂址</w:t>
            </w:r>
          </w:p>
        </w:tc>
        <w:tc>
          <w:tcPr>
            <w:tcW w:w="292" w:type="pct"/>
            <w:vMerge w:val="restart"/>
            <w:noWrap w:val="0"/>
            <w:vAlign w:val="center"/>
          </w:tcPr>
          <w:p w14:paraId="53333A3F">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165</w:t>
            </w:r>
          </w:p>
        </w:tc>
        <w:tc>
          <w:tcPr>
            <w:tcW w:w="317" w:type="pct"/>
            <w:vMerge w:val="restart"/>
            <w:noWrap w:val="0"/>
            <w:vAlign w:val="center"/>
          </w:tcPr>
          <w:p w14:paraId="58480F6B">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120</w:t>
            </w:r>
          </w:p>
        </w:tc>
        <w:tc>
          <w:tcPr>
            <w:tcW w:w="617" w:type="pct"/>
            <w:noWrap w:val="0"/>
            <w:vAlign w:val="center"/>
          </w:tcPr>
          <w:p w14:paraId="69859FE2">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氨</w:t>
            </w:r>
          </w:p>
        </w:tc>
        <w:tc>
          <w:tcPr>
            <w:tcW w:w="494" w:type="pct"/>
            <w:noWrap w:val="0"/>
            <w:vAlign w:val="center"/>
          </w:tcPr>
          <w:p w14:paraId="3EC964B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1h平均</w:t>
            </w:r>
          </w:p>
        </w:tc>
        <w:tc>
          <w:tcPr>
            <w:tcW w:w="604" w:type="pct"/>
            <w:noWrap w:val="0"/>
            <w:vAlign w:val="center"/>
          </w:tcPr>
          <w:p w14:paraId="02E65403">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200</w:t>
            </w:r>
          </w:p>
        </w:tc>
        <w:tc>
          <w:tcPr>
            <w:tcW w:w="870" w:type="pct"/>
            <w:noWrap w:val="0"/>
            <w:vAlign w:val="center"/>
          </w:tcPr>
          <w:p w14:paraId="5ED078F9">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30~~60</w:t>
            </w:r>
          </w:p>
        </w:tc>
        <w:tc>
          <w:tcPr>
            <w:tcW w:w="535" w:type="pct"/>
            <w:noWrap w:val="0"/>
            <w:vAlign w:val="center"/>
          </w:tcPr>
          <w:p w14:paraId="3453DEB8">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30</w:t>
            </w:r>
          </w:p>
        </w:tc>
        <w:tc>
          <w:tcPr>
            <w:tcW w:w="414" w:type="pct"/>
            <w:noWrap w:val="0"/>
            <w:vAlign w:val="center"/>
          </w:tcPr>
          <w:p w14:paraId="0ECB4181">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4C5486F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达标</w:t>
            </w:r>
          </w:p>
        </w:tc>
      </w:tr>
      <w:tr w14:paraId="613266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566" w:type="pct"/>
            <w:vMerge w:val="continue"/>
            <w:noWrap w:val="0"/>
            <w:vAlign w:val="center"/>
          </w:tcPr>
          <w:p w14:paraId="65B96BF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292" w:type="pct"/>
            <w:vMerge w:val="continue"/>
            <w:noWrap w:val="0"/>
            <w:vAlign w:val="center"/>
          </w:tcPr>
          <w:p w14:paraId="4E1ECE57">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317" w:type="pct"/>
            <w:vMerge w:val="continue"/>
            <w:noWrap w:val="0"/>
            <w:vAlign w:val="center"/>
          </w:tcPr>
          <w:p w14:paraId="012DC66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6E1DE65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硫化氢</w:t>
            </w:r>
          </w:p>
        </w:tc>
        <w:tc>
          <w:tcPr>
            <w:tcW w:w="494" w:type="pct"/>
            <w:noWrap w:val="0"/>
            <w:vAlign w:val="center"/>
          </w:tcPr>
          <w:p w14:paraId="7475CDA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1h平均</w:t>
            </w:r>
          </w:p>
        </w:tc>
        <w:tc>
          <w:tcPr>
            <w:tcW w:w="604" w:type="pct"/>
            <w:noWrap w:val="0"/>
            <w:vAlign w:val="center"/>
          </w:tcPr>
          <w:p w14:paraId="53AF0CBF">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10</w:t>
            </w:r>
          </w:p>
        </w:tc>
        <w:tc>
          <w:tcPr>
            <w:tcW w:w="870" w:type="pct"/>
            <w:noWrap w:val="0"/>
            <w:vAlign w:val="center"/>
          </w:tcPr>
          <w:p w14:paraId="36EE87E8">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1L</w:t>
            </w:r>
          </w:p>
        </w:tc>
        <w:tc>
          <w:tcPr>
            <w:tcW w:w="535" w:type="pct"/>
            <w:noWrap w:val="0"/>
            <w:vAlign w:val="center"/>
          </w:tcPr>
          <w:p w14:paraId="4F9BC100">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414" w:type="pct"/>
            <w:noWrap w:val="0"/>
            <w:vAlign w:val="center"/>
          </w:tcPr>
          <w:p w14:paraId="58C2572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72C9A38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达标</w:t>
            </w:r>
          </w:p>
        </w:tc>
      </w:tr>
      <w:tr w14:paraId="316635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566" w:type="pct"/>
            <w:vMerge w:val="continue"/>
            <w:noWrap w:val="0"/>
            <w:vAlign w:val="center"/>
          </w:tcPr>
          <w:p w14:paraId="18D9C82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292" w:type="pct"/>
            <w:vMerge w:val="continue"/>
            <w:noWrap w:val="0"/>
            <w:vAlign w:val="center"/>
          </w:tcPr>
          <w:p w14:paraId="7A06A55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317" w:type="pct"/>
            <w:vMerge w:val="continue"/>
            <w:noWrap w:val="0"/>
            <w:vAlign w:val="center"/>
          </w:tcPr>
          <w:p w14:paraId="08B9A7B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08DB3FF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臭气浓度</w:t>
            </w:r>
          </w:p>
        </w:tc>
        <w:tc>
          <w:tcPr>
            <w:tcW w:w="494" w:type="pct"/>
            <w:noWrap w:val="0"/>
            <w:vAlign w:val="center"/>
          </w:tcPr>
          <w:p w14:paraId="71394C27">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604" w:type="pct"/>
            <w:noWrap w:val="0"/>
            <w:vAlign w:val="center"/>
          </w:tcPr>
          <w:p w14:paraId="78D5FB87">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870" w:type="pct"/>
            <w:noWrap w:val="0"/>
            <w:vAlign w:val="center"/>
          </w:tcPr>
          <w:p w14:paraId="5CE905CC">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＜10（无量纲）</w:t>
            </w:r>
          </w:p>
        </w:tc>
        <w:tc>
          <w:tcPr>
            <w:tcW w:w="535" w:type="pct"/>
            <w:noWrap w:val="0"/>
            <w:vAlign w:val="center"/>
          </w:tcPr>
          <w:p w14:paraId="3B6A7CD8">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414" w:type="pct"/>
            <w:noWrap w:val="0"/>
            <w:vAlign w:val="center"/>
          </w:tcPr>
          <w:p w14:paraId="0FAEE2F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286" w:type="pct"/>
            <w:noWrap w:val="0"/>
            <w:vAlign w:val="center"/>
          </w:tcPr>
          <w:p w14:paraId="07F2EBE5">
            <w:pPr>
              <w:adjustRightInd/>
              <w:snapToGrid/>
              <w:spacing w:line="240" w:lineRule="exact"/>
              <w:ind w:firstLine="0" w:firstLineChars="0"/>
              <w:jc w:val="center"/>
              <w:rPr>
                <w:rFonts w:hint="eastAsia" w:ascii="Times New Roman" w:hAnsi="Times New Roman" w:eastAsia="宋体" w:cs="宋体"/>
                <w:color w:val="000000"/>
                <w:kern w:val="2"/>
                <w:sz w:val="21"/>
                <w:szCs w:val="21"/>
                <w:lang w:eastAsia="zh-CN"/>
              </w:rPr>
            </w:pPr>
            <w:r>
              <w:rPr>
                <w:rFonts w:hint="eastAsia" w:ascii="Times New Roman" w:hAnsi="Times New Roman" w:eastAsia="宋体" w:cs="Times New Roman"/>
                <w:color w:val="000000"/>
                <w:kern w:val="2"/>
                <w:sz w:val="21"/>
                <w:szCs w:val="21"/>
                <w:lang w:val="en-US" w:eastAsia="zh-CN"/>
              </w:rPr>
              <w:t>/</w:t>
            </w:r>
          </w:p>
        </w:tc>
      </w:tr>
      <w:tr w14:paraId="6A7EAA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566" w:type="pct"/>
            <w:vMerge w:val="continue"/>
            <w:noWrap w:val="0"/>
            <w:vAlign w:val="center"/>
          </w:tcPr>
          <w:p w14:paraId="3DF90AC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292" w:type="pct"/>
            <w:vMerge w:val="continue"/>
            <w:noWrap w:val="0"/>
            <w:vAlign w:val="center"/>
          </w:tcPr>
          <w:p w14:paraId="0EAF87AC">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317" w:type="pct"/>
            <w:vMerge w:val="continue"/>
            <w:noWrap w:val="0"/>
            <w:vAlign w:val="center"/>
          </w:tcPr>
          <w:p w14:paraId="427D9C58">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4D24082E">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TSP</w:t>
            </w:r>
          </w:p>
        </w:tc>
        <w:tc>
          <w:tcPr>
            <w:tcW w:w="494" w:type="pct"/>
            <w:noWrap w:val="0"/>
            <w:vAlign w:val="center"/>
          </w:tcPr>
          <w:p w14:paraId="39696093">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24h平均</w:t>
            </w:r>
          </w:p>
        </w:tc>
        <w:tc>
          <w:tcPr>
            <w:tcW w:w="604" w:type="pct"/>
            <w:noWrap w:val="0"/>
            <w:vAlign w:val="center"/>
          </w:tcPr>
          <w:p w14:paraId="0DA475C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300</w:t>
            </w:r>
          </w:p>
        </w:tc>
        <w:tc>
          <w:tcPr>
            <w:tcW w:w="870" w:type="pct"/>
            <w:noWrap w:val="0"/>
            <w:vAlign w:val="center"/>
          </w:tcPr>
          <w:p w14:paraId="37574263">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133</w:t>
            </w:r>
            <w:r>
              <w:rPr>
                <w:rFonts w:hint="eastAsia" w:ascii="Times New Roman" w:hAnsi="Times New Roman" w:eastAsia="宋体" w:cs="Times New Roman"/>
                <w:color w:val="000000"/>
                <w:kern w:val="2"/>
                <w:sz w:val="21"/>
                <w:szCs w:val="21"/>
              </w:rPr>
              <w:t>—</w:t>
            </w:r>
            <w:r>
              <w:rPr>
                <w:rFonts w:hint="eastAsia" w:ascii="Times New Roman" w:hAnsi="Times New Roman" w:eastAsia="宋体" w:cs="Times New Roman"/>
                <w:color w:val="000000"/>
                <w:kern w:val="2"/>
                <w:sz w:val="21"/>
                <w:szCs w:val="21"/>
                <w:lang w:val="en-US" w:eastAsia="zh-CN"/>
              </w:rPr>
              <w:t>138</w:t>
            </w:r>
          </w:p>
        </w:tc>
        <w:tc>
          <w:tcPr>
            <w:tcW w:w="535" w:type="pct"/>
            <w:noWrap w:val="0"/>
            <w:vAlign w:val="center"/>
          </w:tcPr>
          <w:p w14:paraId="195FF254">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46</w:t>
            </w:r>
          </w:p>
        </w:tc>
        <w:tc>
          <w:tcPr>
            <w:tcW w:w="414" w:type="pct"/>
            <w:noWrap w:val="0"/>
            <w:vAlign w:val="center"/>
          </w:tcPr>
          <w:p w14:paraId="13E25200">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786D565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达标</w:t>
            </w:r>
          </w:p>
        </w:tc>
      </w:tr>
      <w:tr w14:paraId="2F012B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566" w:type="pct"/>
            <w:vMerge w:val="restart"/>
            <w:noWrap w:val="0"/>
            <w:vAlign w:val="center"/>
          </w:tcPr>
          <w:p w14:paraId="099F3B50">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2#主导风向下风向</w:t>
            </w:r>
          </w:p>
        </w:tc>
        <w:tc>
          <w:tcPr>
            <w:tcW w:w="292" w:type="pct"/>
            <w:vMerge w:val="restart"/>
            <w:noWrap w:val="0"/>
            <w:vAlign w:val="center"/>
          </w:tcPr>
          <w:p w14:paraId="714C8677">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645</w:t>
            </w:r>
          </w:p>
        </w:tc>
        <w:tc>
          <w:tcPr>
            <w:tcW w:w="317" w:type="pct"/>
            <w:vMerge w:val="restart"/>
            <w:noWrap w:val="0"/>
            <w:vAlign w:val="center"/>
          </w:tcPr>
          <w:p w14:paraId="264C84E7">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90</w:t>
            </w:r>
          </w:p>
        </w:tc>
        <w:tc>
          <w:tcPr>
            <w:tcW w:w="617" w:type="pct"/>
            <w:noWrap w:val="0"/>
            <w:vAlign w:val="center"/>
          </w:tcPr>
          <w:p w14:paraId="7798439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氨</w:t>
            </w:r>
          </w:p>
        </w:tc>
        <w:tc>
          <w:tcPr>
            <w:tcW w:w="494" w:type="pct"/>
            <w:noWrap w:val="0"/>
            <w:vAlign w:val="center"/>
          </w:tcPr>
          <w:p w14:paraId="2B101C3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1h平均</w:t>
            </w:r>
          </w:p>
        </w:tc>
        <w:tc>
          <w:tcPr>
            <w:tcW w:w="604" w:type="pct"/>
            <w:noWrap w:val="0"/>
            <w:vAlign w:val="center"/>
          </w:tcPr>
          <w:p w14:paraId="0B0DF138">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200</w:t>
            </w:r>
          </w:p>
        </w:tc>
        <w:tc>
          <w:tcPr>
            <w:tcW w:w="870" w:type="pct"/>
            <w:noWrap w:val="0"/>
            <w:vAlign w:val="center"/>
          </w:tcPr>
          <w:p w14:paraId="73718008">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lang w:val="en-US" w:eastAsia="zh-CN"/>
              </w:rPr>
              <w:t>30~~60</w:t>
            </w:r>
          </w:p>
        </w:tc>
        <w:tc>
          <w:tcPr>
            <w:tcW w:w="535" w:type="pct"/>
            <w:noWrap w:val="0"/>
            <w:vAlign w:val="center"/>
          </w:tcPr>
          <w:p w14:paraId="448B351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lang w:val="en-US" w:eastAsia="zh-CN"/>
              </w:rPr>
              <w:t>30</w:t>
            </w:r>
          </w:p>
        </w:tc>
        <w:tc>
          <w:tcPr>
            <w:tcW w:w="414" w:type="pct"/>
            <w:noWrap w:val="0"/>
            <w:vAlign w:val="center"/>
          </w:tcPr>
          <w:p w14:paraId="3FF4477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37406715">
            <w:pPr>
              <w:adjustRightInd/>
              <w:snapToGrid/>
              <w:spacing w:line="240" w:lineRule="exact"/>
              <w:ind w:firstLine="0" w:firstLineChars="0"/>
              <w:jc w:val="center"/>
              <w:rPr>
                <w:rFonts w:hint="eastAsia" w:ascii="Times New Roman" w:hAnsi="Times New Roman" w:eastAsia="宋体" w:cs="宋体"/>
                <w:color w:val="000000"/>
                <w:kern w:val="2"/>
                <w:sz w:val="21"/>
                <w:szCs w:val="21"/>
              </w:rPr>
            </w:pPr>
            <w:r>
              <w:rPr>
                <w:rFonts w:hint="eastAsia" w:ascii="Times New Roman" w:hAnsi="Times New Roman" w:eastAsia="宋体" w:cs="Times New Roman"/>
                <w:color w:val="000000"/>
                <w:kern w:val="2"/>
                <w:sz w:val="21"/>
                <w:szCs w:val="21"/>
              </w:rPr>
              <w:t>达标</w:t>
            </w:r>
          </w:p>
        </w:tc>
      </w:tr>
      <w:tr w14:paraId="4138E3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566" w:type="pct"/>
            <w:vMerge w:val="continue"/>
            <w:noWrap w:val="0"/>
            <w:vAlign w:val="center"/>
          </w:tcPr>
          <w:p w14:paraId="1A8ED919">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292" w:type="pct"/>
            <w:vMerge w:val="continue"/>
            <w:noWrap w:val="0"/>
            <w:vAlign w:val="center"/>
          </w:tcPr>
          <w:p w14:paraId="76F69B6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317" w:type="pct"/>
            <w:vMerge w:val="continue"/>
            <w:noWrap w:val="0"/>
            <w:vAlign w:val="center"/>
          </w:tcPr>
          <w:p w14:paraId="5D2D831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52EC7AC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硫化氢</w:t>
            </w:r>
          </w:p>
        </w:tc>
        <w:tc>
          <w:tcPr>
            <w:tcW w:w="494" w:type="pct"/>
            <w:noWrap w:val="0"/>
            <w:vAlign w:val="center"/>
          </w:tcPr>
          <w:p w14:paraId="5D74C80C">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1h平均</w:t>
            </w:r>
          </w:p>
        </w:tc>
        <w:tc>
          <w:tcPr>
            <w:tcW w:w="604" w:type="pct"/>
            <w:noWrap w:val="0"/>
            <w:vAlign w:val="center"/>
          </w:tcPr>
          <w:p w14:paraId="74151EC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10</w:t>
            </w:r>
          </w:p>
        </w:tc>
        <w:tc>
          <w:tcPr>
            <w:tcW w:w="870" w:type="pct"/>
            <w:noWrap w:val="0"/>
            <w:vAlign w:val="center"/>
          </w:tcPr>
          <w:p w14:paraId="6243ECED">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1L</w:t>
            </w:r>
          </w:p>
        </w:tc>
        <w:tc>
          <w:tcPr>
            <w:tcW w:w="535" w:type="pct"/>
            <w:noWrap w:val="0"/>
            <w:vAlign w:val="center"/>
          </w:tcPr>
          <w:p w14:paraId="5F9B05A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414" w:type="pct"/>
            <w:noWrap w:val="0"/>
            <w:vAlign w:val="center"/>
          </w:tcPr>
          <w:p w14:paraId="1F561F0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6941677F">
            <w:pPr>
              <w:adjustRightInd/>
              <w:snapToGrid/>
              <w:spacing w:line="240" w:lineRule="exact"/>
              <w:ind w:firstLine="0" w:firstLineChars="0"/>
              <w:jc w:val="center"/>
              <w:rPr>
                <w:rFonts w:hint="eastAsia" w:ascii="Times New Roman" w:hAnsi="Times New Roman" w:eastAsia="宋体" w:cs="宋体"/>
                <w:color w:val="000000"/>
                <w:kern w:val="2"/>
                <w:sz w:val="21"/>
                <w:szCs w:val="21"/>
              </w:rPr>
            </w:pPr>
            <w:r>
              <w:rPr>
                <w:rFonts w:hint="eastAsia" w:ascii="Times New Roman" w:hAnsi="Times New Roman" w:eastAsia="宋体" w:cs="Times New Roman"/>
                <w:color w:val="000000"/>
                <w:kern w:val="2"/>
                <w:sz w:val="21"/>
                <w:szCs w:val="21"/>
              </w:rPr>
              <w:t>达标</w:t>
            </w:r>
          </w:p>
        </w:tc>
      </w:tr>
      <w:tr w14:paraId="742496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566" w:type="pct"/>
            <w:vMerge w:val="continue"/>
            <w:noWrap w:val="0"/>
            <w:vAlign w:val="center"/>
          </w:tcPr>
          <w:p w14:paraId="07ADC64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292" w:type="pct"/>
            <w:vMerge w:val="continue"/>
            <w:noWrap w:val="0"/>
            <w:vAlign w:val="center"/>
          </w:tcPr>
          <w:p w14:paraId="5DEB957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317" w:type="pct"/>
            <w:vMerge w:val="continue"/>
            <w:noWrap w:val="0"/>
            <w:vAlign w:val="center"/>
          </w:tcPr>
          <w:p w14:paraId="59D77F80">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4CD6771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臭气浓度</w:t>
            </w:r>
          </w:p>
        </w:tc>
        <w:tc>
          <w:tcPr>
            <w:tcW w:w="494" w:type="pct"/>
            <w:noWrap w:val="0"/>
            <w:vAlign w:val="center"/>
          </w:tcPr>
          <w:p w14:paraId="4AACA7F8">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604" w:type="pct"/>
            <w:noWrap w:val="0"/>
            <w:vAlign w:val="center"/>
          </w:tcPr>
          <w:p w14:paraId="6CB956E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870" w:type="pct"/>
            <w:noWrap w:val="0"/>
            <w:vAlign w:val="center"/>
          </w:tcPr>
          <w:p w14:paraId="57E620B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＜10（无量纲）</w:t>
            </w:r>
          </w:p>
        </w:tc>
        <w:tc>
          <w:tcPr>
            <w:tcW w:w="535" w:type="pct"/>
            <w:noWrap w:val="0"/>
            <w:vAlign w:val="center"/>
          </w:tcPr>
          <w:p w14:paraId="08A12F8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414" w:type="pct"/>
            <w:noWrap w:val="0"/>
            <w:vAlign w:val="center"/>
          </w:tcPr>
          <w:p w14:paraId="63488B2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286" w:type="pct"/>
            <w:noWrap w:val="0"/>
            <w:vAlign w:val="center"/>
          </w:tcPr>
          <w:p w14:paraId="26A7365B">
            <w:pPr>
              <w:adjustRightInd/>
              <w:snapToGrid/>
              <w:spacing w:line="240" w:lineRule="exact"/>
              <w:ind w:firstLine="0" w:firstLineChars="0"/>
              <w:jc w:val="center"/>
              <w:rPr>
                <w:rFonts w:hint="eastAsia" w:ascii="Times New Roman" w:hAnsi="Times New Roman" w:eastAsia="宋体" w:cs="宋体"/>
                <w:color w:val="000000"/>
                <w:kern w:val="2"/>
                <w:sz w:val="21"/>
                <w:szCs w:val="21"/>
                <w:lang w:eastAsia="zh-CN"/>
              </w:rPr>
            </w:pPr>
            <w:r>
              <w:rPr>
                <w:rFonts w:hint="eastAsia" w:ascii="Times New Roman" w:hAnsi="Times New Roman" w:eastAsia="宋体" w:cs="Times New Roman"/>
                <w:color w:val="000000"/>
                <w:kern w:val="2"/>
                <w:sz w:val="21"/>
                <w:szCs w:val="21"/>
                <w:lang w:val="en-US" w:eastAsia="zh-CN"/>
              </w:rPr>
              <w:t>/</w:t>
            </w:r>
          </w:p>
        </w:tc>
      </w:tr>
      <w:tr w14:paraId="1A0DE4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566" w:type="pct"/>
            <w:vMerge w:val="continue"/>
            <w:noWrap w:val="0"/>
            <w:vAlign w:val="center"/>
          </w:tcPr>
          <w:p w14:paraId="18795CF0">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292" w:type="pct"/>
            <w:vMerge w:val="continue"/>
            <w:noWrap w:val="0"/>
            <w:vAlign w:val="center"/>
          </w:tcPr>
          <w:p w14:paraId="70FFFA3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317" w:type="pct"/>
            <w:vMerge w:val="continue"/>
            <w:noWrap w:val="0"/>
            <w:vAlign w:val="center"/>
          </w:tcPr>
          <w:p w14:paraId="1B68F5B2">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3A25D4F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TSP</w:t>
            </w:r>
          </w:p>
        </w:tc>
        <w:tc>
          <w:tcPr>
            <w:tcW w:w="494" w:type="pct"/>
            <w:noWrap w:val="0"/>
            <w:vAlign w:val="center"/>
          </w:tcPr>
          <w:p w14:paraId="18E046E7">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24h平均</w:t>
            </w:r>
          </w:p>
        </w:tc>
        <w:tc>
          <w:tcPr>
            <w:tcW w:w="604" w:type="pct"/>
            <w:noWrap w:val="0"/>
            <w:vAlign w:val="center"/>
          </w:tcPr>
          <w:p w14:paraId="32A8A91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300</w:t>
            </w:r>
          </w:p>
        </w:tc>
        <w:tc>
          <w:tcPr>
            <w:tcW w:w="870" w:type="pct"/>
            <w:noWrap w:val="0"/>
            <w:vAlign w:val="center"/>
          </w:tcPr>
          <w:p w14:paraId="584B9477">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lang w:val="en-US" w:eastAsia="zh-CN"/>
              </w:rPr>
              <w:t>133</w:t>
            </w:r>
            <w:r>
              <w:rPr>
                <w:rFonts w:hint="eastAsia" w:ascii="Times New Roman" w:hAnsi="Times New Roman" w:eastAsia="宋体" w:cs="Times New Roman"/>
                <w:color w:val="000000"/>
                <w:kern w:val="2"/>
                <w:sz w:val="21"/>
                <w:szCs w:val="21"/>
              </w:rPr>
              <w:t>—</w:t>
            </w:r>
            <w:r>
              <w:rPr>
                <w:rFonts w:hint="eastAsia" w:ascii="Times New Roman" w:hAnsi="Times New Roman" w:eastAsia="宋体" w:cs="Times New Roman"/>
                <w:color w:val="000000"/>
                <w:kern w:val="2"/>
                <w:sz w:val="21"/>
                <w:szCs w:val="21"/>
                <w:lang w:val="en-US" w:eastAsia="zh-CN"/>
              </w:rPr>
              <w:t>138</w:t>
            </w:r>
          </w:p>
        </w:tc>
        <w:tc>
          <w:tcPr>
            <w:tcW w:w="535" w:type="pct"/>
            <w:noWrap w:val="0"/>
            <w:vAlign w:val="center"/>
          </w:tcPr>
          <w:p w14:paraId="2636AEF0">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lang w:val="en-US" w:eastAsia="zh-CN"/>
              </w:rPr>
              <w:t>46</w:t>
            </w:r>
          </w:p>
        </w:tc>
        <w:tc>
          <w:tcPr>
            <w:tcW w:w="414" w:type="pct"/>
            <w:noWrap w:val="0"/>
            <w:vAlign w:val="center"/>
          </w:tcPr>
          <w:p w14:paraId="3D75925D">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62241F4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达标</w:t>
            </w:r>
          </w:p>
        </w:tc>
      </w:tr>
      <w:tr w14:paraId="1FD19B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1176" w:type="pct"/>
            <w:gridSpan w:val="3"/>
            <w:vMerge w:val="restart"/>
            <w:noWrap w:val="0"/>
            <w:vAlign w:val="center"/>
          </w:tcPr>
          <w:p w14:paraId="793E14EC">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相同时刻各监测点位平均值中的最大值</w:t>
            </w:r>
          </w:p>
        </w:tc>
        <w:tc>
          <w:tcPr>
            <w:tcW w:w="617" w:type="pct"/>
            <w:noWrap w:val="0"/>
            <w:vAlign w:val="center"/>
          </w:tcPr>
          <w:p w14:paraId="199282F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氨</w:t>
            </w:r>
          </w:p>
        </w:tc>
        <w:tc>
          <w:tcPr>
            <w:tcW w:w="494" w:type="pct"/>
            <w:noWrap w:val="0"/>
            <w:vAlign w:val="center"/>
          </w:tcPr>
          <w:p w14:paraId="0EC4FC39">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1h平均</w:t>
            </w:r>
          </w:p>
        </w:tc>
        <w:tc>
          <w:tcPr>
            <w:tcW w:w="604" w:type="pct"/>
            <w:noWrap w:val="0"/>
            <w:vAlign w:val="center"/>
          </w:tcPr>
          <w:p w14:paraId="43DEF330">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200</w:t>
            </w:r>
          </w:p>
        </w:tc>
        <w:tc>
          <w:tcPr>
            <w:tcW w:w="870" w:type="pct"/>
            <w:noWrap w:val="0"/>
            <w:vAlign w:val="center"/>
          </w:tcPr>
          <w:p w14:paraId="4911E2ED">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30</w:t>
            </w:r>
          </w:p>
        </w:tc>
        <w:tc>
          <w:tcPr>
            <w:tcW w:w="535" w:type="pct"/>
            <w:noWrap w:val="0"/>
            <w:vAlign w:val="center"/>
          </w:tcPr>
          <w:p w14:paraId="39EBFBCE">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15</w:t>
            </w:r>
          </w:p>
        </w:tc>
        <w:tc>
          <w:tcPr>
            <w:tcW w:w="414" w:type="pct"/>
            <w:noWrap w:val="0"/>
            <w:vAlign w:val="center"/>
          </w:tcPr>
          <w:p w14:paraId="146E71B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6A157D7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达标</w:t>
            </w:r>
          </w:p>
        </w:tc>
      </w:tr>
      <w:tr w14:paraId="7A551E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1176" w:type="pct"/>
            <w:gridSpan w:val="3"/>
            <w:vMerge w:val="continue"/>
            <w:noWrap w:val="0"/>
            <w:vAlign w:val="center"/>
          </w:tcPr>
          <w:p w14:paraId="2765F43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5B3CAFF7">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硫化氢</w:t>
            </w:r>
          </w:p>
        </w:tc>
        <w:tc>
          <w:tcPr>
            <w:tcW w:w="494" w:type="pct"/>
            <w:noWrap w:val="0"/>
            <w:vAlign w:val="center"/>
          </w:tcPr>
          <w:p w14:paraId="77050AB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1h平均</w:t>
            </w:r>
          </w:p>
        </w:tc>
        <w:tc>
          <w:tcPr>
            <w:tcW w:w="604" w:type="pct"/>
            <w:noWrap w:val="0"/>
            <w:vAlign w:val="center"/>
          </w:tcPr>
          <w:p w14:paraId="27EB7FC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10</w:t>
            </w:r>
          </w:p>
        </w:tc>
        <w:tc>
          <w:tcPr>
            <w:tcW w:w="870" w:type="pct"/>
            <w:noWrap w:val="0"/>
            <w:vAlign w:val="center"/>
          </w:tcPr>
          <w:p w14:paraId="512A914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1L</w:t>
            </w:r>
          </w:p>
        </w:tc>
        <w:tc>
          <w:tcPr>
            <w:tcW w:w="535" w:type="pct"/>
            <w:noWrap w:val="0"/>
            <w:vAlign w:val="center"/>
          </w:tcPr>
          <w:p w14:paraId="1A0D66B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414" w:type="pct"/>
            <w:noWrap w:val="0"/>
            <w:vAlign w:val="center"/>
          </w:tcPr>
          <w:p w14:paraId="5CCEDB88">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0547234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达标</w:t>
            </w:r>
          </w:p>
        </w:tc>
      </w:tr>
      <w:tr w14:paraId="01E1ED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1176" w:type="pct"/>
            <w:gridSpan w:val="3"/>
            <w:vMerge w:val="continue"/>
            <w:noWrap w:val="0"/>
            <w:vAlign w:val="center"/>
          </w:tcPr>
          <w:p w14:paraId="29C35CA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70B43BA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臭气浓度</w:t>
            </w:r>
          </w:p>
        </w:tc>
        <w:tc>
          <w:tcPr>
            <w:tcW w:w="494" w:type="pct"/>
            <w:noWrap w:val="0"/>
            <w:vAlign w:val="center"/>
          </w:tcPr>
          <w:p w14:paraId="2AD51ED7">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604" w:type="pct"/>
            <w:noWrap w:val="0"/>
            <w:vAlign w:val="center"/>
          </w:tcPr>
          <w:p w14:paraId="45010A7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870" w:type="pct"/>
            <w:noWrap w:val="0"/>
            <w:vAlign w:val="center"/>
          </w:tcPr>
          <w:p w14:paraId="05694F6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＜10（无量纲）</w:t>
            </w:r>
          </w:p>
        </w:tc>
        <w:tc>
          <w:tcPr>
            <w:tcW w:w="535" w:type="pct"/>
            <w:noWrap w:val="0"/>
            <w:vAlign w:val="center"/>
          </w:tcPr>
          <w:p w14:paraId="1F1717CC">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414" w:type="pct"/>
            <w:noWrap w:val="0"/>
            <w:vAlign w:val="center"/>
          </w:tcPr>
          <w:p w14:paraId="6C030782">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c>
          <w:tcPr>
            <w:tcW w:w="286" w:type="pct"/>
            <w:noWrap w:val="0"/>
            <w:vAlign w:val="center"/>
          </w:tcPr>
          <w:p w14:paraId="15E8138C">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w:t>
            </w:r>
          </w:p>
        </w:tc>
      </w:tr>
      <w:tr w14:paraId="4D73DE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95" w:hRule="atLeast"/>
          <w:jc w:val="center"/>
        </w:trPr>
        <w:tc>
          <w:tcPr>
            <w:tcW w:w="1176" w:type="pct"/>
            <w:gridSpan w:val="3"/>
            <w:vMerge w:val="continue"/>
            <w:noWrap w:val="0"/>
            <w:vAlign w:val="center"/>
          </w:tcPr>
          <w:p w14:paraId="4A1CEC5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617" w:type="pct"/>
            <w:noWrap w:val="0"/>
            <w:vAlign w:val="center"/>
          </w:tcPr>
          <w:p w14:paraId="2E158B0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TSP</w:t>
            </w:r>
          </w:p>
        </w:tc>
        <w:tc>
          <w:tcPr>
            <w:tcW w:w="494" w:type="pct"/>
            <w:noWrap w:val="0"/>
            <w:vAlign w:val="center"/>
          </w:tcPr>
          <w:p w14:paraId="1B87143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24h平均</w:t>
            </w:r>
          </w:p>
        </w:tc>
        <w:tc>
          <w:tcPr>
            <w:tcW w:w="604" w:type="pct"/>
            <w:noWrap w:val="0"/>
            <w:vAlign w:val="center"/>
          </w:tcPr>
          <w:p w14:paraId="7E11E59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300</w:t>
            </w:r>
          </w:p>
        </w:tc>
        <w:tc>
          <w:tcPr>
            <w:tcW w:w="870" w:type="pct"/>
            <w:noWrap w:val="0"/>
            <w:vAlign w:val="center"/>
          </w:tcPr>
          <w:p w14:paraId="2477A1D5">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137</w:t>
            </w:r>
          </w:p>
        </w:tc>
        <w:tc>
          <w:tcPr>
            <w:tcW w:w="535" w:type="pct"/>
            <w:noWrap w:val="0"/>
            <w:vAlign w:val="center"/>
          </w:tcPr>
          <w:p w14:paraId="161438D0">
            <w:pPr>
              <w:adjustRightInd/>
              <w:snapToGrid/>
              <w:spacing w:line="240" w:lineRule="exact"/>
              <w:ind w:firstLine="0" w:firstLineChars="0"/>
              <w:jc w:val="center"/>
              <w:rPr>
                <w:rFonts w:hint="default" w:ascii="Times New Roman" w:hAnsi="Times New Roman" w:eastAsia="宋体" w:cs="Times New Roman"/>
                <w:color w:val="000000"/>
                <w:kern w:val="2"/>
                <w:sz w:val="21"/>
                <w:szCs w:val="21"/>
                <w:lang w:val="en-US" w:eastAsia="zh-CN"/>
              </w:rPr>
            </w:pPr>
            <w:r>
              <w:rPr>
                <w:rFonts w:hint="eastAsia" w:ascii="Times New Roman" w:hAnsi="Times New Roman" w:eastAsia="宋体" w:cs="Times New Roman"/>
                <w:color w:val="000000"/>
                <w:kern w:val="2"/>
                <w:sz w:val="21"/>
                <w:szCs w:val="21"/>
                <w:lang w:val="en-US" w:eastAsia="zh-CN"/>
              </w:rPr>
              <w:t>45.7</w:t>
            </w:r>
          </w:p>
        </w:tc>
        <w:tc>
          <w:tcPr>
            <w:tcW w:w="414" w:type="pct"/>
            <w:noWrap w:val="0"/>
            <w:vAlign w:val="center"/>
          </w:tcPr>
          <w:p w14:paraId="4968D1C9">
            <w:pPr>
              <w:adjustRightInd/>
              <w:snapToGrid/>
              <w:spacing w:line="240" w:lineRule="exact"/>
              <w:ind w:firstLine="0" w:firstLineChars="0"/>
              <w:jc w:val="center"/>
              <w:rPr>
                <w:rFonts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0</w:t>
            </w:r>
          </w:p>
        </w:tc>
        <w:tc>
          <w:tcPr>
            <w:tcW w:w="286" w:type="pct"/>
            <w:noWrap w:val="0"/>
            <w:vAlign w:val="center"/>
          </w:tcPr>
          <w:p w14:paraId="6FEADEB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达标</w:t>
            </w:r>
          </w:p>
        </w:tc>
      </w:tr>
    </w:tbl>
    <w:p w14:paraId="7ECF9AED">
      <w:pPr>
        <w:spacing w:line="500" w:lineRule="exact"/>
        <w:ind w:left="0" w:leftChars="0" w:firstLine="480" w:firstLineChars="200"/>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（5）补充监测</w:t>
      </w:r>
      <w:r>
        <w:rPr>
          <w:snapToGrid w:val="0"/>
          <w:color w:val="000000" w:themeColor="text1"/>
          <w:kern w:val="0"/>
          <w14:textFill>
            <w14:solidFill>
              <w14:schemeClr w14:val="tx1"/>
            </w14:solidFill>
          </w14:textFill>
        </w:rPr>
        <w:t>现状评价结论</w:t>
      </w:r>
    </w:p>
    <w:p w14:paraId="23702ADC">
      <w:pPr>
        <w:pStyle w:val="85"/>
        <w:rPr>
          <w:rFonts w:hint="eastAsia" w:ascii="Times New Roman" w:hAnsi="Times New Roman"/>
          <w:color w:val="000000"/>
          <w:szCs w:val="24"/>
        </w:rPr>
      </w:pPr>
      <w:r>
        <w:rPr>
          <w:snapToGrid w:val="0"/>
          <w:color w:val="000000" w:themeColor="text1"/>
          <w:szCs w:val="24"/>
          <w14:textFill>
            <w14:solidFill>
              <w14:schemeClr w14:val="tx1"/>
            </w14:solidFill>
          </w14:textFill>
        </w:rPr>
        <w:t>根据</w:t>
      </w:r>
      <w:r>
        <w:rPr>
          <w:rFonts w:hint="eastAsia"/>
          <w:snapToGrid w:val="0"/>
          <w:color w:val="000000" w:themeColor="text1"/>
          <w:szCs w:val="24"/>
          <w14:textFill>
            <w14:solidFill>
              <w14:schemeClr w14:val="tx1"/>
            </w14:solidFill>
          </w14:textFill>
        </w:rPr>
        <w:t>其他</w:t>
      </w:r>
      <w:r>
        <w:rPr>
          <w:snapToGrid w:val="0"/>
          <w:color w:val="000000" w:themeColor="text1"/>
          <w:szCs w:val="24"/>
          <w14:textFill>
            <w14:solidFill>
              <w14:schemeClr w14:val="tx1"/>
            </w14:solidFill>
          </w14:textFill>
        </w:rPr>
        <w:t>污染物现状评价结果可知，</w:t>
      </w:r>
      <w:r>
        <w:rPr>
          <w:rFonts w:hint="eastAsia"/>
          <w:snapToGrid w:val="0"/>
          <w:color w:val="000000" w:themeColor="text1"/>
          <w:szCs w:val="24"/>
          <w:lang w:val="en-US" w:eastAsia="zh-CN"/>
          <w14:textFill>
            <w14:solidFill>
              <w14:schemeClr w14:val="tx1"/>
            </w14:solidFill>
          </w14:textFill>
        </w:rPr>
        <w:t>各监测点位</w:t>
      </w:r>
      <w:r>
        <w:rPr>
          <w:rFonts w:hint="eastAsia" w:ascii="Times New Roman" w:hAnsi="Times New Roman"/>
          <w:color w:val="000000"/>
          <w:szCs w:val="24"/>
        </w:rPr>
        <w:t>氨、硫化氢满足《环境影响评价技术导则 大气环境》（HJ2.2-2018）附录D其他污染物空气质量浓度参考限值，臭气浓度＜10（无量纲），TSP满</w:t>
      </w:r>
      <w:r>
        <w:rPr>
          <w:rFonts w:hint="eastAsia" w:ascii="Times New Roman" w:hAnsi="Times New Roman"/>
          <w:color w:val="000000" w:themeColor="text1"/>
          <w:szCs w:val="24"/>
          <w14:textFill>
            <w14:solidFill>
              <w14:schemeClr w14:val="tx1"/>
            </w14:solidFill>
          </w14:textFill>
        </w:rPr>
        <w:t>足《环境空气质量标准》</w:t>
      </w: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GB3095-2026</w:t>
      </w: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r>
        <w:rPr>
          <w:rFonts w:hint="eastAsia" w:ascii="Times New Roman" w:hAnsi="Times New Roman"/>
          <w:color w:val="000000" w:themeColor="text1"/>
          <w:szCs w:val="24"/>
          <w14:textFill>
            <w14:solidFill>
              <w14:schemeClr w14:val="tx1"/>
            </w14:solidFill>
          </w14:textFill>
        </w:rPr>
        <w:t>。</w:t>
      </w:r>
    </w:p>
    <w:p w14:paraId="692ACEED">
      <w:pPr>
        <w:pStyle w:val="6"/>
        <w:rPr>
          <w:snapToGrid w:val="0"/>
          <w:color w:val="000000" w:themeColor="text1"/>
          <w14:textFill>
            <w14:solidFill>
              <w14:schemeClr w14:val="tx1"/>
            </w14:solidFill>
          </w14:textFill>
        </w:rPr>
      </w:pPr>
      <w:bookmarkStart w:id="230" w:name="_Toc7473"/>
      <w:r>
        <w:rPr>
          <w:rFonts w:hint="eastAsia"/>
          <w:snapToGrid w:val="0"/>
          <w:color w:val="000000" w:themeColor="text1"/>
          <w14:textFill>
            <w14:solidFill>
              <w14:schemeClr w14:val="tx1"/>
            </w14:solidFill>
          </w14:textFill>
        </w:rPr>
        <w:t>4.2</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地表水环境</w:t>
      </w:r>
      <w:r>
        <w:rPr>
          <w:snapToGrid w:val="0"/>
          <w:color w:val="000000" w:themeColor="text1"/>
          <w14:textFill>
            <w14:solidFill>
              <w14:schemeClr w14:val="tx1"/>
            </w14:solidFill>
          </w14:textFill>
        </w:rPr>
        <w:t>质量现状</w:t>
      </w:r>
      <w:bookmarkEnd w:id="230"/>
    </w:p>
    <w:p w14:paraId="1236EDF1">
      <w:pPr>
        <w:adjustRightInd/>
        <w:snapToGrid/>
        <w:spacing w:line="500" w:lineRule="exact"/>
        <w:rPr>
          <w:rFonts w:hint="eastAsia" w:cs="Times New Roman"/>
          <w:snapToGrid w:val="0"/>
          <w:color w:val="000000" w:themeColor="text1"/>
          <w:kern w:val="0"/>
          <w14:textFill>
            <w14:solidFill>
              <w14:schemeClr w14:val="tx1"/>
            </w14:solidFill>
          </w14:textFill>
        </w:rPr>
      </w:pPr>
      <w:r>
        <w:rPr>
          <w:rFonts w:hint="eastAsia" w:cs="Times New Roman"/>
          <w:snapToGrid w:val="0"/>
          <w:color w:val="000000" w:themeColor="text1"/>
          <w:kern w:val="0"/>
          <w:lang w:val="en-US" w:eastAsia="zh-CN"/>
          <w14:textFill>
            <w14:solidFill>
              <w14:schemeClr w14:val="tx1"/>
            </w14:solidFill>
          </w14:textFill>
        </w:rPr>
        <w:t>八虎力河为倭肯河右岸一级支流，根据《全国重要江河湖泊水功能区划（2011—2030 年）》，八虎力河未划分水功能区，入倭肯河河口所在的水功能二级区为倭肯河依兰县农业用水区（三道岗镇～入松花江河口），水质目标为Ⅳ类。</w:t>
      </w:r>
    </w:p>
    <w:p w14:paraId="201C25D1">
      <w:pPr>
        <w:bidi w:val="0"/>
        <w:rPr>
          <w:rFonts w:hint="eastAsia"/>
          <w:lang w:val="en-US" w:eastAsia="zh-CN"/>
        </w:rPr>
      </w:pPr>
      <w:r>
        <w:rPr>
          <w:rFonts w:hint="eastAsia"/>
          <w:lang w:val="en-US" w:eastAsia="zh-CN"/>
        </w:rPr>
        <w:t>根据《佳木斯市生态环境质量简报（2024年）》可知：2024年，黑龙江佳木斯江段干流及支流共4个断面，Ⅰ-Ⅲ类水质 比例为50.0%，无劣Ⅴ类水质断。</w:t>
      </w:r>
    </w:p>
    <w:p w14:paraId="1C9914F0">
      <w:pPr>
        <w:pStyle w:val="6"/>
        <w:rPr>
          <w:snapToGrid w:val="0"/>
          <w:color w:val="000000" w:themeColor="text1"/>
          <w14:textFill>
            <w14:solidFill>
              <w14:schemeClr w14:val="tx1"/>
            </w14:solidFill>
          </w14:textFill>
        </w:rPr>
      </w:pPr>
      <w:bookmarkStart w:id="231" w:name="_Toc23079"/>
      <w:r>
        <w:rPr>
          <w:rFonts w:hint="eastAsia"/>
          <w:snapToGrid w:val="0"/>
          <w:color w:val="000000" w:themeColor="text1"/>
          <w14:textFill>
            <w14:solidFill>
              <w14:schemeClr w14:val="tx1"/>
            </w14:solidFill>
          </w14:textFill>
        </w:rPr>
        <w:t>4.2.3地下水</w:t>
      </w:r>
      <w:r>
        <w:rPr>
          <w:snapToGrid w:val="0"/>
          <w:color w:val="000000" w:themeColor="text1"/>
          <w14:textFill>
            <w14:solidFill>
              <w14:schemeClr w14:val="tx1"/>
            </w14:solidFill>
          </w14:textFill>
        </w:rPr>
        <w:t>环境质量现状</w:t>
      </w:r>
      <w:bookmarkEnd w:id="231"/>
    </w:p>
    <w:p w14:paraId="3F13C55D">
      <w:pPr>
        <w:pStyle w:val="374"/>
        <w:keepNext w:val="0"/>
        <w:keepLines w:val="0"/>
        <w:pageBreakBefore w:val="0"/>
        <w:widowControl w:val="0"/>
        <w:kinsoku/>
        <w:wordWrap/>
        <w:overflowPunct/>
        <w:topLinePunct w:val="0"/>
        <w:bidi w:val="0"/>
        <w:spacing w:line="360" w:lineRule="auto"/>
        <w:ind w:left="0" w:leftChars="0" w:firstLine="0" w:firstLineChars="0"/>
        <w:jc w:val="both"/>
        <w:textAlignment w:val="auto"/>
        <w:rPr>
          <w:rFonts w:cs="Times New Roman"/>
          <w:color w:val="000000"/>
        </w:rPr>
      </w:pPr>
      <w:bookmarkStart w:id="232" w:name="_Toc453717257"/>
      <w:r>
        <w:rPr>
          <w:rFonts w:cs="Times New Roman"/>
          <w:color w:val="000000"/>
        </w:rPr>
        <w:t>4.</w:t>
      </w:r>
      <w:r>
        <w:rPr>
          <w:rFonts w:hint="eastAsia" w:cs="Times New Roman"/>
          <w:color w:val="000000"/>
          <w:lang w:val="en-US" w:eastAsia="zh-CN"/>
        </w:rPr>
        <w:t>2</w:t>
      </w:r>
      <w:r>
        <w:rPr>
          <w:rFonts w:cs="Times New Roman"/>
          <w:color w:val="000000"/>
        </w:rPr>
        <w:t>.</w:t>
      </w:r>
      <w:r>
        <w:rPr>
          <w:rFonts w:hint="eastAsia" w:cs="Times New Roman"/>
          <w:color w:val="000000"/>
          <w:lang w:val="en-US" w:eastAsia="zh-CN"/>
        </w:rPr>
        <w:t>3</w:t>
      </w:r>
      <w:r>
        <w:rPr>
          <w:rFonts w:cs="Times New Roman"/>
          <w:color w:val="000000"/>
        </w:rPr>
        <w:t>.</w:t>
      </w:r>
      <w:r>
        <w:rPr>
          <w:rFonts w:hint="eastAsia" w:cs="Times New Roman"/>
          <w:color w:val="000000"/>
        </w:rPr>
        <w:t>1</w:t>
      </w:r>
      <w:r>
        <w:rPr>
          <w:rFonts w:cs="Times New Roman"/>
          <w:color w:val="000000"/>
        </w:rPr>
        <w:t xml:space="preserve">  地下水现状监测</w:t>
      </w:r>
    </w:p>
    <w:p w14:paraId="6F7D88B2">
      <w:pPr>
        <w:pStyle w:val="374"/>
        <w:keepNext w:val="0"/>
        <w:keepLines w:val="0"/>
        <w:pageBreakBefore w:val="0"/>
        <w:widowControl w:val="0"/>
        <w:kinsoku/>
        <w:wordWrap/>
        <w:overflowPunct/>
        <w:topLinePunct w:val="0"/>
        <w:bidi w:val="0"/>
        <w:spacing w:line="360" w:lineRule="auto"/>
        <w:jc w:val="both"/>
        <w:textAlignment w:val="auto"/>
        <w:rPr>
          <w:rFonts w:cs="Times New Roman"/>
          <w:color w:val="000000"/>
        </w:rPr>
      </w:pPr>
      <w:r>
        <w:rPr>
          <w:rFonts w:cs="Times New Roman"/>
          <w:color w:val="000000"/>
        </w:rPr>
        <w:t>（1）监测数据来源</w:t>
      </w:r>
    </w:p>
    <w:p w14:paraId="7747B009">
      <w:pPr>
        <w:keepNext w:val="0"/>
        <w:keepLines w:val="0"/>
        <w:pageBreakBefore w:val="0"/>
        <w:widowControl w:val="0"/>
        <w:kinsoku/>
        <w:wordWrap/>
        <w:overflowPunct/>
        <w:topLinePunct w:val="0"/>
        <w:bidi w:val="0"/>
        <w:spacing w:line="360" w:lineRule="auto"/>
        <w:ind w:firstLine="480" w:firstLineChars="200"/>
        <w:textAlignment w:val="auto"/>
        <w:rPr>
          <w:rFonts w:ascii="Times New Roman"/>
          <w:color w:val="000000"/>
        </w:rPr>
      </w:pPr>
      <w:r>
        <w:rPr>
          <w:rFonts w:ascii="Times New Roman"/>
          <w:color w:val="000000"/>
        </w:rPr>
        <w:t>本次评价地下水质量现状监测数据取自</w:t>
      </w:r>
      <w:r>
        <w:rPr>
          <w:rFonts w:hint="eastAsia" w:ascii="Times New Roman"/>
          <w:bCs/>
          <w:color w:val="000000"/>
        </w:rPr>
        <w:t>《</w:t>
      </w:r>
      <w:r>
        <w:rPr>
          <w:rFonts w:hint="eastAsia"/>
          <w:snapToGrid w:val="0"/>
          <w:color w:val="000000" w:themeColor="text1"/>
          <w:kern w:val="0"/>
          <w:lang w:eastAsia="zh-CN"/>
          <w14:textFill>
            <w14:solidFill>
              <w14:schemeClr w14:val="tx1"/>
            </w14:solidFill>
          </w14:textFill>
        </w:rPr>
        <w:t>年产30000吨紫苏精酿啤酒生产线建设项目</w:t>
      </w:r>
      <w:r>
        <w:rPr>
          <w:rFonts w:hint="eastAsia" w:ascii="Times New Roman"/>
          <w:color w:val="000000"/>
          <w:szCs w:val="24"/>
          <w:shd w:val="clear" w:color="auto" w:fill="FFFFFF"/>
        </w:rPr>
        <w:t>环境质量现状监测报告</w:t>
      </w:r>
      <w:r>
        <w:rPr>
          <w:rFonts w:hint="eastAsia" w:ascii="Times New Roman"/>
          <w:bCs/>
          <w:color w:val="000000"/>
        </w:rPr>
        <w:t>》（黑龙江凌霄环境监测有限公司，202</w:t>
      </w:r>
      <w:r>
        <w:rPr>
          <w:rFonts w:hint="eastAsia" w:ascii="Times New Roman"/>
          <w:bCs/>
          <w:color w:val="000000"/>
          <w:lang w:val="en-US" w:eastAsia="zh-CN"/>
        </w:rPr>
        <w:t>6</w:t>
      </w:r>
      <w:r>
        <w:rPr>
          <w:rFonts w:hint="eastAsia" w:ascii="Times New Roman"/>
          <w:bCs/>
          <w:color w:val="000000"/>
        </w:rPr>
        <w:t>年</w:t>
      </w:r>
      <w:r>
        <w:rPr>
          <w:rFonts w:hint="eastAsia" w:ascii="Times New Roman"/>
          <w:bCs/>
          <w:color w:val="000000"/>
          <w:lang w:val="en-US" w:eastAsia="zh-CN"/>
        </w:rPr>
        <w:t>5</w:t>
      </w:r>
      <w:r>
        <w:rPr>
          <w:rFonts w:hint="eastAsia" w:ascii="Times New Roman"/>
          <w:bCs/>
          <w:color w:val="000000"/>
        </w:rPr>
        <w:t>月）</w:t>
      </w:r>
      <w:r>
        <w:rPr>
          <w:rFonts w:ascii="Times New Roman"/>
          <w:color w:val="000000"/>
        </w:rPr>
        <w:t>。</w:t>
      </w:r>
    </w:p>
    <w:p w14:paraId="63CC9E66">
      <w:pPr>
        <w:pStyle w:val="374"/>
        <w:keepNext w:val="0"/>
        <w:keepLines w:val="0"/>
        <w:pageBreakBefore w:val="0"/>
        <w:widowControl w:val="0"/>
        <w:kinsoku/>
        <w:wordWrap/>
        <w:overflowPunct/>
        <w:topLinePunct w:val="0"/>
        <w:bidi w:val="0"/>
        <w:spacing w:line="360" w:lineRule="auto"/>
        <w:jc w:val="both"/>
        <w:textAlignment w:val="auto"/>
        <w:rPr>
          <w:rFonts w:cs="Times New Roman"/>
          <w:color w:val="000000"/>
        </w:rPr>
      </w:pPr>
      <w:r>
        <w:rPr>
          <w:rFonts w:cs="Times New Roman"/>
          <w:color w:val="000000"/>
        </w:rPr>
        <w:t>（2）监测时间与频率</w:t>
      </w:r>
    </w:p>
    <w:p w14:paraId="0BD8D2B1">
      <w:pPr>
        <w:keepNext w:val="0"/>
        <w:keepLines w:val="0"/>
        <w:pageBreakBefore w:val="0"/>
        <w:widowControl w:val="0"/>
        <w:kinsoku/>
        <w:wordWrap/>
        <w:overflowPunct/>
        <w:topLinePunct w:val="0"/>
        <w:autoSpaceDE w:val="0"/>
        <w:autoSpaceDN w:val="0"/>
        <w:bidi w:val="0"/>
        <w:adjustRightInd w:val="0"/>
        <w:spacing w:line="360" w:lineRule="auto"/>
        <w:ind w:firstLine="480"/>
        <w:textAlignment w:val="auto"/>
        <w:rPr>
          <w:rFonts w:ascii="Times New Roman"/>
          <w:color w:val="000000"/>
          <w:lang w:val="zh-CN"/>
        </w:rPr>
      </w:pPr>
      <w:r>
        <w:rPr>
          <w:rFonts w:ascii="Times New Roman"/>
          <w:color w:val="000000"/>
          <w:lang w:val="zh-CN"/>
        </w:rPr>
        <w:t>《环境影响评价技术导则</w:t>
      </w:r>
      <w:r>
        <w:rPr>
          <w:rFonts w:hint="eastAsia" w:ascii="Times New Roman"/>
          <w:color w:val="000000"/>
        </w:rPr>
        <w:t xml:space="preserve">  </w:t>
      </w:r>
      <w:r>
        <w:rPr>
          <w:rFonts w:ascii="Times New Roman"/>
          <w:color w:val="000000"/>
          <w:lang w:val="zh-CN"/>
        </w:rPr>
        <w:t>地下水环境》（HJ610-2016）中表4中的具体要求见表4-</w:t>
      </w:r>
      <w:r>
        <w:rPr>
          <w:rFonts w:hint="eastAsia"/>
          <w:color w:val="000000"/>
          <w:lang w:val="en-US" w:eastAsia="zh-CN"/>
        </w:rPr>
        <w:t>2</w:t>
      </w:r>
      <w:r>
        <w:rPr>
          <w:rFonts w:ascii="Times New Roman"/>
          <w:color w:val="000000"/>
          <w:lang w:val="zh-CN"/>
        </w:rPr>
        <w:t>-</w:t>
      </w:r>
      <w:r>
        <w:rPr>
          <w:rFonts w:hint="eastAsia"/>
          <w:color w:val="000000"/>
          <w:lang w:val="en-US" w:eastAsia="zh-CN"/>
        </w:rPr>
        <w:t>8</w:t>
      </w:r>
      <w:r>
        <w:rPr>
          <w:rFonts w:ascii="Times New Roman"/>
          <w:color w:val="000000"/>
          <w:lang w:val="zh-CN"/>
        </w:rPr>
        <w:t>。</w:t>
      </w:r>
    </w:p>
    <w:p w14:paraId="468AC9B7">
      <w:pPr>
        <w:spacing w:line="360" w:lineRule="auto"/>
        <w:jc w:val="center"/>
        <w:rPr>
          <w:rFonts w:ascii="Times New Roman" w:eastAsia="黑体"/>
          <w:bCs/>
          <w:color w:val="000000"/>
        </w:rPr>
      </w:pPr>
      <w:r>
        <w:rPr>
          <w:rFonts w:ascii="Times New Roman" w:eastAsia="黑体"/>
          <w:bCs/>
          <w:color w:val="000000"/>
        </w:rPr>
        <w:t>表4-</w:t>
      </w:r>
      <w:r>
        <w:rPr>
          <w:rFonts w:hint="eastAsia" w:eastAsia="黑体"/>
          <w:bCs/>
          <w:color w:val="000000"/>
          <w:lang w:val="en-US" w:eastAsia="zh-CN"/>
        </w:rPr>
        <w:t>2-8</w:t>
      </w:r>
      <w:r>
        <w:rPr>
          <w:rFonts w:ascii="Times New Roman" w:eastAsia="黑体"/>
          <w:bCs/>
          <w:color w:val="000000"/>
        </w:rPr>
        <w:t xml:space="preserve"> </w:t>
      </w:r>
      <w:r>
        <w:rPr>
          <w:rFonts w:hint="eastAsia" w:ascii="Times New Roman" w:eastAsia="黑体"/>
          <w:bCs/>
          <w:color w:val="000000"/>
        </w:rPr>
        <w:t xml:space="preserve"> </w:t>
      </w:r>
      <w:r>
        <w:rPr>
          <w:rFonts w:ascii="Times New Roman" w:eastAsia="黑体"/>
          <w:bCs/>
          <w:color w:val="000000"/>
        </w:rPr>
        <w:t>地下水环境现状监测频率参照表</w:t>
      </w:r>
    </w:p>
    <w:tbl>
      <w:tblPr>
        <w:tblStyle w:val="49"/>
        <w:tblW w:w="0" w:type="auto"/>
        <w:tblInd w:w="108" w:type="dxa"/>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157"/>
        <w:gridCol w:w="1063"/>
        <w:gridCol w:w="1063"/>
        <w:gridCol w:w="1157"/>
        <w:gridCol w:w="761"/>
        <w:gridCol w:w="1230"/>
      </w:tblGrid>
      <w:tr w14:paraId="45739095">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14" w:type="dxa"/>
            <w:vMerge w:val="restart"/>
            <w:tcBorders>
              <w:tl2br w:val="single" w:color="000000" w:sz="6" w:space="0"/>
            </w:tcBorders>
            <w:noWrap w:val="0"/>
            <w:vAlign w:val="center"/>
          </w:tcPr>
          <w:p w14:paraId="09C37A8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 xml:space="preserve">  评价等级</w:t>
            </w:r>
          </w:p>
          <w:p w14:paraId="5CA2B0B2">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分布区</w:t>
            </w:r>
          </w:p>
        </w:tc>
        <w:tc>
          <w:tcPr>
            <w:tcW w:w="3283" w:type="dxa"/>
            <w:gridSpan w:val="3"/>
            <w:noWrap w:val="0"/>
            <w:vAlign w:val="center"/>
          </w:tcPr>
          <w:p w14:paraId="43E4676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水位监测频率</w:t>
            </w:r>
          </w:p>
        </w:tc>
        <w:tc>
          <w:tcPr>
            <w:tcW w:w="3148" w:type="dxa"/>
            <w:gridSpan w:val="3"/>
            <w:noWrap w:val="0"/>
            <w:vAlign w:val="center"/>
          </w:tcPr>
          <w:p w14:paraId="622B52DC">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水质监测频率</w:t>
            </w:r>
          </w:p>
        </w:tc>
      </w:tr>
      <w:tr w14:paraId="19FE197C">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8" w:hRule="atLeast"/>
        </w:trPr>
        <w:tc>
          <w:tcPr>
            <w:tcW w:w="1814" w:type="dxa"/>
            <w:vMerge w:val="continue"/>
            <w:noWrap w:val="0"/>
            <w:vAlign w:val="center"/>
          </w:tcPr>
          <w:p w14:paraId="309DAFC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p>
        </w:tc>
        <w:tc>
          <w:tcPr>
            <w:tcW w:w="1157" w:type="dxa"/>
            <w:noWrap w:val="0"/>
            <w:vAlign w:val="center"/>
          </w:tcPr>
          <w:p w14:paraId="6FA69D9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一级</w:t>
            </w:r>
          </w:p>
        </w:tc>
        <w:tc>
          <w:tcPr>
            <w:tcW w:w="1063" w:type="dxa"/>
            <w:noWrap w:val="0"/>
            <w:vAlign w:val="center"/>
          </w:tcPr>
          <w:p w14:paraId="256251F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二级</w:t>
            </w:r>
          </w:p>
        </w:tc>
        <w:tc>
          <w:tcPr>
            <w:tcW w:w="1063" w:type="dxa"/>
            <w:noWrap w:val="0"/>
            <w:vAlign w:val="center"/>
          </w:tcPr>
          <w:p w14:paraId="77C5269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三级（√）</w:t>
            </w:r>
          </w:p>
        </w:tc>
        <w:tc>
          <w:tcPr>
            <w:tcW w:w="1157" w:type="dxa"/>
            <w:noWrap w:val="0"/>
            <w:vAlign w:val="center"/>
          </w:tcPr>
          <w:p w14:paraId="68A9ACE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一级</w:t>
            </w:r>
          </w:p>
        </w:tc>
        <w:tc>
          <w:tcPr>
            <w:tcW w:w="761" w:type="dxa"/>
            <w:noWrap w:val="0"/>
            <w:vAlign w:val="center"/>
          </w:tcPr>
          <w:p w14:paraId="54C8A6C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二级</w:t>
            </w:r>
          </w:p>
        </w:tc>
        <w:tc>
          <w:tcPr>
            <w:tcW w:w="1230" w:type="dxa"/>
            <w:noWrap w:val="0"/>
            <w:vAlign w:val="center"/>
          </w:tcPr>
          <w:p w14:paraId="41C1F57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三级（√）</w:t>
            </w:r>
          </w:p>
        </w:tc>
      </w:tr>
      <w:tr w14:paraId="7A8D755B">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1814" w:type="dxa"/>
            <w:noWrap w:val="0"/>
            <w:vAlign w:val="center"/>
          </w:tcPr>
          <w:p w14:paraId="15CF8C5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山前冲（洪）积</w:t>
            </w:r>
          </w:p>
        </w:tc>
        <w:tc>
          <w:tcPr>
            <w:tcW w:w="1157" w:type="dxa"/>
            <w:noWrap w:val="0"/>
            <w:vAlign w:val="center"/>
          </w:tcPr>
          <w:p w14:paraId="1CE330D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枯平丰</w:t>
            </w:r>
          </w:p>
        </w:tc>
        <w:tc>
          <w:tcPr>
            <w:tcW w:w="1063" w:type="dxa"/>
            <w:noWrap w:val="0"/>
            <w:vAlign w:val="center"/>
          </w:tcPr>
          <w:p w14:paraId="12DE8A9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枯丰</w:t>
            </w:r>
          </w:p>
        </w:tc>
        <w:tc>
          <w:tcPr>
            <w:tcW w:w="1063" w:type="dxa"/>
            <w:noWrap w:val="0"/>
            <w:vAlign w:val="center"/>
          </w:tcPr>
          <w:p w14:paraId="7C06ECB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157" w:type="dxa"/>
            <w:noWrap w:val="0"/>
            <w:vAlign w:val="center"/>
          </w:tcPr>
          <w:p w14:paraId="2EED721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枯丰</w:t>
            </w:r>
          </w:p>
        </w:tc>
        <w:tc>
          <w:tcPr>
            <w:tcW w:w="761" w:type="dxa"/>
            <w:noWrap w:val="0"/>
            <w:vAlign w:val="center"/>
          </w:tcPr>
          <w:p w14:paraId="26E4CCC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w:t>
            </w:r>
          </w:p>
        </w:tc>
        <w:tc>
          <w:tcPr>
            <w:tcW w:w="1230" w:type="dxa"/>
            <w:noWrap w:val="0"/>
            <w:vAlign w:val="center"/>
          </w:tcPr>
          <w:p w14:paraId="01574DE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r>
      <w:tr w14:paraId="1E6073AC">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center"/>
          </w:tcPr>
          <w:p w14:paraId="2DE13E20">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滨海（含填海区）</w:t>
            </w:r>
          </w:p>
        </w:tc>
        <w:tc>
          <w:tcPr>
            <w:tcW w:w="1157" w:type="dxa"/>
            <w:noWrap w:val="0"/>
            <w:vAlign w:val="center"/>
          </w:tcPr>
          <w:p w14:paraId="085D631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二期</w:t>
            </w:r>
          </w:p>
        </w:tc>
        <w:tc>
          <w:tcPr>
            <w:tcW w:w="1063" w:type="dxa"/>
            <w:noWrap w:val="0"/>
            <w:vAlign w:val="center"/>
          </w:tcPr>
          <w:p w14:paraId="3BC8767C">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063" w:type="dxa"/>
            <w:noWrap w:val="0"/>
            <w:vAlign w:val="center"/>
          </w:tcPr>
          <w:p w14:paraId="76BA489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157" w:type="dxa"/>
            <w:noWrap w:val="0"/>
            <w:vAlign w:val="center"/>
          </w:tcPr>
          <w:p w14:paraId="3554718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761" w:type="dxa"/>
            <w:noWrap w:val="0"/>
            <w:vAlign w:val="center"/>
          </w:tcPr>
          <w:p w14:paraId="694A415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230" w:type="dxa"/>
            <w:noWrap w:val="0"/>
            <w:vAlign w:val="center"/>
          </w:tcPr>
          <w:p w14:paraId="1D622A8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r>
      <w:tr w14:paraId="2EC515A6">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center"/>
          </w:tcPr>
          <w:p w14:paraId="77094889">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其他平原区</w:t>
            </w:r>
          </w:p>
        </w:tc>
        <w:tc>
          <w:tcPr>
            <w:tcW w:w="1157" w:type="dxa"/>
            <w:noWrap w:val="0"/>
            <w:vAlign w:val="center"/>
          </w:tcPr>
          <w:p w14:paraId="13ADEDD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枯丰</w:t>
            </w:r>
          </w:p>
        </w:tc>
        <w:tc>
          <w:tcPr>
            <w:tcW w:w="1063" w:type="dxa"/>
            <w:noWrap w:val="0"/>
            <w:vAlign w:val="center"/>
          </w:tcPr>
          <w:p w14:paraId="2829C9B0">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063" w:type="dxa"/>
            <w:noWrap w:val="0"/>
            <w:vAlign w:val="center"/>
          </w:tcPr>
          <w:p w14:paraId="0F07869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157" w:type="dxa"/>
            <w:noWrap w:val="0"/>
            <w:vAlign w:val="center"/>
          </w:tcPr>
          <w:p w14:paraId="1A09D2C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w:t>
            </w:r>
          </w:p>
        </w:tc>
        <w:tc>
          <w:tcPr>
            <w:tcW w:w="761" w:type="dxa"/>
            <w:noWrap w:val="0"/>
            <w:vAlign w:val="center"/>
          </w:tcPr>
          <w:p w14:paraId="56E41A9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230" w:type="dxa"/>
            <w:noWrap w:val="0"/>
            <w:vAlign w:val="center"/>
          </w:tcPr>
          <w:p w14:paraId="2A8C3CF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r>
      <w:tr w14:paraId="0D3604BC">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center"/>
          </w:tcPr>
          <w:p w14:paraId="4F646C7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黄土地区</w:t>
            </w:r>
          </w:p>
        </w:tc>
        <w:tc>
          <w:tcPr>
            <w:tcW w:w="1157" w:type="dxa"/>
            <w:noWrap w:val="0"/>
            <w:vAlign w:val="center"/>
          </w:tcPr>
          <w:p w14:paraId="46A7969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枯平丰</w:t>
            </w:r>
          </w:p>
        </w:tc>
        <w:tc>
          <w:tcPr>
            <w:tcW w:w="1063" w:type="dxa"/>
            <w:noWrap w:val="0"/>
            <w:vAlign w:val="center"/>
          </w:tcPr>
          <w:p w14:paraId="0A79A12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063" w:type="dxa"/>
            <w:noWrap w:val="0"/>
            <w:vAlign w:val="center"/>
          </w:tcPr>
          <w:p w14:paraId="4EACF25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157" w:type="dxa"/>
            <w:noWrap w:val="0"/>
            <w:vAlign w:val="center"/>
          </w:tcPr>
          <w:p w14:paraId="19485AB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二期</w:t>
            </w:r>
          </w:p>
        </w:tc>
        <w:tc>
          <w:tcPr>
            <w:tcW w:w="761" w:type="dxa"/>
            <w:noWrap w:val="0"/>
            <w:vAlign w:val="center"/>
          </w:tcPr>
          <w:p w14:paraId="2E7B8612">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230" w:type="dxa"/>
            <w:noWrap w:val="0"/>
            <w:vAlign w:val="center"/>
          </w:tcPr>
          <w:p w14:paraId="715CE43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r>
      <w:tr w14:paraId="26C9F9D8">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center"/>
          </w:tcPr>
          <w:p w14:paraId="342A39B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沙漠地区</w:t>
            </w:r>
          </w:p>
        </w:tc>
        <w:tc>
          <w:tcPr>
            <w:tcW w:w="1157" w:type="dxa"/>
            <w:noWrap w:val="0"/>
            <w:vAlign w:val="center"/>
          </w:tcPr>
          <w:p w14:paraId="4DEEB140">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枯丰</w:t>
            </w:r>
          </w:p>
        </w:tc>
        <w:tc>
          <w:tcPr>
            <w:tcW w:w="1063" w:type="dxa"/>
            <w:noWrap w:val="0"/>
            <w:vAlign w:val="center"/>
          </w:tcPr>
          <w:p w14:paraId="1C3B924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063" w:type="dxa"/>
            <w:noWrap w:val="0"/>
            <w:vAlign w:val="center"/>
          </w:tcPr>
          <w:p w14:paraId="7508080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157" w:type="dxa"/>
            <w:noWrap w:val="0"/>
            <w:vAlign w:val="center"/>
          </w:tcPr>
          <w:p w14:paraId="1FC922D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761" w:type="dxa"/>
            <w:noWrap w:val="0"/>
            <w:vAlign w:val="center"/>
          </w:tcPr>
          <w:p w14:paraId="048A308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230" w:type="dxa"/>
            <w:noWrap w:val="0"/>
            <w:vAlign w:val="center"/>
          </w:tcPr>
          <w:p w14:paraId="2B5B6BB8">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r>
      <w:tr w14:paraId="4320576C">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center"/>
          </w:tcPr>
          <w:p w14:paraId="1748A27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丘陵山区</w:t>
            </w:r>
          </w:p>
        </w:tc>
        <w:tc>
          <w:tcPr>
            <w:tcW w:w="1157" w:type="dxa"/>
            <w:noWrap w:val="0"/>
            <w:vAlign w:val="center"/>
          </w:tcPr>
          <w:p w14:paraId="040A8B69">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枯丰</w:t>
            </w:r>
          </w:p>
        </w:tc>
        <w:tc>
          <w:tcPr>
            <w:tcW w:w="1063" w:type="dxa"/>
            <w:noWrap w:val="0"/>
            <w:vAlign w:val="center"/>
          </w:tcPr>
          <w:p w14:paraId="0389762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063" w:type="dxa"/>
            <w:noWrap w:val="0"/>
            <w:vAlign w:val="center"/>
          </w:tcPr>
          <w:p w14:paraId="0C83D637">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157" w:type="dxa"/>
            <w:noWrap w:val="0"/>
            <w:vAlign w:val="center"/>
          </w:tcPr>
          <w:p w14:paraId="17F21DD4">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761" w:type="dxa"/>
            <w:noWrap w:val="0"/>
            <w:vAlign w:val="center"/>
          </w:tcPr>
          <w:p w14:paraId="39A522FA">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230" w:type="dxa"/>
            <w:noWrap w:val="0"/>
            <w:vAlign w:val="center"/>
          </w:tcPr>
          <w:p w14:paraId="50BA40A3">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r>
      <w:tr w14:paraId="1230510C">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center"/>
          </w:tcPr>
          <w:p w14:paraId="11298EEC">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岩溶裂隙</w:t>
            </w:r>
          </w:p>
        </w:tc>
        <w:tc>
          <w:tcPr>
            <w:tcW w:w="1157" w:type="dxa"/>
            <w:noWrap w:val="0"/>
            <w:vAlign w:val="center"/>
          </w:tcPr>
          <w:p w14:paraId="384CF13E">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枯丰</w:t>
            </w:r>
          </w:p>
        </w:tc>
        <w:tc>
          <w:tcPr>
            <w:tcW w:w="1063" w:type="dxa"/>
            <w:noWrap w:val="0"/>
            <w:vAlign w:val="center"/>
          </w:tcPr>
          <w:p w14:paraId="2D3CF9E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063" w:type="dxa"/>
            <w:noWrap w:val="0"/>
            <w:vAlign w:val="center"/>
          </w:tcPr>
          <w:p w14:paraId="16B9EC8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157" w:type="dxa"/>
            <w:noWrap w:val="0"/>
            <w:vAlign w:val="center"/>
          </w:tcPr>
          <w:p w14:paraId="524C217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枯丰</w:t>
            </w:r>
          </w:p>
        </w:tc>
        <w:tc>
          <w:tcPr>
            <w:tcW w:w="761" w:type="dxa"/>
            <w:noWrap w:val="0"/>
            <w:vAlign w:val="center"/>
          </w:tcPr>
          <w:p w14:paraId="3073DF1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230" w:type="dxa"/>
            <w:noWrap w:val="0"/>
            <w:vAlign w:val="center"/>
          </w:tcPr>
          <w:p w14:paraId="70E0C0A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r>
      <w:tr w14:paraId="73C47CA4">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center"/>
          </w:tcPr>
          <w:p w14:paraId="077C6216">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岩溶管道</w:t>
            </w:r>
          </w:p>
        </w:tc>
        <w:tc>
          <w:tcPr>
            <w:tcW w:w="1157" w:type="dxa"/>
            <w:noWrap w:val="0"/>
            <w:vAlign w:val="center"/>
          </w:tcPr>
          <w:p w14:paraId="68F185DD">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二期</w:t>
            </w:r>
          </w:p>
        </w:tc>
        <w:tc>
          <w:tcPr>
            <w:tcW w:w="1063" w:type="dxa"/>
            <w:noWrap w:val="0"/>
            <w:vAlign w:val="center"/>
          </w:tcPr>
          <w:p w14:paraId="5E79CA78">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063" w:type="dxa"/>
            <w:noWrap w:val="0"/>
            <w:vAlign w:val="center"/>
          </w:tcPr>
          <w:p w14:paraId="3B05FBCB">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157" w:type="dxa"/>
            <w:noWrap w:val="0"/>
            <w:vAlign w:val="center"/>
          </w:tcPr>
          <w:p w14:paraId="5590519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二期</w:t>
            </w:r>
          </w:p>
        </w:tc>
        <w:tc>
          <w:tcPr>
            <w:tcW w:w="761" w:type="dxa"/>
            <w:noWrap w:val="0"/>
            <w:vAlign w:val="center"/>
          </w:tcPr>
          <w:p w14:paraId="06C1EDE5">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c>
          <w:tcPr>
            <w:tcW w:w="1230" w:type="dxa"/>
            <w:noWrap w:val="0"/>
            <w:vAlign w:val="center"/>
          </w:tcPr>
          <w:p w14:paraId="14A851AF">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一期</w:t>
            </w:r>
          </w:p>
        </w:tc>
      </w:tr>
      <w:tr w14:paraId="40F9D0AB">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245" w:type="dxa"/>
            <w:gridSpan w:val="7"/>
            <w:noWrap w:val="0"/>
            <w:vAlign w:val="center"/>
          </w:tcPr>
          <w:p w14:paraId="18DAC9C1">
            <w:pPr>
              <w:adjustRightInd/>
              <w:snapToGrid/>
              <w:spacing w:line="240" w:lineRule="exact"/>
              <w:ind w:firstLine="0" w:firstLineChars="0"/>
              <w:jc w:val="center"/>
              <w:rPr>
                <w:rFonts w:hint="eastAsia" w:ascii="Times New Roman" w:hAnsi="Times New Roman" w:eastAsia="宋体" w:cs="Times New Roman"/>
                <w:color w:val="000000"/>
                <w:kern w:val="2"/>
                <w:sz w:val="21"/>
                <w:szCs w:val="21"/>
              </w:rPr>
            </w:pPr>
            <w:r>
              <w:rPr>
                <w:rFonts w:hint="eastAsia" w:ascii="Times New Roman" w:hAnsi="Times New Roman" w:eastAsia="宋体" w:cs="Times New Roman"/>
                <w:color w:val="000000"/>
                <w:kern w:val="2"/>
                <w:sz w:val="21"/>
                <w:szCs w:val="21"/>
              </w:rPr>
              <w:t>a “二期”的间隔有明显水位变化，其变化幅度接近年内变幅。</w:t>
            </w:r>
          </w:p>
        </w:tc>
      </w:tr>
    </w:tbl>
    <w:p w14:paraId="2EE658CC">
      <w:pPr>
        <w:adjustRightInd w:val="0"/>
        <w:snapToGrid w:val="0"/>
        <w:spacing w:line="360" w:lineRule="auto"/>
        <w:ind w:firstLine="480" w:firstLineChars="200"/>
        <w:rPr>
          <w:rFonts w:hint="eastAsia" w:ascii="Times New Roman"/>
          <w:color w:val="000000"/>
          <w:lang w:val="zh-CN"/>
        </w:rPr>
      </w:pPr>
      <w:r>
        <w:rPr>
          <w:rFonts w:ascii="Times New Roman"/>
          <w:color w:val="000000"/>
          <w:lang w:val="zh-CN"/>
        </w:rPr>
        <w:t>根据表4-</w:t>
      </w:r>
      <w:r>
        <w:rPr>
          <w:rFonts w:hint="eastAsia" w:ascii="Times New Roman"/>
          <w:color w:val="000000"/>
        </w:rPr>
        <w:t>3</w:t>
      </w:r>
      <w:r>
        <w:rPr>
          <w:rFonts w:ascii="Times New Roman"/>
          <w:color w:val="000000"/>
          <w:lang w:val="zh-CN"/>
        </w:rPr>
        <w:t>-</w:t>
      </w:r>
      <w:r>
        <w:rPr>
          <w:rFonts w:hint="eastAsia" w:ascii="Times New Roman"/>
          <w:color w:val="000000"/>
        </w:rPr>
        <w:t>6</w:t>
      </w:r>
      <w:r>
        <w:rPr>
          <w:rFonts w:ascii="Times New Roman"/>
          <w:color w:val="000000"/>
          <w:lang w:val="zh-CN"/>
        </w:rPr>
        <w:t>要求，本次地下水位</w:t>
      </w:r>
      <w:r>
        <w:rPr>
          <w:rFonts w:hint="eastAsia" w:ascii="Times New Roman"/>
          <w:color w:val="000000"/>
          <w:lang w:val="zh-CN"/>
        </w:rPr>
        <w:t>、水质</w:t>
      </w:r>
      <w:r>
        <w:rPr>
          <w:rFonts w:ascii="Times New Roman"/>
          <w:color w:val="000000"/>
          <w:lang w:val="zh-CN"/>
        </w:rPr>
        <w:t>监测频率</w:t>
      </w:r>
      <w:r>
        <w:rPr>
          <w:rFonts w:hint="eastAsia" w:ascii="Times New Roman"/>
          <w:color w:val="000000"/>
          <w:lang w:val="zh-CN"/>
        </w:rPr>
        <w:t>均</w:t>
      </w:r>
      <w:r>
        <w:rPr>
          <w:rFonts w:ascii="Times New Roman"/>
          <w:color w:val="000000"/>
          <w:lang w:val="zh-CN"/>
        </w:rPr>
        <w:t>为一期</w:t>
      </w:r>
      <w:r>
        <w:rPr>
          <w:rFonts w:hint="eastAsia" w:ascii="Times New Roman"/>
          <w:color w:val="000000"/>
          <w:lang w:val="zh-CN"/>
        </w:rPr>
        <w:t>。</w:t>
      </w:r>
    </w:p>
    <w:p w14:paraId="4551CEEF">
      <w:pPr>
        <w:adjustRightInd w:val="0"/>
        <w:snapToGrid w:val="0"/>
        <w:spacing w:line="360" w:lineRule="auto"/>
        <w:ind w:firstLine="480" w:firstLineChars="200"/>
        <w:rPr>
          <w:rFonts w:ascii="Times New Roman"/>
          <w:color w:val="000000"/>
        </w:rPr>
      </w:pPr>
      <w:r>
        <w:rPr>
          <w:rFonts w:hint="eastAsia" w:ascii="Times New Roman"/>
          <w:color w:val="000000"/>
        </w:rPr>
        <w:t>（3）监测因子</w:t>
      </w:r>
    </w:p>
    <w:p w14:paraId="7584B1AF">
      <w:pPr>
        <w:adjustRightInd w:val="0"/>
        <w:snapToGrid w:val="0"/>
        <w:spacing w:line="360" w:lineRule="auto"/>
        <w:ind w:firstLine="480" w:firstLineChars="200"/>
        <w:rPr>
          <w:rFonts w:hint="eastAsia" w:ascii="Times New Roman"/>
          <w:color w:val="000000"/>
          <w:szCs w:val="24"/>
        </w:rPr>
      </w:pPr>
      <w:r>
        <w:rPr>
          <w:rFonts w:ascii="Times New Roman"/>
          <w:color w:val="000000"/>
          <w:szCs w:val="24"/>
        </w:rPr>
        <w:t>K</w:t>
      </w:r>
      <w:r>
        <w:rPr>
          <w:rFonts w:ascii="Times New Roman"/>
          <w:color w:val="000000"/>
          <w:szCs w:val="24"/>
          <w:vertAlign w:val="superscript"/>
        </w:rPr>
        <w:t>+</w:t>
      </w:r>
      <w:r>
        <w:rPr>
          <w:rFonts w:ascii="Times New Roman"/>
          <w:color w:val="000000"/>
          <w:szCs w:val="24"/>
        </w:rPr>
        <w:t>、Na</w:t>
      </w:r>
      <w:r>
        <w:rPr>
          <w:rFonts w:ascii="Times New Roman"/>
          <w:color w:val="000000"/>
          <w:szCs w:val="24"/>
          <w:vertAlign w:val="superscript"/>
        </w:rPr>
        <w:t>+</w:t>
      </w:r>
      <w:r>
        <w:rPr>
          <w:rFonts w:ascii="Times New Roman"/>
          <w:color w:val="000000"/>
          <w:szCs w:val="24"/>
        </w:rPr>
        <w:t>、Ca</w:t>
      </w:r>
      <w:r>
        <w:rPr>
          <w:rFonts w:ascii="Times New Roman"/>
          <w:color w:val="000000"/>
          <w:szCs w:val="24"/>
          <w:vertAlign w:val="superscript"/>
        </w:rPr>
        <w:t>2+</w:t>
      </w:r>
      <w:r>
        <w:rPr>
          <w:rFonts w:ascii="Times New Roman"/>
          <w:color w:val="000000"/>
          <w:szCs w:val="24"/>
        </w:rPr>
        <w:t>、Mg</w:t>
      </w:r>
      <w:r>
        <w:rPr>
          <w:rFonts w:ascii="Times New Roman"/>
          <w:color w:val="000000"/>
          <w:szCs w:val="24"/>
          <w:vertAlign w:val="superscript"/>
        </w:rPr>
        <w:t>2+</w:t>
      </w:r>
      <w:r>
        <w:rPr>
          <w:rFonts w:ascii="Times New Roman"/>
          <w:color w:val="000000"/>
          <w:szCs w:val="24"/>
        </w:rPr>
        <w:t>、CO</w:t>
      </w:r>
      <w:r>
        <w:rPr>
          <w:rFonts w:ascii="Times New Roman"/>
          <w:color w:val="000000"/>
          <w:szCs w:val="24"/>
          <w:vertAlign w:val="subscript"/>
        </w:rPr>
        <w:t>3</w:t>
      </w:r>
      <w:r>
        <w:rPr>
          <w:rFonts w:ascii="Times New Roman"/>
          <w:color w:val="000000"/>
          <w:szCs w:val="24"/>
          <w:vertAlign w:val="superscript"/>
        </w:rPr>
        <w:t>2-</w:t>
      </w:r>
      <w:r>
        <w:rPr>
          <w:rFonts w:ascii="Times New Roman"/>
          <w:color w:val="000000"/>
          <w:szCs w:val="24"/>
        </w:rPr>
        <w:t>、HCO</w:t>
      </w:r>
      <w:r>
        <w:rPr>
          <w:rFonts w:ascii="Times New Roman"/>
          <w:color w:val="000000"/>
          <w:szCs w:val="24"/>
          <w:vertAlign w:val="subscript"/>
        </w:rPr>
        <w:t>3</w:t>
      </w:r>
      <w:r>
        <w:rPr>
          <w:rFonts w:ascii="Times New Roman"/>
          <w:color w:val="000000"/>
          <w:szCs w:val="24"/>
          <w:vertAlign w:val="superscript"/>
        </w:rPr>
        <w:t>-</w:t>
      </w:r>
      <w:r>
        <w:rPr>
          <w:rFonts w:ascii="Times New Roman"/>
          <w:color w:val="000000"/>
          <w:szCs w:val="24"/>
        </w:rPr>
        <w:t>、Cl</w:t>
      </w:r>
      <w:r>
        <w:rPr>
          <w:rFonts w:ascii="Times New Roman"/>
          <w:color w:val="000000"/>
          <w:szCs w:val="24"/>
          <w:vertAlign w:val="superscript"/>
        </w:rPr>
        <w:t>-</w:t>
      </w:r>
      <w:r>
        <w:rPr>
          <w:rFonts w:ascii="Times New Roman"/>
          <w:color w:val="000000"/>
          <w:szCs w:val="24"/>
        </w:rPr>
        <w:t>、SO</w:t>
      </w:r>
      <w:r>
        <w:rPr>
          <w:rFonts w:ascii="Times New Roman"/>
          <w:color w:val="000000"/>
          <w:szCs w:val="24"/>
          <w:vertAlign w:val="subscript"/>
        </w:rPr>
        <w:t>4</w:t>
      </w:r>
      <w:r>
        <w:rPr>
          <w:rFonts w:ascii="Times New Roman"/>
          <w:color w:val="000000"/>
          <w:szCs w:val="24"/>
          <w:vertAlign w:val="superscript"/>
        </w:rPr>
        <w:t>2-</w:t>
      </w:r>
      <w:r>
        <w:rPr>
          <w:rFonts w:ascii="Times New Roman"/>
          <w:color w:val="000000"/>
          <w:szCs w:val="24"/>
        </w:rPr>
        <w:t>、pH、</w:t>
      </w:r>
      <w:r>
        <w:rPr>
          <w:rFonts w:hint="eastAsia" w:ascii="Times New Roman"/>
          <w:color w:val="000000"/>
          <w:szCs w:val="24"/>
        </w:rPr>
        <w:t>耗氧量</w:t>
      </w:r>
      <w:r>
        <w:rPr>
          <w:rFonts w:ascii="Times New Roman"/>
          <w:color w:val="000000"/>
          <w:szCs w:val="24"/>
        </w:rPr>
        <w:t>、氨氮、总硬度、氯化物、硫酸盐、硝酸盐、亚硝酸盐、铁、锰、总大肠菌群、挥发酚、氰化物、砷、汞、六价铬、铅、氟化物、镉、溶解性总固体、细菌总数</w:t>
      </w:r>
      <w:r>
        <w:rPr>
          <w:rFonts w:hint="eastAsia" w:ascii="Times New Roman"/>
          <w:color w:val="000000"/>
          <w:szCs w:val="24"/>
        </w:rPr>
        <w:t>、石油类。</w:t>
      </w:r>
    </w:p>
    <w:p w14:paraId="14C91B99">
      <w:pPr>
        <w:adjustRightInd w:val="0"/>
        <w:snapToGrid w:val="0"/>
        <w:spacing w:line="360" w:lineRule="auto"/>
        <w:ind w:firstLine="480" w:firstLineChars="200"/>
        <w:rPr>
          <w:rFonts w:ascii="Times New Roman"/>
          <w:color w:val="000000"/>
        </w:rPr>
      </w:pPr>
      <w:r>
        <w:rPr>
          <w:rFonts w:ascii="Times New Roman"/>
          <w:color w:val="000000"/>
        </w:rPr>
        <w:t>（</w:t>
      </w:r>
      <w:r>
        <w:rPr>
          <w:rFonts w:hint="eastAsia" w:ascii="Times New Roman"/>
          <w:color w:val="000000"/>
        </w:rPr>
        <w:t>4</w:t>
      </w:r>
      <w:r>
        <w:rPr>
          <w:rFonts w:ascii="Times New Roman"/>
          <w:color w:val="000000"/>
        </w:rPr>
        <w:t>）监测断面布设</w:t>
      </w:r>
    </w:p>
    <w:p w14:paraId="79DFA144">
      <w:pPr>
        <w:adjustRightInd w:val="0"/>
        <w:snapToGrid w:val="0"/>
        <w:spacing w:line="360" w:lineRule="auto"/>
        <w:ind w:firstLine="480" w:firstLineChars="200"/>
        <w:rPr>
          <w:rFonts w:ascii="Times New Roman"/>
          <w:color w:val="000000"/>
        </w:rPr>
      </w:pPr>
      <w:r>
        <w:rPr>
          <w:rFonts w:hint="eastAsia" w:ascii="Times New Roman"/>
          <w:color w:val="000000"/>
        </w:rPr>
        <w:t>根据本项目地层特征，以及地下水含水层特点和区域水资源开发利用情况，参照《环境影响评价技术导则地下水环境》（HJ610-2016），共布设地下水水质监测点</w:t>
      </w:r>
      <w:r>
        <w:rPr>
          <w:rFonts w:hint="eastAsia" w:ascii="Times New Roman"/>
          <w:color w:val="000000"/>
          <w:lang w:val="en-US" w:eastAsia="zh-CN"/>
        </w:rPr>
        <w:t>3</w:t>
      </w:r>
      <w:r>
        <w:rPr>
          <w:rFonts w:hint="eastAsia" w:ascii="Times New Roman"/>
          <w:color w:val="000000"/>
        </w:rPr>
        <w:t>个，水位监测点</w:t>
      </w:r>
      <w:r>
        <w:rPr>
          <w:rFonts w:hint="eastAsia" w:ascii="Times New Roman"/>
          <w:color w:val="000000"/>
          <w:lang w:val="en-US" w:eastAsia="zh-CN"/>
        </w:rPr>
        <w:t>6</w:t>
      </w:r>
      <w:r>
        <w:rPr>
          <w:rFonts w:hint="eastAsia" w:ascii="Times New Roman"/>
          <w:color w:val="000000"/>
        </w:rPr>
        <w:t>个</w:t>
      </w:r>
      <w:r>
        <w:rPr>
          <w:rFonts w:ascii="Times New Roman"/>
          <w:color w:val="000000"/>
        </w:rPr>
        <w:t>，监测点位置见表</w:t>
      </w:r>
      <w:r>
        <w:rPr>
          <w:rFonts w:ascii="Times New Roman"/>
          <w:color w:val="000000"/>
          <w:lang w:val="zh-CN"/>
        </w:rPr>
        <w:t>4-</w:t>
      </w:r>
      <w:r>
        <w:rPr>
          <w:rFonts w:hint="eastAsia"/>
          <w:color w:val="000000"/>
          <w:lang w:val="en-US" w:eastAsia="zh-CN"/>
        </w:rPr>
        <w:t>2-2</w:t>
      </w:r>
      <w:r>
        <w:rPr>
          <w:rFonts w:ascii="Times New Roman"/>
          <w:color w:val="000000"/>
        </w:rPr>
        <w:t>。</w:t>
      </w:r>
    </w:p>
    <w:p w14:paraId="77360661">
      <w:pPr>
        <w:adjustRightInd w:val="0"/>
        <w:snapToGrid w:val="0"/>
        <w:spacing w:line="360" w:lineRule="auto"/>
        <w:ind w:firstLine="480" w:firstLineChars="200"/>
        <w:rPr>
          <w:rFonts w:ascii="Times New Roman"/>
          <w:color w:val="000000"/>
        </w:rPr>
      </w:pPr>
    </w:p>
    <w:p w14:paraId="164A5398">
      <w:pPr>
        <w:adjustRightInd w:val="0"/>
        <w:snapToGrid w:val="0"/>
        <w:spacing w:line="360" w:lineRule="auto"/>
        <w:ind w:firstLine="480" w:firstLineChars="200"/>
        <w:rPr>
          <w:rFonts w:ascii="Times New Roman"/>
          <w:color w:val="000000"/>
        </w:rPr>
      </w:pPr>
    </w:p>
    <w:p w14:paraId="6E1BAD41">
      <w:pPr>
        <w:adjustRightInd w:val="0"/>
        <w:snapToGrid w:val="0"/>
        <w:spacing w:line="360" w:lineRule="auto"/>
        <w:ind w:firstLine="480" w:firstLineChars="200"/>
        <w:rPr>
          <w:rFonts w:ascii="Times New Roman"/>
          <w:color w:val="000000"/>
        </w:rPr>
      </w:pPr>
    </w:p>
    <w:p w14:paraId="1D9DBC72">
      <w:pPr>
        <w:adjustRightInd w:val="0"/>
        <w:snapToGrid w:val="0"/>
        <w:spacing w:line="360" w:lineRule="auto"/>
        <w:ind w:firstLine="480" w:firstLineChars="200"/>
        <w:rPr>
          <w:rFonts w:ascii="Times New Roman"/>
          <w:color w:val="000000"/>
        </w:rPr>
      </w:pPr>
    </w:p>
    <w:p w14:paraId="1AAB81DE">
      <w:pPr>
        <w:adjustRightInd w:val="0"/>
        <w:snapToGrid w:val="0"/>
        <w:spacing w:line="360" w:lineRule="auto"/>
        <w:ind w:firstLine="480" w:firstLineChars="200"/>
        <w:rPr>
          <w:rFonts w:ascii="Times New Roman"/>
          <w:color w:val="000000"/>
        </w:rPr>
      </w:pPr>
    </w:p>
    <w:p w14:paraId="70AB0B7E">
      <w:pPr>
        <w:adjustRightInd w:val="0"/>
        <w:snapToGrid w:val="0"/>
        <w:spacing w:line="360" w:lineRule="auto"/>
        <w:ind w:firstLine="480" w:firstLineChars="200"/>
        <w:rPr>
          <w:rFonts w:ascii="Times New Roman"/>
          <w:color w:val="000000"/>
        </w:rPr>
      </w:pPr>
    </w:p>
    <w:p w14:paraId="77FBADE8">
      <w:pPr>
        <w:adjustRightInd w:val="0"/>
        <w:snapToGrid w:val="0"/>
        <w:spacing w:line="360" w:lineRule="auto"/>
        <w:ind w:firstLine="480" w:firstLineChars="200"/>
        <w:rPr>
          <w:rFonts w:ascii="Times New Roman"/>
          <w:color w:val="000000"/>
        </w:rPr>
      </w:pPr>
    </w:p>
    <w:p w14:paraId="04F9AF53">
      <w:pPr>
        <w:adjustRightInd w:val="0"/>
        <w:snapToGrid w:val="0"/>
        <w:spacing w:line="360" w:lineRule="auto"/>
        <w:ind w:firstLine="480" w:firstLineChars="200"/>
        <w:rPr>
          <w:rFonts w:ascii="Times New Roman"/>
          <w:color w:val="000000"/>
        </w:rPr>
      </w:pPr>
    </w:p>
    <w:p w14:paraId="1449B3CB">
      <w:pPr>
        <w:adjustRightInd w:val="0"/>
        <w:snapToGrid w:val="0"/>
        <w:spacing w:line="360" w:lineRule="auto"/>
        <w:ind w:firstLine="480" w:firstLineChars="200"/>
        <w:rPr>
          <w:rFonts w:ascii="Times New Roman"/>
          <w:color w:val="000000"/>
        </w:rPr>
      </w:pPr>
    </w:p>
    <w:p w14:paraId="2992FD97">
      <w:pPr>
        <w:adjustRightInd w:val="0"/>
        <w:snapToGrid w:val="0"/>
        <w:spacing w:line="360" w:lineRule="auto"/>
        <w:ind w:firstLine="480" w:firstLineChars="200"/>
        <w:rPr>
          <w:rFonts w:ascii="Times New Roman"/>
          <w:color w:val="000000"/>
        </w:rPr>
      </w:pPr>
    </w:p>
    <w:p w14:paraId="6C4D533A">
      <w:pPr>
        <w:pStyle w:val="2"/>
        <w:rPr>
          <w:rFonts w:ascii="Times New Roman"/>
          <w:color w:val="000000"/>
        </w:rPr>
      </w:pPr>
    </w:p>
    <w:p w14:paraId="59A238C4">
      <w:pPr>
        <w:rPr>
          <w:rFonts w:ascii="Times New Roman"/>
          <w:color w:val="000000"/>
        </w:rPr>
      </w:pPr>
    </w:p>
    <w:p w14:paraId="1D497722">
      <w:pPr>
        <w:pStyle w:val="2"/>
      </w:pPr>
    </w:p>
    <w:p w14:paraId="3FC5D0F6">
      <w:pPr>
        <w:adjustRightInd w:val="0"/>
        <w:snapToGrid w:val="0"/>
        <w:spacing w:line="360" w:lineRule="auto"/>
        <w:ind w:firstLine="480" w:firstLineChars="200"/>
        <w:rPr>
          <w:rFonts w:ascii="Times New Roman"/>
          <w:color w:val="000000"/>
        </w:rPr>
      </w:pPr>
      <w:r>
        <w:drawing>
          <wp:anchor distT="0" distB="0" distL="114300" distR="114300" simplePos="0" relativeHeight="251696128" behindDoc="0" locked="0" layoutInCell="1" allowOverlap="1">
            <wp:simplePos x="0" y="0"/>
            <wp:positionH relativeFrom="column">
              <wp:posOffset>146050</wp:posOffset>
            </wp:positionH>
            <wp:positionV relativeFrom="paragraph">
              <wp:posOffset>106045</wp:posOffset>
            </wp:positionV>
            <wp:extent cx="5272405" cy="3836670"/>
            <wp:effectExtent l="0" t="0" r="4445" b="11430"/>
            <wp:wrapNone/>
            <wp:docPr id="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7"/>
                    <pic:cNvPicPr>
                      <a:picLocks noChangeAspect="1"/>
                    </pic:cNvPicPr>
                  </pic:nvPicPr>
                  <pic:blipFill>
                    <a:blip r:embed="rId112"/>
                    <a:stretch>
                      <a:fillRect/>
                    </a:stretch>
                  </pic:blipFill>
                  <pic:spPr>
                    <a:xfrm>
                      <a:off x="0" y="0"/>
                      <a:ext cx="5272405" cy="3836670"/>
                    </a:xfrm>
                    <a:prstGeom prst="rect">
                      <a:avLst/>
                    </a:prstGeom>
                    <a:noFill/>
                    <a:ln>
                      <a:noFill/>
                    </a:ln>
                  </pic:spPr>
                </pic:pic>
              </a:graphicData>
            </a:graphic>
          </wp:anchor>
        </w:drawing>
      </w:r>
    </w:p>
    <w:p w14:paraId="622C719F">
      <w:pPr>
        <w:spacing w:line="500" w:lineRule="exact"/>
        <w:ind w:firstLine="480" w:firstLineChars="200"/>
        <w:rPr>
          <w:rFonts w:hint="eastAsia" w:ascii="Times New Roman" w:hAnsi="Times New Roman" w:eastAsia="宋体"/>
          <w:color w:val="auto"/>
          <w:highlight w:val="none"/>
        </w:rPr>
      </w:pPr>
    </w:p>
    <w:p w14:paraId="2C9B6CF7">
      <w:pPr>
        <w:spacing w:line="500" w:lineRule="exact"/>
        <w:ind w:firstLine="480" w:firstLineChars="200"/>
        <w:rPr>
          <w:rFonts w:hint="eastAsia" w:ascii="Times New Roman" w:hAnsi="Times New Roman" w:eastAsia="宋体"/>
          <w:color w:val="auto"/>
          <w:highlight w:val="none"/>
        </w:rPr>
      </w:pPr>
    </w:p>
    <w:p w14:paraId="0F17289F">
      <w:pPr>
        <w:spacing w:line="500" w:lineRule="exact"/>
        <w:ind w:firstLine="480" w:firstLineChars="200"/>
        <w:rPr>
          <w:rFonts w:hint="eastAsia" w:ascii="Times New Roman" w:hAnsi="Times New Roman" w:eastAsia="宋体"/>
          <w:color w:val="auto"/>
          <w:highlight w:val="none"/>
        </w:rPr>
      </w:pPr>
    </w:p>
    <w:p w14:paraId="6F5D42B9">
      <w:pPr>
        <w:spacing w:line="500" w:lineRule="exact"/>
        <w:ind w:firstLine="480" w:firstLineChars="200"/>
        <w:rPr>
          <w:rFonts w:hint="eastAsia" w:ascii="Times New Roman" w:hAnsi="Times New Roman" w:eastAsia="宋体"/>
          <w:color w:val="auto"/>
          <w:highlight w:val="none"/>
        </w:rPr>
      </w:pPr>
    </w:p>
    <w:p w14:paraId="13E0D0BC">
      <w:pPr>
        <w:spacing w:line="500" w:lineRule="exact"/>
        <w:ind w:firstLine="480" w:firstLineChars="200"/>
        <w:rPr>
          <w:rFonts w:hint="eastAsia" w:ascii="Times New Roman" w:hAnsi="Times New Roman" w:eastAsia="宋体"/>
          <w:color w:val="auto"/>
          <w:highlight w:val="none"/>
        </w:rPr>
      </w:pPr>
    </w:p>
    <w:p w14:paraId="5310E0DE">
      <w:pPr>
        <w:spacing w:line="500" w:lineRule="exact"/>
        <w:ind w:firstLine="480" w:firstLineChars="200"/>
        <w:rPr>
          <w:rFonts w:hint="eastAsia" w:ascii="Times New Roman" w:hAnsi="Times New Roman" w:eastAsia="宋体"/>
          <w:color w:val="auto"/>
          <w:highlight w:val="none"/>
        </w:rPr>
      </w:pPr>
    </w:p>
    <w:p w14:paraId="380AA68F">
      <w:pPr>
        <w:spacing w:line="500" w:lineRule="exact"/>
        <w:ind w:firstLine="480" w:firstLineChars="200"/>
        <w:rPr>
          <w:rFonts w:hint="eastAsia" w:ascii="Times New Roman" w:hAnsi="Times New Roman" w:eastAsia="宋体"/>
          <w:color w:val="auto"/>
          <w:highlight w:val="none"/>
        </w:rPr>
      </w:pPr>
    </w:p>
    <w:p w14:paraId="3D03918A">
      <w:pPr>
        <w:spacing w:line="500" w:lineRule="exact"/>
        <w:ind w:firstLine="480" w:firstLineChars="200"/>
        <w:rPr>
          <w:rFonts w:hint="eastAsia" w:ascii="Times New Roman" w:hAnsi="Times New Roman" w:eastAsia="宋体"/>
          <w:color w:val="auto"/>
          <w:highlight w:val="none"/>
        </w:rPr>
      </w:pPr>
    </w:p>
    <w:p w14:paraId="62F4C6E0">
      <w:pPr>
        <w:spacing w:line="500" w:lineRule="exact"/>
        <w:ind w:firstLine="480" w:firstLineChars="200"/>
        <w:rPr>
          <w:rFonts w:hint="eastAsia" w:ascii="Times New Roman" w:hAnsi="Times New Roman" w:eastAsia="宋体"/>
          <w:color w:val="auto"/>
          <w:highlight w:val="none"/>
        </w:rPr>
      </w:pPr>
    </w:p>
    <w:p w14:paraId="31784425">
      <w:pPr>
        <w:spacing w:line="500" w:lineRule="exact"/>
        <w:ind w:firstLine="480" w:firstLineChars="200"/>
        <w:rPr>
          <w:rFonts w:hint="eastAsia" w:ascii="Times New Roman" w:hAnsi="Times New Roman" w:eastAsia="宋体"/>
          <w:color w:val="auto"/>
          <w:highlight w:val="none"/>
        </w:rPr>
      </w:pPr>
    </w:p>
    <w:p w14:paraId="24A1FBAF">
      <w:pPr>
        <w:spacing w:line="500" w:lineRule="exact"/>
        <w:ind w:firstLine="480" w:firstLineChars="200"/>
        <w:rPr>
          <w:rFonts w:hint="eastAsia" w:ascii="Times New Roman" w:hAnsi="Times New Roman" w:eastAsia="宋体"/>
          <w:color w:val="auto"/>
          <w:highlight w:val="none"/>
        </w:rPr>
      </w:pPr>
    </w:p>
    <w:p w14:paraId="050B6076">
      <w:pPr>
        <w:spacing w:line="360" w:lineRule="auto"/>
        <w:jc w:val="center"/>
        <w:rPr>
          <w:rFonts w:hint="eastAsia" w:ascii="Times New Roman" w:eastAsia="黑体"/>
          <w:bCs/>
          <w:color w:val="000000"/>
        </w:rPr>
      </w:pPr>
    </w:p>
    <w:p w14:paraId="71F63FDE">
      <w:pPr>
        <w:spacing w:line="360" w:lineRule="auto"/>
        <w:jc w:val="center"/>
        <w:rPr>
          <w:rFonts w:hint="eastAsia" w:ascii="Times New Roman" w:eastAsia="黑体"/>
          <w:bCs/>
          <w:color w:val="000000"/>
        </w:rPr>
      </w:pPr>
      <w:r>
        <w:rPr>
          <w:rFonts w:hint="eastAsia" w:ascii="Times New Roman" w:eastAsia="黑体"/>
          <w:bCs/>
          <w:color w:val="000000"/>
        </w:rPr>
        <w:t>图4-</w:t>
      </w:r>
      <w:r>
        <w:rPr>
          <w:rFonts w:hint="eastAsia" w:eastAsia="黑体"/>
          <w:bCs/>
          <w:color w:val="000000"/>
          <w:lang w:val="en-US" w:eastAsia="zh-CN"/>
        </w:rPr>
        <w:t>2-2</w:t>
      </w:r>
      <w:r>
        <w:rPr>
          <w:rFonts w:hint="eastAsia" w:ascii="Times New Roman" w:eastAsia="黑体"/>
          <w:bCs/>
          <w:color w:val="000000"/>
        </w:rPr>
        <w:t xml:space="preserve">  地下水监测点位图</w:t>
      </w:r>
    </w:p>
    <w:p w14:paraId="6BE39004">
      <w:pPr>
        <w:spacing w:line="360" w:lineRule="auto"/>
        <w:jc w:val="center"/>
        <w:rPr>
          <w:rFonts w:ascii="Times New Roman" w:eastAsia="黑体"/>
          <w:bCs/>
          <w:color w:val="000000"/>
        </w:rPr>
      </w:pPr>
      <w:r>
        <w:rPr>
          <w:rFonts w:ascii="Times New Roman" w:eastAsia="黑体"/>
          <w:bCs/>
          <w:color w:val="000000"/>
        </w:rPr>
        <w:t>表</w:t>
      </w:r>
      <w:r>
        <w:rPr>
          <w:rFonts w:ascii="Times New Roman" w:eastAsia="黑体"/>
          <w:bCs/>
          <w:color w:val="000000"/>
          <w:lang w:val="zh-CN"/>
        </w:rPr>
        <w:t>4-</w:t>
      </w:r>
      <w:r>
        <w:rPr>
          <w:rFonts w:hint="eastAsia" w:eastAsia="黑体"/>
          <w:bCs/>
          <w:color w:val="000000"/>
          <w:lang w:val="en-US" w:eastAsia="zh-CN"/>
        </w:rPr>
        <w:t>2-10</w:t>
      </w:r>
      <w:r>
        <w:rPr>
          <w:rFonts w:hint="eastAsia" w:ascii="Times New Roman" w:eastAsia="黑体"/>
          <w:bCs/>
          <w:color w:val="000000"/>
        </w:rPr>
        <w:t xml:space="preserve">  </w:t>
      </w:r>
      <w:r>
        <w:rPr>
          <w:rFonts w:ascii="Times New Roman" w:eastAsia="黑体"/>
          <w:bCs/>
          <w:color w:val="000000"/>
        </w:rPr>
        <w:t>地下水调查监测点一览表</w:t>
      </w:r>
    </w:p>
    <w:tbl>
      <w:tblPr>
        <w:tblStyle w:val="49"/>
        <w:tblW w:w="4817" w:type="pct"/>
        <w:jc w:val="center"/>
        <w:tblLayout w:type="fixed"/>
        <w:tblCellMar>
          <w:top w:w="0" w:type="dxa"/>
          <w:left w:w="0" w:type="dxa"/>
          <w:bottom w:w="0" w:type="dxa"/>
          <w:right w:w="0" w:type="dxa"/>
        </w:tblCellMar>
      </w:tblPr>
      <w:tblGrid>
        <w:gridCol w:w="1232"/>
        <w:gridCol w:w="707"/>
        <w:gridCol w:w="1729"/>
        <w:gridCol w:w="1377"/>
        <w:gridCol w:w="972"/>
        <w:gridCol w:w="1007"/>
        <w:gridCol w:w="983"/>
      </w:tblGrid>
      <w:tr w14:paraId="4CC3AAA6">
        <w:tblPrEx>
          <w:tblCellMar>
            <w:top w:w="0" w:type="dxa"/>
            <w:left w:w="0" w:type="dxa"/>
            <w:bottom w:w="0" w:type="dxa"/>
            <w:right w:w="0" w:type="dxa"/>
          </w:tblCellMar>
        </w:tblPrEx>
        <w:trPr>
          <w:trHeight w:val="447" w:hRule="atLeast"/>
          <w:jc w:val="center"/>
        </w:trPr>
        <w:tc>
          <w:tcPr>
            <w:tcW w:w="769" w:type="pct"/>
            <w:tcBorders>
              <w:top w:val="single" w:color="000000" w:sz="12" w:space="0"/>
              <w:left w:val="nil"/>
              <w:bottom w:val="single" w:color="000000" w:sz="4" w:space="0"/>
              <w:right w:val="single" w:color="000000" w:sz="4" w:space="0"/>
            </w:tcBorders>
            <w:noWrap/>
            <w:tcMar>
              <w:top w:w="15" w:type="dxa"/>
              <w:left w:w="15" w:type="dxa"/>
              <w:right w:w="15" w:type="dxa"/>
            </w:tcMar>
            <w:vAlign w:val="center"/>
          </w:tcPr>
          <w:p w14:paraId="35FAC9F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s="宋体"/>
                <w:color w:val="000000"/>
                <w:sz w:val="21"/>
                <w:szCs w:val="21"/>
                <w:lang w:bidi="ar"/>
              </w:rPr>
              <w:t>监测点类型</w:t>
            </w:r>
          </w:p>
        </w:tc>
        <w:tc>
          <w:tcPr>
            <w:tcW w:w="441" w:type="pct"/>
            <w:tcBorders>
              <w:top w:val="single" w:color="000000" w:sz="12" w:space="0"/>
              <w:left w:val="single" w:color="000000" w:sz="4" w:space="0"/>
              <w:bottom w:val="single" w:color="000000" w:sz="4" w:space="0"/>
              <w:right w:val="single" w:color="000000" w:sz="4" w:space="0"/>
            </w:tcBorders>
            <w:noWrap/>
            <w:tcMar>
              <w:top w:w="15" w:type="dxa"/>
              <w:left w:w="15" w:type="dxa"/>
              <w:right w:w="15" w:type="dxa"/>
            </w:tcMar>
            <w:vAlign w:val="center"/>
          </w:tcPr>
          <w:p w14:paraId="4FCB9F91">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s="宋体"/>
                <w:color w:val="000000"/>
                <w:sz w:val="21"/>
                <w:szCs w:val="21"/>
                <w:lang w:bidi="ar"/>
              </w:rPr>
              <w:t>编号</w:t>
            </w:r>
          </w:p>
        </w:tc>
        <w:tc>
          <w:tcPr>
            <w:tcW w:w="1079" w:type="pct"/>
            <w:tcBorders>
              <w:top w:val="single" w:color="000000" w:sz="12" w:space="0"/>
              <w:left w:val="single" w:color="000000" w:sz="4" w:space="0"/>
              <w:bottom w:val="single" w:color="000000" w:sz="4" w:space="0"/>
              <w:right w:val="single" w:color="000000" w:sz="4" w:space="0"/>
            </w:tcBorders>
            <w:noWrap/>
            <w:tcMar>
              <w:top w:w="15" w:type="dxa"/>
              <w:left w:w="15" w:type="dxa"/>
              <w:right w:w="15" w:type="dxa"/>
            </w:tcMar>
            <w:vAlign w:val="center"/>
          </w:tcPr>
          <w:p w14:paraId="48592A8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s="宋体"/>
                <w:color w:val="000000"/>
                <w:sz w:val="21"/>
                <w:szCs w:val="21"/>
                <w:lang w:bidi="ar"/>
              </w:rPr>
              <w:t>监测井功能</w:t>
            </w:r>
          </w:p>
        </w:tc>
        <w:tc>
          <w:tcPr>
            <w:tcW w:w="859" w:type="pct"/>
            <w:tcBorders>
              <w:top w:val="single" w:color="000000" w:sz="12" w:space="0"/>
              <w:left w:val="single" w:color="000000" w:sz="4" w:space="0"/>
              <w:bottom w:val="single" w:color="000000" w:sz="4" w:space="0"/>
              <w:right w:val="nil"/>
            </w:tcBorders>
            <w:noWrap/>
            <w:tcMar>
              <w:top w:w="15" w:type="dxa"/>
              <w:left w:w="15" w:type="dxa"/>
              <w:right w:w="15" w:type="dxa"/>
            </w:tcMar>
            <w:vAlign w:val="center"/>
          </w:tcPr>
          <w:p w14:paraId="39FF3C59">
            <w:pPr>
              <w:pStyle w:val="2"/>
              <w:keepNext w:val="0"/>
              <w:keepLines w:val="0"/>
              <w:pageBreakBefore w:val="0"/>
              <w:kinsoku/>
              <w:wordWrap/>
              <w:overflowPunct/>
              <w:topLinePunct w:val="0"/>
              <w:bidi w:val="0"/>
              <w:adjustRightInd w:val="0"/>
              <w:spacing w:line="240" w:lineRule="auto"/>
              <w:ind w:firstLine="0" w:firstLineChars="0"/>
              <w:jc w:val="center"/>
              <w:rPr>
                <w:rFonts w:ascii="Times New Roman" w:hAnsi="Times New Roman"/>
                <w:color w:val="000000"/>
                <w:sz w:val="21"/>
                <w:szCs w:val="21"/>
              </w:rPr>
            </w:pPr>
            <w:r>
              <w:rPr>
                <w:rFonts w:ascii="Times New Roman" w:hAnsi="Times New Roman"/>
                <w:color w:val="000000"/>
                <w:sz w:val="21"/>
                <w:szCs w:val="21"/>
              </w:rPr>
              <w:t>水位</w:t>
            </w:r>
          </w:p>
          <w:p w14:paraId="7B2DBDFB">
            <w:pPr>
              <w:pStyle w:val="2"/>
              <w:keepNext w:val="0"/>
              <w:keepLines w:val="0"/>
              <w:pageBreakBefore w:val="0"/>
              <w:kinsoku/>
              <w:wordWrap/>
              <w:overflowPunct/>
              <w:topLinePunct w:val="0"/>
              <w:bidi w:val="0"/>
              <w:adjustRightInd w:val="0"/>
              <w:spacing w:line="240" w:lineRule="auto"/>
              <w:ind w:firstLine="0" w:firstLineChars="0"/>
              <w:jc w:val="center"/>
              <w:rPr>
                <w:rFonts w:hint="eastAsia" w:ascii="Times New Roman" w:cs="宋体"/>
                <w:color w:val="000000"/>
                <w:sz w:val="21"/>
                <w:szCs w:val="21"/>
                <w:lang w:bidi="ar"/>
              </w:rPr>
            </w:pPr>
            <w:r>
              <w:rPr>
                <w:rFonts w:ascii="Times New Roman" w:hAnsi="Times New Roman"/>
                <w:color w:val="000000"/>
                <w:sz w:val="21"/>
                <w:szCs w:val="21"/>
              </w:rPr>
              <w:t>埋深</w:t>
            </w:r>
            <w:r>
              <w:rPr>
                <w:rFonts w:hint="eastAsia" w:ascii="Times New Roman" w:hAnsi="Times New Roman"/>
                <w:color w:val="000000"/>
                <w:sz w:val="21"/>
                <w:szCs w:val="21"/>
              </w:rPr>
              <w:t>（m）</w:t>
            </w:r>
          </w:p>
        </w:tc>
        <w:tc>
          <w:tcPr>
            <w:tcW w:w="607" w:type="pct"/>
            <w:tcBorders>
              <w:top w:val="single" w:color="000000" w:sz="12" w:space="0"/>
              <w:left w:val="single" w:color="000000" w:sz="4" w:space="0"/>
              <w:bottom w:val="single" w:color="000000" w:sz="4" w:space="0"/>
              <w:right w:val="nil"/>
            </w:tcBorders>
            <w:noWrap/>
            <w:tcMar>
              <w:top w:w="15" w:type="dxa"/>
              <w:left w:w="15" w:type="dxa"/>
              <w:right w:w="15" w:type="dxa"/>
            </w:tcMar>
            <w:vAlign w:val="center"/>
          </w:tcPr>
          <w:p w14:paraId="347E8057">
            <w:pPr>
              <w:pStyle w:val="2"/>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hAnsi="Times New Roman"/>
                <w:color w:val="000000"/>
                <w:sz w:val="21"/>
                <w:szCs w:val="21"/>
              </w:rPr>
              <w:t>井深（m）</w:t>
            </w:r>
          </w:p>
        </w:tc>
        <w:tc>
          <w:tcPr>
            <w:tcW w:w="628" w:type="pct"/>
            <w:tcBorders>
              <w:top w:val="single" w:color="000000" w:sz="12" w:space="0"/>
              <w:left w:val="single" w:color="000000" w:sz="4" w:space="0"/>
              <w:bottom w:val="single" w:color="000000" w:sz="4" w:space="0"/>
              <w:right w:val="nil"/>
            </w:tcBorders>
            <w:noWrap/>
            <w:tcMar>
              <w:top w:w="15" w:type="dxa"/>
              <w:left w:w="15" w:type="dxa"/>
              <w:right w:w="15" w:type="dxa"/>
            </w:tcMar>
            <w:vAlign w:val="center"/>
          </w:tcPr>
          <w:p w14:paraId="6DEDCB57">
            <w:pPr>
              <w:pStyle w:val="2"/>
              <w:keepNext w:val="0"/>
              <w:keepLines w:val="0"/>
              <w:pageBreakBefore w:val="0"/>
              <w:kinsoku/>
              <w:wordWrap/>
              <w:overflowPunct/>
              <w:topLinePunct w:val="0"/>
              <w:bidi w:val="0"/>
              <w:adjustRightInd w:val="0"/>
              <w:spacing w:line="240" w:lineRule="auto"/>
              <w:ind w:firstLine="0" w:firstLineChars="0"/>
              <w:jc w:val="center"/>
              <w:rPr>
                <w:rFonts w:hint="eastAsia"/>
                <w:color w:val="000000"/>
                <w:szCs w:val="21"/>
                <w:lang w:bidi="ar"/>
              </w:rPr>
            </w:pPr>
            <w:r>
              <w:rPr>
                <w:rFonts w:ascii="Times New Roman" w:hAnsi="Times New Roman"/>
                <w:color w:val="000000"/>
                <w:sz w:val="21"/>
                <w:szCs w:val="21"/>
              </w:rPr>
              <w:t>水位（m）</w:t>
            </w:r>
          </w:p>
        </w:tc>
        <w:tc>
          <w:tcPr>
            <w:tcW w:w="613" w:type="pct"/>
            <w:tcBorders>
              <w:top w:val="single" w:color="000000" w:sz="12" w:space="0"/>
              <w:left w:val="single" w:color="000000" w:sz="4" w:space="0"/>
              <w:bottom w:val="single" w:color="000000" w:sz="4" w:space="0"/>
              <w:right w:val="nil"/>
            </w:tcBorders>
            <w:noWrap/>
            <w:tcMar>
              <w:top w:w="15" w:type="dxa"/>
              <w:left w:w="15" w:type="dxa"/>
              <w:right w:w="15" w:type="dxa"/>
            </w:tcMar>
            <w:vAlign w:val="center"/>
          </w:tcPr>
          <w:p w14:paraId="583CCD0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cs="宋体"/>
                <w:color w:val="000000"/>
                <w:sz w:val="21"/>
                <w:szCs w:val="21"/>
                <w:lang w:bidi="ar"/>
              </w:rPr>
            </w:pPr>
            <w:r>
              <w:rPr>
                <w:rFonts w:hint="eastAsia" w:ascii="Times New Roman" w:cs="宋体"/>
                <w:color w:val="000000"/>
                <w:sz w:val="21"/>
                <w:szCs w:val="21"/>
                <w:lang w:bidi="ar"/>
              </w:rPr>
              <w:t>监测层位</w:t>
            </w:r>
          </w:p>
        </w:tc>
      </w:tr>
      <w:tr w14:paraId="53D1C520">
        <w:tblPrEx>
          <w:tblCellMar>
            <w:top w:w="0" w:type="dxa"/>
            <w:left w:w="0" w:type="dxa"/>
            <w:bottom w:w="0" w:type="dxa"/>
            <w:right w:w="0" w:type="dxa"/>
          </w:tblCellMar>
        </w:tblPrEx>
        <w:trPr>
          <w:trHeight w:val="404" w:hRule="atLeast"/>
          <w:jc w:val="center"/>
        </w:trPr>
        <w:tc>
          <w:tcPr>
            <w:tcW w:w="769" w:type="pct"/>
            <w:vMerge w:val="restart"/>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1A49A525">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s="宋体"/>
                <w:color w:val="000000"/>
                <w:sz w:val="21"/>
                <w:szCs w:val="21"/>
                <w:lang w:bidi="ar"/>
              </w:rPr>
              <w:t>地下水水质、水位监测点</w:t>
            </w:r>
          </w:p>
        </w:tc>
        <w:tc>
          <w:tcPr>
            <w:tcW w:w="44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4ACD28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olor w:val="000000"/>
                <w:sz w:val="21"/>
                <w:szCs w:val="21"/>
                <w:lang w:bidi="ar"/>
              </w:rPr>
              <w:t>1#</w:t>
            </w:r>
          </w:p>
        </w:tc>
        <w:tc>
          <w:tcPr>
            <w:tcW w:w="107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E3722AF">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color w:val="000000"/>
                <w:sz w:val="21"/>
                <w:szCs w:val="21"/>
              </w:rPr>
              <w:t>灌溉水井</w:t>
            </w:r>
          </w:p>
        </w:tc>
        <w:tc>
          <w:tcPr>
            <w:tcW w:w="859"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3EF3F39B">
            <w:pPr>
              <w:keepNext w:val="0"/>
              <w:keepLines w:val="0"/>
              <w:pageBreakBefore w:val="0"/>
              <w:kinsoku/>
              <w:wordWrap/>
              <w:overflowPunct/>
              <w:topLinePunct w:val="0"/>
              <w:bidi w:val="0"/>
              <w:adjustRightInd w:val="0"/>
              <w:spacing w:line="240" w:lineRule="auto"/>
              <w:ind w:firstLine="0" w:firstLineChars="0"/>
              <w:jc w:val="center"/>
              <w:rPr>
                <w:rFonts w:ascii="Times New Roman" w:cs="宋体"/>
                <w:color w:val="000000"/>
                <w:sz w:val="21"/>
                <w:szCs w:val="21"/>
                <w:lang w:bidi="ar"/>
              </w:rPr>
            </w:pPr>
            <w:r>
              <w:rPr>
                <w:rFonts w:ascii="Times New Roman"/>
                <w:color w:val="000000"/>
                <w:sz w:val="21"/>
                <w:szCs w:val="21"/>
              </w:rPr>
              <w:t>4.2</w:t>
            </w:r>
          </w:p>
        </w:tc>
        <w:tc>
          <w:tcPr>
            <w:tcW w:w="607"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7B570AF2">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r>
              <w:rPr>
                <w:rFonts w:ascii="Times New Roman"/>
                <w:color w:val="000000"/>
                <w:sz w:val="21"/>
                <w:szCs w:val="21"/>
              </w:rPr>
              <w:t>20</w:t>
            </w:r>
          </w:p>
        </w:tc>
        <w:tc>
          <w:tcPr>
            <w:tcW w:w="628"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7203E75F">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r>
              <w:rPr>
                <w:rFonts w:hint="eastAsia" w:ascii="Times New Roman"/>
                <w:color w:val="000000"/>
                <w:sz w:val="21"/>
                <w:szCs w:val="21"/>
              </w:rPr>
              <w:t>291.8</w:t>
            </w:r>
          </w:p>
        </w:tc>
        <w:tc>
          <w:tcPr>
            <w:tcW w:w="613"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5D04342D">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cs="宋体"/>
                <w:color w:val="000000"/>
                <w:sz w:val="21"/>
                <w:szCs w:val="21"/>
                <w:lang w:bidi="ar"/>
              </w:rPr>
            </w:pPr>
            <w:r>
              <w:rPr>
                <w:rFonts w:hint="eastAsia" w:ascii="Times New Roman"/>
                <w:color w:val="000000"/>
                <w:sz w:val="21"/>
                <w:szCs w:val="21"/>
              </w:rPr>
              <w:t>潜水</w:t>
            </w:r>
          </w:p>
        </w:tc>
      </w:tr>
      <w:tr w14:paraId="0DC0D887">
        <w:tblPrEx>
          <w:tblCellMar>
            <w:top w:w="0" w:type="dxa"/>
            <w:left w:w="0" w:type="dxa"/>
            <w:bottom w:w="0" w:type="dxa"/>
            <w:right w:w="0" w:type="dxa"/>
          </w:tblCellMar>
        </w:tblPrEx>
        <w:trPr>
          <w:trHeight w:val="404" w:hRule="atLeast"/>
          <w:jc w:val="center"/>
        </w:trPr>
        <w:tc>
          <w:tcPr>
            <w:tcW w:w="769" w:type="pct"/>
            <w:vMerge w:val="continue"/>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6C5AC971">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p>
        </w:tc>
        <w:tc>
          <w:tcPr>
            <w:tcW w:w="44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80F532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olor w:val="000000"/>
                <w:sz w:val="21"/>
                <w:szCs w:val="21"/>
                <w:lang w:bidi="ar"/>
              </w:rPr>
              <w:t>2#</w:t>
            </w:r>
          </w:p>
        </w:tc>
        <w:tc>
          <w:tcPr>
            <w:tcW w:w="107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457CB65">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hint="eastAsia" w:ascii="Times New Roman"/>
                <w:color w:val="000000"/>
                <w:sz w:val="21"/>
                <w:szCs w:val="21"/>
              </w:rPr>
              <w:t>闲置</w:t>
            </w:r>
            <w:r>
              <w:rPr>
                <w:rFonts w:ascii="Times New Roman"/>
                <w:color w:val="000000"/>
                <w:sz w:val="21"/>
                <w:szCs w:val="21"/>
              </w:rPr>
              <w:t>水井</w:t>
            </w:r>
          </w:p>
        </w:tc>
        <w:tc>
          <w:tcPr>
            <w:tcW w:w="859"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481FF6FE">
            <w:pPr>
              <w:keepNext w:val="0"/>
              <w:keepLines w:val="0"/>
              <w:pageBreakBefore w:val="0"/>
              <w:kinsoku/>
              <w:wordWrap/>
              <w:overflowPunct/>
              <w:topLinePunct w:val="0"/>
              <w:bidi w:val="0"/>
              <w:adjustRightInd w:val="0"/>
              <w:spacing w:line="240" w:lineRule="auto"/>
              <w:ind w:firstLine="0" w:firstLineChars="0"/>
              <w:jc w:val="center"/>
              <w:rPr>
                <w:rFonts w:cs="宋体"/>
                <w:color w:val="000000"/>
                <w:sz w:val="21"/>
                <w:szCs w:val="21"/>
                <w:lang w:bidi="ar"/>
              </w:rPr>
            </w:pPr>
            <w:r>
              <w:rPr>
                <w:rFonts w:ascii="Times New Roman"/>
                <w:color w:val="000000"/>
                <w:sz w:val="21"/>
                <w:szCs w:val="21"/>
              </w:rPr>
              <w:t>6.7</w:t>
            </w:r>
          </w:p>
        </w:tc>
        <w:tc>
          <w:tcPr>
            <w:tcW w:w="607"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3C12E5E0">
            <w:pPr>
              <w:keepNext w:val="0"/>
              <w:keepLines w:val="0"/>
              <w:pageBreakBefore w:val="0"/>
              <w:kinsoku/>
              <w:wordWrap/>
              <w:overflowPunct/>
              <w:topLinePunct w:val="0"/>
              <w:bidi w:val="0"/>
              <w:adjustRightInd w:val="0"/>
              <w:spacing w:line="240" w:lineRule="auto"/>
              <w:ind w:firstLine="0" w:firstLineChars="0"/>
              <w:jc w:val="center"/>
              <w:rPr>
                <w:color w:val="000000"/>
                <w:sz w:val="21"/>
                <w:szCs w:val="21"/>
              </w:rPr>
            </w:pPr>
            <w:r>
              <w:rPr>
                <w:rFonts w:ascii="Times New Roman"/>
                <w:color w:val="000000"/>
                <w:sz w:val="21"/>
                <w:szCs w:val="21"/>
              </w:rPr>
              <w:t>18</w:t>
            </w:r>
          </w:p>
        </w:tc>
        <w:tc>
          <w:tcPr>
            <w:tcW w:w="628"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005AF301">
            <w:pPr>
              <w:keepNext w:val="0"/>
              <w:keepLines w:val="0"/>
              <w:pageBreakBefore w:val="0"/>
              <w:kinsoku/>
              <w:wordWrap/>
              <w:overflowPunct/>
              <w:topLinePunct w:val="0"/>
              <w:bidi w:val="0"/>
              <w:adjustRightInd w:val="0"/>
              <w:spacing w:line="240" w:lineRule="auto"/>
              <w:ind w:firstLine="0" w:firstLineChars="0"/>
              <w:jc w:val="center"/>
              <w:rPr>
                <w:rFonts w:hint="eastAsia" w:eastAsia="仿宋_GB2312"/>
                <w:color w:val="000000"/>
                <w:sz w:val="21"/>
                <w:szCs w:val="21"/>
              </w:rPr>
            </w:pPr>
            <w:r>
              <w:rPr>
                <w:rFonts w:ascii="Times New Roman"/>
                <w:color w:val="000000"/>
                <w:sz w:val="21"/>
                <w:szCs w:val="21"/>
              </w:rPr>
              <w:t>288.8</w:t>
            </w:r>
          </w:p>
        </w:tc>
        <w:tc>
          <w:tcPr>
            <w:tcW w:w="613"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32FBC5B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color w:val="000000"/>
                <w:sz w:val="21"/>
                <w:szCs w:val="21"/>
              </w:rPr>
            </w:pPr>
            <w:r>
              <w:rPr>
                <w:rFonts w:hint="eastAsia" w:ascii="Times New Roman"/>
                <w:color w:val="000000"/>
                <w:sz w:val="21"/>
                <w:szCs w:val="21"/>
              </w:rPr>
              <w:t>潜水</w:t>
            </w:r>
          </w:p>
        </w:tc>
      </w:tr>
      <w:tr w14:paraId="57464722">
        <w:tblPrEx>
          <w:tblCellMar>
            <w:top w:w="0" w:type="dxa"/>
            <w:left w:w="0" w:type="dxa"/>
            <w:bottom w:w="0" w:type="dxa"/>
            <w:right w:w="0" w:type="dxa"/>
          </w:tblCellMar>
        </w:tblPrEx>
        <w:trPr>
          <w:trHeight w:val="379" w:hRule="atLeast"/>
          <w:jc w:val="center"/>
        </w:trPr>
        <w:tc>
          <w:tcPr>
            <w:tcW w:w="769" w:type="pct"/>
            <w:vMerge w:val="continue"/>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1AA83A15">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p>
        </w:tc>
        <w:tc>
          <w:tcPr>
            <w:tcW w:w="44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67679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olor w:val="000000"/>
                <w:sz w:val="21"/>
                <w:szCs w:val="21"/>
                <w:lang w:bidi="ar"/>
              </w:rPr>
              <w:t>3#</w:t>
            </w:r>
          </w:p>
        </w:tc>
        <w:tc>
          <w:tcPr>
            <w:tcW w:w="107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49CDC25">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hint="eastAsia" w:ascii="Times New Roman"/>
                <w:color w:val="000000"/>
                <w:sz w:val="21"/>
                <w:szCs w:val="21"/>
                <w:lang w:val="en-US" w:eastAsia="zh-CN"/>
              </w:rPr>
              <w:t>闲置灌溉</w:t>
            </w:r>
            <w:r>
              <w:rPr>
                <w:rFonts w:ascii="Times New Roman"/>
                <w:color w:val="000000"/>
                <w:sz w:val="21"/>
                <w:szCs w:val="21"/>
              </w:rPr>
              <w:t>井</w:t>
            </w:r>
          </w:p>
        </w:tc>
        <w:tc>
          <w:tcPr>
            <w:tcW w:w="859"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1D60C299">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s="宋体"/>
                <w:color w:val="000000"/>
                <w:sz w:val="21"/>
                <w:szCs w:val="21"/>
                <w:lang w:bidi="ar"/>
              </w:rPr>
            </w:pPr>
            <w:r>
              <w:rPr>
                <w:rFonts w:ascii="Times New Roman"/>
                <w:color w:val="000000"/>
                <w:sz w:val="21"/>
                <w:szCs w:val="21"/>
              </w:rPr>
              <w:t>3.7</w:t>
            </w:r>
          </w:p>
        </w:tc>
        <w:tc>
          <w:tcPr>
            <w:tcW w:w="607"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5B023456">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color w:val="000000"/>
                <w:sz w:val="21"/>
                <w:szCs w:val="21"/>
              </w:rPr>
              <w:t>15</w:t>
            </w:r>
          </w:p>
        </w:tc>
        <w:tc>
          <w:tcPr>
            <w:tcW w:w="628"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791EF439">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r>
              <w:rPr>
                <w:rFonts w:ascii="Times New Roman"/>
                <w:color w:val="000000"/>
                <w:sz w:val="21"/>
                <w:szCs w:val="21"/>
              </w:rPr>
              <w:t>268.1</w:t>
            </w:r>
          </w:p>
        </w:tc>
        <w:tc>
          <w:tcPr>
            <w:tcW w:w="613"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60D66D7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color w:val="000000"/>
                <w:sz w:val="21"/>
                <w:szCs w:val="21"/>
              </w:rPr>
            </w:pPr>
            <w:r>
              <w:rPr>
                <w:rFonts w:hint="eastAsia" w:ascii="Times New Roman"/>
                <w:color w:val="000000"/>
                <w:sz w:val="21"/>
                <w:szCs w:val="21"/>
              </w:rPr>
              <w:t>潜水</w:t>
            </w:r>
          </w:p>
        </w:tc>
      </w:tr>
      <w:tr w14:paraId="4ADFDBD1">
        <w:tblPrEx>
          <w:tblCellMar>
            <w:top w:w="0" w:type="dxa"/>
            <w:left w:w="0" w:type="dxa"/>
            <w:bottom w:w="0" w:type="dxa"/>
            <w:right w:w="0" w:type="dxa"/>
          </w:tblCellMar>
        </w:tblPrEx>
        <w:trPr>
          <w:trHeight w:val="366" w:hRule="atLeast"/>
          <w:jc w:val="center"/>
        </w:trPr>
        <w:tc>
          <w:tcPr>
            <w:tcW w:w="769" w:type="pct"/>
            <w:vMerge w:val="restart"/>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0F69332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s="宋体"/>
                <w:color w:val="000000"/>
                <w:sz w:val="21"/>
                <w:szCs w:val="21"/>
                <w:lang w:bidi="ar"/>
              </w:rPr>
              <w:t>地下水水位监测点</w:t>
            </w:r>
          </w:p>
        </w:tc>
        <w:tc>
          <w:tcPr>
            <w:tcW w:w="44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77464A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olor w:val="000000"/>
                <w:sz w:val="21"/>
                <w:szCs w:val="21"/>
                <w:lang w:bidi="ar"/>
              </w:rPr>
              <w:t>5#</w:t>
            </w:r>
          </w:p>
        </w:tc>
        <w:tc>
          <w:tcPr>
            <w:tcW w:w="107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2F15D1">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color w:val="000000"/>
                <w:sz w:val="21"/>
                <w:szCs w:val="21"/>
              </w:rPr>
              <w:t>灌溉水井</w:t>
            </w:r>
          </w:p>
        </w:tc>
        <w:tc>
          <w:tcPr>
            <w:tcW w:w="859"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4185792B">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color w:val="000000"/>
                <w:sz w:val="21"/>
                <w:szCs w:val="21"/>
              </w:rPr>
              <w:t>11.9</w:t>
            </w:r>
          </w:p>
        </w:tc>
        <w:tc>
          <w:tcPr>
            <w:tcW w:w="607"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3BC2A8DB">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r>
              <w:rPr>
                <w:rFonts w:ascii="Times New Roman"/>
                <w:color w:val="000000"/>
                <w:sz w:val="21"/>
                <w:szCs w:val="21"/>
              </w:rPr>
              <w:t>68</w:t>
            </w:r>
          </w:p>
        </w:tc>
        <w:tc>
          <w:tcPr>
            <w:tcW w:w="628"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37053378">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color w:val="000000"/>
                <w:sz w:val="21"/>
                <w:szCs w:val="21"/>
              </w:rPr>
              <w:t>240.2</w:t>
            </w:r>
          </w:p>
        </w:tc>
        <w:tc>
          <w:tcPr>
            <w:tcW w:w="613"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023B52F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color w:val="000000"/>
                <w:sz w:val="21"/>
                <w:szCs w:val="21"/>
              </w:rPr>
            </w:pPr>
            <w:r>
              <w:rPr>
                <w:rFonts w:hint="eastAsia" w:ascii="Times New Roman"/>
                <w:color w:val="000000"/>
                <w:sz w:val="21"/>
                <w:szCs w:val="21"/>
              </w:rPr>
              <w:t>承压水</w:t>
            </w:r>
          </w:p>
        </w:tc>
      </w:tr>
      <w:tr w14:paraId="6DC2B3DB">
        <w:tblPrEx>
          <w:tblCellMar>
            <w:top w:w="0" w:type="dxa"/>
            <w:left w:w="0" w:type="dxa"/>
            <w:bottom w:w="0" w:type="dxa"/>
            <w:right w:w="0" w:type="dxa"/>
          </w:tblCellMar>
        </w:tblPrEx>
        <w:trPr>
          <w:trHeight w:val="416" w:hRule="atLeast"/>
          <w:jc w:val="center"/>
        </w:trPr>
        <w:tc>
          <w:tcPr>
            <w:tcW w:w="769" w:type="pct"/>
            <w:vMerge w:val="continue"/>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251BBCF7">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p>
        </w:tc>
        <w:tc>
          <w:tcPr>
            <w:tcW w:w="44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C2486F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olor w:val="000000"/>
                <w:sz w:val="21"/>
                <w:szCs w:val="21"/>
                <w:lang w:bidi="ar"/>
              </w:rPr>
              <w:t>6#</w:t>
            </w:r>
          </w:p>
        </w:tc>
        <w:tc>
          <w:tcPr>
            <w:tcW w:w="107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95781CE">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color w:val="000000"/>
                <w:sz w:val="21"/>
                <w:szCs w:val="21"/>
              </w:rPr>
              <w:t>灌溉水井</w:t>
            </w:r>
          </w:p>
        </w:tc>
        <w:tc>
          <w:tcPr>
            <w:tcW w:w="859"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7AEFECBB">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color w:val="000000"/>
                <w:sz w:val="21"/>
                <w:szCs w:val="21"/>
              </w:rPr>
              <w:t>8.9</w:t>
            </w:r>
          </w:p>
        </w:tc>
        <w:tc>
          <w:tcPr>
            <w:tcW w:w="607"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31E6CB8A">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r>
              <w:rPr>
                <w:rFonts w:ascii="Times New Roman"/>
                <w:color w:val="000000"/>
                <w:sz w:val="21"/>
                <w:szCs w:val="21"/>
              </w:rPr>
              <w:t>18</w:t>
            </w:r>
          </w:p>
        </w:tc>
        <w:tc>
          <w:tcPr>
            <w:tcW w:w="628"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66765C36">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r>
              <w:rPr>
                <w:rFonts w:ascii="Times New Roman"/>
                <w:color w:val="000000"/>
                <w:sz w:val="21"/>
                <w:szCs w:val="21"/>
              </w:rPr>
              <w:t>309.8</w:t>
            </w:r>
          </w:p>
        </w:tc>
        <w:tc>
          <w:tcPr>
            <w:tcW w:w="613"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7932EF9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color w:val="000000"/>
                <w:sz w:val="21"/>
                <w:szCs w:val="21"/>
              </w:rPr>
            </w:pPr>
            <w:r>
              <w:rPr>
                <w:rFonts w:hint="eastAsia" w:ascii="Times New Roman"/>
                <w:color w:val="000000"/>
                <w:sz w:val="21"/>
                <w:szCs w:val="21"/>
              </w:rPr>
              <w:t>潜水</w:t>
            </w:r>
          </w:p>
        </w:tc>
      </w:tr>
      <w:tr w14:paraId="591DAB2B">
        <w:tblPrEx>
          <w:tblCellMar>
            <w:top w:w="0" w:type="dxa"/>
            <w:left w:w="0" w:type="dxa"/>
            <w:bottom w:w="0" w:type="dxa"/>
            <w:right w:w="0" w:type="dxa"/>
          </w:tblCellMar>
        </w:tblPrEx>
        <w:trPr>
          <w:trHeight w:val="429" w:hRule="atLeast"/>
          <w:jc w:val="center"/>
        </w:trPr>
        <w:tc>
          <w:tcPr>
            <w:tcW w:w="769" w:type="pct"/>
            <w:vMerge w:val="continue"/>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4FB3841E">
            <w:pPr>
              <w:keepNext w:val="0"/>
              <w:keepLines w:val="0"/>
              <w:pageBreakBefore w:val="0"/>
              <w:kinsoku/>
              <w:wordWrap/>
              <w:overflowPunct/>
              <w:topLinePunct w:val="0"/>
              <w:bidi w:val="0"/>
              <w:adjustRightInd w:val="0"/>
              <w:spacing w:line="240" w:lineRule="auto"/>
              <w:ind w:firstLine="0" w:firstLineChars="0"/>
              <w:jc w:val="center"/>
              <w:rPr>
                <w:rFonts w:ascii="Times New Roman"/>
                <w:color w:val="000000"/>
                <w:sz w:val="21"/>
                <w:szCs w:val="21"/>
              </w:rPr>
            </w:pPr>
          </w:p>
        </w:tc>
        <w:tc>
          <w:tcPr>
            <w:tcW w:w="44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D61D34D">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ascii="Times New Roman"/>
                <w:color w:val="000000"/>
                <w:sz w:val="21"/>
                <w:szCs w:val="21"/>
              </w:rPr>
            </w:pPr>
            <w:r>
              <w:rPr>
                <w:rFonts w:hint="eastAsia" w:ascii="Times New Roman"/>
                <w:color w:val="000000"/>
                <w:sz w:val="21"/>
                <w:szCs w:val="21"/>
                <w:lang w:bidi="ar"/>
              </w:rPr>
              <w:t>7#</w:t>
            </w:r>
          </w:p>
        </w:tc>
        <w:tc>
          <w:tcPr>
            <w:tcW w:w="1079"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BCD7E91">
            <w:pPr>
              <w:keepNext w:val="0"/>
              <w:keepLines w:val="0"/>
              <w:pageBreakBefore w:val="0"/>
              <w:kinsoku/>
              <w:wordWrap/>
              <w:overflowPunct/>
              <w:topLinePunct w:val="0"/>
              <w:bidi w:val="0"/>
              <w:adjustRightInd w:val="0"/>
              <w:spacing w:line="240" w:lineRule="auto"/>
              <w:ind w:firstLine="0" w:firstLineChars="0"/>
              <w:jc w:val="center"/>
              <w:rPr>
                <w:rFonts w:hint="eastAsia" w:ascii="Times New Roman"/>
                <w:color w:val="000000"/>
                <w:sz w:val="21"/>
                <w:szCs w:val="21"/>
              </w:rPr>
            </w:pPr>
            <w:r>
              <w:rPr>
                <w:rFonts w:ascii="Times New Roman"/>
                <w:color w:val="000000"/>
                <w:sz w:val="21"/>
                <w:szCs w:val="21"/>
              </w:rPr>
              <w:t>灌溉水井</w:t>
            </w:r>
          </w:p>
        </w:tc>
        <w:tc>
          <w:tcPr>
            <w:tcW w:w="859"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0E45D9C7">
            <w:pPr>
              <w:keepNext w:val="0"/>
              <w:keepLines w:val="0"/>
              <w:pageBreakBefore w:val="0"/>
              <w:kinsoku/>
              <w:wordWrap/>
              <w:overflowPunct/>
              <w:topLinePunct w:val="0"/>
              <w:bidi w:val="0"/>
              <w:adjustRightInd w:val="0"/>
              <w:spacing w:line="240" w:lineRule="auto"/>
              <w:ind w:firstLine="0" w:firstLineChars="0"/>
              <w:jc w:val="center"/>
              <w:rPr>
                <w:rFonts w:hint="eastAsia"/>
                <w:color w:val="000000"/>
                <w:sz w:val="21"/>
                <w:szCs w:val="21"/>
              </w:rPr>
            </w:pPr>
            <w:r>
              <w:rPr>
                <w:rFonts w:ascii="Times New Roman"/>
                <w:color w:val="000000"/>
                <w:sz w:val="21"/>
                <w:szCs w:val="21"/>
              </w:rPr>
              <w:t>12.4</w:t>
            </w:r>
          </w:p>
        </w:tc>
        <w:tc>
          <w:tcPr>
            <w:tcW w:w="607"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0205594D">
            <w:pPr>
              <w:keepNext w:val="0"/>
              <w:keepLines w:val="0"/>
              <w:pageBreakBefore w:val="0"/>
              <w:kinsoku/>
              <w:wordWrap/>
              <w:overflowPunct/>
              <w:topLinePunct w:val="0"/>
              <w:bidi w:val="0"/>
              <w:adjustRightInd w:val="0"/>
              <w:spacing w:line="240" w:lineRule="auto"/>
              <w:ind w:firstLine="0" w:firstLineChars="0"/>
              <w:jc w:val="center"/>
              <w:rPr>
                <w:color w:val="000000"/>
                <w:sz w:val="21"/>
                <w:szCs w:val="21"/>
              </w:rPr>
            </w:pPr>
            <w:r>
              <w:rPr>
                <w:rFonts w:ascii="Times New Roman"/>
                <w:color w:val="000000"/>
                <w:sz w:val="21"/>
                <w:szCs w:val="21"/>
              </w:rPr>
              <w:t>16</w:t>
            </w:r>
          </w:p>
        </w:tc>
        <w:tc>
          <w:tcPr>
            <w:tcW w:w="628"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7876D149">
            <w:pPr>
              <w:keepNext w:val="0"/>
              <w:keepLines w:val="0"/>
              <w:pageBreakBefore w:val="0"/>
              <w:kinsoku/>
              <w:wordWrap/>
              <w:overflowPunct/>
              <w:topLinePunct w:val="0"/>
              <w:bidi w:val="0"/>
              <w:adjustRightInd w:val="0"/>
              <w:spacing w:line="240" w:lineRule="auto"/>
              <w:ind w:firstLine="0" w:firstLineChars="0"/>
              <w:jc w:val="center"/>
              <w:rPr>
                <w:rFonts w:hint="eastAsia"/>
                <w:color w:val="000000"/>
                <w:sz w:val="21"/>
                <w:szCs w:val="21"/>
              </w:rPr>
            </w:pPr>
            <w:r>
              <w:rPr>
                <w:rFonts w:ascii="Times New Roman"/>
                <w:color w:val="000000"/>
                <w:sz w:val="21"/>
                <w:szCs w:val="21"/>
              </w:rPr>
              <w:t>288.8</w:t>
            </w:r>
          </w:p>
        </w:tc>
        <w:tc>
          <w:tcPr>
            <w:tcW w:w="613" w:type="pct"/>
            <w:tcBorders>
              <w:top w:val="single" w:color="000000" w:sz="4" w:space="0"/>
              <w:left w:val="single" w:color="000000" w:sz="4" w:space="0"/>
              <w:bottom w:val="single" w:color="000000" w:sz="4" w:space="0"/>
              <w:right w:val="nil"/>
            </w:tcBorders>
            <w:noWrap/>
            <w:tcMar>
              <w:top w:w="15" w:type="dxa"/>
              <w:left w:w="15" w:type="dxa"/>
              <w:right w:w="15" w:type="dxa"/>
            </w:tcMar>
            <w:vAlign w:val="center"/>
          </w:tcPr>
          <w:p w14:paraId="247523C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color w:val="000000"/>
                <w:sz w:val="21"/>
                <w:szCs w:val="21"/>
              </w:rPr>
            </w:pPr>
            <w:r>
              <w:rPr>
                <w:rFonts w:hint="eastAsia" w:ascii="Times New Roman"/>
                <w:color w:val="000000"/>
                <w:sz w:val="21"/>
                <w:szCs w:val="21"/>
              </w:rPr>
              <w:t>潜水</w:t>
            </w:r>
          </w:p>
        </w:tc>
      </w:tr>
    </w:tbl>
    <w:p w14:paraId="0CF322A4">
      <w:pPr>
        <w:adjustRightInd w:val="0"/>
        <w:snapToGrid w:val="0"/>
        <w:spacing w:line="360" w:lineRule="auto"/>
        <w:ind w:firstLine="480" w:firstLineChars="200"/>
        <w:rPr>
          <w:rFonts w:hint="eastAsia" w:ascii="Times New Roman"/>
          <w:color w:val="000000"/>
        </w:rPr>
      </w:pPr>
      <w:r>
        <w:rPr>
          <w:rFonts w:ascii="Times New Roman"/>
          <w:color w:val="000000"/>
        </w:rPr>
        <w:t>（</w:t>
      </w:r>
      <w:r>
        <w:rPr>
          <w:rFonts w:hint="eastAsia" w:ascii="Times New Roman"/>
          <w:color w:val="000000"/>
        </w:rPr>
        <w:t>5</w:t>
      </w:r>
      <w:r>
        <w:rPr>
          <w:rFonts w:ascii="Times New Roman"/>
          <w:color w:val="000000"/>
        </w:rPr>
        <w:t>）监测</w:t>
      </w:r>
      <w:r>
        <w:rPr>
          <w:rFonts w:hint="eastAsia" w:ascii="Times New Roman"/>
          <w:color w:val="000000"/>
        </w:rPr>
        <w:t>方法</w:t>
      </w:r>
    </w:p>
    <w:p w14:paraId="104C3952">
      <w:pPr>
        <w:spacing w:line="360" w:lineRule="auto"/>
        <w:ind w:firstLine="480" w:firstLineChars="200"/>
        <w:rPr>
          <w:rFonts w:hint="eastAsia" w:ascii="Times New Roman" w:eastAsia="黑体"/>
          <w:color w:val="000000"/>
        </w:rPr>
      </w:pPr>
      <w:r>
        <w:rPr>
          <w:rFonts w:ascii="Times New Roman"/>
          <w:color w:val="000000"/>
        </w:rPr>
        <w:t>水质检测方法见表4-</w:t>
      </w:r>
      <w:r>
        <w:rPr>
          <w:rFonts w:hint="eastAsia"/>
          <w:color w:val="000000"/>
          <w:lang w:val="en-US" w:eastAsia="zh-CN"/>
        </w:rPr>
        <w:t>2-11</w:t>
      </w:r>
      <w:r>
        <w:rPr>
          <w:rFonts w:ascii="Times New Roman"/>
          <w:color w:val="000000"/>
        </w:rPr>
        <w:t>。</w:t>
      </w:r>
    </w:p>
    <w:p w14:paraId="7F76E0BB">
      <w:pPr>
        <w:spacing w:line="360" w:lineRule="auto"/>
        <w:jc w:val="center"/>
        <w:rPr>
          <w:rFonts w:ascii="Times New Roman" w:eastAsia="黑体"/>
          <w:bCs/>
          <w:color w:val="000000"/>
        </w:rPr>
      </w:pPr>
      <w:r>
        <w:rPr>
          <w:rFonts w:ascii="Times New Roman" w:eastAsia="黑体"/>
          <w:bCs/>
          <w:color w:val="000000"/>
        </w:rPr>
        <w:t>表</w:t>
      </w:r>
      <w:r>
        <w:rPr>
          <w:rFonts w:ascii="Times New Roman" w:eastAsia="黑体"/>
          <w:bCs/>
          <w:color w:val="000000"/>
          <w:lang w:val="zh-CN"/>
        </w:rPr>
        <w:t>4-</w:t>
      </w:r>
      <w:r>
        <w:rPr>
          <w:rFonts w:hint="eastAsia" w:eastAsia="黑体"/>
          <w:bCs/>
          <w:color w:val="000000"/>
          <w:lang w:val="en-US" w:eastAsia="zh-CN"/>
        </w:rPr>
        <w:t>2-11</w:t>
      </w:r>
      <w:r>
        <w:rPr>
          <w:rFonts w:ascii="Times New Roman" w:eastAsia="黑体"/>
          <w:bCs/>
          <w:color w:val="000000"/>
        </w:rPr>
        <w:t xml:space="preserve">  </w:t>
      </w:r>
      <w:r>
        <w:rPr>
          <w:rFonts w:hint="eastAsia" w:ascii="Times New Roman" w:eastAsia="黑体"/>
          <w:bCs/>
          <w:color w:val="000000"/>
        </w:rPr>
        <w:t>水质</w:t>
      </w:r>
      <w:r>
        <w:rPr>
          <w:rFonts w:ascii="Times New Roman" w:eastAsia="黑体"/>
          <w:bCs/>
          <w:color w:val="000000"/>
        </w:rPr>
        <w:t>检测项目与分析方法</w:t>
      </w:r>
    </w:p>
    <w:tbl>
      <w:tblPr>
        <w:tblStyle w:val="49"/>
        <w:tblW w:w="4998" w:type="pct"/>
        <w:tblInd w:w="0" w:type="dxa"/>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666"/>
        <w:gridCol w:w="975"/>
        <w:gridCol w:w="2499"/>
        <w:gridCol w:w="1631"/>
        <w:gridCol w:w="1224"/>
        <w:gridCol w:w="1314"/>
      </w:tblGrid>
      <w:tr w14:paraId="570EBCC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restart"/>
            <w:shd w:val="clear" w:color="auto" w:fill="auto"/>
            <w:vAlign w:val="center"/>
          </w:tcPr>
          <w:p w14:paraId="0A32EB95">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eastAsia="zh-CN" w:bidi="ar"/>
              </w:rPr>
              <w:t>地下水</w:t>
            </w:r>
          </w:p>
        </w:tc>
        <w:tc>
          <w:tcPr>
            <w:tcW w:w="596" w:type="pct"/>
            <w:shd w:val="clear" w:color="auto" w:fill="auto"/>
            <w:vAlign w:val="center"/>
          </w:tcPr>
          <w:p w14:paraId="4F8F652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bidi="ar"/>
              </w:rPr>
              <w:t>pH值</w:t>
            </w:r>
          </w:p>
        </w:tc>
        <w:tc>
          <w:tcPr>
            <w:tcW w:w="1512" w:type="pct"/>
            <w:shd w:val="clear" w:color="auto" w:fill="auto"/>
            <w:vAlign w:val="center"/>
          </w:tcPr>
          <w:p w14:paraId="3E3F782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 xml:space="preserve">水质 </w:t>
            </w:r>
            <w:r>
              <w:rPr>
                <w:rFonts w:hint="default" w:ascii="Times New Roman" w:hAnsi="Times New Roman" w:eastAsia="宋体" w:cs="宋体"/>
                <w:color w:val="000000"/>
                <w:sz w:val="21"/>
                <w:szCs w:val="21"/>
                <w:lang w:bidi="ar"/>
              </w:rPr>
              <w:t>pH值</w:t>
            </w:r>
            <w:r>
              <w:rPr>
                <w:rFonts w:hint="eastAsia" w:ascii="Times New Roman" w:hAnsi="Times New Roman" w:eastAsia="宋体" w:cs="宋体"/>
                <w:color w:val="000000"/>
                <w:sz w:val="21"/>
                <w:szCs w:val="21"/>
                <w:lang w:eastAsia="zh-CN" w:bidi="ar"/>
              </w:rPr>
              <w:t>的测定</w:t>
            </w:r>
            <w:r>
              <w:rPr>
                <w:rFonts w:hint="eastAsia" w:ascii="Times New Roman" w:hAnsi="Times New Roman" w:eastAsia="宋体" w:cs="宋体"/>
                <w:color w:val="000000"/>
                <w:sz w:val="21"/>
                <w:szCs w:val="21"/>
                <w:lang w:val="en-US" w:eastAsia="zh-CN" w:bidi="ar"/>
              </w:rPr>
              <w:t xml:space="preserve"> 电极法 </w:t>
            </w:r>
          </w:p>
          <w:p w14:paraId="5A0B5C95">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eastAsia" w:ascii="Times New Roman" w:hAnsi="Times New Roman" w:eastAsia="宋体" w:cs="宋体"/>
                <w:color w:val="000000"/>
                <w:sz w:val="21"/>
                <w:szCs w:val="21"/>
                <w:lang w:val="en-US" w:eastAsia="zh-CN" w:bidi="ar"/>
              </w:rPr>
              <w:t>HJ 1147-2020</w:t>
            </w:r>
          </w:p>
        </w:tc>
        <w:tc>
          <w:tcPr>
            <w:tcW w:w="990" w:type="pct"/>
            <w:shd w:val="clear" w:color="auto" w:fill="auto"/>
            <w:vAlign w:val="center"/>
          </w:tcPr>
          <w:p w14:paraId="3F8D5A85">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eastAsia" w:ascii="Times New Roman" w:hAnsi="Times New Roman" w:eastAsia="宋体" w:cs="宋体"/>
                <w:color w:val="000000"/>
                <w:sz w:val="21"/>
                <w:szCs w:val="21"/>
                <w:lang w:val="en-US" w:eastAsia="zh-CN" w:bidi="ar"/>
              </w:rPr>
              <w:t>笔式酸度计</w:t>
            </w:r>
          </w:p>
        </w:tc>
        <w:tc>
          <w:tcPr>
            <w:tcW w:w="690" w:type="pct"/>
            <w:shd w:val="clear" w:color="auto" w:fill="auto"/>
            <w:vAlign w:val="center"/>
          </w:tcPr>
          <w:p w14:paraId="594C770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val="en-US" w:eastAsia="zh-CN" w:bidi="ar"/>
              </w:rPr>
              <w:t>PH</w:t>
            </w:r>
            <w:r>
              <w:rPr>
                <w:rFonts w:hint="eastAsia" w:ascii="Times New Roman" w:hAnsi="Times New Roman" w:eastAsia="宋体" w:cs="宋体"/>
                <w:color w:val="000000"/>
                <w:sz w:val="21"/>
                <w:szCs w:val="21"/>
                <w:lang w:val="en-US" w:eastAsia="zh-CN" w:bidi="ar"/>
              </w:rPr>
              <w:t>-100</w:t>
            </w:r>
          </w:p>
        </w:tc>
        <w:tc>
          <w:tcPr>
            <w:tcW w:w="799" w:type="pct"/>
            <w:shd w:val="clear" w:color="auto" w:fill="auto"/>
            <w:vAlign w:val="center"/>
          </w:tcPr>
          <w:p w14:paraId="5E8B1C8D">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bidi="ar"/>
              </w:rPr>
            </w:pPr>
            <w:r>
              <w:rPr>
                <w:rFonts w:hint="default" w:ascii="Times New Roman" w:hAnsi="Times New Roman" w:eastAsia="宋体" w:cs="宋体"/>
                <w:color w:val="000000"/>
                <w:sz w:val="21"/>
                <w:szCs w:val="21"/>
                <w:lang w:val="en-US" w:eastAsia="zh-CN" w:bidi="ar"/>
              </w:rPr>
              <w:t>LX-YQ-</w:t>
            </w:r>
            <w:r>
              <w:rPr>
                <w:rFonts w:hint="eastAsia" w:ascii="Times New Roman" w:hAnsi="Times New Roman" w:eastAsia="宋体" w:cs="宋体"/>
                <w:color w:val="000000"/>
                <w:sz w:val="21"/>
                <w:szCs w:val="21"/>
                <w:lang w:val="en-US" w:eastAsia="zh-CN" w:bidi="ar"/>
              </w:rPr>
              <w:t>27-12</w:t>
            </w:r>
          </w:p>
        </w:tc>
      </w:tr>
      <w:tr w14:paraId="68EBF69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shd w:val="clear" w:color="auto" w:fill="auto"/>
            <w:vAlign w:val="center"/>
          </w:tcPr>
          <w:p w14:paraId="656D89F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55DD1A4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eastAsia="zh-CN" w:bidi="ar"/>
              </w:rPr>
              <w:t>氨氮</w:t>
            </w:r>
          </w:p>
        </w:tc>
        <w:tc>
          <w:tcPr>
            <w:tcW w:w="1512" w:type="pct"/>
            <w:shd w:val="clear" w:color="auto" w:fill="auto"/>
            <w:vAlign w:val="center"/>
          </w:tcPr>
          <w:p w14:paraId="5F8A5C9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水质 氨氮的测定 纳氏试剂分光</w:t>
            </w:r>
          </w:p>
          <w:p w14:paraId="7DE6036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bidi="ar"/>
              </w:rPr>
              <w:t>光度法 HJ 535-2009</w:t>
            </w:r>
          </w:p>
        </w:tc>
        <w:tc>
          <w:tcPr>
            <w:tcW w:w="990" w:type="pct"/>
            <w:shd w:val="clear" w:color="auto" w:fill="auto"/>
            <w:vAlign w:val="center"/>
          </w:tcPr>
          <w:p w14:paraId="2BF5963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可见分光光度计</w:t>
            </w:r>
          </w:p>
        </w:tc>
        <w:tc>
          <w:tcPr>
            <w:tcW w:w="690" w:type="pct"/>
            <w:shd w:val="clear" w:color="auto" w:fill="auto"/>
            <w:vAlign w:val="center"/>
          </w:tcPr>
          <w:p w14:paraId="012CE8D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V</w:t>
            </w:r>
            <w:r>
              <w:rPr>
                <w:rFonts w:hint="default" w:ascii="Times New Roman" w:hAnsi="Times New Roman" w:eastAsia="宋体" w:cs="宋体"/>
                <w:color w:val="000000"/>
                <w:sz w:val="21"/>
                <w:szCs w:val="21"/>
                <w:lang w:val="en-US" w:eastAsia="zh-CN" w:bidi="ar"/>
              </w:rPr>
              <w:t>-</w:t>
            </w:r>
            <w:r>
              <w:rPr>
                <w:rFonts w:hint="default" w:ascii="Times New Roman" w:hAnsi="Times New Roman" w:eastAsia="宋体" w:cs="宋体"/>
                <w:color w:val="000000"/>
                <w:sz w:val="21"/>
                <w:szCs w:val="21"/>
                <w:lang w:bidi="ar"/>
              </w:rPr>
              <w:t>5600</w:t>
            </w:r>
          </w:p>
        </w:tc>
        <w:tc>
          <w:tcPr>
            <w:tcW w:w="799" w:type="pct"/>
            <w:shd w:val="clear" w:color="auto" w:fill="auto"/>
            <w:vAlign w:val="center"/>
          </w:tcPr>
          <w:p w14:paraId="14DAC4C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LX-YQ-03</w:t>
            </w:r>
          </w:p>
        </w:tc>
      </w:tr>
      <w:tr w14:paraId="4BF41077">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shd w:val="clear" w:color="auto" w:fill="auto"/>
            <w:vAlign w:val="center"/>
          </w:tcPr>
          <w:p w14:paraId="3AC5047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p>
        </w:tc>
        <w:tc>
          <w:tcPr>
            <w:tcW w:w="596" w:type="pct"/>
            <w:shd w:val="clear" w:color="auto" w:fill="auto"/>
            <w:vAlign w:val="center"/>
          </w:tcPr>
          <w:p w14:paraId="4BEE56FD">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bidi="ar"/>
              </w:rPr>
              <w:t>硝酸盐</w:t>
            </w:r>
            <w:r>
              <w:rPr>
                <w:rFonts w:hint="eastAsia" w:ascii="Times New Roman" w:hAnsi="Times New Roman" w:eastAsia="宋体" w:cs="宋体"/>
                <w:color w:val="000000"/>
                <w:sz w:val="21"/>
                <w:szCs w:val="21"/>
                <w:lang w:val="en-US" w:eastAsia="zh-CN" w:bidi="ar"/>
              </w:rPr>
              <w:t>氮</w:t>
            </w:r>
          </w:p>
        </w:tc>
        <w:tc>
          <w:tcPr>
            <w:tcW w:w="1512" w:type="pct"/>
            <w:shd w:val="clear" w:color="auto" w:fill="auto"/>
            <w:vAlign w:val="center"/>
          </w:tcPr>
          <w:p w14:paraId="0E9C7A6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水质 硝酸盐氮的测定 酚二磺酸</w:t>
            </w:r>
          </w:p>
          <w:p w14:paraId="6E88EA4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bidi="ar"/>
              </w:rPr>
              <w:t>分光光度法 GB 7480-1987</w:t>
            </w:r>
          </w:p>
        </w:tc>
        <w:tc>
          <w:tcPr>
            <w:tcW w:w="990" w:type="pct"/>
            <w:shd w:val="clear" w:color="auto" w:fill="auto"/>
            <w:vAlign w:val="center"/>
          </w:tcPr>
          <w:p w14:paraId="70B1500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可见分光光度计</w:t>
            </w:r>
          </w:p>
        </w:tc>
        <w:tc>
          <w:tcPr>
            <w:tcW w:w="690" w:type="pct"/>
            <w:shd w:val="clear" w:color="auto" w:fill="auto"/>
            <w:vAlign w:val="center"/>
          </w:tcPr>
          <w:p w14:paraId="4E172F7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V</w:t>
            </w:r>
            <w:r>
              <w:rPr>
                <w:rFonts w:hint="default" w:ascii="Times New Roman" w:hAnsi="Times New Roman" w:eastAsia="宋体" w:cs="宋体"/>
                <w:color w:val="000000"/>
                <w:sz w:val="21"/>
                <w:szCs w:val="21"/>
                <w:lang w:val="en-US" w:eastAsia="zh-CN" w:bidi="ar"/>
              </w:rPr>
              <w:t>-</w:t>
            </w:r>
            <w:r>
              <w:rPr>
                <w:rFonts w:hint="default" w:ascii="Times New Roman" w:hAnsi="Times New Roman" w:eastAsia="宋体" w:cs="宋体"/>
                <w:color w:val="000000"/>
                <w:sz w:val="21"/>
                <w:szCs w:val="21"/>
                <w:lang w:bidi="ar"/>
              </w:rPr>
              <w:t>5600</w:t>
            </w:r>
          </w:p>
        </w:tc>
        <w:tc>
          <w:tcPr>
            <w:tcW w:w="799" w:type="pct"/>
            <w:shd w:val="clear" w:color="auto" w:fill="auto"/>
            <w:vAlign w:val="center"/>
          </w:tcPr>
          <w:p w14:paraId="2C52961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LX-YQ-03</w:t>
            </w:r>
          </w:p>
        </w:tc>
      </w:tr>
      <w:tr w14:paraId="62E163F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shd w:val="clear" w:color="auto" w:fill="auto"/>
            <w:vAlign w:val="center"/>
          </w:tcPr>
          <w:p w14:paraId="23BBC9B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596" w:type="pct"/>
            <w:shd w:val="clear" w:color="auto" w:fill="auto"/>
            <w:vAlign w:val="center"/>
          </w:tcPr>
          <w:p w14:paraId="0921E4F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bidi="ar"/>
              </w:rPr>
              <w:t>亚硝酸盐</w:t>
            </w:r>
            <w:r>
              <w:rPr>
                <w:rFonts w:hint="eastAsia" w:ascii="Times New Roman" w:hAnsi="Times New Roman" w:eastAsia="宋体" w:cs="宋体"/>
                <w:color w:val="000000"/>
                <w:sz w:val="21"/>
                <w:szCs w:val="21"/>
                <w:lang w:val="en-US" w:eastAsia="zh-CN" w:bidi="ar"/>
              </w:rPr>
              <w:t>氮</w:t>
            </w:r>
          </w:p>
        </w:tc>
        <w:tc>
          <w:tcPr>
            <w:tcW w:w="1512" w:type="pct"/>
            <w:shd w:val="clear" w:color="auto" w:fill="auto"/>
            <w:vAlign w:val="center"/>
          </w:tcPr>
          <w:p w14:paraId="592BF33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 xml:space="preserve">水质 亚硝酸盐氮的测定 </w:t>
            </w:r>
          </w:p>
          <w:p w14:paraId="2BE9B68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分光光度法 GB 7493-1987</w:t>
            </w:r>
          </w:p>
        </w:tc>
        <w:tc>
          <w:tcPr>
            <w:tcW w:w="990" w:type="pct"/>
            <w:shd w:val="clear" w:color="auto" w:fill="auto"/>
            <w:vAlign w:val="center"/>
          </w:tcPr>
          <w:p w14:paraId="2D4B738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紫外可见分光光度计</w:t>
            </w:r>
          </w:p>
        </w:tc>
        <w:tc>
          <w:tcPr>
            <w:tcW w:w="690" w:type="pct"/>
            <w:shd w:val="clear" w:color="auto" w:fill="auto"/>
            <w:vAlign w:val="center"/>
          </w:tcPr>
          <w:p w14:paraId="503F570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T6新世纪</w:t>
            </w:r>
          </w:p>
        </w:tc>
        <w:tc>
          <w:tcPr>
            <w:tcW w:w="799" w:type="pct"/>
            <w:shd w:val="clear" w:color="auto" w:fill="auto"/>
            <w:vAlign w:val="center"/>
          </w:tcPr>
          <w:p w14:paraId="4134203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val="en-US" w:eastAsia="zh-CN" w:bidi="ar"/>
              </w:rPr>
              <w:t>LX-YQ-153</w:t>
            </w:r>
          </w:p>
        </w:tc>
      </w:tr>
      <w:tr w14:paraId="4AC42723">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shd w:val="clear" w:color="auto" w:fill="auto"/>
            <w:vAlign w:val="center"/>
          </w:tcPr>
          <w:p w14:paraId="6AFB38F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p>
        </w:tc>
        <w:tc>
          <w:tcPr>
            <w:tcW w:w="596" w:type="pct"/>
            <w:shd w:val="clear" w:color="auto" w:fill="auto"/>
            <w:vAlign w:val="center"/>
          </w:tcPr>
          <w:p w14:paraId="4B493ED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挥发酚</w:t>
            </w:r>
          </w:p>
        </w:tc>
        <w:tc>
          <w:tcPr>
            <w:tcW w:w="1512" w:type="pct"/>
            <w:shd w:val="clear" w:color="auto" w:fill="auto"/>
            <w:vAlign w:val="center"/>
          </w:tcPr>
          <w:p w14:paraId="77963D0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水质 挥发酚的测定 4-氨基安替</w:t>
            </w:r>
          </w:p>
          <w:p w14:paraId="01DF8B0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比林分光光度法</w:t>
            </w:r>
            <w:r>
              <w:rPr>
                <w:rFonts w:hint="eastAsia" w:ascii="Times New Roman" w:hAnsi="Times New Roman" w:eastAsia="宋体" w:cs="宋体"/>
                <w:color w:val="000000"/>
                <w:sz w:val="21"/>
                <w:szCs w:val="21"/>
                <w:lang w:val="en-US" w:eastAsia="zh-CN" w:bidi="ar"/>
              </w:rPr>
              <w:t xml:space="preserve"> </w:t>
            </w:r>
            <w:r>
              <w:rPr>
                <w:rFonts w:hint="default" w:ascii="Times New Roman" w:hAnsi="Times New Roman" w:eastAsia="宋体" w:cs="宋体"/>
                <w:color w:val="000000"/>
                <w:sz w:val="21"/>
                <w:szCs w:val="21"/>
                <w:lang w:bidi="ar"/>
              </w:rPr>
              <w:t>HJ 503-2009</w:t>
            </w:r>
          </w:p>
        </w:tc>
        <w:tc>
          <w:tcPr>
            <w:tcW w:w="990" w:type="pct"/>
            <w:shd w:val="clear" w:color="auto" w:fill="auto"/>
            <w:vAlign w:val="center"/>
          </w:tcPr>
          <w:p w14:paraId="338F58D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紫外可见分光光度计</w:t>
            </w:r>
          </w:p>
        </w:tc>
        <w:tc>
          <w:tcPr>
            <w:tcW w:w="690" w:type="pct"/>
            <w:shd w:val="clear" w:color="auto" w:fill="auto"/>
            <w:vAlign w:val="center"/>
          </w:tcPr>
          <w:p w14:paraId="794424C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T6</w:t>
            </w:r>
            <w:r>
              <w:rPr>
                <w:rFonts w:hint="eastAsia" w:ascii="Times New Roman" w:hAnsi="Times New Roman" w:eastAsia="宋体" w:cs="宋体"/>
                <w:color w:val="000000"/>
                <w:sz w:val="21"/>
                <w:szCs w:val="21"/>
                <w:lang w:val="en-US" w:eastAsia="zh-CN" w:bidi="ar"/>
              </w:rPr>
              <w:t>新世纪</w:t>
            </w:r>
          </w:p>
        </w:tc>
        <w:tc>
          <w:tcPr>
            <w:tcW w:w="799" w:type="pct"/>
            <w:shd w:val="clear" w:color="auto" w:fill="auto"/>
            <w:vAlign w:val="center"/>
          </w:tcPr>
          <w:p w14:paraId="37A0E231">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LX-YQ-</w:t>
            </w:r>
            <w:r>
              <w:rPr>
                <w:rFonts w:hint="eastAsia" w:ascii="Times New Roman" w:hAnsi="Times New Roman" w:eastAsia="宋体" w:cs="宋体"/>
                <w:color w:val="000000"/>
                <w:sz w:val="21"/>
                <w:szCs w:val="21"/>
                <w:lang w:val="en-US" w:eastAsia="zh-CN" w:bidi="ar"/>
              </w:rPr>
              <w:t>180</w:t>
            </w:r>
          </w:p>
        </w:tc>
      </w:tr>
      <w:tr w14:paraId="3171587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464D956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22FE6E61">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氰化物</w:t>
            </w:r>
          </w:p>
        </w:tc>
        <w:tc>
          <w:tcPr>
            <w:tcW w:w="1512" w:type="pct"/>
            <w:shd w:val="clear" w:color="auto" w:fill="auto"/>
            <w:vAlign w:val="center"/>
          </w:tcPr>
          <w:p w14:paraId="6C6882F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 xml:space="preserve">生活饮用水标准检验方法 </w:t>
            </w:r>
          </w:p>
          <w:p w14:paraId="7A1A328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第5部分：无机非金属指标(7.1 氰化物 异烟酸-吡唑酮分光光度法)</w:t>
            </w:r>
          </w:p>
          <w:p w14:paraId="0EA7BF6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bidi="ar"/>
              </w:rPr>
              <w:t>GB/T 5750.5-2023</w:t>
            </w:r>
          </w:p>
        </w:tc>
        <w:tc>
          <w:tcPr>
            <w:tcW w:w="990" w:type="pct"/>
            <w:shd w:val="clear" w:color="auto" w:fill="auto"/>
            <w:vAlign w:val="center"/>
          </w:tcPr>
          <w:p w14:paraId="27FD68B5">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可见分光光度计</w:t>
            </w:r>
          </w:p>
        </w:tc>
        <w:tc>
          <w:tcPr>
            <w:tcW w:w="690" w:type="pct"/>
            <w:shd w:val="clear" w:color="auto" w:fill="auto"/>
            <w:vAlign w:val="center"/>
          </w:tcPr>
          <w:p w14:paraId="612A467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V</w:t>
            </w:r>
            <w:r>
              <w:rPr>
                <w:rFonts w:hint="default" w:ascii="Times New Roman" w:hAnsi="Times New Roman" w:eastAsia="宋体" w:cs="宋体"/>
                <w:color w:val="000000"/>
                <w:sz w:val="21"/>
                <w:szCs w:val="21"/>
                <w:lang w:val="en-US" w:eastAsia="zh-CN" w:bidi="ar"/>
              </w:rPr>
              <w:t>-</w:t>
            </w:r>
            <w:r>
              <w:rPr>
                <w:rFonts w:hint="default" w:ascii="Times New Roman" w:hAnsi="Times New Roman" w:eastAsia="宋体" w:cs="宋体"/>
                <w:color w:val="000000"/>
                <w:sz w:val="21"/>
                <w:szCs w:val="21"/>
                <w:lang w:bidi="ar"/>
              </w:rPr>
              <w:t>5600</w:t>
            </w:r>
          </w:p>
        </w:tc>
        <w:tc>
          <w:tcPr>
            <w:tcW w:w="799" w:type="pct"/>
            <w:shd w:val="clear" w:color="auto" w:fill="auto"/>
            <w:vAlign w:val="center"/>
          </w:tcPr>
          <w:p w14:paraId="67CC184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LX-YQ-03</w:t>
            </w:r>
          </w:p>
        </w:tc>
      </w:tr>
      <w:tr w14:paraId="46D0F94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7FFDFC8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412B76A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eastAsia="zh-CN" w:bidi="ar"/>
              </w:rPr>
              <w:t>汞</w:t>
            </w:r>
          </w:p>
        </w:tc>
        <w:tc>
          <w:tcPr>
            <w:tcW w:w="1512" w:type="pct"/>
            <w:vMerge w:val="restart"/>
            <w:shd w:val="clear" w:color="auto" w:fill="auto"/>
            <w:vAlign w:val="center"/>
          </w:tcPr>
          <w:p w14:paraId="58CBBBD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 xml:space="preserve">水质 汞、砷、硒、铋和锑的测定 </w:t>
            </w:r>
          </w:p>
          <w:p w14:paraId="4B23137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原子荧光法 HJ 694-2014</w:t>
            </w:r>
          </w:p>
        </w:tc>
        <w:tc>
          <w:tcPr>
            <w:tcW w:w="990" w:type="pct"/>
            <w:vMerge w:val="restart"/>
            <w:shd w:val="clear" w:color="auto" w:fill="auto"/>
            <w:vAlign w:val="center"/>
          </w:tcPr>
          <w:p w14:paraId="3F57922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原子荧光光度计</w:t>
            </w:r>
          </w:p>
        </w:tc>
        <w:tc>
          <w:tcPr>
            <w:tcW w:w="690" w:type="pct"/>
            <w:vMerge w:val="restart"/>
            <w:shd w:val="clear" w:color="auto" w:fill="auto"/>
            <w:vAlign w:val="center"/>
          </w:tcPr>
          <w:p w14:paraId="47C20D7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 xml:space="preserve">AFS-8220 </w:t>
            </w:r>
          </w:p>
        </w:tc>
        <w:tc>
          <w:tcPr>
            <w:tcW w:w="799" w:type="pct"/>
            <w:vMerge w:val="restart"/>
            <w:shd w:val="clear" w:color="auto" w:fill="auto"/>
            <w:vAlign w:val="center"/>
          </w:tcPr>
          <w:p w14:paraId="1F318181">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LX-YQ-</w:t>
            </w:r>
            <w:r>
              <w:rPr>
                <w:rFonts w:hint="default" w:ascii="Times New Roman" w:hAnsi="Times New Roman" w:eastAsia="宋体" w:cs="宋体"/>
                <w:color w:val="000000"/>
                <w:sz w:val="21"/>
                <w:szCs w:val="21"/>
                <w:lang w:val="en-US" w:eastAsia="zh-CN" w:bidi="ar"/>
              </w:rPr>
              <w:t>120</w:t>
            </w:r>
          </w:p>
        </w:tc>
      </w:tr>
      <w:tr w14:paraId="49722BA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1F3CCD1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137CA48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砷</w:t>
            </w:r>
          </w:p>
        </w:tc>
        <w:tc>
          <w:tcPr>
            <w:tcW w:w="1512" w:type="pct"/>
            <w:vMerge w:val="continue"/>
            <w:shd w:val="clear" w:color="auto" w:fill="auto"/>
            <w:vAlign w:val="center"/>
          </w:tcPr>
          <w:p w14:paraId="5330509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990" w:type="pct"/>
            <w:vMerge w:val="continue"/>
            <w:shd w:val="clear" w:color="auto" w:fill="auto"/>
            <w:vAlign w:val="center"/>
          </w:tcPr>
          <w:p w14:paraId="68691C6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690" w:type="pct"/>
            <w:vMerge w:val="continue"/>
            <w:shd w:val="clear" w:color="auto" w:fill="auto"/>
            <w:vAlign w:val="center"/>
          </w:tcPr>
          <w:p w14:paraId="4985971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799" w:type="pct"/>
            <w:vMerge w:val="continue"/>
            <w:shd w:val="clear" w:color="auto" w:fill="auto"/>
            <w:vAlign w:val="center"/>
          </w:tcPr>
          <w:p w14:paraId="35249DF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r>
      <w:tr w14:paraId="6F9232B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7AE853BD">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29F528F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六价铬</w:t>
            </w:r>
          </w:p>
        </w:tc>
        <w:tc>
          <w:tcPr>
            <w:tcW w:w="1512" w:type="pct"/>
            <w:shd w:val="clear" w:color="auto" w:fill="auto"/>
            <w:vAlign w:val="center"/>
          </w:tcPr>
          <w:p w14:paraId="3EEDF33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生活饮用水标准检验方法</w:t>
            </w:r>
            <w:r>
              <w:rPr>
                <w:rFonts w:hint="eastAsia" w:ascii="Times New Roman" w:hAnsi="Times New Roman" w:eastAsia="宋体" w:cs="宋体"/>
                <w:color w:val="000000"/>
                <w:sz w:val="21"/>
                <w:szCs w:val="21"/>
                <w:lang w:val="en-US" w:eastAsia="zh-CN" w:bidi="ar"/>
              </w:rPr>
              <w:t xml:space="preserve"> </w:t>
            </w:r>
            <w:r>
              <w:rPr>
                <w:rFonts w:hint="default" w:ascii="Times New Roman" w:hAnsi="Times New Roman" w:eastAsia="宋体" w:cs="宋体"/>
                <w:color w:val="000000"/>
                <w:sz w:val="21"/>
                <w:szCs w:val="21"/>
                <w:lang w:val="en-US" w:eastAsia="zh-CN" w:bidi="ar"/>
              </w:rPr>
              <w:t>第6部分：金属和类金属指标 (13.1铬(六价) 二苯碳酰二肼分光光度法)</w:t>
            </w:r>
          </w:p>
          <w:p w14:paraId="2FD8B1E1">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 xml:space="preserve">GB/T 5750.6-2023                                                                                                                                                                                                                              </w:t>
            </w:r>
          </w:p>
        </w:tc>
        <w:tc>
          <w:tcPr>
            <w:tcW w:w="990" w:type="pct"/>
            <w:shd w:val="clear" w:color="auto" w:fill="auto"/>
            <w:vAlign w:val="center"/>
          </w:tcPr>
          <w:p w14:paraId="5002EC3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紫外可见分光光度计</w:t>
            </w:r>
          </w:p>
        </w:tc>
        <w:tc>
          <w:tcPr>
            <w:tcW w:w="690" w:type="pct"/>
            <w:shd w:val="clear" w:color="auto" w:fill="auto"/>
            <w:vAlign w:val="center"/>
          </w:tcPr>
          <w:p w14:paraId="195F82E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T6新世纪</w:t>
            </w:r>
          </w:p>
        </w:tc>
        <w:tc>
          <w:tcPr>
            <w:tcW w:w="799" w:type="pct"/>
            <w:shd w:val="clear" w:color="auto" w:fill="auto"/>
            <w:vAlign w:val="center"/>
          </w:tcPr>
          <w:p w14:paraId="0D03726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LX-YQ-153</w:t>
            </w:r>
          </w:p>
        </w:tc>
      </w:tr>
      <w:tr w14:paraId="07FF58D3">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6E58DE6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vAlign w:val="center"/>
          </w:tcPr>
          <w:p w14:paraId="06165A9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bidi="ar"/>
              </w:rPr>
              <w:t>总硬度</w:t>
            </w:r>
          </w:p>
        </w:tc>
        <w:tc>
          <w:tcPr>
            <w:tcW w:w="1512" w:type="pct"/>
            <w:vAlign w:val="center"/>
          </w:tcPr>
          <w:p w14:paraId="6C239FD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 xml:space="preserve">水质 钙和镁总量的测定 </w:t>
            </w:r>
          </w:p>
          <w:p w14:paraId="4848D41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EDTA滴定法 GB</w:t>
            </w:r>
            <w:r>
              <w:rPr>
                <w:rFonts w:hint="default" w:ascii="Times New Roman" w:hAnsi="Times New Roman" w:eastAsia="宋体" w:cs="宋体"/>
                <w:color w:val="000000"/>
                <w:sz w:val="21"/>
                <w:szCs w:val="21"/>
                <w:lang w:val="en-US" w:eastAsia="zh-CN" w:bidi="ar"/>
              </w:rPr>
              <w:t xml:space="preserve"> </w:t>
            </w:r>
            <w:r>
              <w:rPr>
                <w:rFonts w:hint="default" w:ascii="Times New Roman" w:hAnsi="Times New Roman" w:eastAsia="宋体" w:cs="宋体"/>
                <w:color w:val="000000"/>
                <w:sz w:val="21"/>
                <w:szCs w:val="21"/>
                <w:lang w:bidi="ar"/>
              </w:rPr>
              <w:t>7477-1987</w:t>
            </w:r>
          </w:p>
        </w:tc>
        <w:tc>
          <w:tcPr>
            <w:tcW w:w="990" w:type="pct"/>
            <w:shd w:val="clear" w:color="auto" w:fill="auto"/>
            <w:vAlign w:val="center"/>
          </w:tcPr>
          <w:p w14:paraId="2028772D">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酸式滴定管</w:t>
            </w:r>
          </w:p>
        </w:tc>
        <w:tc>
          <w:tcPr>
            <w:tcW w:w="690" w:type="pct"/>
            <w:shd w:val="clear" w:color="auto" w:fill="auto"/>
            <w:vAlign w:val="center"/>
          </w:tcPr>
          <w:p w14:paraId="1BA3453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50</w:t>
            </w:r>
            <w:r>
              <w:rPr>
                <w:rFonts w:hint="default" w:ascii="Times New Roman" w:hAnsi="Times New Roman" w:eastAsia="宋体" w:cs="宋体"/>
                <w:color w:val="000000"/>
                <w:sz w:val="21"/>
                <w:szCs w:val="21"/>
                <w:lang w:bidi="ar"/>
              </w:rPr>
              <w:t>mL</w:t>
            </w:r>
          </w:p>
        </w:tc>
        <w:tc>
          <w:tcPr>
            <w:tcW w:w="799" w:type="pct"/>
            <w:shd w:val="clear" w:color="auto" w:fill="auto"/>
            <w:vAlign w:val="center"/>
          </w:tcPr>
          <w:p w14:paraId="65B847A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w:t>
            </w:r>
          </w:p>
        </w:tc>
      </w:tr>
      <w:tr w14:paraId="16BAAB2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0513DBA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664FBF8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铅</w:t>
            </w:r>
          </w:p>
        </w:tc>
        <w:tc>
          <w:tcPr>
            <w:tcW w:w="1512" w:type="pct"/>
            <w:shd w:val="clear" w:color="auto" w:fill="auto"/>
            <w:vAlign w:val="center"/>
          </w:tcPr>
          <w:p w14:paraId="6E0B892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生活饮用水标准检验方法</w:t>
            </w:r>
            <w:r>
              <w:rPr>
                <w:rFonts w:hint="eastAsia" w:ascii="Times New Roman" w:hAnsi="Times New Roman" w:eastAsia="宋体" w:cs="宋体"/>
                <w:color w:val="000000"/>
                <w:sz w:val="21"/>
                <w:szCs w:val="21"/>
                <w:lang w:val="en-US" w:eastAsia="zh-CN" w:bidi="ar"/>
              </w:rPr>
              <w:t xml:space="preserve"> </w:t>
            </w:r>
          </w:p>
          <w:p w14:paraId="16767B5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第6部分：金属和类金属指标 (14.1铅 无火焰原子吸收分光</w:t>
            </w:r>
          </w:p>
          <w:p w14:paraId="753C494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光度法) GB/T 5750.6-2023</w:t>
            </w:r>
          </w:p>
        </w:tc>
        <w:tc>
          <w:tcPr>
            <w:tcW w:w="990" w:type="pct"/>
            <w:shd w:val="clear" w:color="auto" w:fill="auto"/>
            <w:vAlign w:val="center"/>
          </w:tcPr>
          <w:p w14:paraId="048BBCB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原子吸收分光光度计</w:t>
            </w:r>
          </w:p>
        </w:tc>
        <w:tc>
          <w:tcPr>
            <w:tcW w:w="690" w:type="pct"/>
            <w:shd w:val="clear" w:color="auto" w:fill="auto"/>
            <w:vAlign w:val="center"/>
          </w:tcPr>
          <w:p w14:paraId="265B543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WFX-220AEs</w:t>
            </w:r>
          </w:p>
        </w:tc>
        <w:tc>
          <w:tcPr>
            <w:tcW w:w="799" w:type="pct"/>
            <w:shd w:val="clear" w:color="auto" w:fill="auto"/>
            <w:vAlign w:val="center"/>
          </w:tcPr>
          <w:p w14:paraId="38A28DCD">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LX-YQ-</w:t>
            </w:r>
            <w:r>
              <w:rPr>
                <w:rFonts w:hint="eastAsia" w:ascii="Times New Roman" w:hAnsi="Times New Roman" w:eastAsia="宋体" w:cs="宋体"/>
                <w:color w:val="000000"/>
                <w:sz w:val="21"/>
                <w:szCs w:val="21"/>
                <w:lang w:val="en-US" w:eastAsia="zh-CN" w:bidi="ar"/>
              </w:rPr>
              <w:t>154</w:t>
            </w:r>
          </w:p>
        </w:tc>
      </w:tr>
      <w:tr w14:paraId="23EB33DB">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2BD2061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4B08D5F1">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氟化物</w:t>
            </w:r>
          </w:p>
        </w:tc>
        <w:tc>
          <w:tcPr>
            <w:tcW w:w="1512" w:type="pct"/>
            <w:shd w:val="clear" w:color="auto" w:fill="auto"/>
            <w:vAlign w:val="center"/>
          </w:tcPr>
          <w:p w14:paraId="1B6EC89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水质 氟化物的测定 离子选择</w:t>
            </w:r>
          </w:p>
          <w:p w14:paraId="08A7397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电极法 GB 7484-1987</w:t>
            </w:r>
          </w:p>
        </w:tc>
        <w:tc>
          <w:tcPr>
            <w:tcW w:w="990" w:type="pct"/>
            <w:shd w:val="clear" w:color="auto" w:fill="auto"/>
            <w:vAlign w:val="center"/>
          </w:tcPr>
          <w:p w14:paraId="44CB0ED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精密离子计</w:t>
            </w:r>
          </w:p>
        </w:tc>
        <w:tc>
          <w:tcPr>
            <w:tcW w:w="690" w:type="pct"/>
            <w:shd w:val="clear" w:color="auto" w:fill="auto"/>
            <w:vAlign w:val="center"/>
          </w:tcPr>
          <w:p w14:paraId="0217681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PXS-450</w:t>
            </w:r>
          </w:p>
        </w:tc>
        <w:tc>
          <w:tcPr>
            <w:tcW w:w="799" w:type="pct"/>
            <w:shd w:val="clear" w:color="auto" w:fill="auto"/>
            <w:vAlign w:val="center"/>
          </w:tcPr>
          <w:p w14:paraId="0CD26B1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LX-YQ-24</w:t>
            </w:r>
          </w:p>
        </w:tc>
      </w:tr>
      <w:tr w14:paraId="388511C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5F94DB9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1BE97CA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镉</w:t>
            </w:r>
          </w:p>
        </w:tc>
        <w:tc>
          <w:tcPr>
            <w:tcW w:w="1512" w:type="pct"/>
            <w:shd w:val="clear" w:color="auto" w:fill="auto"/>
            <w:vAlign w:val="center"/>
          </w:tcPr>
          <w:p w14:paraId="77D63FD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生活饮用水标准检验方法 第6部分：金属和类金属指标 (12.1镉 无火焰原子吸收分光光度法) GB/T 5750.6-2023</w:t>
            </w:r>
          </w:p>
        </w:tc>
        <w:tc>
          <w:tcPr>
            <w:tcW w:w="990" w:type="pct"/>
            <w:shd w:val="clear" w:color="auto" w:fill="auto"/>
            <w:vAlign w:val="center"/>
          </w:tcPr>
          <w:p w14:paraId="709B7F7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原子吸收分光光度计</w:t>
            </w:r>
          </w:p>
        </w:tc>
        <w:tc>
          <w:tcPr>
            <w:tcW w:w="690" w:type="pct"/>
            <w:shd w:val="clear" w:color="auto" w:fill="auto"/>
            <w:vAlign w:val="center"/>
          </w:tcPr>
          <w:p w14:paraId="6529F46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WFX-220AEs</w:t>
            </w:r>
          </w:p>
        </w:tc>
        <w:tc>
          <w:tcPr>
            <w:tcW w:w="799" w:type="pct"/>
            <w:shd w:val="clear" w:color="auto" w:fill="auto"/>
            <w:vAlign w:val="center"/>
          </w:tcPr>
          <w:p w14:paraId="432F2B9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LX-YQ-</w:t>
            </w:r>
            <w:r>
              <w:rPr>
                <w:rFonts w:hint="eastAsia" w:ascii="Times New Roman" w:hAnsi="Times New Roman" w:eastAsia="宋体" w:cs="宋体"/>
                <w:color w:val="000000"/>
                <w:sz w:val="21"/>
                <w:szCs w:val="21"/>
                <w:lang w:val="en-US" w:eastAsia="zh-CN" w:bidi="ar"/>
              </w:rPr>
              <w:t>154</w:t>
            </w:r>
          </w:p>
        </w:tc>
      </w:tr>
      <w:tr w14:paraId="292DEB2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3F8E26A5">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3C9AD83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eastAsia="zh-CN" w:bidi="ar"/>
              </w:rPr>
              <w:t>铁</w:t>
            </w:r>
          </w:p>
        </w:tc>
        <w:tc>
          <w:tcPr>
            <w:tcW w:w="1512" w:type="pct"/>
            <w:vMerge w:val="restart"/>
            <w:shd w:val="clear" w:color="auto" w:fill="auto"/>
            <w:vAlign w:val="center"/>
          </w:tcPr>
          <w:p w14:paraId="18A5474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eastAsia="zh-CN" w:bidi="ar"/>
              </w:rPr>
              <w:t>水质</w:t>
            </w:r>
            <w:r>
              <w:rPr>
                <w:rFonts w:hint="default" w:ascii="Times New Roman" w:hAnsi="Times New Roman" w:eastAsia="宋体" w:cs="宋体"/>
                <w:color w:val="000000"/>
                <w:sz w:val="21"/>
                <w:szCs w:val="21"/>
                <w:lang w:val="en-US" w:eastAsia="zh-CN" w:bidi="ar"/>
              </w:rPr>
              <w:t xml:space="preserve"> 铁、锰的测定 火焰原子吸收分光光度法 GB 11911-1989</w:t>
            </w:r>
          </w:p>
        </w:tc>
        <w:tc>
          <w:tcPr>
            <w:tcW w:w="990" w:type="pct"/>
            <w:vMerge w:val="restart"/>
            <w:shd w:val="clear" w:color="auto" w:fill="auto"/>
            <w:vAlign w:val="center"/>
          </w:tcPr>
          <w:p w14:paraId="0734CB4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原子吸收分光光度计</w:t>
            </w:r>
          </w:p>
        </w:tc>
        <w:tc>
          <w:tcPr>
            <w:tcW w:w="690" w:type="pct"/>
            <w:vMerge w:val="restart"/>
            <w:shd w:val="clear" w:color="auto" w:fill="auto"/>
            <w:vAlign w:val="center"/>
          </w:tcPr>
          <w:p w14:paraId="114938E1">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WFX-220AEs</w:t>
            </w:r>
          </w:p>
        </w:tc>
        <w:tc>
          <w:tcPr>
            <w:tcW w:w="799" w:type="pct"/>
            <w:vMerge w:val="restart"/>
            <w:shd w:val="clear" w:color="auto" w:fill="auto"/>
            <w:vAlign w:val="center"/>
          </w:tcPr>
          <w:p w14:paraId="031FB2C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LX-YQ-</w:t>
            </w:r>
            <w:r>
              <w:rPr>
                <w:rFonts w:hint="eastAsia" w:ascii="Times New Roman" w:hAnsi="Times New Roman" w:eastAsia="宋体" w:cs="宋体"/>
                <w:color w:val="000000"/>
                <w:sz w:val="21"/>
                <w:szCs w:val="21"/>
                <w:lang w:val="en-US" w:eastAsia="zh-CN" w:bidi="ar"/>
              </w:rPr>
              <w:t>154</w:t>
            </w:r>
          </w:p>
        </w:tc>
      </w:tr>
      <w:tr w14:paraId="1388C25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40B065C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2121AF2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锰</w:t>
            </w:r>
          </w:p>
        </w:tc>
        <w:tc>
          <w:tcPr>
            <w:tcW w:w="1512" w:type="pct"/>
            <w:vMerge w:val="continue"/>
            <w:shd w:val="clear" w:color="auto" w:fill="auto"/>
            <w:vAlign w:val="center"/>
          </w:tcPr>
          <w:p w14:paraId="089EED9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990" w:type="pct"/>
            <w:vMerge w:val="continue"/>
            <w:shd w:val="clear" w:color="auto" w:fill="auto"/>
            <w:vAlign w:val="center"/>
          </w:tcPr>
          <w:p w14:paraId="1638BD0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690" w:type="pct"/>
            <w:vMerge w:val="continue"/>
            <w:shd w:val="clear" w:color="auto" w:fill="auto"/>
            <w:vAlign w:val="center"/>
          </w:tcPr>
          <w:p w14:paraId="0F311C2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799" w:type="pct"/>
            <w:vMerge w:val="continue"/>
            <w:shd w:val="clear" w:color="auto" w:fill="auto"/>
            <w:vAlign w:val="center"/>
          </w:tcPr>
          <w:p w14:paraId="6F21F3C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p>
        </w:tc>
      </w:tr>
      <w:tr w14:paraId="0568D82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620" w:hRule="atLeast"/>
        </w:trPr>
        <w:tc>
          <w:tcPr>
            <w:tcW w:w="410" w:type="pct"/>
            <w:vMerge w:val="continue"/>
            <w:vAlign w:val="center"/>
          </w:tcPr>
          <w:p w14:paraId="2224D4B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vMerge w:val="restart"/>
            <w:shd w:val="clear" w:color="auto" w:fill="auto"/>
            <w:vAlign w:val="center"/>
          </w:tcPr>
          <w:p w14:paraId="2C76D895">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溶解性</w:t>
            </w:r>
          </w:p>
          <w:p w14:paraId="411F5A8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总固体</w:t>
            </w:r>
          </w:p>
        </w:tc>
        <w:tc>
          <w:tcPr>
            <w:tcW w:w="1512" w:type="pct"/>
            <w:vMerge w:val="restart"/>
            <w:shd w:val="clear" w:color="auto" w:fill="auto"/>
            <w:vAlign w:val="center"/>
          </w:tcPr>
          <w:p w14:paraId="6E5B6DA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 xml:space="preserve">生活饮用水标准检验方法 </w:t>
            </w:r>
          </w:p>
          <w:p w14:paraId="2275B78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 xml:space="preserve">第4部分：感官性状和物理指标 (11.1溶解性总固体 称量法) </w:t>
            </w:r>
          </w:p>
          <w:p w14:paraId="74658A2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GB/T 5750.4-2023</w:t>
            </w:r>
          </w:p>
        </w:tc>
        <w:tc>
          <w:tcPr>
            <w:tcW w:w="990" w:type="pct"/>
            <w:shd w:val="clear" w:color="auto" w:fill="auto"/>
            <w:vAlign w:val="center"/>
          </w:tcPr>
          <w:p w14:paraId="78685C4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电热鼓风干燥箱</w:t>
            </w:r>
          </w:p>
        </w:tc>
        <w:tc>
          <w:tcPr>
            <w:tcW w:w="690" w:type="pct"/>
            <w:shd w:val="clear" w:color="auto" w:fill="auto"/>
            <w:vAlign w:val="center"/>
          </w:tcPr>
          <w:p w14:paraId="467232C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101-0A</w:t>
            </w:r>
          </w:p>
        </w:tc>
        <w:tc>
          <w:tcPr>
            <w:tcW w:w="799" w:type="pct"/>
            <w:shd w:val="clear" w:color="auto" w:fill="auto"/>
            <w:vAlign w:val="center"/>
          </w:tcPr>
          <w:p w14:paraId="51D88C6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LX-YQ-</w:t>
            </w:r>
            <w:r>
              <w:rPr>
                <w:rFonts w:hint="default" w:ascii="Times New Roman" w:hAnsi="Times New Roman" w:eastAsia="宋体" w:cs="宋体"/>
                <w:color w:val="000000"/>
                <w:sz w:val="21"/>
                <w:szCs w:val="21"/>
                <w:lang w:val="en-US" w:eastAsia="zh-CN" w:bidi="ar"/>
              </w:rPr>
              <w:t>15</w:t>
            </w:r>
          </w:p>
        </w:tc>
      </w:tr>
      <w:tr w14:paraId="787F1F6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574A4175">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vMerge w:val="continue"/>
            <w:shd w:val="clear" w:color="auto" w:fill="auto"/>
            <w:vAlign w:val="center"/>
          </w:tcPr>
          <w:p w14:paraId="37852A3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1512" w:type="pct"/>
            <w:vMerge w:val="continue"/>
            <w:shd w:val="clear" w:color="auto" w:fill="auto"/>
            <w:vAlign w:val="center"/>
          </w:tcPr>
          <w:p w14:paraId="6E40A8D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990" w:type="pct"/>
            <w:shd w:val="clear" w:color="auto" w:fill="auto"/>
            <w:vAlign w:val="center"/>
          </w:tcPr>
          <w:p w14:paraId="53D144E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电子天平</w:t>
            </w:r>
          </w:p>
        </w:tc>
        <w:tc>
          <w:tcPr>
            <w:tcW w:w="690" w:type="pct"/>
            <w:shd w:val="clear" w:color="auto" w:fill="auto"/>
            <w:vAlign w:val="center"/>
          </w:tcPr>
          <w:p w14:paraId="7BB6852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FA2004B</w:t>
            </w:r>
          </w:p>
        </w:tc>
        <w:tc>
          <w:tcPr>
            <w:tcW w:w="799" w:type="pct"/>
            <w:shd w:val="clear" w:color="auto" w:fill="auto"/>
            <w:vAlign w:val="center"/>
          </w:tcPr>
          <w:p w14:paraId="1C9924E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val="en-US" w:eastAsia="zh-CN" w:bidi="ar"/>
              </w:rPr>
              <w:t>LX-YQ-04</w:t>
            </w:r>
          </w:p>
        </w:tc>
      </w:tr>
      <w:tr w14:paraId="4870A55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410" w:type="pct"/>
            <w:vMerge w:val="continue"/>
            <w:vAlign w:val="center"/>
          </w:tcPr>
          <w:p w14:paraId="43BF516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4A45E77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高锰酸盐</w:t>
            </w:r>
          </w:p>
          <w:p w14:paraId="38D6ECB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指数</w:t>
            </w:r>
          </w:p>
        </w:tc>
        <w:tc>
          <w:tcPr>
            <w:tcW w:w="1512" w:type="pct"/>
            <w:shd w:val="clear" w:color="auto" w:fill="auto"/>
            <w:vAlign w:val="center"/>
          </w:tcPr>
          <w:p w14:paraId="17C685F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水质 高锰酸盐指数的测定 草酸钠还原酸性滴定法</w:t>
            </w:r>
            <w:r>
              <w:rPr>
                <w:rFonts w:hint="eastAsia" w:ascii="Times New Roman" w:hAnsi="Times New Roman" w:eastAsia="宋体" w:cs="宋体"/>
                <w:color w:val="000000"/>
                <w:sz w:val="21"/>
                <w:szCs w:val="21"/>
                <w:lang w:val="en-US" w:eastAsia="zh-CN" w:bidi="ar"/>
              </w:rPr>
              <w:t xml:space="preserve"> </w:t>
            </w:r>
            <w:r>
              <w:rPr>
                <w:rFonts w:hint="default" w:ascii="Times New Roman" w:hAnsi="Times New Roman" w:eastAsia="宋体" w:cs="宋体"/>
                <w:color w:val="000000"/>
                <w:sz w:val="21"/>
                <w:szCs w:val="21"/>
                <w:lang w:bidi="ar"/>
              </w:rPr>
              <w:t>HJ 1445-2026</w:t>
            </w:r>
          </w:p>
        </w:tc>
        <w:tc>
          <w:tcPr>
            <w:tcW w:w="990" w:type="pct"/>
            <w:shd w:val="clear" w:color="auto" w:fill="auto"/>
            <w:vAlign w:val="center"/>
          </w:tcPr>
          <w:p w14:paraId="3C14FD0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酸式滴定管</w:t>
            </w:r>
          </w:p>
        </w:tc>
        <w:tc>
          <w:tcPr>
            <w:tcW w:w="690" w:type="pct"/>
            <w:shd w:val="clear" w:color="auto" w:fill="auto"/>
            <w:vAlign w:val="center"/>
          </w:tcPr>
          <w:p w14:paraId="2432CBC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25</w:t>
            </w:r>
            <w:r>
              <w:rPr>
                <w:rFonts w:hint="default" w:ascii="Times New Roman" w:hAnsi="Times New Roman" w:eastAsia="宋体" w:cs="宋体"/>
                <w:color w:val="000000"/>
                <w:sz w:val="21"/>
                <w:szCs w:val="21"/>
                <w:lang w:bidi="ar"/>
              </w:rPr>
              <w:t>mL</w:t>
            </w:r>
          </w:p>
        </w:tc>
        <w:tc>
          <w:tcPr>
            <w:tcW w:w="799" w:type="pct"/>
            <w:shd w:val="clear" w:color="auto" w:fill="auto"/>
            <w:vAlign w:val="center"/>
          </w:tcPr>
          <w:p w14:paraId="155012D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val="en-US" w:eastAsia="zh-CN" w:bidi="ar"/>
              </w:rPr>
              <w:t>/</w:t>
            </w:r>
          </w:p>
        </w:tc>
      </w:tr>
      <w:tr w14:paraId="73C324D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restart"/>
            <w:vAlign w:val="center"/>
          </w:tcPr>
          <w:p w14:paraId="4D626F3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地下水</w:t>
            </w:r>
          </w:p>
        </w:tc>
        <w:tc>
          <w:tcPr>
            <w:tcW w:w="596" w:type="pct"/>
            <w:shd w:val="clear" w:color="auto" w:fill="auto"/>
            <w:vAlign w:val="center"/>
          </w:tcPr>
          <w:p w14:paraId="3488C68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硫酸盐</w:t>
            </w:r>
          </w:p>
        </w:tc>
        <w:tc>
          <w:tcPr>
            <w:tcW w:w="1512" w:type="pct"/>
            <w:shd w:val="clear" w:color="auto" w:fill="auto"/>
            <w:vAlign w:val="center"/>
          </w:tcPr>
          <w:p w14:paraId="5EB8E0F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水质 硫酸盐的测定 铬酸钡分光</w:t>
            </w:r>
          </w:p>
          <w:p w14:paraId="7F2833E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光度法（试行）</w:t>
            </w:r>
            <w:r>
              <w:rPr>
                <w:rFonts w:hint="eastAsia" w:ascii="Times New Roman" w:hAnsi="Times New Roman" w:eastAsia="宋体" w:cs="宋体"/>
                <w:color w:val="000000"/>
                <w:sz w:val="21"/>
                <w:szCs w:val="21"/>
                <w:lang w:val="en-US" w:eastAsia="zh-CN" w:bidi="ar"/>
              </w:rPr>
              <w:t xml:space="preserve"> </w:t>
            </w:r>
            <w:r>
              <w:rPr>
                <w:rFonts w:hint="default" w:ascii="Times New Roman" w:hAnsi="Times New Roman" w:eastAsia="宋体" w:cs="宋体"/>
                <w:color w:val="000000"/>
                <w:sz w:val="21"/>
                <w:szCs w:val="21"/>
                <w:lang w:bidi="ar"/>
              </w:rPr>
              <w:t>HJ/T 342-2007</w:t>
            </w:r>
          </w:p>
        </w:tc>
        <w:tc>
          <w:tcPr>
            <w:tcW w:w="990" w:type="pct"/>
            <w:shd w:val="clear" w:color="auto" w:fill="auto"/>
            <w:vAlign w:val="center"/>
          </w:tcPr>
          <w:p w14:paraId="1CAF65A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紫外可见分光光度计</w:t>
            </w:r>
          </w:p>
        </w:tc>
        <w:tc>
          <w:tcPr>
            <w:tcW w:w="690" w:type="pct"/>
            <w:shd w:val="clear" w:color="auto" w:fill="auto"/>
            <w:vAlign w:val="center"/>
          </w:tcPr>
          <w:p w14:paraId="0340948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T6新世纪</w:t>
            </w:r>
          </w:p>
        </w:tc>
        <w:tc>
          <w:tcPr>
            <w:tcW w:w="799" w:type="pct"/>
            <w:shd w:val="clear" w:color="auto" w:fill="auto"/>
            <w:vAlign w:val="center"/>
          </w:tcPr>
          <w:p w14:paraId="2A4AC89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val="en-US" w:eastAsia="zh-CN" w:bidi="ar"/>
              </w:rPr>
              <w:t>LX-YQ-153</w:t>
            </w:r>
          </w:p>
        </w:tc>
      </w:tr>
      <w:tr w14:paraId="57D9DEF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continue"/>
            <w:vAlign w:val="center"/>
          </w:tcPr>
          <w:p w14:paraId="037D592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3B65830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氯化物</w:t>
            </w:r>
          </w:p>
        </w:tc>
        <w:tc>
          <w:tcPr>
            <w:tcW w:w="1512" w:type="pct"/>
            <w:shd w:val="clear" w:color="auto" w:fill="auto"/>
            <w:vAlign w:val="center"/>
          </w:tcPr>
          <w:p w14:paraId="2534AC7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生活饮用水标准检验方法 第5部分：无机非金属指标(5.1 氯化物 硝酸银容量法)</w:t>
            </w:r>
            <w:r>
              <w:rPr>
                <w:rFonts w:hint="eastAsia" w:ascii="Times New Roman" w:hAnsi="Times New Roman" w:eastAsia="宋体" w:cs="宋体"/>
                <w:color w:val="000000"/>
                <w:sz w:val="21"/>
                <w:szCs w:val="21"/>
                <w:lang w:val="en-US" w:eastAsia="zh-CN" w:bidi="ar"/>
              </w:rPr>
              <w:t xml:space="preserve"> </w:t>
            </w:r>
            <w:r>
              <w:rPr>
                <w:rFonts w:hint="default" w:ascii="Times New Roman" w:hAnsi="Times New Roman" w:eastAsia="宋体" w:cs="宋体"/>
                <w:color w:val="000000"/>
                <w:sz w:val="21"/>
                <w:szCs w:val="21"/>
                <w:lang w:val="en-US" w:eastAsia="zh-CN" w:bidi="ar"/>
              </w:rPr>
              <w:t>GB/T 5750.5-2023</w:t>
            </w:r>
          </w:p>
        </w:tc>
        <w:tc>
          <w:tcPr>
            <w:tcW w:w="990" w:type="pct"/>
            <w:shd w:val="clear" w:color="auto" w:fill="auto"/>
            <w:vAlign w:val="center"/>
          </w:tcPr>
          <w:p w14:paraId="5F93B90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酸式滴定管</w:t>
            </w:r>
          </w:p>
        </w:tc>
        <w:tc>
          <w:tcPr>
            <w:tcW w:w="690" w:type="pct"/>
            <w:shd w:val="clear" w:color="auto" w:fill="auto"/>
            <w:vAlign w:val="center"/>
          </w:tcPr>
          <w:p w14:paraId="5CDF5FB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25</w:t>
            </w:r>
            <w:r>
              <w:rPr>
                <w:rFonts w:hint="default" w:ascii="Times New Roman" w:hAnsi="Times New Roman" w:eastAsia="宋体" w:cs="宋体"/>
                <w:color w:val="000000"/>
                <w:sz w:val="21"/>
                <w:szCs w:val="21"/>
                <w:lang w:bidi="ar"/>
              </w:rPr>
              <w:t>mL</w:t>
            </w:r>
          </w:p>
        </w:tc>
        <w:tc>
          <w:tcPr>
            <w:tcW w:w="799" w:type="pct"/>
            <w:shd w:val="clear" w:color="auto" w:fill="auto"/>
            <w:vAlign w:val="center"/>
          </w:tcPr>
          <w:p w14:paraId="71CF19E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val="en-US" w:eastAsia="zh-CN" w:bidi="ar"/>
              </w:rPr>
              <w:t>/</w:t>
            </w:r>
          </w:p>
        </w:tc>
      </w:tr>
      <w:tr w14:paraId="37366A16">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continue"/>
            <w:vAlign w:val="center"/>
          </w:tcPr>
          <w:p w14:paraId="764E570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1C4CB70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总</w:t>
            </w:r>
            <w:r>
              <w:rPr>
                <w:rFonts w:hint="default" w:ascii="Times New Roman" w:hAnsi="Times New Roman" w:eastAsia="宋体" w:cs="宋体"/>
                <w:color w:val="000000"/>
                <w:sz w:val="21"/>
                <w:szCs w:val="21"/>
                <w:lang w:val="en-US" w:eastAsia="zh-CN" w:bidi="ar"/>
              </w:rPr>
              <w:t>大肠菌群</w:t>
            </w:r>
          </w:p>
        </w:tc>
        <w:tc>
          <w:tcPr>
            <w:tcW w:w="1512" w:type="pct"/>
            <w:shd w:val="clear" w:color="auto" w:fill="auto"/>
            <w:vAlign w:val="center"/>
          </w:tcPr>
          <w:p w14:paraId="628A137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 xml:space="preserve">生活饮用水标准检验方法 </w:t>
            </w:r>
          </w:p>
          <w:p w14:paraId="59D7F5E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 xml:space="preserve">第12部分：微生物指标 </w:t>
            </w:r>
          </w:p>
          <w:p w14:paraId="10AC294D">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(5.1总大肠菌群 多管发酵法)</w:t>
            </w:r>
          </w:p>
          <w:p w14:paraId="3273035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GB/T 5750.12-2023</w:t>
            </w:r>
          </w:p>
        </w:tc>
        <w:tc>
          <w:tcPr>
            <w:tcW w:w="990" w:type="pct"/>
            <w:shd w:val="clear" w:color="auto" w:fill="auto"/>
            <w:vAlign w:val="center"/>
          </w:tcPr>
          <w:p w14:paraId="0367759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eastAsia="zh-CN" w:bidi="ar"/>
              </w:rPr>
              <w:t>电热</w:t>
            </w:r>
            <w:r>
              <w:rPr>
                <w:rFonts w:hint="default" w:ascii="Times New Roman" w:hAnsi="Times New Roman" w:eastAsia="宋体" w:cs="宋体"/>
                <w:color w:val="000000"/>
                <w:sz w:val="21"/>
                <w:szCs w:val="21"/>
                <w:lang w:bidi="ar"/>
              </w:rPr>
              <w:t>恒温培养箱</w:t>
            </w:r>
          </w:p>
        </w:tc>
        <w:tc>
          <w:tcPr>
            <w:tcW w:w="690" w:type="pct"/>
            <w:shd w:val="clear" w:color="auto" w:fill="auto"/>
            <w:vAlign w:val="center"/>
          </w:tcPr>
          <w:p w14:paraId="513FA1C6">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DHP-9052</w:t>
            </w:r>
          </w:p>
        </w:tc>
        <w:tc>
          <w:tcPr>
            <w:tcW w:w="799" w:type="pct"/>
            <w:shd w:val="clear" w:color="auto" w:fill="auto"/>
            <w:vAlign w:val="center"/>
          </w:tcPr>
          <w:p w14:paraId="5D59A6A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LX-YQ-</w:t>
            </w:r>
            <w:r>
              <w:rPr>
                <w:rFonts w:hint="default" w:ascii="Times New Roman" w:hAnsi="Times New Roman" w:eastAsia="宋体" w:cs="宋体"/>
                <w:color w:val="000000"/>
                <w:sz w:val="21"/>
                <w:szCs w:val="21"/>
                <w:lang w:val="en-US" w:eastAsia="zh-CN" w:bidi="ar"/>
              </w:rPr>
              <w:t>14</w:t>
            </w:r>
          </w:p>
        </w:tc>
      </w:tr>
      <w:tr w14:paraId="5AB7941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continue"/>
            <w:vAlign w:val="center"/>
          </w:tcPr>
          <w:p w14:paraId="317F6F5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53D7BC1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菌落总数</w:t>
            </w:r>
          </w:p>
        </w:tc>
        <w:tc>
          <w:tcPr>
            <w:tcW w:w="1512" w:type="pct"/>
            <w:shd w:val="clear" w:color="auto" w:fill="auto"/>
            <w:vAlign w:val="center"/>
          </w:tcPr>
          <w:p w14:paraId="528FA59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bidi="ar"/>
              </w:rPr>
              <w:t>生活饮用水标准检验方法 第12部分：微生物指标 (4.1菌落总数 平皿计数法) GB/T5750.12-2023</w:t>
            </w:r>
          </w:p>
        </w:tc>
        <w:tc>
          <w:tcPr>
            <w:tcW w:w="990" w:type="pct"/>
            <w:shd w:val="clear" w:color="auto" w:fill="auto"/>
            <w:vAlign w:val="center"/>
          </w:tcPr>
          <w:p w14:paraId="2D0CF6E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eastAsia="zh-CN" w:bidi="ar"/>
              </w:rPr>
              <w:t>电热</w:t>
            </w:r>
            <w:r>
              <w:rPr>
                <w:rFonts w:hint="default" w:ascii="Times New Roman" w:hAnsi="Times New Roman" w:eastAsia="宋体" w:cs="宋体"/>
                <w:color w:val="000000"/>
                <w:sz w:val="21"/>
                <w:szCs w:val="21"/>
                <w:lang w:bidi="ar"/>
              </w:rPr>
              <w:t>恒温培养箱</w:t>
            </w:r>
          </w:p>
        </w:tc>
        <w:tc>
          <w:tcPr>
            <w:tcW w:w="690" w:type="pct"/>
            <w:shd w:val="clear" w:color="auto" w:fill="auto"/>
            <w:vAlign w:val="center"/>
          </w:tcPr>
          <w:p w14:paraId="201FD25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DHP-9052</w:t>
            </w:r>
          </w:p>
        </w:tc>
        <w:tc>
          <w:tcPr>
            <w:tcW w:w="799" w:type="pct"/>
            <w:shd w:val="clear" w:color="auto" w:fill="auto"/>
            <w:vAlign w:val="center"/>
          </w:tcPr>
          <w:p w14:paraId="7F0CFDB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LX-YQ-</w:t>
            </w:r>
            <w:r>
              <w:rPr>
                <w:rFonts w:hint="default" w:ascii="Times New Roman" w:hAnsi="Times New Roman" w:eastAsia="宋体" w:cs="宋体"/>
                <w:color w:val="000000"/>
                <w:sz w:val="21"/>
                <w:szCs w:val="21"/>
                <w:lang w:val="en-US" w:eastAsia="zh-CN" w:bidi="ar"/>
              </w:rPr>
              <w:t>14</w:t>
            </w:r>
          </w:p>
        </w:tc>
      </w:tr>
      <w:tr w14:paraId="6E556DB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continue"/>
            <w:vAlign w:val="center"/>
          </w:tcPr>
          <w:p w14:paraId="508947F8">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408C0D0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钾</w:t>
            </w:r>
          </w:p>
        </w:tc>
        <w:tc>
          <w:tcPr>
            <w:tcW w:w="1512" w:type="pct"/>
            <w:shd w:val="clear" w:color="auto" w:fill="auto"/>
            <w:vAlign w:val="center"/>
          </w:tcPr>
          <w:p w14:paraId="5F89906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水质 钾和钠的测定 火焰原子</w:t>
            </w:r>
          </w:p>
          <w:p w14:paraId="6A3F66D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吸收分光光度法 GB 11904-1989</w:t>
            </w:r>
          </w:p>
        </w:tc>
        <w:tc>
          <w:tcPr>
            <w:tcW w:w="990" w:type="pct"/>
            <w:shd w:val="clear" w:color="auto" w:fill="auto"/>
            <w:vAlign w:val="center"/>
          </w:tcPr>
          <w:p w14:paraId="2A59418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eastAsia" w:ascii="Times New Roman" w:hAnsi="Times New Roman" w:eastAsia="宋体" w:cs="宋体"/>
                <w:color w:val="000000"/>
                <w:sz w:val="21"/>
                <w:szCs w:val="21"/>
                <w:lang w:val="en-US" w:eastAsia="zh-CN" w:bidi="ar"/>
              </w:rPr>
              <w:t>原子吸收分光光度计</w:t>
            </w:r>
          </w:p>
        </w:tc>
        <w:tc>
          <w:tcPr>
            <w:tcW w:w="690" w:type="pct"/>
            <w:shd w:val="clear" w:color="auto" w:fill="auto"/>
            <w:vAlign w:val="center"/>
          </w:tcPr>
          <w:p w14:paraId="151FD09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WFX-220AEs</w:t>
            </w:r>
          </w:p>
        </w:tc>
        <w:tc>
          <w:tcPr>
            <w:tcW w:w="799" w:type="pct"/>
            <w:shd w:val="clear" w:color="auto" w:fill="auto"/>
            <w:vAlign w:val="center"/>
          </w:tcPr>
          <w:p w14:paraId="63BA54E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LX-YQ-</w:t>
            </w:r>
            <w:r>
              <w:rPr>
                <w:rFonts w:hint="eastAsia" w:ascii="Times New Roman" w:hAnsi="Times New Roman" w:eastAsia="宋体" w:cs="宋体"/>
                <w:color w:val="000000"/>
                <w:sz w:val="21"/>
                <w:szCs w:val="21"/>
                <w:lang w:val="en-US" w:eastAsia="zh-CN" w:bidi="ar"/>
              </w:rPr>
              <w:t>154</w:t>
            </w:r>
          </w:p>
        </w:tc>
      </w:tr>
      <w:tr w14:paraId="6548E63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continue"/>
            <w:vAlign w:val="center"/>
          </w:tcPr>
          <w:p w14:paraId="2902409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7BF8190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钠</w:t>
            </w:r>
          </w:p>
        </w:tc>
        <w:tc>
          <w:tcPr>
            <w:tcW w:w="1512" w:type="pct"/>
            <w:shd w:val="clear" w:color="auto" w:fill="auto"/>
            <w:vAlign w:val="center"/>
          </w:tcPr>
          <w:p w14:paraId="537F64C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水质 钾和钠的测定 火焰原子</w:t>
            </w:r>
          </w:p>
          <w:p w14:paraId="12C87E6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吸收分光光度法 GB 11904-1989</w:t>
            </w:r>
          </w:p>
        </w:tc>
        <w:tc>
          <w:tcPr>
            <w:tcW w:w="990" w:type="pct"/>
            <w:shd w:val="clear" w:color="auto" w:fill="auto"/>
            <w:vAlign w:val="center"/>
          </w:tcPr>
          <w:p w14:paraId="6AB3ED9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eastAsia" w:ascii="Times New Roman" w:hAnsi="Times New Roman" w:eastAsia="宋体" w:cs="宋体"/>
                <w:color w:val="000000"/>
                <w:sz w:val="21"/>
                <w:szCs w:val="21"/>
                <w:lang w:val="en-US" w:eastAsia="zh-CN" w:bidi="ar"/>
              </w:rPr>
              <w:t>原子吸收分光光度计</w:t>
            </w:r>
          </w:p>
        </w:tc>
        <w:tc>
          <w:tcPr>
            <w:tcW w:w="690" w:type="pct"/>
            <w:shd w:val="clear" w:color="auto" w:fill="auto"/>
            <w:vAlign w:val="center"/>
          </w:tcPr>
          <w:p w14:paraId="5AEC4BE1">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WFX-130A</w:t>
            </w:r>
          </w:p>
        </w:tc>
        <w:tc>
          <w:tcPr>
            <w:tcW w:w="799" w:type="pct"/>
            <w:shd w:val="clear" w:color="auto" w:fill="auto"/>
            <w:vAlign w:val="center"/>
          </w:tcPr>
          <w:p w14:paraId="3D642C2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bidi="ar"/>
              </w:rPr>
            </w:pPr>
            <w:r>
              <w:rPr>
                <w:rFonts w:hint="default" w:ascii="Times New Roman" w:hAnsi="Times New Roman" w:eastAsia="宋体" w:cs="宋体"/>
                <w:color w:val="000000"/>
                <w:sz w:val="21"/>
                <w:szCs w:val="21"/>
                <w:lang w:bidi="ar"/>
              </w:rPr>
              <w:t>LX-YQ-</w:t>
            </w:r>
            <w:r>
              <w:rPr>
                <w:rFonts w:hint="eastAsia" w:ascii="Times New Roman" w:hAnsi="Times New Roman" w:eastAsia="宋体" w:cs="宋体"/>
                <w:color w:val="000000"/>
                <w:sz w:val="21"/>
                <w:szCs w:val="21"/>
                <w:lang w:val="en-US" w:eastAsia="zh-CN" w:bidi="ar"/>
              </w:rPr>
              <w:t>37</w:t>
            </w:r>
          </w:p>
        </w:tc>
      </w:tr>
      <w:tr w14:paraId="382E6F7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continue"/>
            <w:vAlign w:val="center"/>
          </w:tcPr>
          <w:p w14:paraId="68B394EE">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74D604E2">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钙</w:t>
            </w:r>
          </w:p>
        </w:tc>
        <w:tc>
          <w:tcPr>
            <w:tcW w:w="1512" w:type="pct"/>
            <w:vMerge w:val="restart"/>
            <w:shd w:val="clear" w:color="auto" w:fill="auto"/>
            <w:vAlign w:val="center"/>
          </w:tcPr>
          <w:p w14:paraId="736DC0B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水质 钙和镁的测定 原子吸收</w:t>
            </w:r>
          </w:p>
          <w:p w14:paraId="47BB7CA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分光光度法 GB 11905-1989</w:t>
            </w:r>
          </w:p>
        </w:tc>
        <w:tc>
          <w:tcPr>
            <w:tcW w:w="990" w:type="pct"/>
            <w:vMerge w:val="restart"/>
            <w:shd w:val="clear" w:color="auto" w:fill="auto"/>
            <w:vAlign w:val="center"/>
          </w:tcPr>
          <w:p w14:paraId="46D3ACD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eastAsia" w:ascii="Times New Roman" w:hAnsi="Times New Roman" w:eastAsia="宋体" w:cs="宋体"/>
                <w:color w:val="000000"/>
                <w:sz w:val="21"/>
                <w:szCs w:val="21"/>
                <w:lang w:val="en-US" w:eastAsia="zh-CN" w:bidi="ar"/>
              </w:rPr>
              <w:t>原子吸收分光光度计</w:t>
            </w:r>
          </w:p>
        </w:tc>
        <w:tc>
          <w:tcPr>
            <w:tcW w:w="690" w:type="pct"/>
            <w:vMerge w:val="restart"/>
            <w:shd w:val="clear" w:color="auto" w:fill="auto"/>
            <w:vAlign w:val="center"/>
          </w:tcPr>
          <w:p w14:paraId="21D31A4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WFX-130A</w:t>
            </w:r>
          </w:p>
        </w:tc>
        <w:tc>
          <w:tcPr>
            <w:tcW w:w="799" w:type="pct"/>
            <w:vMerge w:val="restart"/>
            <w:shd w:val="clear" w:color="auto" w:fill="auto"/>
            <w:vAlign w:val="center"/>
          </w:tcPr>
          <w:p w14:paraId="4F0E70D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LX-YQ-</w:t>
            </w:r>
            <w:r>
              <w:rPr>
                <w:rFonts w:hint="eastAsia" w:ascii="Times New Roman" w:hAnsi="Times New Roman" w:eastAsia="宋体" w:cs="宋体"/>
                <w:color w:val="000000"/>
                <w:sz w:val="21"/>
                <w:szCs w:val="21"/>
                <w:lang w:val="en-US" w:eastAsia="zh-CN" w:bidi="ar"/>
              </w:rPr>
              <w:t>37</w:t>
            </w:r>
          </w:p>
        </w:tc>
      </w:tr>
      <w:tr w14:paraId="1E5B0EB1">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continue"/>
            <w:vAlign w:val="center"/>
          </w:tcPr>
          <w:p w14:paraId="0433E44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285D407A">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eastAsia" w:ascii="Times New Roman" w:hAnsi="Times New Roman" w:eastAsia="宋体" w:cs="宋体"/>
                <w:color w:val="000000"/>
                <w:sz w:val="21"/>
                <w:szCs w:val="21"/>
                <w:lang w:val="en-US" w:eastAsia="zh-CN" w:bidi="ar"/>
              </w:rPr>
              <w:t>镁</w:t>
            </w:r>
          </w:p>
        </w:tc>
        <w:tc>
          <w:tcPr>
            <w:tcW w:w="1512" w:type="pct"/>
            <w:vMerge w:val="continue"/>
            <w:shd w:val="clear" w:color="auto" w:fill="auto"/>
            <w:vAlign w:val="center"/>
          </w:tcPr>
          <w:p w14:paraId="465F0B1B">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p>
        </w:tc>
        <w:tc>
          <w:tcPr>
            <w:tcW w:w="990" w:type="pct"/>
            <w:vMerge w:val="continue"/>
            <w:shd w:val="clear" w:color="auto" w:fill="auto"/>
            <w:vAlign w:val="center"/>
          </w:tcPr>
          <w:p w14:paraId="39C93F7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p>
        </w:tc>
        <w:tc>
          <w:tcPr>
            <w:tcW w:w="690" w:type="pct"/>
            <w:vMerge w:val="continue"/>
            <w:shd w:val="clear" w:color="auto" w:fill="auto"/>
            <w:vAlign w:val="center"/>
          </w:tcPr>
          <w:p w14:paraId="0BC882F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p>
        </w:tc>
        <w:tc>
          <w:tcPr>
            <w:tcW w:w="799" w:type="pct"/>
            <w:vMerge w:val="continue"/>
            <w:shd w:val="clear" w:color="auto" w:fill="auto"/>
            <w:vAlign w:val="center"/>
          </w:tcPr>
          <w:p w14:paraId="0BD9F95F">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p>
        </w:tc>
      </w:tr>
      <w:tr w14:paraId="436D917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410" w:type="pct"/>
            <w:vMerge w:val="continue"/>
            <w:vAlign w:val="center"/>
          </w:tcPr>
          <w:p w14:paraId="1AC55DC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eastAsia" w:ascii="Times New Roman" w:hAnsi="Times New Roman" w:eastAsia="宋体" w:cs="宋体"/>
                <w:color w:val="000000"/>
                <w:sz w:val="21"/>
                <w:szCs w:val="21"/>
                <w:lang w:val="en-US" w:eastAsia="zh-CN" w:bidi="ar"/>
              </w:rPr>
            </w:pPr>
          </w:p>
        </w:tc>
        <w:tc>
          <w:tcPr>
            <w:tcW w:w="596" w:type="pct"/>
            <w:shd w:val="clear" w:color="auto" w:fill="auto"/>
            <w:vAlign w:val="center"/>
          </w:tcPr>
          <w:p w14:paraId="0DB23C09">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碱度</w:t>
            </w:r>
          </w:p>
        </w:tc>
        <w:tc>
          <w:tcPr>
            <w:tcW w:w="1512" w:type="pct"/>
            <w:shd w:val="clear" w:color="auto" w:fill="auto"/>
            <w:vAlign w:val="center"/>
          </w:tcPr>
          <w:p w14:paraId="6F1675A0">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碱度 酸碱指示剂滴定法《水和废水监测分析方法》(第四版)国家</w:t>
            </w:r>
          </w:p>
          <w:p w14:paraId="312F4B4C">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default" w:ascii="Times New Roman" w:hAnsi="Times New Roman" w:eastAsia="宋体" w:cs="宋体"/>
                <w:color w:val="000000"/>
                <w:sz w:val="21"/>
                <w:szCs w:val="21"/>
                <w:lang w:bidi="ar"/>
              </w:rPr>
              <w:t>环境保护总局 (2002年)</w:t>
            </w:r>
          </w:p>
        </w:tc>
        <w:tc>
          <w:tcPr>
            <w:tcW w:w="990" w:type="pct"/>
            <w:shd w:val="clear" w:color="auto" w:fill="auto"/>
            <w:vAlign w:val="center"/>
          </w:tcPr>
          <w:p w14:paraId="578C9983">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eastAsia="zh-CN" w:bidi="ar"/>
              </w:rPr>
            </w:pPr>
            <w:r>
              <w:rPr>
                <w:rFonts w:hint="default" w:ascii="Times New Roman" w:hAnsi="Times New Roman" w:eastAsia="宋体" w:cs="宋体"/>
                <w:color w:val="000000"/>
                <w:sz w:val="21"/>
                <w:szCs w:val="21"/>
                <w:lang w:bidi="ar"/>
              </w:rPr>
              <w:t>酸式滴定管</w:t>
            </w:r>
          </w:p>
        </w:tc>
        <w:tc>
          <w:tcPr>
            <w:tcW w:w="690" w:type="pct"/>
            <w:shd w:val="clear" w:color="auto" w:fill="auto"/>
            <w:vAlign w:val="center"/>
          </w:tcPr>
          <w:p w14:paraId="65784157">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val="en-US" w:eastAsia="zh-CN" w:bidi="ar"/>
              </w:rPr>
            </w:pPr>
            <w:r>
              <w:rPr>
                <w:rFonts w:hint="default" w:ascii="Times New Roman" w:hAnsi="Times New Roman" w:eastAsia="宋体" w:cs="宋体"/>
                <w:color w:val="000000"/>
                <w:sz w:val="21"/>
                <w:szCs w:val="21"/>
                <w:lang w:val="en-US" w:eastAsia="zh-CN" w:bidi="ar"/>
              </w:rPr>
              <w:t>25</w:t>
            </w:r>
            <w:r>
              <w:rPr>
                <w:rFonts w:hint="default" w:ascii="Times New Roman" w:hAnsi="Times New Roman" w:eastAsia="宋体" w:cs="宋体"/>
                <w:color w:val="000000"/>
                <w:sz w:val="21"/>
                <w:szCs w:val="21"/>
                <w:lang w:bidi="ar"/>
              </w:rPr>
              <w:t>mL</w:t>
            </w:r>
          </w:p>
        </w:tc>
        <w:tc>
          <w:tcPr>
            <w:tcW w:w="799" w:type="pct"/>
            <w:shd w:val="clear" w:color="auto" w:fill="auto"/>
            <w:vAlign w:val="center"/>
          </w:tcPr>
          <w:p w14:paraId="6DB3B2C4">
            <w:pPr>
              <w:keepNext w:val="0"/>
              <w:keepLines w:val="0"/>
              <w:pageBreakBefore w:val="0"/>
              <w:widowControl/>
              <w:kinsoku/>
              <w:wordWrap/>
              <w:overflowPunct/>
              <w:topLinePunct w:val="0"/>
              <w:bidi w:val="0"/>
              <w:adjustRightInd w:val="0"/>
              <w:spacing w:line="240" w:lineRule="auto"/>
              <w:ind w:firstLine="0" w:firstLineChars="0"/>
              <w:jc w:val="center"/>
              <w:textAlignment w:val="center"/>
              <w:rPr>
                <w:rFonts w:hint="default" w:ascii="Times New Roman" w:hAnsi="Times New Roman" w:eastAsia="宋体" w:cs="宋体"/>
                <w:color w:val="000000"/>
                <w:sz w:val="21"/>
                <w:szCs w:val="21"/>
                <w:lang w:bidi="ar"/>
              </w:rPr>
            </w:pPr>
            <w:r>
              <w:rPr>
                <w:rFonts w:hint="eastAsia" w:ascii="Times New Roman" w:hAnsi="Times New Roman" w:eastAsia="宋体" w:cs="宋体"/>
                <w:color w:val="000000"/>
                <w:sz w:val="21"/>
                <w:szCs w:val="21"/>
                <w:lang w:val="en-US" w:eastAsia="zh-CN" w:bidi="ar"/>
              </w:rPr>
              <w:t>/</w:t>
            </w:r>
          </w:p>
        </w:tc>
      </w:tr>
    </w:tbl>
    <w:p w14:paraId="2569BDF7">
      <w:pPr>
        <w:spacing w:line="360" w:lineRule="auto"/>
        <w:ind w:firstLine="480" w:firstLineChars="200"/>
        <w:rPr>
          <w:rFonts w:ascii="Times New Roman"/>
          <w:color w:val="000000"/>
        </w:rPr>
      </w:pPr>
      <w:r>
        <w:rPr>
          <w:rFonts w:ascii="Times New Roman"/>
          <w:color w:val="000000"/>
        </w:rPr>
        <w:t>（</w:t>
      </w:r>
      <w:r>
        <w:rPr>
          <w:rFonts w:hint="eastAsia" w:ascii="Times New Roman"/>
          <w:color w:val="000000"/>
        </w:rPr>
        <w:t>6</w:t>
      </w:r>
      <w:r>
        <w:rPr>
          <w:rFonts w:ascii="Times New Roman"/>
          <w:color w:val="000000"/>
        </w:rPr>
        <w:t>）监测结果分析</w:t>
      </w:r>
    </w:p>
    <w:p w14:paraId="7445FC7F">
      <w:pPr>
        <w:spacing w:line="360" w:lineRule="auto"/>
        <w:ind w:firstLine="480" w:firstLineChars="200"/>
        <w:rPr>
          <w:rFonts w:ascii="Times New Roman"/>
          <w:color w:val="000000"/>
        </w:rPr>
      </w:pPr>
      <w:r>
        <w:rPr>
          <w:rFonts w:ascii="Times New Roman"/>
          <w:color w:val="000000"/>
        </w:rPr>
        <w:t>水质检测结果见表4-</w:t>
      </w:r>
      <w:r>
        <w:rPr>
          <w:rFonts w:hint="eastAsia"/>
          <w:color w:val="000000"/>
          <w:lang w:val="en-US" w:eastAsia="zh-CN"/>
        </w:rPr>
        <w:t>2-12</w:t>
      </w:r>
      <w:r>
        <w:rPr>
          <w:rFonts w:ascii="Times New Roman"/>
          <w:color w:val="000000"/>
        </w:rPr>
        <w:t>。</w:t>
      </w:r>
    </w:p>
    <w:p w14:paraId="51D17CD5">
      <w:pPr>
        <w:spacing w:line="360" w:lineRule="auto"/>
        <w:jc w:val="center"/>
        <w:rPr>
          <w:rFonts w:hint="eastAsia" w:ascii="Times New Roman" w:eastAsia="黑体"/>
          <w:bCs/>
          <w:color w:val="000000"/>
        </w:rPr>
      </w:pPr>
      <w:r>
        <w:rPr>
          <w:rFonts w:ascii="Times New Roman" w:eastAsia="黑体"/>
          <w:bCs/>
          <w:color w:val="000000"/>
        </w:rPr>
        <w:t>表4-</w:t>
      </w:r>
      <w:r>
        <w:rPr>
          <w:rFonts w:hint="eastAsia" w:eastAsia="黑体"/>
          <w:bCs/>
          <w:color w:val="000000"/>
          <w:lang w:val="en-US" w:eastAsia="zh-CN"/>
        </w:rPr>
        <w:t>2-12</w:t>
      </w:r>
      <w:r>
        <w:rPr>
          <w:rFonts w:ascii="Times New Roman" w:eastAsia="黑体"/>
          <w:bCs/>
          <w:color w:val="000000"/>
        </w:rPr>
        <w:t xml:space="preserve">  本项目地</w:t>
      </w:r>
      <w:r>
        <w:rPr>
          <w:rFonts w:hint="eastAsia" w:ascii="Times New Roman" w:eastAsia="黑体"/>
          <w:bCs/>
          <w:color w:val="000000"/>
        </w:rPr>
        <w:t>下水检测结果一览表</w:t>
      </w:r>
      <w:bookmarkEnd w:id="232"/>
    </w:p>
    <w:tbl>
      <w:tblPr>
        <w:tblStyle w:val="50"/>
        <w:tblW w:w="4998" w:type="pct"/>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413"/>
        <w:gridCol w:w="1481"/>
        <w:gridCol w:w="1137"/>
        <w:gridCol w:w="1137"/>
        <w:gridCol w:w="1141"/>
      </w:tblGrid>
      <w:tr w14:paraId="783BF19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vMerge w:val="restart"/>
            <w:vAlign w:val="center"/>
          </w:tcPr>
          <w:p w14:paraId="3A7C7ED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b/>
                <w:bCs/>
                <w:color w:val="auto"/>
                <w:sz w:val="21"/>
                <w:szCs w:val="21"/>
                <w:highlight w:val="none"/>
              </w:rPr>
              <w:t>检测项目</w:t>
            </w:r>
          </w:p>
        </w:tc>
        <w:tc>
          <w:tcPr>
            <w:tcW w:w="891" w:type="pct"/>
            <w:vMerge w:val="restart"/>
            <w:vAlign w:val="center"/>
          </w:tcPr>
          <w:p w14:paraId="6316CE5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val="0"/>
                <w:bCs w:val="0"/>
                <w:color w:val="auto"/>
                <w:sz w:val="21"/>
                <w:szCs w:val="21"/>
                <w:lang w:val="en-US" w:eastAsia="zh-CN"/>
              </w:rPr>
            </w:pPr>
            <w:r>
              <w:rPr>
                <w:rFonts w:hint="default" w:ascii="Times New Roman" w:hAnsi="Times New Roman" w:cs="Times New Roman"/>
                <w:b/>
                <w:bCs/>
                <w:color w:val="auto"/>
                <w:sz w:val="21"/>
                <w:szCs w:val="21"/>
                <w:highlight w:val="none"/>
              </w:rPr>
              <w:t>单位</w:t>
            </w:r>
          </w:p>
        </w:tc>
        <w:tc>
          <w:tcPr>
            <w:tcW w:w="2054" w:type="pct"/>
            <w:gridSpan w:val="3"/>
            <w:vAlign w:val="center"/>
          </w:tcPr>
          <w:p w14:paraId="79A9147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bCs/>
                <w:color w:val="auto"/>
                <w:sz w:val="21"/>
                <w:szCs w:val="21"/>
                <w:highlight w:val="none"/>
                <w:lang w:val="en-US" w:eastAsia="zh-CN"/>
              </w:rPr>
            </w:pPr>
            <w:r>
              <w:rPr>
                <w:rFonts w:hint="default" w:ascii="Times New Roman" w:hAnsi="Times New Roman" w:cs="Times New Roman"/>
                <w:b/>
                <w:bCs/>
                <w:color w:val="auto"/>
                <w:sz w:val="21"/>
                <w:szCs w:val="21"/>
                <w:highlight w:val="none"/>
                <w:lang w:val="en-US" w:eastAsia="zh-CN"/>
              </w:rPr>
              <w:t>采样点位及</w:t>
            </w:r>
            <w:r>
              <w:rPr>
                <w:rFonts w:hint="default" w:ascii="Times New Roman" w:hAnsi="Times New Roman" w:cs="Times New Roman"/>
                <w:b/>
                <w:bCs/>
                <w:color w:val="auto"/>
                <w:sz w:val="21"/>
                <w:szCs w:val="21"/>
                <w:highlight w:val="none"/>
              </w:rPr>
              <w:t>检测结果</w:t>
            </w:r>
          </w:p>
        </w:tc>
      </w:tr>
      <w:tr w14:paraId="4163438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vMerge w:val="continue"/>
            <w:vAlign w:val="center"/>
          </w:tcPr>
          <w:p w14:paraId="402658D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p>
        </w:tc>
        <w:tc>
          <w:tcPr>
            <w:tcW w:w="891" w:type="pct"/>
            <w:vMerge w:val="continue"/>
            <w:vAlign w:val="center"/>
          </w:tcPr>
          <w:p w14:paraId="07EA0CD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p>
        </w:tc>
        <w:tc>
          <w:tcPr>
            <w:tcW w:w="684" w:type="pct"/>
            <w:vAlign w:val="center"/>
          </w:tcPr>
          <w:p w14:paraId="055F547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b/>
                <w:bCs/>
                <w:sz w:val="21"/>
                <w:szCs w:val="21"/>
                <w:lang w:val="en-US" w:eastAsia="zh-CN"/>
              </w:rPr>
              <w:t>1#</w:t>
            </w:r>
          </w:p>
        </w:tc>
        <w:tc>
          <w:tcPr>
            <w:tcW w:w="684" w:type="pct"/>
            <w:vAlign w:val="center"/>
          </w:tcPr>
          <w:p w14:paraId="109BE3D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2#</w:t>
            </w:r>
          </w:p>
        </w:tc>
        <w:tc>
          <w:tcPr>
            <w:tcW w:w="685" w:type="pct"/>
            <w:vAlign w:val="center"/>
          </w:tcPr>
          <w:p w14:paraId="5F7AB18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3#</w:t>
            </w:r>
          </w:p>
        </w:tc>
      </w:tr>
      <w:tr w14:paraId="171C0C1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vAlign w:val="center"/>
          </w:tcPr>
          <w:p w14:paraId="584050C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pH值</w:t>
            </w:r>
          </w:p>
        </w:tc>
        <w:tc>
          <w:tcPr>
            <w:tcW w:w="891" w:type="pct"/>
            <w:vAlign w:val="center"/>
          </w:tcPr>
          <w:p w14:paraId="2597485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无量纲</w:t>
            </w:r>
          </w:p>
        </w:tc>
        <w:tc>
          <w:tcPr>
            <w:tcW w:w="684" w:type="pct"/>
            <w:shd w:val="clear" w:color="auto" w:fill="auto"/>
            <w:vAlign w:val="center"/>
          </w:tcPr>
          <w:p w14:paraId="484D2EF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7.4</w:t>
            </w:r>
          </w:p>
        </w:tc>
        <w:tc>
          <w:tcPr>
            <w:tcW w:w="684" w:type="pct"/>
            <w:shd w:val="clear" w:color="auto" w:fill="auto"/>
            <w:vAlign w:val="center"/>
          </w:tcPr>
          <w:p w14:paraId="11CFB7D4">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7.3</w:t>
            </w:r>
          </w:p>
        </w:tc>
        <w:tc>
          <w:tcPr>
            <w:tcW w:w="685" w:type="pct"/>
            <w:shd w:val="clear" w:color="auto" w:fill="auto"/>
            <w:vAlign w:val="center"/>
          </w:tcPr>
          <w:p w14:paraId="3A5104E4">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7.3</w:t>
            </w:r>
          </w:p>
        </w:tc>
      </w:tr>
      <w:tr w14:paraId="6931470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vAlign w:val="center"/>
          </w:tcPr>
          <w:p w14:paraId="18EA3F0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p w14:paraId="49ACFD4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（以N计）</w:t>
            </w:r>
          </w:p>
        </w:tc>
        <w:tc>
          <w:tcPr>
            <w:tcW w:w="891" w:type="pct"/>
            <w:vAlign w:val="center"/>
          </w:tcPr>
          <w:p w14:paraId="280F3BE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val="0"/>
                <w:bCs w:val="0"/>
                <w:color w:val="auto"/>
                <w:sz w:val="21"/>
                <w:szCs w:val="21"/>
                <w:lang w:val="en-US" w:eastAsia="zh-CN"/>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2F073D91">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0.077</w:t>
            </w:r>
          </w:p>
        </w:tc>
        <w:tc>
          <w:tcPr>
            <w:tcW w:w="684" w:type="pct"/>
            <w:shd w:val="clear" w:color="auto" w:fill="auto"/>
            <w:vAlign w:val="center"/>
          </w:tcPr>
          <w:p w14:paraId="11DD0585">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0.086</w:t>
            </w:r>
          </w:p>
        </w:tc>
        <w:tc>
          <w:tcPr>
            <w:tcW w:w="685" w:type="pct"/>
            <w:shd w:val="clear" w:color="auto" w:fill="auto"/>
            <w:vAlign w:val="center"/>
          </w:tcPr>
          <w:p w14:paraId="2451F60B">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0.077</w:t>
            </w:r>
          </w:p>
        </w:tc>
      </w:tr>
      <w:tr w14:paraId="2A6E3AF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vAlign w:val="center"/>
          </w:tcPr>
          <w:p w14:paraId="4606ECF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硝酸盐</w:t>
            </w:r>
          </w:p>
          <w:p w14:paraId="5D39F3B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（以N计）</w:t>
            </w:r>
          </w:p>
        </w:tc>
        <w:tc>
          <w:tcPr>
            <w:tcW w:w="891" w:type="pct"/>
            <w:vAlign w:val="center"/>
          </w:tcPr>
          <w:p w14:paraId="313C770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val="0"/>
                <w:bCs w:val="0"/>
                <w:color w:val="auto"/>
                <w:sz w:val="21"/>
                <w:szCs w:val="21"/>
                <w:lang w:val="en-US" w:eastAsia="zh-CN"/>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2B6BDA15">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684" w:type="pct"/>
            <w:shd w:val="clear" w:color="auto" w:fill="auto"/>
            <w:vAlign w:val="center"/>
          </w:tcPr>
          <w:p w14:paraId="6DFFB51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685" w:type="pct"/>
            <w:shd w:val="clear" w:color="auto" w:fill="auto"/>
            <w:vAlign w:val="center"/>
          </w:tcPr>
          <w:p w14:paraId="143EC7B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1.2</w:t>
            </w:r>
          </w:p>
        </w:tc>
      </w:tr>
      <w:tr w14:paraId="6626FD31">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vAlign w:val="center"/>
          </w:tcPr>
          <w:p w14:paraId="76EF31B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亚硝酸盐</w:t>
            </w:r>
          </w:p>
          <w:p w14:paraId="22CBE5A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（以N计）</w:t>
            </w:r>
          </w:p>
        </w:tc>
        <w:tc>
          <w:tcPr>
            <w:tcW w:w="891" w:type="pct"/>
            <w:vAlign w:val="center"/>
          </w:tcPr>
          <w:p w14:paraId="2A0090A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val="0"/>
                <w:bCs w:val="0"/>
                <w:color w:val="auto"/>
                <w:sz w:val="21"/>
                <w:szCs w:val="21"/>
                <w:lang w:val="en-US" w:eastAsia="zh-CN"/>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3B701459">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0.009</w:t>
            </w:r>
          </w:p>
        </w:tc>
        <w:tc>
          <w:tcPr>
            <w:tcW w:w="684" w:type="pct"/>
            <w:shd w:val="clear" w:color="auto" w:fill="auto"/>
            <w:vAlign w:val="center"/>
          </w:tcPr>
          <w:p w14:paraId="785EDD75">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0.007</w:t>
            </w:r>
          </w:p>
        </w:tc>
        <w:tc>
          <w:tcPr>
            <w:tcW w:w="685" w:type="pct"/>
            <w:shd w:val="clear" w:color="auto" w:fill="auto"/>
            <w:vAlign w:val="center"/>
          </w:tcPr>
          <w:p w14:paraId="432B4A5C">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0.006</w:t>
            </w:r>
          </w:p>
        </w:tc>
      </w:tr>
      <w:tr w14:paraId="75C60DD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6CDC07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挥发性酚类</w:t>
            </w:r>
          </w:p>
          <w:p w14:paraId="55261D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（以苯酚计）</w:t>
            </w:r>
          </w:p>
        </w:tc>
        <w:tc>
          <w:tcPr>
            <w:tcW w:w="891" w:type="pct"/>
            <w:shd w:val="clear" w:color="auto" w:fill="auto"/>
            <w:vAlign w:val="center"/>
          </w:tcPr>
          <w:p w14:paraId="64426CF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4F7DE03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0.0003L</w:t>
            </w:r>
          </w:p>
        </w:tc>
        <w:tc>
          <w:tcPr>
            <w:tcW w:w="684" w:type="pct"/>
            <w:shd w:val="clear" w:color="auto" w:fill="auto"/>
            <w:vAlign w:val="center"/>
          </w:tcPr>
          <w:p w14:paraId="6DE0E57C">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0.0003L</w:t>
            </w:r>
          </w:p>
        </w:tc>
        <w:tc>
          <w:tcPr>
            <w:tcW w:w="685" w:type="pct"/>
            <w:shd w:val="clear" w:color="auto" w:fill="auto"/>
            <w:vAlign w:val="center"/>
          </w:tcPr>
          <w:p w14:paraId="4891FDD2">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0.0003L</w:t>
            </w:r>
          </w:p>
        </w:tc>
      </w:tr>
      <w:tr w14:paraId="061902F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4C8569F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氰化物</w:t>
            </w:r>
          </w:p>
        </w:tc>
        <w:tc>
          <w:tcPr>
            <w:tcW w:w="891" w:type="pct"/>
            <w:shd w:val="clear" w:color="auto" w:fill="auto"/>
            <w:vAlign w:val="center"/>
          </w:tcPr>
          <w:p w14:paraId="11DBA03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58DB5505">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0.002L</w:t>
            </w:r>
          </w:p>
        </w:tc>
        <w:tc>
          <w:tcPr>
            <w:tcW w:w="684" w:type="pct"/>
            <w:shd w:val="clear" w:color="auto" w:fill="auto"/>
            <w:vAlign w:val="center"/>
          </w:tcPr>
          <w:p w14:paraId="1E9CF73D">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0.002L</w:t>
            </w:r>
          </w:p>
        </w:tc>
        <w:tc>
          <w:tcPr>
            <w:tcW w:w="685" w:type="pct"/>
            <w:shd w:val="clear" w:color="auto" w:fill="auto"/>
            <w:vAlign w:val="center"/>
          </w:tcPr>
          <w:p w14:paraId="669315AE">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0.002L</w:t>
            </w:r>
          </w:p>
        </w:tc>
      </w:tr>
      <w:tr w14:paraId="44D941D7">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5B27955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砷</w:t>
            </w:r>
          </w:p>
        </w:tc>
        <w:tc>
          <w:tcPr>
            <w:tcW w:w="891" w:type="pct"/>
            <w:shd w:val="clear" w:color="auto" w:fill="auto"/>
            <w:vAlign w:val="center"/>
          </w:tcPr>
          <w:p w14:paraId="5499200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7B0DB64A">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0.0003L</w:t>
            </w:r>
          </w:p>
        </w:tc>
        <w:tc>
          <w:tcPr>
            <w:tcW w:w="684" w:type="pct"/>
            <w:shd w:val="clear" w:color="auto" w:fill="auto"/>
            <w:vAlign w:val="center"/>
          </w:tcPr>
          <w:p w14:paraId="5E468B82">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0.0003L</w:t>
            </w:r>
          </w:p>
        </w:tc>
        <w:tc>
          <w:tcPr>
            <w:tcW w:w="685" w:type="pct"/>
            <w:shd w:val="clear" w:color="auto" w:fill="auto"/>
            <w:vAlign w:val="center"/>
          </w:tcPr>
          <w:p w14:paraId="36277489">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0.0003L</w:t>
            </w:r>
          </w:p>
        </w:tc>
      </w:tr>
      <w:tr w14:paraId="52B690D1">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3F53BEC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汞</w:t>
            </w:r>
          </w:p>
        </w:tc>
        <w:tc>
          <w:tcPr>
            <w:tcW w:w="891" w:type="pct"/>
            <w:shd w:val="clear" w:color="auto" w:fill="auto"/>
            <w:vAlign w:val="center"/>
          </w:tcPr>
          <w:p w14:paraId="5A0C923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621651F7">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0.00004L</w:t>
            </w:r>
          </w:p>
        </w:tc>
        <w:tc>
          <w:tcPr>
            <w:tcW w:w="684" w:type="pct"/>
            <w:shd w:val="clear" w:color="auto" w:fill="auto"/>
            <w:vAlign w:val="center"/>
          </w:tcPr>
          <w:p w14:paraId="34F13D33">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0.00004L</w:t>
            </w:r>
          </w:p>
        </w:tc>
        <w:tc>
          <w:tcPr>
            <w:tcW w:w="685" w:type="pct"/>
            <w:shd w:val="clear" w:color="auto" w:fill="auto"/>
            <w:vAlign w:val="center"/>
          </w:tcPr>
          <w:p w14:paraId="415BFB6F">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0.00004L</w:t>
            </w:r>
          </w:p>
        </w:tc>
      </w:tr>
      <w:tr w14:paraId="186AEA5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0654E1F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铬（六价）</w:t>
            </w:r>
          </w:p>
        </w:tc>
        <w:tc>
          <w:tcPr>
            <w:tcW w:w="891" w:type="pct"/>
            <w:shd w:val="clear" w:color="auto" w:fill="auto"/>
            <w:vAlign w:val="center"/>
          </w:tcPr>
          <w:p w14:paraId="6B81558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46D163D8">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0.004L</w:t>
            </w:r>
          </w:p>
        </w:tc>
        <w:tc>
          <w:tcPr>
            <w:tcW w:w="684" w:type="pct"/>
            <w:shd w:val="clear" w:color="auto" w:fill="auto"/>
            <w:vAlign w:val="center"/>
          </w:tcPr>
          <w:p w14:paraId="64D1D28D">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0.004L</w:t>
            </w:r>
          </w:p>
        </w:tc>
        <w:tc>
          <w:tcPr>
            <w:tcW w:w="685" w:type="pct"/>
            <w:shd w:val="clear" w:color="auto" w:fill="auto"/>
            <w:vAlign w:val="center"/>
          </w:tcPr>
          <w:p w14:paraId="6C5E9D1D">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0.004L</w:t>
            </w:r>
          </w:p>
        </w:tc>
      </w:tr>
      <w:tr w14:paraId="705D5A7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567E10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总硬度</w:t>
            </w:r>
          </w:p>
          <w:p w14:paraId="50B431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（以CaCO</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3</w:t>
            </w:r>
            <w:r>
              <w:rPr>
                <w:rFonts w:hint="default" w:ascii="Times New Roman" w:hAnsi="Times New Roman" w:eastAsia="宋体" w:cs="Times New Roman"/>
                <w:i w:val="0"/>
                <w:iCs w:val="0"/>
                <w:color w:val="auto"/>
                <w:kern w:val="0"/>
                <w:sz w:val="21"/>
                <w:szCs w:val="21"/>
                <w:highlight w:val="none"/>
                <w:u w:val="none"/>
                <w:lang w:val="en-US" w:eastAsia="zh-CN" w:bidi="ar"/>
              </w:rPr>
              <w:t>计）</w:t>
            </w:r>
          </w:p>
        </w:tc>
        <w:tc>
          <w:tcPr>
            <w:tcW w:w="891" w:type="pct"/>
            <w:shd w:val="clear" w:color="auto" w:fill="auto"/>
            <w:vAlign w:val="center"/>
          </w:tcPr>
          <w:p w14:paraId="0FC0138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041CC8E1">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218</w:t>
            </w:r>
          </w:p>
        </w:tc>
        <w:tc>
          <w:tcPr>
            <w:tcW w:w="684" w:type="pct"/>
            <w:shd w:val="clear" w:color="auto" w:fill="auto"/>
            <w:vAlign w:val="center"/>
          </w:tcPr>
          <w:p w14:paraId="0B4F240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178</w:t>
            </w:r>
          </w:p>
        </w:tc>
        <w:tc>
          <w:tcPr>
            <w:tcW w:w="685" w:type="pct"/>
            <w:shd w:val="clear" w:color="auto" w:fill="auto"/>
            <w:vAlign w:val="center"/>
          </w:tcPr>
          <w:p w14:paraId="7097EDB5">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181</w:t>
            </w:r>
          </w:p>
        </w:tc>
      </w:tr>
      <w:tr w14:paraId="2D7EC83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1E1CBA0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铅</w:t>
            </w:r>
          </w:p>
        </w:tc>
        <w:tc>
          <w:tcPr>
            <w:tcW w:w="891" w:type="pct"/>
            <w:shd w:val="clear" w:color="auto" w:fill="auto"/>
            <w:vAlign w:val="center"/>
          </w:tcPr>
          <w:p w14:paraId="22F7FD0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4AFE3193">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0.0025L</w:t>
            </w:r>
          </w:p>
        </w:tc>
        <w:tc>
          <w:tcPr>
            <w:tcW w:w="684" w:type="pct"/>
            <w:shd w:val="clear" w:color="auto" w:fill="auto"/>
            <w:vAlign w:val="center"/>
          </w:tcPr>
          <w:p w14:paraId="6DFB6CFB">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0.0025L</w:t>
            </w:r>
          </w:p>
        </w:tc>
        <w:tc>
          <w:tcPr>
            <w:tcW w:w="685" w:type="pct"/>
            <w:shd w:val="clear" w:color="auto" w:fill="auto"/>
            <w:vAlign w:val="center"/>
          </w:tcPr>
          <w:p w14:paraId="08974B75">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0.0025L</w:t>
            </w:r>
          </w:p>
        </w:tc>
      </w:tr>
      <w:tr w14:paraId="6BA7B691">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16D7A3D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氟化物</w:t>
            </w:r>
          </w:p>
        </w:tc>
        <w:tc>
          <w:tcPr>
            <w:tcW w:w="891" w:type="pct"/>
            <w:shd w:val="clear" w:color="auto" w:fill="auto"/>
            <w:vAlign w:val="center"/>
          </w:tcPr>
          <w:p w14:paraId="6AD7B00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0B6EBF24">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0.19</w:t>
            </w:r>
          </w:p>
        </w:tc>
        <w:tc>
          <w:tcPr>
            <w:tcW w:w="684" w:type="pct"/>
            <w:shd w:val="clear" w:color="auto" w:fill="auto"/>
            <w:vAlign w:val="center"/>
          </w:tcPr>
          <w:p w14:paraId="573121D1">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0.17</w:t>
            </w:r>
          </w:p>
        </w:tc>
        <w:tc>
          <w:tcPr>
            <w:tcW w:w="685" w:type="pct"/>
            <w:shd w:val="clear" w:color="auto" w:fill="auto"/>
            <w:vAlign w:val="center"/>
          </w:tcPr>
          <w:p w14:paraId="1B4BA607">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0.16</w:t>
            </w:r>
          </w:p>
        </w:tc>
      </w:tr>
      <w:tr w14:paraId="66188B07">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6A576F7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镉</w:t>
            </w:r>
          </w:p>
        </w:tc>
        <w:tc>
          <w:tcPr>
            <w:tcW w:w="891" w:type="pct"/>
            <w:shd w:val="clear" w:color="auto" w:fill="auto"/>
            <w:vAlign w:val="center"/>
          </w:tcPr>
          <w:p w14:paraId="562B3DD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7B143DEE">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0.0005L</w:t>
            </w:r>
          </w:p>
        </w:tc>
        <w:tc>
          <w:tcPr>
            <w:tcW w:w="684" w:type="pct"/>
            <w:shd w:val="clear" w:color="auto" w:fill="auto"/>
            <w:vAlign w:val="center"/>
          </w:tcPr>
          <w:p w14:paraId="732275AE">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0.0005L</w:t>
            </w:r>
          </w:p>
        </w:tc>
        <w:tc>
          <w:tcPr>
            <w:tcW w:w="685" w:type="pct"/>
            <w:shd w:val="clear" w:color="auto" w:fill="auto"/>
            <w:vAlign w:val="center"/>
          </w:tcPr>
          <w:p w14:paraId="10C8ED3E">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0.0005L</w:t>
            </w:r>
          </w:p>
        </w:tc>
      </w:tr>
      <w:tr w14:paraId="712DF9E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0D027F2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铁</w:t>
            </w:r>
          </w:p>
        </w:tc>
        <w:tc>
          <w:tcPr>
            <w:tcW w:w="891" w:type="pct"/>
            <w:shd w:val="clear" w:color="auto" w:fill="auto"/>
            <w:vAlign w:val="center"/>
          </w:tcPr>
          <w:p w14:paraId="017E3E7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683E8CAF">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0.08</w:t>
            </w:r>
          </w:p>
        </w:tc>
        <w:tc>
          <w:tcPr>
            <w:tcW w:w="684" w:type="pct"/>
            <w:shd w:val="clear" w:color="auto" w:fill="auto"/>
            <w:vAlign w:val="center"/>
          </w:tcPr>
          <w:p w14:paraId="4480B39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0.07</w:t>
            </w:r>
          </w:p>
        </w:tc>
        <w:tc>
          <w:tcPr>
            <w:tcW w:w="685" w:type="pct"/>
            <w:shd w:val="clear" w:color="auto" w:fill="auto"/>
            <w:vAlign w:val="center"/>
          </w:tcPr>
          <w:p w14:paraId="6E6DE93B">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0.15</w:t>
            </w:r>
          </w:p>
        </w:tc>
      </w:tr>
      <w:tr w14:paraId="7DC67BE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5A3E3EB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锰</w:t>
            </w:r>
          </w:p>
        </w:tc>
        <w:tc>
          <w:tcPr>
            <w:tcW w:w="891" w:type="pct"/>
            <w:shd w:val="clear" w:color="auto" w:fill="auto"/>
            <w:vAlign w:val="center"/>
          </w:tcPr>
          <w:p w14:paraId="4CF225A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421299E8">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0.04</w:t>
            </w:r>
          </w:p>
        </w:tc>
        <w:tc>
          <w:tcPr>
            <w:tcW w:w="684" w:type="pct"/>
            <w:shd w:val="clear" w:color="auto" w:fill="auto"/>
            <w:vAlign w:val="center"/>
          </w:tcPr>
          <w:p w14:paraId="24A0FB4A">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0.05</w:t>
            </w:r>
          </w:p>
        </w:tc>
        <w:tc>
          <w:tcPr>
            <w:tcW w:w="685" w:type="pct"/>
            <w:shd w:val="clear" w:color="auto" w:fill="auto"/>
            <w:vAlign w:val="center"/>
          </w:tcPr>
          <w:p w14:paraId="7ACADAC3">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0.41</w:t>
            </w:r>
          </w:p>
        </w:tc>
      </w:tr>
      <w:tr w14:paraId="71C93B6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5AE2918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溶解性</w:t>
            </w:r>
          </w:p>
          <w:p w14:paraId="6B43C81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总固体</w:t>
            </w:r>
          </w:p>
        </w:tc>
        <w:tc>
          <w:tcPr>
            <w:tcW w:w="891" w:type="pct"/>
            <w:shd w:val="clear" w:color="auto" w:fill="auto"/>
            <w:vAlign w:val="center"/>
          </w:tcPr>
          <w:p w14:paraId="4834DFF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shd w:val="clear" w:color="auto" w:fill="auto"/>
            <w:vAlign w:val="center"/>
          </w:tcPr>
          <w:p w14:paraId="42E53D5A">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4</w:t>
            </w:r>
            <w:r>
              <w:rPr>
                <w:rFonts w:hint="eastAsia" w:ascii="Times New Roman" w:hAnsi="Times New Roman" w:eastAsia="宋体" w:cs="Times New Roman"/>
                <w:i w:val="0"/>
                <w:iCs w:val="0"/>
                <w:color w:val="000000"/>
                <w:kern w:val="0"/>
                <w:sz w:val="21"/>
                <w:szCs w:val="21"/>
                <w:u w:val="none"/>
                <w:lang w:val="en-US" w:eastAsia="zh-CN" w:bidi="ar"/>
              </w:rPr>
              <w:t>0</w:t>
            </w:r>
            <w:r>
              <w:rPr>
                <w:rFonts w:hint="default" w:ascii="Times New Roman" w:hAnsi="Times New Roman" w:eastAsia="宋体" w:cs="Times New Roman"/>
                <w:i w:val="0"/>
                <w:iCs w:val="0"/>
                <w:color w:val="000000"/>
                <w:kern w:val="0"/>
                <w:sz w:val="21"/>
                <w:szCs w:val="21"/>
                <w:u w:val="none"/>
                <w:lang w:val="en-US" w:eastAsia="zh-CN" w:bidi="ar"/>
              </w:rPr>
              <w:t>1</w:t>
            </w:r>
          </w:p>
        </w:tc>
        <w:tc>
          <w:tcPr>
            <w:tcW w:w="684" w:type="pct"/>
            <w:shd w:val="clear" w:color="auto" w:fill="auto"/>
            <w:vAlign w:val="center"/>
          </w:tcPr>
          <w:p w14:paraId="66F2CB9B">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Style w:val="507"/>
                <w:rFonts w:hint="default" w:ascii="Times New Roman" w:hAnsi="Times New Roman" w:cs="Times New Roman"/>
                <w:color w:val="auto"/>
                <w:sz w:val="21"/>
                <w:szCs w:val="21"/>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w:t>
            </w:r>
            <w:r>
              <w:rPr>
                <w:rFonts w:hint="eastAsia" w:ascii="Times New Roman" w:hAnsi="Times New Roman" w:eastAsia="宋体" w:cs="Times New Roman"/>
                <w:i w:val="0"/>
                <w:iCs w:val="0"/>
                <w:color w:val="000000"/>
                <w:kern w:val="0"/>
                <w:sz w:val="21"/>
                <w:szCs w:val="21"/>
                <w:u w:val="none"/>
                <w:lang w:val="en-US" w:eastAsia="zh-CN" w:bidi="ar"/>
              </w:rPr>
              <w:t>05</w:t>
            </w:r>
          </w:p>
        </w:tc>
        <w:tc>
          <w:tcPr>
            <w:tcW w:w="685" w:type="pct"/>
            <w:shd w:val="clear" w:color="auto" w:fill="auto"/>
            <w:vAlign w:val="center"/>
          </w:tcPr>
          <w:p w14:paraId="602A1EB2">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Style w:val="507"/>
                <w:rFonts w:hint="default" w:ascii="Times New Roman" w:hAnsi="Times New Roman" w:cs="Times New Roman"/>
                <w:color w:val="auto"/>
                <w:sz w:val="21"/>
                <w:szCs w:val="21"/>
                <w:lang w:val="en-US" w:eastAsia="zh-CN" w:bidi="ar"/>
              </w:rPr>
            </w:pPr>
            <w:r>
              <w:rPr>
                <w:rStyle w:val="507"/>
                <w:rFonts w:hint="default" w:ascii="Times New Roman" w:hAnsi="Times New Roman" w:cs="Times New Roman"/>
                <w:color w:val="auto"/>
                <w:sz w:val="21"/>
                <w:szCs w:val="21"/>
                <w:lang w:val="en-US" w:eastAsia="zh-CN" w:bidi="ar"/>
              </w:rPr>
              <w:t>434</w:t>
            </w:r>
          </w:p>
        </w:tc>
      </w:tr>
      <w:tr w14:paraId="1FCA242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33C6B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耗氧量（COD</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Mn</w:t>
            </w:r>
            <w:r>
              <w:rPr>
                <w:rFonts w:hint="default" w:ascii="Times New Roman" w:hAnsi="Times New Roman" w:eastAsia="宋体" w:cs="Times New Roman"/>
                <w:i w:val="0"/>
                <w:iCs w:val="0"/>
                <w:color w:val="auto"/>
                <w:kern w:val="0"/>
                <w:sz w:val="21"/>
                <w:szCs w:val="21"/>
                <w:highlight w:val="none"/>
                <w:u w:val="none"/>
                <w:lang w:val="en-US" w:eastAsia="zh-CN" w:bidi="ar"/>
              </w:rPr>
              <w:t>法，以O</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计）</w:t>
            </w:r>
          </w:p>
        </w:tc>
        <w:tc>
          <w:tcPr>
            <w:tcW w:w="891" w:type="pct"/>
            <w:shd w:val="clear" w:color="auto" w:fill="auto"/>
            <w:vAlign w:val="center"/>
          </w:tcPr>
          <w:p w14:paraId="524FDBF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684" w:type="pct"/>
            <w:vAlign w:val="center"/>
          </w:tcPr>
          <w:p w14:paraId="19E34387">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684" w:type="pct"/>
            <w:vAlign w:val="center"/>
          </w:tcPr>
          <w:p w14:paraId="202F536A">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2.1</w:t>
            </w:r>
          </w:p>
        </w:tc>
        <w:tc>
          <w:tcPr>
            <w:tcW w:w="685" w:type="pct"/>
            <w:vAlign w:val="center"/>
          </w:tcPr>
          <w:p w14:paraId="70D6C52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1.5</w:t>
            </w:r>
          </w:p>
        </w:tc>
      </w:tr>
      <w:tr w14:paraId="4873692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vAlign w:val="center"/>
          </w:tcPr>
          <w:p w14:paraId="38F2240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硫酸盐</w:t>
            </w:r>
          </w:p>
        </w:tc>
        <w:tc>
          <w:tcPr>
            <w:tcW w:w="891" w:type="pct"/>
            <w:vAlign w:val="center"/>
          </w:tcPr>
          <w:p w14:paraId="1F4A481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val="0"/>
                <w:bCs w:val="0"/>
                <w:color w:val="auto"/>
                <w:sz w:val="21"/>
                <w:szCs w:val="21"/>
                <w:lang w:val="en-US" w:eastAsia="zh-CN"/>
              </w:rPr>
            </w:pPr>
            <w:r>
              <w:rPr>
                <w:rFonts w:hint="default" w:ascii="Times New Roman" w:hAnsi="Times New Roman" w:cs="Times New Roman"/>
                <w:color w:val="auto"/>
                <w:sz w:val="21"/>
                <w:szCs w:val="21"/>
                <w:highlight w:val="none"/>
              </w:rPr>
              <w:t>mg/L</w:t>
            </w:r>
          </w:p>
        </w:tc>
        <w:tc>
          <w:tcPr>
            <w:tcW w:w="684" w:type="pct"/>
            <w:vAlign w:val="center"/>
          </w:tcPr>
          <w:p w14:paraId="3991D86C">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89</w:t>
            </w:r>
          </w:p>
        </w:tc>
        <w:tc>
          <w:tcPr>
            <w:tcW w:w="684" w:type="pct"/>
            <w:vAlign w:val="center"/>
          </w:tcPr>
          <w:p w14:paraId="75BD7D21">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Style w:val="507"/>
                <w:rFonts w:hint="default" w:ascii="Times New Roman" w:hAnsi="Times New Roman" w:cs="Times New Roman"/>
                <w:color w:val="auto"/>
                <w:sz w:val="21"/>
                <w:szCs w:val="21"/>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92</w:t>
            </w:r>
          </w:p>
        </w:tc>
        <w:tc>
          <w:tcPr>
            <w:tcW w:w="685" w:type="pct"/>
            <w:vAlign w:val="center"/>
          </w:tcPr>
          <w:p w14:paraId="662467D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Style w:val="507"/>
                <w:rFonts w:hint="default" w:ascii="Times New Roman" w:hAnsi="Times New Roman" w:cs="Times New Roman"/>
                <w:color w:val="auto"/>
                <w:sz w:val="21"/>
                <w:szCs w:val="21"/>
                <w:lang w:val="en-US" w:eastAsia="zh-CN" w:bidi="ar"/>
              </w:rPr>
            </w:pPr>
            <w:r>
              <w:rPr>
                <w:rStyle w:val="507"/>
                <w:rFonts w:hint="default" w:ascii="Times New Roman" w:hAnsi="Times New Roman" w:cs="Times New Roman"/>
                <w:color w:val="auto"/>
                <w:sz w:val="21"/>
                <w:szCs w:val="21"/>
                <w:lang w:val="en-US" w:eastAsia="zh-CN" w:bidi="ar"/>
              </w:rPr>
              <w:t>95</w:t>
            </w:r>
          </w:p>
        </w:tc>
      </w:tr>
      <w:tr w14:paraId="351ACF8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vAlign w:val="center"/>
          </w:tcPr>
          <w:p w14:paraId="47B7989C">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氯化物</w:t>
            </w:r>
          </w:p>
        </w:tc>
        <w:tc>
          <w:tcPr>
            <w:tcW w:w="891" w:type="pct"/>
            <w:vAlign w:val="center"/>
          </w:tcPr>
          <w:p w14:paraId="5EB214F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b w:val="0"/>
                <w:bCs w:val="0"/>
                <w:color w:val="auto"/>
                <w:sz w:val="21"/>
                <w:szCs w:val="21"/>
                <w:lang w:val="en-US" w:eastAsia="zh-CN"/>
              </w:rPr>
            </w:pPr>
            <w:r>
              <w:rPr>
                <w:rFonts w:hint="default" w:ascii="Times New Roman" w:hAnsi="Times New Roman" w:cs="Times New Roman"/>
                <w:color w:val="auto"/>
                <w:sz w:val="21"/>
                <w:szCs w:val="21"/>
                <w:highlight w:val="none"/>
              </w:rPr>
              <w:t>mg/L</w:t>
            </w:r>
          </w:p>
        </w:tc>
        <w:tc>
          <w:tcPr>
            <w:tcW w:w="684" w:type="pct"/>
            <w:vAlign w:val="center"/>
          </w:tcPr>
          <w:p w14:paraId="13BB68DE">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120</w:t>
            </w:r>
          </w:p>
        </w:tc>
        <w:tc>
          <w:tcPr>
            <w:tcW w:w="684" w:type="pct"/>
            <w:vAlign w:val="center"/>
          </w:tcPr>
          <w:p w14:paraId="2B92D4D3">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130</w:t>
            </w:r>
          </w:p>
        </w:tc>
        <w:tc>
          <w:tcPr>
            <w:tcW w:w="685" w:type="pct"/>
            <w:vAlign w:val="center"/>
          </w:tcPr>
          <w:p w14:paraId="2A651CB0">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125</w:t>
            </w:r>
          </w:p>
        </w:tc>
      </w:tr>
      <w:tr w14:paraId="0702984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5AC1F6E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总大肠菌群</w:t>
            </w:r>
          </w:p>
        </w:tc>
        <w:tc>
          <w:tcPr>
            <w:tcW w:w="891" w:type="pct"/>
            <w:shd w:val="clear" w:color="auto" w:fill="auto"/>
            <w:vAlign w:val="center"/>
          </w:tcPr>
          <w:p w14:paraId="57EEF2D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MPN/100mL</w:t>
            </w:r>
          </w:p>
        </w:tc>
        <w:tc>
          <w:tcPr>
            <w:tcW w:w="684" w:type="pct"/>
            <w:vAlign w:val="center"/>
          </w:tcPr>
          <w:p w14:paraId="5AE0CA8B">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2L</w:t>
            </w:r>
          </w:p>
        </w:tc>
        <w:tc>
          <w:tcPr>
            <w:tcW w:w="684" w:type="pct"/>
            <w:vAlign w:val="center"/>
          </w:tcPr>
          <w:p w14:paraId="17B6FD29">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2L</w:t>
            </w:r>
          </w:p>
        </w:tc>
        <w:tc>
          <w:tcPr>
            <w:tcW w:w="685" w:type="pct"/>
            <w:vAlign w:val="center"/>
          </w:tcPr>
          <w:p w14:paraId="6AFDC135">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2L</w:t>
            </w:r>
          </w:p>
        </w:tc>
      </w:tr>
      <w:tr w14:paraId="79C9815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7A7EBDF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eastAsia="zh-CN"/>
              </w:rPr>
              <w:t>菌落</w:t>
            </w:r>
            <w:r>
              <w:rPr>
                <w:rFonts w:hint="default" w:ascii="Times New Roman" w:hAnsi="Times New Roman" w:cs="Times New Roman"/>
                <w:color w:val="auto"/>
                <w:sz w:val="21"/>
                <w:szCs w:val="21"/>
                <w:highlight w:val="none"/>
              </w:rPr>
              <w:t>总数</w:t>
            </w:r>
          </w:p>
        </w:tc>
        <w:tc>
          <w:tcPr>
            <w:tcW w:w="891" w:type="pct"/>
            <w:shd w:val="clear" w:color="auto" w:fill="auto"/>
            <w:vAlign w:val="center"/>
          </w:tcPr>
          <w:p w14:paraId="747A1E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CFU/mL</w:t>
            </w:r>
          </w:p>
        </w:tc>
        <w:tc>
          <w:tcPr>
            <w:tcW w:w="684" w:type="pct"/>
            <w:vAlign w:val="center"/>
          </w:tcPr>
          <w:p w14:paraId="6C94C88F">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684" w:type="pct"/>
            <w:vAlign w:val="center"/>
          </w:tcPr>
          <w:p w14:paraId="3B615CD1">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685" w:type="pct"/>
            <w:vAlign w:val="center"/>
          </w:tcPr>
          <w:p w14:paraId="7BD9D65F">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13</w:t>
            </w:r>
          </w:p>
        </w:tc>
      </w:tr>
      <w:tr w14:paraId="25E345C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3F60A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highlight w:val="none"/>
                <w:lang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钾</w:t>
            </w:r>
          </w:p>
        </w:tc>
        <w:tc>
          <w:tcPr>
            <w:tcW w:w="891" w:type="pct"/>
            <w:shd w:val="clear" w:color="auto" w:fill="auto"/>
            <w:vAlign w:val="center"/>
          </w:tcPr>
          <w:p w14:paraId="7D3740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mg/L</w:t>
            </w:r>
          </w:p>
        </w:tc>
        <w:tc>
          <w:tcPr>
            <w:tcW w:w="684" w:type="pct"/>
            <w:vAlign w:val="center"/>
          </w:tcPr>
          <w:p w14:paraId="499A317E">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1.06</w:t>
            </w:r>
          </w:p>
        </w:tc>
        <w:tc>
          <w:tcPr>
            <w:tcW w:w="684" w:type="pct"/>
            <w:vAlign w:val="center"/>
          </w:tcPr>
          <w:p w14:paraId="754A6C08">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1.37</w:t>
            </w:r>
          </w:p>
        </w:tc>
        <w:tc>
          <w:tcPr>
            <w:tcW w:w="685" w:type="pct"/>
            <w:vAlign w:val="center"/>
          </w:tcPr>
          <w:p w14:paraId="2672CCFE">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1.36</w:t>
            </w:r>
          </w:p>
        </w:tc>
      </w:tr>
      <w:tr w14:paraId="3F5F98DB">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3F9DED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钠</w:t>
            </w:r>
          </w:p>
        </w:tc>
        <w:tc>
          <w:tcPr>
            <w:tcW w:w="891" w:type="pct"/>
            <w:shd w:val="clear" w:color="auto" w:fill="auto"/>
            <w:vAlign w:val="center"/>
          </w:tcPr>
          <w:p w14:paraId="63CEAE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mg/L</w:t>
            </w:r>
          </w:p>
        </w:tc>
        <w:tc>
          <w:tcPr>
            <w:tcW w:w="684" w:type="pct"/>
            <w:vAlign w:val="center"/>
          </w:tcPr>
          <w:p w14:paraId="7D3E562B">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57.2</w:t>
            </w:r>
          </w:p>
        </w:tc>
        <w:tc>
          <w:tcPr>
            <w:tcW w:w="684" w:type="pct"/>
            <w:vAlign w:val="center"/>
          </w:tcPr>
          <w:p w14:paraId="1F8E892F">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67.3</w:t>
            </w:r>
          </w:p>
        </w:tc>
        <w:tc>
          <w:tcPr>
            <w:tcW w:w="685" w:type="pct"/>
            <w:vAlign w:val="center"/>
          </w:tcPr>
          <w:p w14:paraId="78C55E82">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91.2</w:t>
            </w:r>
          </w:p>
        </w:tc>
      </w:tr>
      <w:tr w14:paraId="381C815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343483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highlight w:val="none"/>
                <w:lang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钙</w:t>
            </w:r>
          </w:p>
        </w:tc>
        <w:tc>
          <w:tcPr>
            <w:tcW w:w="891" w:type="pct"/>
            <w:shd w:val="clear" w:color="auto" w:fill="auto"/>
            <w:vAlign w:val="center"/>
          </w:tcPr>
          <w:p w14:paraId="7A8054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mg/L</w:t>
            </w:r>
          </w:p>
        </w:tc>
        <w:tc>
          <w:tcPr>
            <w:tcW w:w="684" w:type="pct"/>
            <w:vAlign w:val="center"/>
          </w:tcPr>
          <w:p w14:paraId="0C1FDCDA">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40.1</w:t>
            </w:r>
          </w:p>
        </w:tc>
        <w:tc>
          <w:tcPr>
            <w:tcW w:w="684" w:type="pct"/>
            <w:vAlign w:val="center"/>
          </w:tcPr>
          <w:p w14:paraId="2A47EEE7">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30.2</w:t>
            </w:r>
          </w:p>
        </w:tc>
        <w:tc>
          <w:tcPr>
            <w:tcW w:w="685" w:type="pct"/>
            <w:vAlign w:val="center"/>
          </w:tcPr>
          <w:p w14:paraId="3BD7E540">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18.7</w:t>
            </w:r>
          </w:p>
        </w:tc>
      </w:tr>
      <w:tr w14:paraId="7FB46B9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729354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highlight w:val="none"/>
                <w:lang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镁</w:t>
            </w:r>
          </w:p>
        </w:tc>
        <w:tc>
          <w:tcPr>
            <w:tcW w:w="891" w:type="pct"/>
            <w:shd w:val="clear" w:color="auto" w:fill="auto"/>
            <w:vAlign w:val="center"/>
          </w:tcPr>
          <w:p w14:paraId="7AD6C0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mg/L</w:t>
            </w:r>
          </w:p>
        </w:tc>
        <w:tc>
          <w:tcPr>
            <w:tcW w:w="684" w:type="pct"/>
            <w:vAlign w:val="center"/>
          </w:tcPr>
          <w:p w14:paraId="3CF25121">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30.1</w:t>
            </w:r>
          </w:p>
        </w:tc>
        <w:tc>
          <w:tcPr>
            <w:tcW w:w="684" w:type="pct"/>
            <w:vAlign w:val="center"/>
          </w:tcPr>
          <w:p w14:paraId="1EA96DB3">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25.5</w:t>
            </w:r>
          </w:p>
        </w:tc>
        <w:tc>
          <w:tcPr>
            <w:tcW w:w="685" w:type="pct"/>
            <w:vAlign w:val="center"/>
          </w:tcPr>
          <w:p w14:paraId="0F0C2626">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30.0</w:t>
            </w:r>
          </w:p>
        </w:tc>
      </w:tr>
      <w:tr w14:paraId="0C3BBBC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43800D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eastAsiaTheme="majorEastAsia"/>
                <w:color w:val="auto"/>
                <w:sz w:val="21"/>
                <w:szCs w:val="21"/>
                <w:highlight w:val="none"/>
                <w:lang w:val="en-US" w:eastAsia="zh-CN"/>
              </w:rPr>
              <w:t>重碳酸盐碱度</w:t>
            </w:r>
          </w:p>
        </w:tc>
        <w:tc>
          <w:tcPr>
            <w:tcW w:w="891" w:type="pct"/>
            <w:shd w:val="clear" w:color="auto" w:fill="auto"/>
            <w:vAlign w:val="center"/>
          </w:tcPr>
          <w:p w14:paraId="4B3C97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mg/L</w:t>
            </w:r>
          </w:p>
        </w:tc>
        <w:tc>
          <w:tcPr>
            <w:tcW w:w="684" w:type="pct"/>
            <w:vAlign w:val="center"/>
          </w:tcPr>
          <w:p w14:paraId="69F6F375">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97</w:t>
            </w:r>
          </w:p>
        </w:tc>
        <w:tc>
          <w:tcPr>
            <w:tcW w:w="684" w:type="pct"/>
            <w:vAlign w:val="center"/>
          </w:tcPr>
          <w:p w14:paraId="2200531D">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101</w:t>
            </w:r>
          </w:p>
        </w:tc>
        <w:tc>
          <w:tcPr>
            <w:tcW w:w="685" w:type="pct"/>
            <w:vAlign w:val="center"/>
          </w:tcPr>
          <w:p w14:paraId="2E45506B">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103</w:t>
            </w:r>
          </w:p>
        </w:tc>
      </w:tr>
      <w:tr w14:paraId="5C06A26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53" w:type="pct"/>
            <w:shd w:val="clear" w:color="auto" w:fill="auto"/>
            <w:vAlign w:val="center"/>
          </w:tcPr>
          <w:p w14:paraId="757CCB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eastAsiaTheme="majorEastAsia"/>
                <w:color w:val="auto"/>
                <w:sz w:val="21"/>
                <w:szCs w:val="21"/>
                <w:highlight w:val="none"/>
                <w:lang w:val="en-US" w:eastAsia="zh-CN"/>
              </w:rPr>
              <w:t>碳酸盐碱度</w:t>
            </w:r>
          </w:p>
        </w:tc>
        <w:tc>
          <w:tcPr>
            <w:tcW w:w="891" w:type="pct"/>
            <w:shd w:val="clear" w:color="auto" w:fill="auto"/>
            <w:vAlign w:val="center"/>
          </w:tcPr>
          <w:p w14:paraId="1B2A60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mg/L</w:t>
            </w:r>
          </w:p>
        </w:tc>
        <w:tc>
          <w:tcPr>
            <w:tcW w:w="684" w:type="pct"/>
            <w:vAlign w:val="center"/>
          </w:tcPr>
          <w:p w14:paraId="25630C6C">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684" w:type="pct"/>
            <w:vAlign w:val="center"/>
          </w:tcPr>
          <w:p w14:paraId="00FE4BBF">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685" w:type="pct"/>
            <w:vAlign w:val="center"/>
          </w:tcPr>
          <w:p w14:paraId="6BC0D5BC">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w:t>
            </w:r>
          </w:p>
        </w:tc>
      </w:tr>
    </w:tbl>
    <w:p w14:paraId="65DBB8A7">
      <w:pPr>
        <w:spacing w:line="360" w:lineRule="auto"/>
        <w:ind w:left="0" w:leftChars="0" w:firstLine="0" w:firstLineChars="0"/>
        <w:jc w:val="both"/>
        <w:rPr>
          <w:snapToGrid w:val="0"/>
          <w:color w:val="000000" w:themeColor="text1"/>
          <w:kern w:val="0"/>
          <w14:textFill>
            <w14:solidFill>
              <w14:schemeClr w14:val="tx1"/>
            </w14:solidFill>
          </w14:textFill>
        </w:rPr>
      </w:pPr>
      <w:bookmarkStart w:id="233" w:name="_Hlk202540130"/>
      <w:r>
        <w:rPr>
          <w:rFonts w:hint="eastAsia"/>
          <w:snapToGrid w:val="0"/>
          <w:color w:val="000000" w:themeColor="text1"/>
          <w:kern w:val="0"/>
          <w:lang w:val="en-US" w:eastAsia="zh-CN"/>
          <w14:textFill>
            <w14:solidFill>
              <w14:schemeClr w14:val="tx1"/>
            </w14:solidFill>
          </w14:textFill>
        </w:rPr>
        <w:t xml:space="preserve">4.2.3.2 </w:t>
      </w:r>
      <w:r>
        <w:rPr>
          <w:rFonts w:hint="eastAsia"/>
          <w:snapToGrid w:val="0"/>
          <w:color w:val="000000" w:themeColor="text1"/>
          <w:kern w:val="0"/>
          <w14:textFill>
            <w14:solidFill>
              <w14:schemeClr w14:val="tx1"/>
            </w14:solidFill>
          </w14:textFill>
        </w:rPr>
        <w:t>地下水环境质量现状评价结果</w:t>
      </w:r>
      <w:bookmarkEnd w:id="233"/>
    </w:p>
    <w:p w14:paraId="17934CA7">
      <w:pPr>
        <w:adjustRightInd/>
        <w:snapToGrid/>
        <w:spacing w:line="360" w:lineRule="auto"/>
        <w:rPr>
          <w:snapToGrid w:val="0"/>
          <w:color w:val="000000" w:themeColor="text1"/>
          <w:kern w:val="0"/>
          <w14:textFill>
            <w14:solidFill>
              <w14:schemeClr w14:val="tx1"/>
            </w14:solidFill>
          </w14:textFill>
        </w:rPr>
      </w:pPr>
      <w:bookmarkStart w:id="234" w:name="_Hlk202540122"/>
      <w:r>
        <w:rPr>
          <w:rFonts w:hint="eastAsia"/>
          <w:snapToGrid w:val="0"/>
          <w:color w:val="000000" w:themeColor="text1"/>
          <w:kern w:val="0"/>
          <w14:textFill>
            <w14:solidFill>
              <w14:schemeClr w14:val="tx1"/>
            </w14:solidFill>
          </w14:textFill>
        </w:rPr>
        <w:t>采用标准指数法对地下水水质进行评价，标准执行《地下水质量标准》（GB/T14848-2017）中Ⅲ类标准。</w:t>
      </w:r>
    </w:p>
    <w:p w14:paraId="2B5D08C6">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其公式为：</w:t>
      </w:r>
    </w:p>
    <w:p w14:paraId="2B266C6C">
      <w:pPr>
        <w:adjustRightInd/>
        <w:snapToGrid/>
        <w:spacing w:line="500" w:lineRule="exact"/>
        <w:ind w:firstLine="0" w:firstLineChars="0"/>
        <w:jc w:val="center"/>
        <w:rPr>
          <w:snapToGrid w:val="0"/>
          <w:color w:val="000000" w:themeColor="text1"/>
          <w:kern w:val="0"/>
          <w14:textFill>
            <w14:solidFill>
              <w14:schemeClr w14:val="tx1"/>
            </w14:solidFill>
          </w14:textFill>
        </w:rPr>
      </w:pPr>
      <w:r>
        <w:rPr>
          <w:i/>
          <w:snapToGrid w:val="0"/>
          <w:color w:val="000000" w:themeColor="text1"/>
          <w:kern w:val="0"/>
          <w14:textFill>
            <w14:solidFill>
              <w14:schemeClr w14:val="tx1"/>
            </w14:solidFill>
          </w14:textFill>
        </w:rPr>
        <w:t>P</w:t>
      </w:r>
      <w:r>
        <w:rPr>
          <w:snapToGrid w:val="0"/>
          <w:color w:val="000000" w:themeColor="text1"/>
          <w:kern w:val="0"/>
          <w:vertAlign w:val="subscript"/>
          <w14:textFill>
            <w14:solidFill>
              <w14:schemeClr w14:val="tx1"/>
            </w14:solidFill>
          </w14:textFill>
        </w:rPr>
        <w:t>i</w:t>
      </w:r>
      <w:r>
        <w:rPr>
          <w:snapToGrid w:val="0"/>
          <w:color w:val="000000" w:themeColor="text1"/>
          <w:kern w:val="0"/>
          <w14:textFill>
            <w14:solidFill>
              <w14:schemeClr w14:val="tx1"/>
            </w14:solidFill>
          </w14:textFill>
        </w:rPr>
        <w:t>=</w:t>
      </w:r>
      <w:r>
        <w:rPr>
          <w:i/>
          <w:snapToGrid w:val="0"/>
          <w:color w:val="000000" w:themeColor="text1"/>
          <w:kern w:val="0"/>
          <w14:textFill>
            <w14:solidFill>
              <w14:schemeClr w14:val="tx1"/>
            </w14:solidFill>
          </w14:textFill>
        </w:rPr>
        <w:t>C</w:t>
      </w:r>
      <w:r>
        <w:rPr>
          <w:snapToGrid w:val="0"/>
          <w:color w:val="000000" w:themeColor="text1"/>
          <w:kern w:val="0"/>
          <w:vertAlign w:val="subscript"/>
          <w14:textFill>
            <w14:solidFill>
              <w14:schemeClr w14:val="tx1"/>
            </w14:solidFill>
          </w14:textFill>
        </w:rPr>
        <w:t>i</w:t>
      </w:r>
      <w:r>
        <w:rPr>
          <w:snapToGrid w:val="0"/>
          <w:color w:val="000000" w:themeColor="text1"/>
          <w:kern w:val="0"/>
          <w14:textFill>
            <w14:solidFill>
              <w14:schemeClr w14:val="tx1"/>
            </w14:solidFill>
          </w14:textFill>
        </w:rPr>
        <w:t>/</w:t>
      </w:r>
      <w:r>
        <w:rPr>
          <w:i/>
          <w:snapToGrid w:val="0"/>
          <w:color w:val="000000" w:themeColor="text1"/>
          <w:kern w:val="0"/>
          <w14:textFill>
            <w14:solidFill>
              <w14:schemeClr w14:val="tx1"/>
            </w14:solidFill>
          </w14:textFill>
        </w:rPr>
        <w:t>C</w:t>
      </w:r>
      <w:r>
        <w:rPr>
          <w:snapToGrid w:val="0"/>
          <w:color w:val="000000" w:themeColor="text1"/>
          <w:kern w:val="0"/>
          <w:vertAlign w:val="subscript"/>
          <w14:textFill>
            <w14:solidFill>
              <w14:schemeClr w14:val="tx1"/>
            </w14:solidFill>
          </w14:textFill>
        </w:rPr>
        <w:t>si</w:t>
      </w:r>
    </w:p>
    <w:p w14:paraId="7C1A3290">
      <w:pPr>
        <w:adjustRightInd/>
        <w:snapToGrid/>
        <w:spacing w:line="500" w:lineRule="exact"/>
        <w:rPr>
          <w:i/>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 xml:space="preserve">式中  </w:t>
      </w:r>
      <w:r>
        <w:rPr>
          <w:i/>
          <w:snapToGrid w:val="0"/>
          <w:color w:val="000000" w:themeColor="text1"/>
          <w:kern w:val="0"/>
          <w14:textFill>
            <w14:solidFill>
              <w14:schemeClr w14:val="tx1"/>
            </w14:solidFill>
          </w14:textFill>
        </w:rPr>
        <w:t>P</w:t>
      </w:r>
      <w:r>
        <w:rPr>
          <w:snapToGrid w:val="0"/>
          <w:color w:val="000000" w:themeColor="text1"/>
          <w:kern w:val="0"/>
          <w:vertAlign w:val="subscript"/>
          <w14:textFill>
            <w14:solidFill>
              <w14:schemeClr w14:val="tx1"/>
            </w14:solidFill>
          </w14:textFill>
        </w:rPr>
        <w:t>i</w:t>
      </w:r>
      <w:r>
        <w:rPr>
          <w:snapToGrid w:val="0"/>
          <w:color w:val="000000" w:themeColor="text1"/>
          <w:kern w:val="0"/>
          <w14:textFill>
            <w14:solidFill>
              <w14:schemeClr w14:val="tx1"/>
            </w14:solidFill>
          </w14:textFill>
        </w:rPr>
        <w:t>——第</w:t>
      </w:r>
      <w:r>
        <w:rPr>
          <w:i/>
          <w:snapToGrid w:val="0"/>
          <w:color w:val="000000" w:themeColor="text1"/>
          <w:kern w:val="0"/>
          <w14:textFill>
            <w14:solidFill>
              <w14:schemeClr w14:val="tx1"/>
            </w14:solidFill>
          </w14:textFill>
        </w:rPr>
        <w:t>i</w:t>
      </w:r>
      <w:r>
        <w:rPr>
          <w:snapToGrid w:val="0"/>
          <w:color w:val="000000" w:themeColor="text1"/>
          <w:kern w:val="0"/>
          <w14:textFill>
            <w14:solidFill>
              <w14:schemeClr w14:val="tx1"/>
            </w14:solidFill>
          </w14:textFill>
        </w:rPr>
        <w:t>个水质因子的标准指数，量纲为1；</w:t>
      </w:r>
    </w:p>
    <w:p w14:paraId="1412BB85">
      <w:pPr>
        <w:adjustRightInd/>
        <w:snapToGrid/>
        <w:spacing w:line="500" w:lineRule="exact"/>
        <w:rPr>
          <w:snapToGrid w:val="0"/>
          <w:color w:val="000000" w:themeColor="text1"/>
          <w:kern w:val="0"/>
          <w14:textFill>
            <w14:solidFill>
              <w14:schemeClr w14:val="tx1"/>
            </w14:solidFill>
          </w14:textFill>
        </w:rPr>
      </w:pPr>
      <w:r>
        <w:rPr>
          <w:i/>
          <w:snapToGrid w:val="0"/>
          <w:color w:val="000000" w:themeColor="text1"/>
          <w:kern w:val="0"/>
          <w14:textFill>
            <w14:solidFill>
              <w14:schemeClr w14:val="tx1"/>
            </w14:solidFill>
          </w14:textFill>
        </w:rPr>
        <w:t xml:space="preserve">      C</w:t>
      </w:r>
      <w:r>
        <w:rPr>
          <w:snapToGrid w:val="0"/>
          <w:color w:val="000000" w:themeColor="text1"/>
          <w:kern w:val="0"/>
          <w:vertAlign w:val="subscript"/>
          <w14:textFill>
            <w14:solidFill>
              <w14:schemeClr w14:val="tx1"/>
            </w14:solidFill>
          </w14:textFill>
        </w:rPr>
        <w:t>i</w:t>
      </w:r>
      <w:r>
        <w:rPr>
          <w:snapToGrid w:val="0"/>
          <w:color w:val="000000" w:themeColor="text1"/>
          <w:kern w:val="0"/>
          <w14:textFill>
            <w14:solidFill>
              <w14:schemeClr w14:val="tx1"/>
            </w14:solidFill>
          </w14:textFill>
        </w:rPr>
        <w:t>——第</w:t>
      </w:r>
      <w:r>
        <w:rPr>
          <w:i/>
          <w:snapToGrid w:val="0"/>
          <w:color w:val="000000" w:themeColor="text1"/>
          <w:kern w:val="0"/>
          <w14:textFill>
            <w14:solidFill>
              <w14:schemeClr w14:val="tx1"/>
            </w14:solidFill>
          </w14:textFill>
        </w:rPr>
        <w:t>i</w:t>
      </w:r>
      <w:r>
        <w:rPr>
          <w:snapToGrid w:val="0"/>
          <w:color w:val="000000" w:themeColor="text1"/>
          <w:kern w:val="0"/>
          <w14:textFill>
            <w14:solidFill>
              <w14:schemeClr w14:val="tx1"/>
            </w14:solidFill>
          </w14:textFill>
        </w:rPr>
        <w:t>个水质因子的监测浓度值，mg/L；</w:t>
      </w:r>
    </w:p>
    <w:p w14:paraId="2DB0A4E0">
      <w:pPr>
        <w:adjustRightInd/>
        <w:snapToGrid/>
        <w:spacing w:line="500" w:lineRule="exact"/>
        <w:rPr>
          <w:snapToGrid w:val="0"/>
          <w:color w:val="000000" w:themeColor="text1"/>
          <w:kern w:val="0"/>
          <w14:textFill>
            <w14:solidFill>
              <w14:schemeClr w14:val="tx1"/>
            </w14:solidFill>
          </w14:textFill>
        </w:rPr>
      </w:pPr>
      <w:r>
        <w:rPr>
          <w:i/>
          <w:snapToGrid w:val="0"/>
          <w:color w:val="000000" w:themeColor="text1"/>
          <w:kern w:val="0"/>
          <w14:textFill>
            <w14:solidFill>
              <w14:schemeClr w14:val="tx1"/>
            </w14:solidFill>
          </w14:textFill>
        </w:rPr>
        <w:t xml:space="preserve">      C</w:t>
      </w:r>
      <w:r>
        <w:rPr>
          <w:snapToGrid w:val="0"/>
          <w:color w:val="000000" w:themeColor="text1"/>
          <w:kern w:val="0"/>
          <w:vertAlign w:val="subscript"/>
          <w14:textFill>
            <w14:solidFill>
              <w14:schemeClr w14:val="tx1"/>
            </w14:solidFill>
          </w14:textFill>
        </w:rPr>
        <w:t>si</w:t>
      </w:r>
      <w:r>
        <w:rPr>
          <w:snapToGrid w:val="0"/>
          <w:color w:val="000000" w:themeColor="text1"/>
          <w:kern w:val="0"/>
          <w14:textFill>
            <w14:solidFill>
              <w14:schemeClr w14:val="tx1"/>
            </w14:solidFill>
          </w14:textFill>
        </w:rPr>
        <w:t>——第</w:t>
      </w:r>
      <w:r>
        <w:rPr>
          <w:i/>
          <w:snapToGrid w:val="0"/>
          <w:color w:val="000000" w:themeColor="text1"/>
          <w:kern w:val="0"/>
          <w14:textFill>
            <w14:solidFill>
              <w14:schemeClr w14:val="tx1"/>
            </w14:solidFill>
          </w14:textFill>
        </w:rPr>
        <w:t>i</w:t>
      </w:r>
      <w:r>
        <w:rPr>
          <w:snapToGrid w:val="0"/>
          <w:color w:val="000000" w:themeColor="text1"/>
          <w:kern w:val="0"/>
          <w14:textFill>
            <w14:solidFill>
              <w14:schemeClr w14:val="tx1"/>
            </w14:solidFill>
          </w14:textFill>
        </w:rPr>
        <w:t>个水质因子的标准浓度值，mg/L。</w:t>
      </w:r>
    </w:p>
    <w:p w14:paraId="6CB1EAC2">
      <w:pPr>
        <w:adjustRightInd/>
        <w:snapToGrid/>
        <w:spacing w:line="240" w:lineRule="auto"/>
        <w:ind w:firstLine="0" w:firstLineChars="0"/>
        <w:jc w:val="center"/>
        <w:rPr>
          <w:snapToGrid w:val="0"/>
          <w:color w:val="000000" w:themeColor="text1"/>
          <w:kern w:val="0"/>
          <w14:textFill>
            <w14:solidFill>
              <w14:schemeClr w14:val="tx1"/>
            </w14:solidFill>
          </w14:textFill>
        </w:rPr>
      </w:pPr>
      <m:oMathPara>
        <m:oMath>
          <m:sSub>
            <m:sSubPr>
              <m:ctrlPr>
                <w:rPr>
                  <w:rFonts w:ascii="Cambria Math" w:hAnsi="Cambria Math"/>
                  <w:i/>
                  <w:snapToGrid w:val="0"/>
                  <w:color w:val="000000" w:themeColor="text1"/>
                  <w:kern w:val="0"/>
                  <w14:textFill>
                    <w14:solidFill>
                      <w14:schemeClr w14:val="tx1"/>
                    </w14:solidFill>
                  </w14:textFill>
                </w:rPr>
              </m:ctrlPr>
            </m:sSubPr>
            <m:e>
              <m:r>
                <m:rPr/>
                <w:rPr>
                  <w:rFonts w:ascii="Cambria Math" w:hAnsi="Cambria Math"/>
                  <w:snapToGrid w:val="0"/>
                  <w:color w:val="000000" w:themeColor="text1"/>
                  <w:kern w:val="0"/>
                  <w14:textFill>
                    <w14:solidFill>
                      <w14:schemeClr w14:val="tx1"/>
                    </w14:solidFill>
                  </w14:textFill>
                </w:rPr>
                <m:t>S</m:t>
              </m:r>
              <m:ctrlPr>
                <w:rPr>
                  <w:rFonts w:ascii="Cambria Math" w:hAnsi="Cambria Math"/>
                  <w:i/>
                  <w:snapToGrid w:val="0"/>
                  <w:color w:val="000000" w:themeColor="text1"/>
                  <w:kern w:val="0"/>
                  <w14:textFill>
                    <w14:solidFill>
                      <w14:schemeClr w14:val="tx1"/>
                    </w14:solidFill>
                  </w14:textFill>
                </w:rPr>
              </m:ctrlPr>
            </m:e>
            <m:sub>
              <m:r>
                <m:rPr/>
                <w:rPr>
                  <w:rFonts w:ascii="Cambria Math" w:hAnsi="Cambria Math"/>
                  <w:snapToGrid w:val="0"/>
                  <w:color w:val="000000" w:themeColor="text1"/>
                  <w:kern w:val="0"/>
                  <w14:textFill>
                    <w14:solidFill>
                      <w14:schemeClr w14:val="tx1"/>
                    </w14:solidFill>
                  </w14:textFill>
                </w:rPr>
                <m:t>pH,j</m:t>
              </m:r>
              <m:ctrlPr>
                <w:rPr>
                  <w:rFonts w:ascii="Cambria Math" w:hAnsi="Cambria Math"/>
                  <w:i/>
                  <w:snapToGrid w:val="0"/>
                  <w:color w:val="000000" w:themeColor="text1"/>
                  <w:kern w:val="0"/>
                  <w14:textFill>
                    <w14:solidFill>
                      <w14:schemeClr w14:val="tx1"/>
                    </w14:solidFill>
                  </w14:textFill>
                </w:rPr>
              </m:ctrlPr>
            </m:sub>
          </m:sSub>
          <m:r>
            <m:rPr/>
            <w:rPr>
              <w:rFonts w:ascii="Cambria Math" w:hAnsi="Cambria Math"/>
              <w:snapToGrid w:val="0"/>
              <w:color w:val="000000" w:themeColor="text1"/>
              <w:kern w:val="0"/>
              <w14:textFill>
                <w14:solidFill>
                  <w14:schemeClr w14:val="tx1"/>
                </w14:solidFill>
              </w14:textFill>
            </w:rPr>
            <m:t>=</m:t>
          </m:r>
          <m:f>
            <m:fPr>
              <m:ctrlPr>
                <w:rPr>
                  <w:rFonts w:ascii="Cambria Math" w:hAnsi="Cambria Math"/>
                  <w:i/>
                  <w:snapToGrid w:val="0"/>
                  <w:color w:val="000000" w:themeColor="text1"/>
                  <w:kern w:val="0"/>
                  <w14:textFill>
                    <w14:solidFill>
                      <w14:schemeClr w14:val="tx1"/>
                    </w14:solidFill>
                  </w14:textFill>
                </w:rPr>
              </m:ctrlPr>
            </m:fPr>
            <m:num>
              <m:r>
                <m:rPr/>
                <w:rPr>
                  <w:rFonts w:ascii="Cambria Math" w:hAnsi="Cambria Math"/>
                  <w:snapToGrid w:val="0"/>
                  <w:color w:val="000000" w:themeColor="text1"/>
                  <w:kern w:val="0"/>
                  <w14:textFill>
                    <w14:solidFill>
                      <w14:schemeClr w14:val="tx1"/>
                    </w14:solidFill>
                  </w14:textFill>
                </w:rPr>
                <m:t>7.0−pHj</m:t>
              </m:r>
              <m:ctrlPr>
                <w:rPr>
                  <w:rFonts w:ascii="Cambria Math" w:hAnsi="Cambria Math"/>
                  <w:i/>
                  <w:snapToGrid w:val="0"/>
                  <w:color w:val="000000" w:themeColor="text1"/>
                  <w:kern w:val="0"/>
                  <w14:textFill>
                    <w14:solidFill>
                      <w14:schemeClr w14:val="tx1"/>
                    </w14:solidFill>
                  </w14:textFill>
                </w:rPr>
              </m:ctrlPr>
            </m:num>
            <m:den>
              <m:r>
                <m:rPr/>
                <w:rPr>
                  <w:rFonts w:ascii="Cambria Math" w:hAnsi="Cambria Math"/>
                  <w:snapToGrid w:val="0"/>
                  <w:color w:val="000000" w:themeColor="text1"/>
                  <w:kern w:val="0"/>
                  <w14:textFill>
                    <w14:solidFill>
                      <w14:schemeClr w14:val="tx1"/>
                    </w14:solidFill>
                  </w14:textFill>
                </w:rPr>
                <m:t>7.0−pHsd</m:t>
              </m:r>
              <m:ctrlPr>
                <w:rPr>
                  <w:rFonts w:ascii="Cambria Math" w:hAnsi="Cambria Math"/>
                  <w:i/>
                  <w:snapToGrid w:val="0"/>
                  <w:color w:val="000000" w:themeColor="text1"/>
                  <w:kern w:val="0"/>
                  <w14:textFill>
                    <w14:solidFill>
                      <w14:schemeClr w14:val="tx1"/>
                    </w14:solidFill>
                  </w14:textFill>
                </w:rPr>
              </m:ctrlPr>
            </m:den>
          </m:f>
          <m:r>
            <m:rPr/>
            <w:rPr>
              <w:rFonts w:ascii="Cambria Math" w:hAnsi="Cambria Math"/>
              <w:snapToGrid w:val="0"/>
              <w:color w:val="000000" w:themeColor="text1"/>
              <w:kern w:val="0"/>
              <w14:textFill>
                <w14:solidFill>
                  <w14:schemeClr w14:val="tx1"/>
                </w14:solidFill>
              </w14:textFill>
            </w:rPr>
            <m:t> ,pHj≤7.0</m:t>
          </m:r>
        </m:oMath>
      </m:oMathPara>
    </w:p>
    <w:p w14:paraId="0087F5F6">
      <w:pPr>
        <w:adjustRightInd/>
        <w:snapToGrid/>
        <w:spacing w:line="240" w:lineRule="auto"/>
        <w:ind w:firstLine="0" w:firstLineChars="0"/>
        <w:jc w:val="center"/>
        <w:rPr>
          <w:snapToGrid w:val="0"/>
          <w:color w:val="000000" w:themeColor="text1"/>
          <w:kern w:val="0"/>
          <w14:textFill>
            <w14:solidFill>
              <w14:schemeClr w14:val="tx1"/>
            </w14:solidFill>
          </w14:textFill>
        </w:rPr>
      </w:pPr>
      <m:oMathPara>
        <m:oMath>
          <m:sSub>
            <m:sSubPr>
              <m:ctrlPr>
                <w:rPr>
                  <w:rFonts w:ascii="Cambria Math" w:hAnsi="Cambria Math"/>
                  <w:i/>
                  <w:snapToGrid w:val="0"/>
                  <w:color w:val="000000" w:themeColor="text1"/>
                  <w:kern w:val="0"/>
                  <w14:textFill>
                    <w14:solidFill>
                      <w14:schemeClr w14:val="tx1"/>
                    </w14:solidFill>
                  </w14:textFill>
                </w:rPr>
              </m:ctrlPr>
            </m:sSubPr>
            <m:e>
              <m:r>
                <m:rPr/>
                <w:rPr>
                  <w:rFonts w:ascii="Cambria Math" w:hAnsi="Cambria Math"/>
                  <w:snapToGrid w:val="0"/>
                  <w:color w:val="000000" w:themeColor="text1"/>
                  <w:kern w:val="0"/>
                  <w14:textFill>
                    <w14:solidFill>
                      <w14:schemeClr w14:val="tx1"/>
                    </w14:solidFill>
                  </w14:textFill>
                </w:rPr>
                <m:t>S</m:t>
              </m:r>
              <m:ctrlPr>
                <w:rPr>
                  <w:rFonts w:ascii="Cambria Math" w:hAnsi="Cambria Math"/>
                  <w:i/>
                  <w:snapToGrid w:val="0"/>
                  <w:color w:val="000000" w:themeColor="text1"/>
                  <w:kern w:val="0"/>
                  <w14:textFill>
                    <w14:solidFill>
                      <w14:schemeClr w14:val="tx1"/>
                    </w14:solidFill>
                  </w14:textFill>
                </w:rPr>
              </m:ctrlPr>
            </m:e>
            <m:sub>
              <m:r>
                <m:rPr/>
                <w:rPr>
                  <w:rFonts w:ascii="Cambria Math" w:hAnsi="Cambria Math"/>
                  <w:snapToGrid w:val="0"/>
                  <w:color w:val="000000" w:themeColor="text1"/>
                  <w:kern w:val="0"/>
                  <w14:textFill>
                    <w14:solidFill>
                      <w14:schemeClr w14:val="tx1"/>
                    </w14:solidFill>
                  </w14:textFill>
                </w:rPr>
                <m:t>pH,j</m:t>
              </m:r>
              <m:ctrlPr>
                <w:rPr>
                  <w:rFonts w:ascii="Cambria Math" w:hAnsi="Cambria Math"/>
                  <w:i/>
                  <w:snapToGrid w:val="0"/>
                  <w:color w:val="000000" w:themeColor="text1"/>
                  <w:kern w:val="0"/>
                  <w14:textFill>
                    <w14:solidFill>
                      <w14:schemeClr w14:val="tx1"/>
                    </w14:solidFill>
                  </w14:textFill>
                </w:rPr>
              </m:ctrlPr>
            </m:sub>
          </m:sSub>
          <m:r>
            <m:rPr/>
            <w:rPr>
              <w:rFonts w:ascii="Cambria Math" w:hAnsi="Cambria Math"/>
              <w:snapToGrid w:val="0"/>
              <w:color w:val="000000" w:themeColor="text1"/>
              <w:kern w:val="0"/>
              <w14:textFill>
                <w14:solidFill>
                  <w14:schemeClr w14:val="tx1"/>
                </w14:solidFill>
              </w14:textFill>
            </w:rPr>
            <m:t>=</m:t>
          </m:r>
          <m:f>
            <m:fPr>
              <m:ctrlPr>
                <w:rPr>
                  <w:rFonts w:ascii="Cambria Math" w:hAnsi="Cambria Math"/>
                  <w:i/>
                  <w:snapToGrid w:val="0"/>
                  <w:color w:val="000000" w:themeColor="text1"/>
                  <w:kern w:val="0"/>
                  <w14:textFill>
                    <w14:solidFill>
                      <w14:schemeClr w14:val="tx1"/>
                    </w14:solidFill>
                  </w14:textFill>
                </w:rPr>
              </m:ctrlPr>
            </m:fPr>
            <m:num>
              <m:r>
                <m:rPr/>
                <w:rPr>
                  <w:rFonts w:ascii="Cambria Math" w:hAnsi="Cambria Math"/>
                  <w:snapToGrid w:val="0"/>
                  <w:color w:val="000000" w:themeColor="text1"/>
                  <w:kern w:val="0"/>
                  <w14:textFill>
                    <w14:solidFill>
                      <w14:schemeClr w14:val="tx1"/>
                    </w14:solidFill>
                  </w14:textFill>
                </w:rPr>
                <m:t>pHj−7.0</m:t>
              </m:r>
              <m:ctrlPr>
                <w:rPr>
                  <w:rFonts w:ascii="Cambria Math" w:hAnsi="Cambria Math"/>
                  <w:i/>
                  <w:snapToGrid w:val="0"/>
                  <w:color w:val="000000" w:themeColor="text1"/>
                  <w:kern w:val="0"/>
                  <w14:textFill>
                    <w14:solidFill>
                      <w14:schemeClr w14:val="tx1"/>
                    </w14:solidFill>
                  </w14:textFill>
                </w:rPr>
              </m:ctrlPr>
            </m:num>
            <m:den>
              <m:r>
                <m:rPr/>
                <w:rPr>
                  <w:rFonts w:ascii="Cambria Math" w:hAnsi="Cambria Math"/>
                  <w:snapToGrid w:val="0"/>
                  <w:color w:val="000000" w:themeColor="text1"/>
                  <w:kern w:val="0"/>
                  <w14:textFill>
                    <w14:solidFill>
                      <w14:schemeClr w14:val="tx1"/>
                    </w14:solidFill>
                  </w14:textFill>
                </w:rPr>
                <m:t>pHsu−7.0</m:t>
              </m:r>
              <m:ctrlPr>
                <w:rPr>
                  <w:rFonts w:ascii="Cambria Math" w:hAnsi="Cambria Math"/>
                  <w:i/>
                  <w:snapToGrid w:val="0"/>
                  <w:color w:val="000000" w:themeColor="text1"/>
                  <w:kern w:val="0"/>
                  <w14:textFill>
                    <w14:solidFill>
                      <w14:schemeClr w14:val="tx1"/>
                    </w14:solidFill>
                  </w14:textFill>
                </w:rPr>
              </m:ctrlPr>
            </m:den>
          </m:f>
          <m:r>
            <m:rPr/>
            <w:rPr>
              <w:rFonts w:ascii="Cambria Math" w:hAnsi="Cambria Math"/>
              <w:snapToGrid w:val="0"/>
              <w:color w:val="000000" w:themeColor="text1"/>
              <w:kern w:val="0"/>
              <w14:textFill>
                <w14:solidFill>
                  <w14:schemeClr w14:val="tx1"/>
                </w14:solidFill>
              </w14:textFill>
            </w:rPr>
            <m:t> ,pHj&gt;7.0</m:t>
          </m:r>
        </m:oMath>
      </m:oMathPara>
    </w:p>
    <w:p w14:paraId="7AF39DFA">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 xml:space="preserve">式中  </w:t>
      </w:r>
      <w:r>
        <w:rPr>
          <w:i/>
          <w:snapToGrid w:val="0"/>
          <w:color w:val="000000" w:themeColor="text1"/>
          <w:kern w:val="0"/>
          <w14:textFill>
            <w14:solidFill>
              <w14:schemeClr w14:val="tx1"/>
            </w14:solidFill>
          </w14:textFill>
        </w:rPr>
        <w:t>S</w:t>
      </w:r>
      <w:r>
        <w:rPr>
          <w:snapToGrid w:val="0"/>
          <w:color w:val="000000" w:themeColor="text1"/>
          <w:kern w:val="0"/>
          <w:vertAlign w:val="subscript"/>
          <w14:textFill>
            <w14:solidFill>
              <w14:schemeClr w14:val="tx1"/>
            </w14:solidFill>
          </w14:textFill>
        </w:rPr>
        <w:t>pH，j</w:t>
      </w:r>
      <w:r>
        <w:rPr>
          <w:snapToGrid w:val="0"/>
          <w:color w:val="000000" w:themeColor="text1"/>
          <w:kern w:val="0"/>
          <w14:textFill>
            <w14:solidFill>
              <w14:schemeClr w14:val="tx1"/>
            </w14:solidFill>
          </w14:textFill>
        </w:rPr>
        <w:t>——pH的标准指数，量纲为1；</w:t>
      </w:r>
    </w:p>
    <w:p w14:paraId="6F008830">
      <w:pPr>
        <w:adjustRightInd/>
        <w:snapToGrid/>
        <w:spacing w:line="500" w:lineRule="exact"/>
        <w:rPr>
          <w:snapToGrid w:val="0"/>
          <w:color w:val="000000" w:themeColor="text1"/>
          <w:kern w:val="0"/>
          <w14:textFill>
            <w14:solidFill>
              <w14:schemeClr w14:val="tx1"/>
            </w14:solidFill>
          </w14:textFill>
        </w:rPr>
      </w:pPr>
      <w:r>
        <w:rPr>
          <w:i/>
          <w:snapToGrid w:val="0"/>
          <w:color w:val="000000" w:themeColor="text1"/>
          <w:kern w:val="0"/>
          <w14:textFill>
            <w14:solidFill>
              <w14:schemeClr w14:val="tx1"/>
            </w14:solidFill>
          </w14:textFill>
        </w:rPr>
        <w:t xml:space="preserve">      pH</w:t>
      </w:r>
      <w:r>
        <w:rPr>
          <w:snapToGrid w:val="0"/>
          <w:color w:val="000000" w:themeColor="text1"/>
          <w:kern w:val="0"/>
          <w:vertAlign w:val="subscript"/>
          <w14:textFill>
            <w14:solidFill>
              <w14:schemeClr w14:val="tx1"/>
            </w14:solidFill>
          </w14:textFill>
        </w:rPr>
        <w:t>j</w:t>
      </w:r>
      <w:r>
        <w:rPr>
          <w:snapToGrid w:val="0"/>
          <w:color w:val="000000" w:themeColor="text1"/>
          <w:kern w:val="0"/>
          <w14:textFill>
            <w14:solidFill>
              <w14:schemeClr w14:val="tx1"/>
            </w14:solidFill>
          </w14:textFill>
        </w:rPr>
        <w:t>——pH的监测值；</w:t>
      </w:r>
    </w:p>
    <w:p w14:paraId="0275954C">
      <w:pPr>
        <w:adjustRightInd/>
        <w:snapToGrid/>
        <w:spacing w:line="500" w:lineRule="exact"/>
        <w:rPr>
          <w:snapToGrid w:val="0"/>
          <w:color w:val="000000" w:themeColor="text1"/>
          <w:kern w:val="0"/>
          <w14:textFill>
            <w14:solidFill>
              <w14:schemeClr w14:val="tx1"/>
            </w14:solidFill>
          </w14:textFill>
        </w:rPr>
      </w:pPr>
      <w:r>
        <w:rPr>
          <w:i/>
          <w:snapToGrid w:val="0"/>
          <w:color w:val="000000" w:themeColor="text1"/>
          <w:kern w:val="0"/>
          <w14:textFill>
            <w14:solidFill>
              <w14:schemeClr w14:val="tx1"/>
            </w14:solidFill>
          </w14:textFill>
        </w:rPr>
        <w:t xml:space="preserve">      pH</w:t>
      </w:r>
      <w:r>
        <w:rPr>
          <w:snapToGrid w:val="0"/>
          <w:color w:val="000000" w:themeColor="text1"/>
          <w:kern w:val="0"/>
          <w:vertAlign w:val="subscript"/>
          <w14:textFill>
            <w14:solidFill>
              <w14:schemeClr w14:val="tx1"/>
            </w14:solidFill>
          </w14:textFill>
        </w:rPr>
        <w:t>su</w:t>
      </w:r>
      <w:r>
        <w:rPr>
          <w:snapToGrid w:val="0"/>
          <w:color w:val="000000" w:themeColor="text1"/>
          <w:kern w:val="0"/>
          <w14:textFill>
            <w14:solidFill>
              <w14:schemeClr w14:val="tx1"/>
            </w14:solidFill>
          </w14:textFill>
        </w:rPr>
        <w:t>——标准中pH的上限值；</w:t>
      </w:r>
    </w:p>
    <w:p w14:paraId="73ED41D3">
      <w:pPr>
        <w:adjustRightInd/>
        <w:snapToGrid/>
        <w:spacing w:line="500" w:lineRule="exact"/>
        <w:rPr>
          <w:snapToGrid w:val="0"/>
          <w:color w:val="000000" w:themeColor="text1"/>
          <w:kern w:val="0"/>
          <w14:textFill>
            <w14:solidFill>
              <w14:schemeClr w14:val="tx1"/>
            </w14:solidFill>
          </w14:textFill>
        </w:rPr>
      </w:pPr>
      <w:r>
        <w:rPr>
          <w:i/>
          <w:snapToGrid w:val="0"/>
          <w:color w:val="000000" w:themeColor="text1"/>
          <w:kern w:val="0"/>
          <w14:textFill>
            <w14:solidFill>
              <w14:schemeClr w14:val="tx1"/>
            </w14:solidFill>
          </w14:textFill>
        </w:rPr>
        <w:t xml:space="preserve">      pH</w:t>
      </w:r>
      <w:r>
        <w:rPr>
          <w:snapToGrid w:val="0"/>
          <w:color w:val="000000" w:themeColor="text1"/>
          <w:kern w:val="0"/>
          <w:vertAlign w:val="subscript"/>
          <w14:textFill>
            <w14:solidFill>
              <w14:schemeClr w14:val="tx1"/>
            </w14:solidFill>
          </w14:textFill>
        </w:rPr>
        <w:t>sd</w:t>
      </w:r>
      <w:r>
        <w:rPr>
          <w:snapToGrid w:val="0"/>
          <w:color w:val="000000" w:themeColor="text1"/>
          <w:kern w:val="0"/>
          <w14:textFill>
            <w14:solidFill>
              <w14:schemeClr w14:val="tx1"/>
            </w14:solidFill>
          </w14:textFill>
        </w:rPr>
        <w:t>——标准中pH的下限值。</w:t>
      </w:r>
    </w:p>
    <w:p w14:paraId="08398EB4">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标准指数大于1，表明该水质因子已超标，标准指数越大，超标约严重。</w:t>
      </w:r>
    </w:p>
    <w:p w14:paraId="097769A7">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经计算，本项目地下水质量现状评价结果见表</w:t>
      </w:r>
      <w:bookmarkEnd w:id="234"/>
      <w:r>
        <w:rPr>
          <w:rFonts w:hint="eastAsia"/>
          <w:snapToGrid w:val="0"/>
          <w:color w:val="000000" w:themeColor="text1"/>
          <w:kern w:val="0"/>
          <w14:textFill>
            <w14:solidFill>
              <w14:schemeClr w14:val="tx1"/>
            </w14:solidFill>
          </w14:textFill>
        </w:rPr>
        <w:t>4</w:t>
      </w:r>
      <w:r>
        <w:rPr>
          <w:snapToGrid w:val="0"/>
          <w:color w:val="000000" w:themeColor="text1"/>
          <w:kern w:val="0"/>
          <w14:textFill>
            <w14:solidFill>
              <w14:schemeClr w14:val="tx1"/>
            </w14:solidFill>
          </w14:textFill>
        </w:rPr>
        <w:t>-2-1</w:t>
      </w:r>
      <w:r>
        <w:rPr>
          <w:rFonts w:hint="eastAsia"/>
          <w:snapToGrid w:val="0"/>
          <w:color w:val="000000" w:themeColor="text1"/>
          <w:kern w:val="0"/>
          <w:lang w:val="en-US" w:eastAsia="zh-CN"/>
          <w14:textFill>
            <w14:solidFill>
              <w14:schemeClr w14:val="tx1"/>
            </w14:solidFill>
          </w14:textFill>
        </w:rPr>
        <w:t>3</w:t>
      </w:r>
      <w:r>
        <w:rPr>
          <w:rFonts w:hint="eastAsia"/>
          <w:snapToGrid w:val="0"/>
          <w:color w:val="000000" w:themeColor="text1"/>
          <w:kern w:val="0"/>
          <w14:textFill>
            <w14:solidFill>
              <w14:schemeClr w14:val="tx1"/>
            </w14:solidFill>
          </w14:textFill>
        </w:rPr>
        <w:t>。</w:t>
      </w:r>
    </w:p>
    <w:p w14:paraId="225439FE">
      <w:pPr>
        <w:pStyle w:val="206"/>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表4</w:t>
      </w:r>
      <w:r>
        <w:rPr>
          <w:color w:val="000000" w:themeColor="text1"/>
          <w:lang w:eastAsia="zh-CN"/>
          <w14:textFill>
            <w14:solidFill>
              <w14:schemeClr w14:val="tx1"/>
            </w14:solidFill>
          </w14:textFill>
        </w:rPr>
        <w:t>-2-1</w:t>
      </w:r>
      <w:r>
        <w:rPr>
          <w:rFonts w:hint="eastAsia"/>
          <w:color w:val="000000" w:themeColor="text1"/>
          <w:lang w:val="en-US" w:eastAsia="zh-CN"/>
          <w14:textFill>
            <w14:solidFill>
              <w14:schemeClr w14:val="tx1"/>
            </w14:solidFill>
          </w14:textFill>
        </w:rPr>
        <w:t>3</w:t>
      </w:r>
      <w:r>
        <w:rPr>
          <w:color w:val="000000" w:themeColor="text1"/>
          <w:lang w:eastAsia="zh-CN"/>
          <w14:textFill>
            <w14:solidFill>
              <w14:schemeClr w14:val="tx1"/>
            </w14:solidFill>
          </w14:textFill>
        </w:rPr>
        <w:t xml:space="preserve"> </w:t>
      </w:r>
      <w:bookmarkStart w:id="235" w:name="_Hlk202540149"/>
      <w:r>
        <w:rPr>
          <w:color w:val="000000" w:themeColor="text1"/>
          <w14:textFill>
            <w14:solidFill>
              <w14:schemeClr w14:val="tx1"/>
            </w14:solidFill>
          </w14:textFill>
        </w:rPr>
        <w:t>地下水单因子污染指数评价结果</w:t>
      </w:r>
      <w:bookmarkEnd w:id="235"/>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557"/>
        <w:gridCol w:w="1523"/>
        <w:gridCol w:w="1523"/>
        <w:gridCol w:w="1709"/>
      </w:tblGrid>
      <w:tr w14:paraId="282EE2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140" w:type="pct"/>
            <w:tcBorders>
              <w:tl2br w:val="nil"/>
              <w:tr2bl w:val="nil"/>
            </w:tcBorders>
            <w:shd w:val="clear" w:color="auto" w:fill="auto"/>
            <w:vAlign w:val="center"/>
          </w:tcPr>
          <w:p w14:paraId="1441803F">
            <w:pPr>
              <w:pStyle w:val="143"/>
              <w:rPr>
                <w:color w:val="000000" w:themeColor="text1"/>
                <w14:textFill>
                  <w14:solidFill>
                    <w14:schemeClr w14:val="tx1"/>
                  </w14:solidFill>
                </w14:textFill>
              </w:rPr>
            </w:pPr>
            <w:bookmarkStart w:id="236" w:name="_Hlk202540211"/>
            <w:r>
              <w:rPr>
                <w:color w:val="000000" w:themeColor="text1"/>
                <w14:textFill>
                  <w14:solidFill>
                    <w14:schemeClr w14:val="tx1"/>
                  </w14:solidFill>
                </w14:textFill>
              </w:rPr>
              <w:t>检测项目</w:t>
            </w:r>
          </w:p>
        </w:tc>
        <w:tc>
          <w:tcPr>
            <w:tcW w:w="916" w:type="pct"/>
            <w:tcBorders>
              <w:tl2br w:val="nil"/>
              <w:tr2bl w:val="nil"/>
            </w:tcBorders>
            <w:shd w:val="clear" w:color="auto" w:fill="auto"/>
            <w:vAlign w:val="center"/>
          </w:tcPr>
          <w:p w14:paraId="2FE1A27E">
            <w:pPr>
              <w:pStyle w:val="143"/>
              <w:rPr>
                <w:color w:val="000000" w:themeColor="text1"/>
                <w14:textFill>
                  <w14:solidFill>
                    <w14:schemeClr w14:val="tx1"/>
                  </w14:solidFill>
                </w14:textFill>
              </w:rPr>
            </w:pPr>
            <w:r>
              <w:rPr>
                <w:color w:val="000000" w:themeColor="text1"/>
                <w14:textFill>
                  <w14:solidFill>
                    <w14:schemeClr w14:val="tx1"/>
                  </w14:solidFill>
                </w14:textFill>
              </w:rPr>
              <w:t>1#</w:t>
            </w:r>
          </w:p>
        </w:tc>
        <w:tc>
          <w:tcPr>
            <w:tcW w:w="916" w:type="pct"/>
            <w:tcBorders>
              <w:tl2br w:val="nil"/>
              <w:tr2bl w:val="nil"/>
            </w:tcBorders>
            <w:shd w:val="clear" w:color="auto" w:fill="auto"/>
            <w:vAlign w:val="center"/>
          </w:tcPr>
          <w:p w14:paraId="7E2378B0">
            <w:pPr>
              <w:pStyle w:val="143"/>
              <w:rPr>
                <w:color w:val="000000" w:themeColor="text1"/>
                <w14:textFill>
                  <w14:solidFill>
                    <w14:schemeClr w14:val="tx1"/>
                  </w14:solidFill>
                </w14:textFill>
              </w:rPr>
            </w:pPr>
            <w:r>
              <w:rPr>
                <w:color w:val="000000" w:themeColor="text1"/>
                <w14:textFill>
                  <w14:solidFill>
                    <w14:schemeClr w14:val="tx1"/>
                  </w14:solidFill>
                </w14:textFill>
              </w:rPr>
              <w:t>2#</w:t>
            </w:r>
          </w:p>
        </w:tc>
        <w:tc>
          <w:tcPr>
            <w:tcW w:w="1028" w:type="pct"/>
            <w:tcBorders>
              <w:tl2br w:val="nil"/>
              <w:tr2bl w:val="nil"/>
            </w:tcBorders>
            <w:shd w:val="clear" w:color="auto" w:fill="auto"/>
            <w:vAlign w:val="center"/>
          </w:tcPr>
          <w:p w14:paraId="31D9EBA1">
            <w:pPr>
              <w:pStyle w:val="143"/>
              <w:rPr>
                <w:color w:val="000000" w:themeColor="text1"/>
                <w14:textFill>
                  <w14:solidFill>
                    <w14:schemeClr w14:val="tx1"/>
                  </w14:solidFill>
                </w14:textFill>
              </w:rPr>
            </w:pPr>
            <w:r>
              <w:rPr>
                <w:color w:val="000000" w:themeColor="text1"/>
                <w14:textFill>
                  <w14:solidFill>
                    <w14:schemeClr w14:val="tx1"/>
                  </w14:solidFill>
                </w14:textFill>
              </w:rPr>
              <w:t>3#</w:t>
            </w:r>
          </w:p>
        </w:tc>
      </w:tr>
      <w:tr w14:paraId="22BB97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29B1E178">
            <w:pPr>
              <w:pStyle w:val="143"/>
              <w:rPr>
                <w:color w:val="000000" w:themeColor="text1"/>
                <w14:textFill>
                  <w14:solidFill>
                    <w14:schemeClr w14:val="tx1"/>
                  </w14:solidFill>
                </w14:textFill>
              </w:rPr>
            </w:pPr>
            <w:r>
              <w:rPr>
                <w:color w:val="000000" w:themeColor="text1"/>
                <w14:textFill>
                  <w14:solidFill>
                    <w14:schemeClr w14:val="tx1"/>
                  </w14:solidFill>
                </w14:textFill>
              </w:rPr>
              <w:t>pH</w:t>
            </w:r>
          </w:p>
        </w:tc>
        <w:tc>
          <w:tcPr>
            <w:tcW w:w="916" w:type="pct"/>
            <w:tcBorders>
              <w:tl2br w:val="nil"/>
              <w:tr2bl w:val="nil"/>
            </w:tcBorders>
            <w:shd w:val="clear" w:color="auto" w:fill="auto"/>
            <w:vAlign w:val="center"/>
          </w:tcPr>
          <w:p w14:paraId="282378F5">
            <w:pPr>
              <w:pStyle w:val="143"/>
              <w:rPr>
                <w:rFonts w:hint="default" w:eastAsia="宋体"/>
                <w:color w:val="000000" w:themeColor="text1"/>
                <w:lang w:val="en-US" w:eastAsia="zh-CN"/>
                <w14:textFill>
                  <w14:solidFill>
                    <w14:schemeClr w14:val="tx1"/>
                  </w14:solidFill>
                </w14:textFill>
              </w:rPr>
            </w:pPr>
          </w:p>
        </w:tc>
        <w:tc>
          <w:tcPr>
            <w:tcW w:w="916" w:type="pct"/>
            <w:tcBorders>
              <w:tl2br w:val="nil"/>
              <w:tr2bl w:val="nil"/>
            </w:tcBorders>
            <w:shd w:val="clear" w:color="auto" w:fill="auto"/>
            <w:vAlign w:val="center"/>
          </w:tcPr>
          <w:p w14:paraId="73E429F7">
            <w:pPr>
              <w:pStyle w:val="143"/>
              <w:rPr>
                <w:color w:val="000000" w:themeColor="text1"/>
                <w14:textFill>
                  <w14:solidFill>
                    <w14:schemeClr w14:val="tx1"/>
                  </w14:solidFill>
                </w14:textFill>
              </w:rPr>
            </w:pPr>
          </w:p>
        </w:tc>
        <w:tc>
          <w:tcPr>
            <w:tcW w:w="1028" w:type="pct"/>
            <w:tcBorders>
              <w:tl2br w:val="nil"/>
              <w:tr2bl w:val="nil"/>
            </w:tcBorders>
            <w:shd w:val="clear" w:color="auto" w:fill="auto"/>
            <w:vAlign w:val="center"/>
          </w:tcPr>
          <w:p w14:paraId="132AD634">
            <w:pPr>
              <w:pStyle w:val="143"/>
              <w:rPr>
                <w:color w:val="000000" w:themeColor="text1"/>
                <w14:textFill>
                  <w14:solidFill>
                    <w14:schemeClr w14:val="tx1"/>
                  </w14:solidFill>
                </w14:textFill>
              </w:rPr>
            </w:pPr>
          </w:p>
        </w:tc>
      </w:tr>
      <w:tr w14:paraId="653CFC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2140" w:type="pct"/>
            <w:tcBorders>
              <w:tl2br w:val="nil"/>
              <w:tr2bl w:val="nil"/>
            </w:tcBorders>
            <w:shd w:val="clear" w:color="auto" w:fill="auto"/>
            <w:vAlign w:val="center"/>
          </w:tcPr>
          <w:p w14:paraId="11AEA0C7">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总硬度</w:t>
            </w:r>
          </w:p>
        </w:tc>
        <w:tc>
          <w:tcPr>
            <w:tcW w:w="916" w:type="pct"/>
            <w:tcBorders>
              <w:tl2br w:val="nil"/>
              <w:tr2bl w:val="nil"/>
            </w:tcBorders>
            <w:shd w:val="clear" w:color="auto" w:fill="auto"/>
            <w:vAlign w:val="center"/>
          </w:tcPr>
          <w:p w14:paraId="735A9F06">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0.484</w:t>
            </w:r>
          </w:p>
        </w:tc>
        <w:tc>
          <w:tcPr>
            <w:tcW w:w="916" w:type="pct"/>
            <w:tcBorders>
              <w:tl2br w:val="nil"/>
              <w:tr2bl w:val="nil"/>
            </w:tcBorders>
            <w:shd w:val="clear" w:color="auto" w:fill="auto"/>
            <w:vAlign w:val="center"/>
          </w:tcPr>
          <w:p w14:paraId="769393E0">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0.356</w:t>
            </w:r>
          </w:p>
        </w:tc>
        <w:tc>
          <w:tcPr>
            <w:tcW w:w="1028" w:type="pct"/>
            <w:tcBorders>
              <w:tl2br w:val="nil"/>
              <w:tr2bl w:val="nil"/>
            </w:tcBorders>
            <w:shd w:val="clear" w:color="auto" w:fill="auto"/>
            <w:vAlign w:val="center"/>
          </w:tcPr>
          <w:p w14:paraId="169CEB65">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0.402</w:t>
            </w:r>
          </w:p>
        </w:tc>
      </w:tr>
      <w:tr w14:paraId="3E092E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6FB70AC8">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氨氮</w:t>
            </w:r>
          </w:p>
        </w:tc>
        <w:tc>
          <w:tcPr>
            <w:tcW w:w="916" w:type="pct"/>
            <w:tcBorders>
              <w:tl2br w:val="nil"/>
              <w:tr2bl w:val="nil"/>
            </w:tcBorders>
            <w:shd w:val="clear" w:color="auto" w:fill="auto"/>
            <w:vAlign w:val="center"/>
          </w:tcPr>
          <w:p w14:paraId="5C259DDB">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0.154</w:t>
            </w:r>
          </w:p>
        </w:tc>
        <w:tc>
          <w:tcPr>
            <w:tcW w:w="916" w:type="pct"/>
            <w:tcBorders>
              <w:tl2br w:val="nil"/>
              <w:tr2bl w:val="nil"/>
            </w:tcBorders>
            <w:shd w:val="clear" w:color="auto" w:fill="auto"/>
            <w:vAlign w:val="center"/>
          </w:tcPr>
          <w:p w14:paraId="2A25B67F">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0.172</w:t>
            </w:r>
          </w:p>
        </w:tc>
        <w:tc>
          <w:tcPr>
            <w:tcW w:w="1028" w:type="pct"/>
            <w:tcBorders>
              <w:tl2br w:val="nil"/>
              <w:tr2bl w:val="nil"/>
            </w:tcBorders>
            <w:shd w:val="clear" w:color="auto" w:fill="auto"/>
            <w:vAlign w:val="center"/>
          </w:tcPr>
          <w:p w14:paraId="03D6FB1C">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0.154</w:t>
            </w:r>
          </w:p>
        </w:tc>
      </w:tr>
      <w:tr w14:paraId="36E3AC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014230E5">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氰化物</w:t>
            </w:r>
          </w:p>
        </w:tc>
        <w:tc>
          <w:tcPr>
            <w:tcW w:w="916" w:type="pct"/>
            <w:tcBorders>
              <w:tl2br w:val="nil"/>
              <w:tr2bl w:val="nil"/>
            </w:tcBorders>
            <w:shd w:val="clear" w:color="auto" w:fill="auto"/>
            <w:vAlign w:val="center"/>
          </w:tcPr>
          <w:p w14:paraId="635A6A66">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0.020</w:t>
            </w:r>
          </w:p>
        </w:tc>
        <w:tc>
          <w:tcPr>
            <w:tcW w:w="916" w:type="pct"/>
            <w:tcBorders>
              <w:tl2br w:val="nil"/>
              <w:tr2bl w:val="nil"/>
            </w:tcBorders>
            <w:shd w:val="clear" w:color="auto" w:fill="auto"/>
            <w:vAlign w:val="center"/>
          </w:tcPr>
          <w:p w14:paraId="1EB0C784">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0.020</w:t>
            </w:r>
          </w:p>
        </w:tc>
        <w:tc>
          <w:tcPr>
            <w:tcW w:w="1028" w:type="pct"/>
            <w:tcBorders>
              <w:tl2br w:val="nil"/>
              <w:tr2bl w:val="nil"/>
            </w:tcBorders>
            <w:shd w:val="clear" w:color="auto" w:fill="auto"/>
            <w:vAlign w:val="center"/>
          </w:tcPr>
          <w:p w14:paraId="7EE2C693">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0.020</w:t>
            </w:r>
          </w:p>
        </w:tc>
      </w:tr>
      <w:tr w14:paraId="61E14A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57503F64">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挥发酚</w:t>
            </w:r>
          </w:p>
        </w:tc>
        <w:tc>
          <w:tcPr>
            <w:tcW w:w="916" w:type="pct"/>
            <w:tcBorders>
              <w:tl2br w:val="nil"/>
              <w:tr2bl w:val="nil"/>
            </w:tcBorders>
            <w:shd w:val="clear" w:color="auto" w:fill="auto"/>
            <w:vAlign w:val="center"/>
          </w:tcPr>
          <w:p w14:paraId="3C9CB665">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0.075</w:t>
            </w:r>
          </w:p>
        </w:tc>
        <w:tc>
          <w:tcPr>
            <w:tcW w:w="916" w:type="pct"/>
            <w:tcBorders>
              <w:tl2br w:val="nil"/>
              <w:tr2bl w:val="nil"/>
            </w:tcBorders>
            <w:shd w:val="clear" w:color="auto" w:fill="auto"/>
            <w:vAlign w:val="center"/>
          </w:tcPr>
          <w:p w14:paraId="630E1D14">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0.075</w:t>
            </w:r>
          </w:p>
        </w:tc>
        <w:tc>
          <w:tcPr>
            <w:tcW w:w="1028" w:type="pct"/>
            <w:tcBorders>
              <w:tl2br w:val="nil"/>
              <w:tr2bl w:val="nil"/>
            </w:tcBorders>
            <w:shd w:val="clear" w:color="auto" w:fill="auto"/>
            <w:vAlign w:val="center"/>
          </w:tcPr>
          <w:p w14:paraId="2F7E60AF">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0.075</w:t>
            </w:r>
          </w:p>
        </w:tc>
      </w:tr>
      <w:tr w14:paraId="6DE64D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1AEB47CF">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耗氧量</w:t>
            </w:r>
          </w:p>
        </w:tc>
        <w:tc>
          <w:tcPr>
            <w:tcW w:w="916" w:type="pct"/>
            <w:tcBorders>
              <w:tl2br w:val="nil"/>
              <w:tr2bl w:val="nil"/>
            </w:tcBorders>
            <w:shd w:val="clear" w:color="auto" w:fill="auto"/>
            <w:vAlign w:val="center"/>
          </w:tcPr>
          <w:p w14:paraId="4F2E84A6">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0.533</w:t>
            </w:r>
          </w:p>
        </w:tc>
        <w:tc>
          <w:tcPr>
            <w:tcW w:w="916" w:type="pct"/>
            <w:tcBorders>
              <w:tl2br w:val="nil"/>
              <w:tr2bl w:val="nil"/>
            </w:tcBorders>
            <w:shd w:val="clear" w:color="auto" w:fill="auto"/>
            <w:vAlign w:val="center"/>
          </w:tcPr>
          <w:p w14:paraId="46A3B3D7">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0.700</w:t>
            </w:r>
          </w:p>
        </w:tc>
        <w:tc>
          <w:tcPr>
            <w:tcW w:w="1028" w:type="pct"/>
            <w:tcBorders>
              <w:tl2br w:val="nil"/>
              <w:tr2bl w:val="nil"/>
            </w:tcBorders>
            <w:shd w:val="clear" w:color="auto" w:fill="auto"/>
            <w:vAlign w:val="center"/>
          </w:tcPr>
          <w:p w14:paraId="1137094A">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0.500</w:t>
            </w:r>
          </w:p>
        </w:tc>
      </w:tr>
      <w:tr w14:paraId="04C181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37493626">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氟化物</w:t>
            </w:r>
          </w:p>
        </w:tc>
        <w:tc>
          <w:tcPr>
            <w:tcW w:w="916" w:type="pct"/>
            <w:tcBorders>
              <w:tl2br w:val="nil"/>
              <w:tr2bl w:val="nil"/>
            </w:tcBorders>
            <w:shd w:val="clear" w:color="auto" w:fill="auto"/>
            <w:vAlign w:val="center"/>
          </w:tcPr>
          <w:p w14:paraId="0EAF25C0">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0.001</w:t>
            </w:r>
          </w:p>
        </w:tc>
        <w:tc>
          <w:tcPr>
            <w:tcW w:w="916" w:type="pct"/>
            <w:tcBorders>
              <w:tl2br w:val="nil"/>
              <w:tr2bl w:val="nil"/>
            </w:tcBorders>
            <w:shd w:val="clear" w:color="auto" w:fill="auto"/>
            <w:vAlign w:val="center"/>
          </w:tcPr>
          <w:p w14:paraId="7047F756">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0.001</w:t>
            </w:r>
          </w:p>
        </w:tc>
        <w:tc>
          <w:tcPr>
            <w:tcW w:w="1028" w:type="pct"/>
            <w:tcBorders>
              <w:tl2br w:val="nil"/>
              <w:tr2bl w:val="nil"/>
            </w:tcBorders>
            <w:shd w:val="clear" w:color="auto" w:fill="auto"/>
            <w:vAlign w:val="center"/>
          </w:tcPr>
          <w:p w14:paraId="13E88E1D">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0.001</w:t>
            </w:r>
          </w:p>
        </w:tc>
      </w:tr>
      <w:tr w14:paraId="29447E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0E927188">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砷</w:t>
            </w:r>
          </w:p>
        </w:tc>
        <w:tc>
          <w:tcPr>
            <w:tcW w:w="916" w:type="pct"/>
            <w:tcBorders>
              <w:tl2br w:val="nil"/>
              <w:tr2bl w:val="nil"/>
            </w:tcBorders>
            <w:shd w:val="clear" w:color="auto" w:fill="auto"/>
            <w:vAlign w:val="center"/>
          </w:tcPr>
          <w:p w14:paraId="231A3A50">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0.015</w:t>
            </w:r>
          </w:p>
        </w:tc>
        <w:tc>
          <w:tcPr>
            <w:tcW w:w="916" w:type="pct"/>
            <w:tcBorders>
              <w:tl2br w:val="nil"/>
              <w:tr2bl w:val="nil"/>
            </w:tcBorders>
            <w:shd w:val="clear" w:color="auto" w:fill="auto"/>
            <w:vAlign w:val="center"/>
          </w:tcPr>
          <w:p w14:paraId="403BC29D">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0.015</w:t>
            </w:r>
          </w:p>
        </w:tc>
        <w:tc>
          <w:tcPr>
            <w:tcW w:w="1028" w:type="pct"/>
            <w:tcBorders>
              <w:tl2br w:val="nil"/>
              <w:tr2bl w:val="nil"/>
            </w:tcBorders>
            <w:shd w:val="clear" w:color="auto" w:fill="auto"/>
            <w:vAlign w:val="center"/>
          </w:tcPr>
          <w:p w14:paraId="4FA5D9AD">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0.015</w:t>
            </w:r>
          </w:p>
        </w:tc>
      </w:tr>
      <w:tr w14:paraId="183720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43BEA9AB">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汞</w:t>
            </w:r>
          </w:p>
        </w:tc>
        <w:tc>
          <w:tcPr>
            <w:tcW w:w="916" w:type="pct"/>
            <w:tcBorders>
              <w:tl2br w:val="nil"/>
              <w:tr2bl w:val="nil"/>
            </w:tcBorders>
            <w:shd w:val="clear" w:color="auto" w:fill="auto"/>
            <w:vAlign w:val="center"/>
          </w:tcPr>
          <w:p w14:paraId="047FE7E1">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0.020</w:t>
            </w:r>
          </w:p>
        </w:tc>
        <w:tc>
          <w:tcPr>
            <w:tcW w:w="916" w:type="pct"/>
            <w:tcBorders>
              <w:tl2br w:val="nil"/>
              <w:tr2bl w:val="nil"/>
            </w:tcBorders>
            <w:shd w:val="clear" w:color="auto" w:fill="auto"/>
            <w:vAlign w:val="center"/>
          </w:tcPr>
          <w:p w14:paraId="39EF65A6">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0.020</w:t>
            </w:r>
          </w:p>
        </w:tc>
        <w:tc>
          <w:tcPr>
            <w:tcW w:w="1028" w:type="pct"/>
            <w:tcBorders>
              <w:tl2br w:val="nil"/>
              <w:tr2bl w:val="nil"/>
            </w:tcBorders>
            <w:shd w:val="clear" w:color="auto" w:fill="auto"/>
            <w:vAlign w:val="center"/>
          </w:tcPr>
          <w:p w14:paraId="301B7303">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0.020</w:t>
            </w:r>
          </w:p>
        </w:tc>
      </w:tr>
      <w:tr w14:paraId="4A367E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15EB00A7">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镉</w:t>
            </w:r>
          </w:p>
        </w:tc>
        <w:tc>
          <w:tcPr>
            <w:tcW w:w="916" w:type="pct"/>
            <w:tcBorders>
              <w:tl2br w:val="nil"/>
              <w:tr2bl w:val="nil"/>
            </w:tcBorders>
            <w:shd w:val="clear" w:color="auto" w:fill="auto"/>
            <w:vAlign w:val="center"/>
          </w:tcPr>
          <w:p w14:paraId="7384C36F">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0.050</w:t>
            </w:r>
          </w:p>
        </w:tc>
        <w:tc>
          <w:tcPr>
            <w:tcW w:w="916" w:type="pct"/>
            <w:tcBorders>
              <w:tl2br w:val="nil"/>
              <w:tr2bl w:val="nil"/>
            </w:tcBorders>
            <w:shd w:val="clear" w:color="auto" w:fill="auto"/>
            <w:vAlign w:val="center"/>
          </w:tcPr>
          <w:p w14:paraId="474A5F14">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0.050</w:t>
            </w:r>
          </w:p>
        </w:tc>
        <w:tc>
          <w:tcPr>
            <w:tcW w:w="1028" w:type="pct"/>
            <w:tcBorders>
              <w:tl2br w:val="nil"/>
              <w:tr2bl w:val="nil"/>
            </w:tcBorders>
            <w:shd w:val="clear" w:color="auto" w:fill="auto"/>
            <w:vAlign w:val="center"/>
          </w:tcPr>
          <w:p w14:paraId="0B2E4F85">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0.050</w:t>
            </w:r>
          </w:p>
        </w:tc>
      </w:tr>
      <w:tr w14:paraId="376A49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278F07C0">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铬（六价）</w:t>
            </w:r>
          </w:p>
        </w:tc>
        <w:tc>
          <w:tcPr>
            <w:tcW w:w="916" w:type="pct"/>
            <w:tcBorders>
              <w:tl2br w:val="nil"/>
              <w:tr2bl w:val="nil"/>
            </w:tcBorders>
            <w:shd w:val="clear" w:color="auto" w:fill="auto"/>
            <w:vAlign w:val="center"/>
          </w:tcPr>
          <w:p w14:paraId="352925B8">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0.040</w:t>
            </w:r>
          </w:p>
        </w:tc>
        <w:tc>
          <w:tcPr>
            <w:tcW w:w="916" w:type="pct"/>
            <w:tcBorders>
              <w:tl2br w:val="nil"/>
              <w:tr2bl w:val="nil"/>
            </w:tcBorders>
            <w:shd w:val="clear" w:color="auto" w:fill="auto"/>
            <w:vAlign w:val="center"/>
          </w:tcPr>
          <w:p w14:paraId="0698DCF0">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0.040</w:t>
            </w:r>
          </w:p>
        </w:tc>
        <w:tc>
          <w:tcPr>
            <w:tcW w:w="1028" w:type="pct"/>
            <w:tcBorders>
              <w:tl2br w:val="nil"/>
              <w:tr2bl w:val="nil"/>
            </w:tcBorders>
            <w:shd w:val="clear" w:color="auto" w:fill="auto"/>
            <w:vAlign w:val="center"/>
          </w:tcPr>
          <w:p w14:paraId="3160958A">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0.040</w:t>
            </w:r>
          </w:p>
        </w:tc>
      </w:tr>
      <w:tr w14:paraId="7CEA09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03A116F5">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铁</w:t>
            </w:r>
          </w:p>
        </w:tc>
        <w:tc>
          <w:tcPr>
            <w:tcW w:w="916" w:type="pct"/>
            <w:tcBorders>
              <w:tl2br w:val="nil"/>
              <w:tr2bl w:val="nil"/>
            </w:tcBorders>
            <w:shd w:val="clear" w:color="auto" w:fill="auto"/>
            <w:vAlign w:val="center"/>
          </w:tcPr>
          <w:p w14:paraId="55FA5CCA">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0.267</w:t>
            </w:r>
          </w:p>
        </w:tc>
        <w:tc>
          <w:tcPr>
            <w:tcW w:w="916" w:type="pct"/>
            <w:tcBorders>
              <w:tl2br w:val="nil"/>
              <w:tr2bl w:val="nil"/>
            </w:tcBorders>
            <w:shd w:val="clear" w:color="auto" w:fill="auto"/>
            <w:vAlign w:val="center"/>
          </w:tcPr>
          <w:p w14:paraId="00C69C89">
            <w:pPr>
              <w:pStyle w:val="143"/>
              <w:rPr>
                <w:rFonts w:hint="default"/>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0.233</w:t>
            </w:r>
          </w:p>
        </w:tc>
        <w:tc>
          <w:tcPr>
            <w:tcW w:w="1028" w:type="pct"/>
            <w:tcBorders>
              <w:tl2br w:val="nil"/>
              <w:tr2bl w:val="nil"/>
            </w:tcBorders>
            <w:shd w:val="clear" w:color="auto" w:fill="auto"/>
            <w:vAlign w:val="center"/>
          </w:tcPr>
          <w:p w14:paraId="5E6FDD81">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0.500</w:t>
            </w:r>
          </w:p>
        </w:tc>
      </w:tr>
      <w:tr w14:paraId="5FB09A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39825D6F">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锰</w:t>
            </w:r>
          </w:p>
        </w:tc>
        <w:tc>
          <w:tcPr>
            <w:tcW w:w="916" w:type="pct"/>
            <w:tcBorders>
              <w:tl2br w:val="nil"/>
              <w:tr2bl w:val="nil"/>
            </w:tcBorders>
            <w:shd w:val="clear" w:color="auto" w:fill="auto"/>
            <w:vAlign w:val="center"/>
          </w:tcPr>
          <w:p w14:paraId="594743AA">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0.400</w:t>
            </w:r>
          </w:p>
        </w:tc>
        <w:tc>
          <w:tcPr>
            <w:tcW w:w="916" w:type="pct"/>
            <w:tcBorders>
              <w:tl2br w:val="nil"/>
              <w:tr2bl w:val="nil"/>
            </w:tcBorders>
            <w:shd w:val="clear" w:color="auto" w:fill="auto"/>
            <w:vAlign w:val="center"/>
          </w:tcPr>
          <w:p w14:paraId="1DFBB085">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0.500</w:t>
            </w:r>
          </w:p>
        </w:tc>
        <w:tc>
          <w:tcPr>
            <w:tcW w:w="1028" w:type="pct"/>
            <w:tcBorders>
              <w:tl2br w:val="nil"/>
              <w:tr2bl w:val="nil"/>
            </w:tcBorders>
            <w:shd w:val="clear" w:color="auto" w:fill="auto"/>
            <w:vAlign w:val="center"/>
          </w:tcPr>
          <w:p w14:paraId="5BAF970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4.10</w:t>
            </w:r>
          </w:p>
        </w:tc>
      </w:tr>
      <w:tr w14:paraId="3DF24C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1530C622">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铅</w:t>
            </w:r>
          </w:p>
        </w:tc>
        <w:tc>
          <w:tcPr>
            <w:tcW w:w="916" w:type="pct"/>
            <w:tcBorders>
              <w:tl2br w:val="nil"/>
              <w:tr2bl w:val="nil"/>
            </w:tcBorders>
            <w:shd w:val="clear" w:color="auto" w:fill="auto"/>
            <w:vAlign w:val="center"/>
          </w:tcPr>
          <w:p w14:paraId="0B2DB74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0.125</w:t>
            </w:r>
          </w:p>
        </w:tc>
        <w:tc>
          <w:tcPr>
            <w:tcW w:w="916" w:type="pct"/>
            <w:tcBorders>
              <w:tl2br w:val="nil"/>
              <w:tr2bl w:val="nil"/>
            </w:tcBorders>
            <w:shd w:val="clear" w:color="auto" w:fill="auto"/>
            <w:vAlign w:val="center"/>
          </w:tcPr>
          <w:p w14:paraId="73DD1015">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0.125</w:t>
            </w:r>
          </w:p>
        </w:tc>
        <w:tc>
          <w:tcPr>
            <w:tcW w:w="1028" w:type="pct"/>
            <w:tcBorders>
              <w:tl2br w:val="nil"/>
              <w:tr2bl w:val="nil"/>
            </w:tcBorders>
            <w:shd w:val="clear" w:color="auto" w:fill="auto"/>
            <w:vAlign w:val="center"/>
          </w:tcPr>
          <w:p w14:paraId="02BEE80C">
            <w:pPr>
              <w:pStyle w:val="143"/>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0.125</w:t>
            </w:r>
          </w:p>
        </w:tc>
      </w:tr>
      <w:tr w14:paraId="462FCE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136A9112">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硝酸盐</w:t>
            </w:r>
          </w:p>
        </w:tc>
        <w:tc>
          <w:tcPr>
            <w:tcW w:w="916" w:type="pct"/>
            <w:tcBorders>
              <w:tl2br w:val="nil"/>
              <w:tr2bl w:val="nil"/>
            </w:tcBorders>
            <w:shd w:val="clear" w:color="auto" w:fill="auto"/>
            <w:vAlign w:val="center"/>
          </w:tcPr>
          <w:p w14:paraId="7A4C1E1A">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0.050</w:t>
            </w:r>
          </w:p>
        </w:tc>
        <w:tc>
          <w:tcPr>
            <w:tcW w:w="916" w:type="pct"/>
            <w:tcBorders>
              <w:tl2br w:val="nil"/>
              <w:tr2bl w:val="nil"/>
            </w:tcBorders>
            <w:shd w:val="clear" w:color="auto" w:fill="auto"/>
            <w:vAlign w:val="center"/>
          </w:tcPr>
          <w:p w14:paraId="552BBEFC">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0.055</w:t>
            </w:r>
          </w:p>
        </w:tc>
        <w:tc>
          <w:tcPr>
            <w:tcW w:w="1028" w:type="pct"/>
            <w:tcBorders>
              <w:tl2br w:val="nil"/>
              <w:tr2bl w:val="nil"/>
            </w:tcBorders>
            <w:shd w:val="clear" w:color="auto" w:fill="auto"/>
            <w:vAlign w:val="center"/>
          </w:tcPr>
          <w:p w14:paraId="0A4AA6FC">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0.060</w:t>
            </w:r>
          </w:p>
        </w:tc>
      </w:tr>
      <w:tr w14:paraId="5ACFA4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330BC91B">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亚硝酸盐</w:t>
            </w:r>
          </w:p>
        </w:tc>
        <w:tc>
          <w:tcPr>
            <w:tcW w:w="916" w:type="pct"/>
            <w:tcBorders>
              <w:tl2br w:val="nil"/>
              <w:tr2bl w:val="nil"/>
            </w:tcBorders>
            <w:shd w:val="clear" w:color="auto" w:fill="auto"/>
            <w:vAlign w:val="center"/>
          </w:tcPr>
          <w:p w14:paraId="662EE10E">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0.009</w:t>
            </w:r>
          </w:p>
        </w:tc>
        <w:tc>
          <w:tcPr>
            <w:tcW w:w="916" w:type="pct"/>
            <w:tcBorders>
              <w:tl2br w:val="nil"/>
              <w:tr2bl w:val="nil"/>
            </w:tcBorders>
            <w:shd w:val="clear" w:color="auto" w:fill="auto"/>
            <w:vAlign w:val="center"/>
          </w:tcPr>
          <w:p w14:paraId="2F7CC488">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0.007</w:t>
            </w:r>
          </w:p>
        </w:tc>
        <w:tc>
          <w:tcPr>
            <w:tcW w:w="1028" w:type="pct"/>
            <w:tcBorders>
              <w:tl2br w:val="nil"/>
              <w:tr2bl w:val="nil"/>
            </w:tcBorders>
            <w:shd w:val="clear" w:color="auto" w:fill="auto"/>
            <w:vAlign w:val="center"/>
          </w:tcPr>
          <w:p w14:paraId="608C6534">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0.006</w:t>
            </w:r>
          </w:p>
        </w:tc>
      </w:tr>
      <w:tr w14:paraId="555D21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6AECBEAF">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硫酸盐</w:t>
            </w:r>
          </w:p>
        </w:tc>
        <w:tc>
          <w:tcPr>
            <w:tcW w:w="916" w:type="pct"/>
            <w:tcBorders>
              <w:tl2br w:val="nil"/>
              <w:tr2bl w:val="nil"/>
            </w:tcBorders>
            <w:shd w:val="clear" w:color="auto" w:fill="auto"/>
            <w:vAlign w:val="center"/>
          </w:tcPr>
          <w:p w14:paraId="175C30DE">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0.356</w:t>
            </w:r>
          </w:p>
        </w:tc>
        <w:tc>
          <w:tcPr>
            <w:tcW w:w="916" w:type="pct"/>
            <w:tcBorders>
              <w:tl2br w:val="nil"/>
              <w:tr2bl w:val="nil"/>
            </w:tcBorders>
            <w:shd w:val="clear" w:color="auto" w:fill="auto"/>
            <w:vAlign w:val="center"/>
          </w:tcPr>
          <w:p w14:paraId="46CB80B3">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0.368</w:t>
            </w:r>
          </w:p>
        </w:tc>
        <w:tc>
          <w:tcPr>
            <w:tcW w:w="1028" w:type="pct"/>
            <w:tcBorders>
              <w:tl2br w:val="nil"/>
              <w:tr2bl w:val="nil"/>
            </w:tcBorders>
            <w:shd w:val="clear" w:color="auto" w:fill="auto"/>
            <w:vAlign w:val="center"/>
          </w:tcPr>
          <w:p w14:paraId="08153AE2">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0.380</w:t>
            </w:r>
          </w:p>
        </w:tc>
      </w:tr>
      <w:tr w14:paraId="45DC47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70E893F1">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溶解性总固体</w:t>
            </w:r>
          </w:p>
        </w:tc>
        <w:tc>
          <w:tcPr>
            <w:tcW w:w="916" w:type="pct"/>
            <w:tcBorders>
              <w:tl2br w:val="nil"/>
              <w:tr2bl w:val="nil"/>
            </w:tcBorders>
            <w:shd w:val="clear" w:color="auto" w:fill="auto"/>
            <w:vAlign w:val="center"/>
          </w:tcPr>
          <w:p w14:paraId="2580660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0.401</w:t>
            </w:r>
          </w:p>
        </w:tc>
        <w:tc>
          <w:tcPr>
            <w:tcW w:w="916" w:type="pct"/>
            <w:tcBorders>
              <w:tl2br w:val="nil"/>
              <w:tr2bl w:val="nil"/>
            </w:tcBorders>
            <w:shd w:val="clear" w:color="auto" w:fill="auto"/>
            <w:vAlign w:val="center"/>
          </w:tcPr>
          <w:p w14:paraId="49D726E2">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0.405</w:t>
            </w:r>
          </w:p>
        </w:tc>
        <w:tc>
          <w:tcPr>
            <w:tcW w:w="1028" w:type="pct"/>
            <w:tcBorders>
              <w:tl2br w:val="nil"/>
              <w:tr2bl w:val="nil"/>
            </w:tcBorders>
            <w:shd w:val="clear" w:color="auto" w:fill="auto"/>
            <w:vAlign w:val="center"/>
          </w:tcPr>
          <w:p w14:paraId="5DFB8E1B">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0.434</w:t>
            </w:r>
          </w:p>
        </w:tc>
      </w:tr>
      <w:tr w14:paraId="27E5E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2EAC52AC">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氯化物</w:t>
            </w:r>
          </w:p>
        </w:tc>
        <w:tc>
          <w:tcPr>
            <w:tcW w:w="916" w:type="pct"/>
            <w:tcBorders>
              <w:tl2br w:val="nil"/>
              <w:tr2bl w:val="nil"/>
            </w:tcBorders>
            <w:shd w:val="clear" w:color="auto" w:fill="auto"/>
            <w:vAlign w:val="center"/>
          </w:tcPr>
          <w:p w14:paraId="23EC6DEC">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0.480</w:t>
            </w:r>
          </w:p>
        </w:tc>
        <w:tc>
          <w:tcPr>
            <w:tcW w:w="916" w:type="pct"/>
            <w:tcBorders>
              <w:tl2br w:val="nil"/>
              <w:tr2bl w:val="nil"/>
            </w:tcBorders>
            <w:shd w:val="clear" w:color="auto" w:fill="auto"/>
            <w:vAlign w:val="center"/>
          </w:tcPr>
          <w:p w14:paraId="4041BD9E">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0.520</w:t>
            </w:r>
          </w:p>
        </w:tc>
        <w:tc>
          <w:tcPr>
            <w:tcW w:w="1028" w:type="pct"/>
            <w:tcBorders>
              <w:tl2br w:val="nil"/>
              <w:tr2bl w:val="nil"/>
            </w:tcBorders>
            <w:shd w:val="clear" w:color="auto" w:fill="auto"/>
            <w:vAlign w:val="center"/>
          </w:tcPr>
          <w:p w14:paraId="351429CB">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0.500</w:t>
            </w:r>
          </w:p>
        </w:tc>
      </w:tr>
      <w:tr w14:paraId="5FAD14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394FE1C4">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总大肠菌群</w:t>
            </w:r>
          </w:p>
        </w:tc>
        <w:tc>
          <w:tcPr>
            <w:tcW w:w="916" w:type="pct"/>
            <w:tcBorders>
              <w:tl2br w:val="nil"/>
              <w:tr2bl w:val="nil"/>
            </w:tcBorders>
            <w:shd w:val="clear" w:color="auto" w:fill="auto"/>
            <w:vAlign w:val="center"/>
          </w:tcPr>
          <w:p w14:paraId="4894EF86">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0.333</w:t>
            </w:r>
          </w:p>
        </w:tc>
        <w:tc>
          <w:tcPr>
            <w:tcW w:w="916" w:type="pct"/>
            <w:tcBorders>
              <w:tl2br w:val="nil"/>
              <w:tr2bl w:val="nil"/>
            </w:tcBorders>
            <w:shd w:val="clear" w:color="auto" w:fill="auto"/>
            <w:vAlign w:val="center"/>
          </w:tcPr>
          <w:p w14:paraId="14B5C0EC">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0.333</w:t>
            </w:r>
          </w:p>
        </w:tc>
        <w:tc>
          <w:tcPr>
            <w:tcW w:w="1028" w:type="pct"/>
            <w:tcBorders>
              <w:tl2br w:val="nil"/>
              <w:tr2bl w:val="nil"/>
            </w:tcBorders>
            <w:shd w:val="clear" w:color="auto" w:fill="auto"/>
            <w:vAlign w:val="center"/>
          </w:tcPr>
          <w:p w14:paraId="1BB6DE07">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0.333</w:t>
            </w:r>
          </w:p>
        </w:tc>
      </w:tr>
      <w:tr w14:paraId="44978F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0DF1B1E3">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菌落总数</w:t>
            </w:r>
          </w:p>
        </w:tc>
        <w:tc>
          <w:tcPr>
            <w:tcW w:w="916" w:type="pct"/>
            <w:tcBorders>
              <w:tl2br w:val="nil"/>
              <w:tr2bl w:val="nil"/>
            </w:tcBorders>
            <w:shd w:val="clear" w:color="auto" w:fill="auto"/>
            <w:vAlign w:val="center"/>
          </w:tcPr>
          <w:p w14:paraId="0C41FD00">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0.190</w:t>
            </w:r>
          </w:p>
        </w:tc>
        <w:tc>
          <w:tcPr>
            <w:tcW w:w="916" w:type="pct"/>
            <w:tcBorders>
              <w:tl2br w:val="nil"/>
              <w:tr2bl w:val="nil"/>
            </w:tcBorders>
            <w:shd w:val="clear" w:color="auto" w:fill="auto"/>
            <w:vAlign w:val="center"/>
          </w:tcPr>
          <w:p w14:paraId="5A93B0EE">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0.150</w:t>
            </w:r>
          </w:p>
        </w:tc>
        <w:tc>
          <w:tcPr>
            <w:tcW w:w="1028" w:type="pct"/>
            <w:tcBorders>
              <w:tl2br w:val="nil"/>
              <w:tr2bl w:val="nil"/>
            </w:tcBorders>
            <w:shd w:val="clear" w:color="auto" w:fill="auto"/>
            <w:vAlign w:val="center"/>
          </w:tcPr>
          <w:p w14:paraId="6EF782AF">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0.130</w:t>
            </w:r>
          </w:p>
        </w:tc>
      </w:tr>
      <w:tr w14:paraId="3E8CD2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140" w:type="pct"/>
            <w:tcBorders>
              <w:tl2br w:val="nil"/>
              <w:tr2bl w:val="nil"/>
            </w:tcBorders>
            <w:shd w:val="clear" w:color="auto" w:fill="auto"/>
            <w:vAlign w:val="center"/>
          </w:tcPr>
          <w:p w14:paraId="62A7CB54">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Na</w:t>
            </w:r>
            <w:r>
              <w:rPr>
                <w:color w:val="000000" w:themeColor="text1"/>
                <w:lang w:eastAsia="zh-CN"/>
                <w14:textFill>
                  <w14:solidFill>
                    <w14:schemeClr w14:val="tx1"/>
                  </w14:solidFill>
                </w14:textFill>
              </w:rPr>
              <w:t>+</w:t>
            </w:r>
          </w:p>
        </w:tc>
        <w:tc>
          <w:tcPr>
            <w:tcW w:w="916" w:type="pct"/>
            <w:tcBorders>
              <w:tl2br w:val="nil"/>
              <w:tr2bl w:val="nil"/>
            </w:tcBorders>
            <w:shd w:val="clear" w:color="auto" w:fill="auto"/>
            <w:vAlign w:val="center"/>
          </w:tcPr>
          <w:p w14:paraId="5A304DA0">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0.286</w:t>
            </w:r>
          </w:p>
        </w:tc>
        <w:tc>
          <w:tcPr>
            <w:tcW w:w="916" w:type="pct"/>
            <w:tcBorders>
              <w:tl2br w:val="nil"/>
              <w:tr2bl w:val="nil"/>
            </w:tcBorders>
            <w:shd w:val="clear" w:color="auto" w:fill="auto"/>
            <w:vAlign w:val="center"/>
          </w:tcPr>
          <w:p w14:paraId="0A1ED37D">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0.337</w:t>
            </w:r>
          </w:p>
        </w:tc>
        <w:tc>
          <w:tcPr>
            <w:tcW w:w="1028" w:type="pct"/>
            <w:tcBorders>
              <w:tl2br w:val="nil"/>
              <w:tr2bl w:val="nil"/>
            </w:tcBorders>
            <w:shd w:val="clear" w:color="auto" w:fill="auto"/>
            <w:vAlign w:val="center"/>
          </w:tcPr>
          <w:p w14:paraId="5BA40626">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0.456</w:t>
            </w:r>
          </w:p>
        </w:tc>
      </w:tr>
      <w:bookmarkEnd w:id="236"/>
    </w:tbl>
    <w:p w14:paraId="11678E9A">
      <w:pPr>
        <w:pStyle w:val="85"/>
        <w:rPr>
          <w:color w:val="000000" w:themeColor="text1"/>
          <w14:textFill>
            <w14:solidFill>
              <w14:schemeClr w14:val="tx1"/>
            </w14:solidFill>
          </w14:textFill>
        </w:rPr>
      </w:pPr>
      <w:r>
        <w:rPr>
          <w:color w:val="000000" w:themeColor="text1"/>
          <w14:textFill>
            <w14:solidFill>
              <w14:schemeClr w14:val="tx1"/>
            </w14:solidFill>
          </w14:textFill>
        </w:rPr>
        <w:t>由表</w:t>
      </w:r>
      <w:r>
        <w:rPr>
          <w:color w:val="000000" w:themeColor="text1"/>
          <w:lang w:val="zh-CN"/>
          <w14:textFill>
            <w14:solidFill>
              <w14:schemeClr w14:val="tx1"/>
            </w14:solidFill>
          </w14:textFill>
        </w:rPr>
        <w:t>4</w:t>
      </w:r>
      <w:r>
        <w:rPr>
          <w:color w:val="000000" w:themeColor="text1"/>
          <w14:textFill>
            <w14:solidFill>
              <w14:schemeClr w14:val="tx1"/>
            </w14:solidFill>
          </w14:textFill>
        </w:rPr>
        <w:t>-2-11</w:t>
      </w:r>
      <w:r>
        <w:rPr>
          <w:rFonts w:hint="eastAsia"/>
          <w:color w:val="000000" w:themeColor="text1"/>
          <w14:textFill>
            <w14:solidFill>
              <w14:schemeClr w14:val="tx1"/>
            </w14:solidFill>
          </w14:textFill>
        </w:rPr>
        <w:t>可</w:t>
      </w:r>
      <w:r>
        <w:rPr>
          <w:color w:val="000000" w:themeColor="text1"/>
          <w14:textFill>
            <w14:solidFill>
              <w14:schemeClr w14:val="tx1"/>
            </w14:solidFill>
          </w14:textFill>
        </w:rPr>
        <w:t>知，评价区域内地下水个别点位锰超标，锰超标的原因是由于特殊的地下水水文地球化学原生还原环境造成的锰高背景环境状态。其余指标均满足《地下水质量标准》（GB/T14848-2017）Ⅲ类标准。</w:t>
      </w:r>
    </w:p>
    <w:p w14:paraId="4CD651A8">
      <w:pPr>
        <w:pStyle w:val="85"/>
        <w:ind w:left="0" w:leftChars="0"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4.2.3.3</w:t>
      </w:r>
      <w:r>
        <w:rPr>
          <w:color w:val="000000" w:themeColor="text1"/>
          <w14:textFill>
            <w14:solidFill>
              <w14:schemeClr w14:val="tx1"/>
            </w14:solidFill>
          </w14:textFill>
        </w:rPr>
        <w:t>地下水水化学类型</w:t>
      </w:r>
      <w:r>
        <w:rPr>
          <w:rFonts w:hint="eastAsia"/>
          <w:color w:val="000000" w:themeColor="text1"/>
          <w14:textFill>
            <w14:solidFill>
              <w14:schemeClr w14:val="tx1"/>
            </w14:solidFill>
          </w14:textFill>
        </w:rPr>
        <w:t>评价</w:t>
      </w:r>
    </w:p>
    <w:p w14:paraId="15C3F859">
      <w:pPr>
        <w:adjustRightInd w:val="0"/>
        <w:snapToGrid w:val="0"/>
        <w:spacing w:line="480" w:lineRule="exact"/>
        <w:ind w:firstLine="480" w:firstLineChars="200"/>
        <w:jc w:val="left"/>
        <w:rPr>
          <w:rFonts w:ascii="Times New Roman"/>
          <w:color w:val="000000"/>
          <w:kern w:val="2"/>
          <w:szCs w:val="24"/>
        </w:rPr>
      </w:pPr>
      <w:r>
        <w:rPr>
          <w:rFonts w:ascii="Times New Roman"/>
          <w:color w:val="000000"/>
          <w:kern w:val="2"/>
          <w:szCs w:val="24"/>
        </w:rPr>
        <w:t>（1）水化学特征</w:t>
      </w:r>
    </w:p>
    <w:p w14:paraId="006777CC">
      <w:pPr>
        <w:pStyle w:val="508"/>
        <w:spacing w:line="520" w:lineRule="exact"/>
        <w:ind w:firstLine="480"/>
        <w:jc w:val="left"/>
        <w:rPr>
          <w:color w:val="000000"/>
          <w:kern w:val="0"/>
          <w:szCs w:val="28"/>
        </w:rPr>
      </w:pPr>
      <w:r>
        <w:rPr>
          <w:color w:val="000000"/>
          <w:kern w:val="0"/>
          <w:szCs w:val="28"/>
        </w:rPr>
        <w:t>用舒卡列夫分类法对地下水化学类型进行评价，其主要作用有两点，一是查明地下水化学类型，二是查验检测结果的准确性。地下水化学类型的舒卡列夫分类是根据地下水中6种主要离子（Na</w:t>
      </w:r>
      <w:r>
        <w:rPr>
          <w:color w:val="000000"/>
          <w:kern w:val="0"/>
          <w:szCs w:val="28"/>
          <w:vertAlign w:val="superscript"/>
        </w:rPr>
        <w:t>+</w:t>
      </w:r>
      <w:r>
        <w:rPr>
          <w:color w:val="000000"/>
          <w:kern w:val="0"/>
          <w:szCs w:val="28"/>
        </w:rPr>
        <w:t>、Ca</w:t>
      </w:r>
      <w:r>
        <w:rPr>
          <w:color w:val="000000"/>
          <w:kern w:val="0"/>
          <w:szCs w:val="28"/>
          <w:vertAlign w:val="superscript"/>
        </w:rPr>
        <w:t>2+</w:t>
      </w:r>
      <w:r>
        <w:rPr>
          <w:color w:val="000000"/>
          <w:kern w:val="0"/>
          <w:szCs w:val="28"/>
        </w:rPr>
        <w:t>、Mg</w:t>
      </w:r>
      <w:r>
        <w:rPr>
          <w:color w:val="000000"/>
          <w:kern w:val="0"/>
          <w:szCs w:val="28"/>
          <w:vertAlign w:val="superscript"/>
        </w:rPr>
        <w:t>2+</w:t>
      </w:r>
      <w:r>
        <w:rPr>
          <w:color w:val="000000"/>
          <w:kern w:val="0"/>
          <w:szCs w:val="28"/>
        </w:rPr>
        <w:t>、HCO</w:t>
      </w:r>
      <w:r>
        <w:rPr>
          <w:color w:val="000000"/>
          <w:kern w:val="0"/>
          <w:szCs w:val="28"/>
          <w:vertAlign w:val="superscript"/>
        </w:rPr>
        <w:t>3-</w:t>
      </w:r>
      <w:r>
        <w:rPr>
          <w:color w:val="000000"/>
          <w:kern w:val="0"/>
          <w:szCs w:val="28"/>
        </w:rPr>
        <w:t>、SO</w:t>
      </w:r>
      <w:r>
        <w:rPr>
          <w:color w:val="000000"/>
          <w:kern w:val="0"/>
          <w:szCs w:val="28"/>
          <w:vertAlign w:val="subscript"/>
        </w:rPr>
        <w:t>4</w:t>
      </w:r>
      <w:r>
        <w:rPr>
          <w:color w:val="000000"/>
          <w:kern w:val="0"/>
          <w:szCs w:val="28"/>
          <w:vertAlign w:val="superscript"/>
        </w:rPr>
        <w:t>2-</w:t>
      </w:r>
      <w:r>
        <w:rPr>
          <w:color w:val="000000"/>
          <w:kern w:val="0"/>
          <w:szCs w:val="28"/>
        </w:rPr>
        <w:t>、Cl</w:t>
      </w:r>
      <w:r>
        <w:rPr>
          <w:color w:val="000000"/>
          <w:kern w:val="0"/>
          <w:szCs w:val="28"/>
          <w:vertAlign w:val="superscript"/>
        </w:rPr>
        <w:t>-</w:t>
      </w:r>
      <w:r>
        <w:rPr>
          <w:color w:val="000000"/>
          <w:kern w:val="0"/>
          <w:szCs w:val="28"/>
        </w:rPr>
        <w:t>，K</w:t>
      </w:r>
      <w:r>
        <w:rPr>
          <w:color w:val="000000"/>
          <w:kern w:val="0"/>
          <w:szCs w:val="28"/>
          <w:vertAlign w:val="superscript"/>
        </w:rPr>
        <w:t>+</w:t>
      </w:r>
      <w:r>
        <w:rPr>
          <w:color w:val="000000"/>
          <w:kern w:val="0"/>
          <w:szCs w:val="28"/>
        </w:rPr>
        <w:t>合并于Na</w:t>
      </w:r>
      <w:r>
        <w:rPr>
          <w:color w:val="000000"/>
          <w:kern w:val="0"/>
          <w:szCs w:val="28"/>
          <w:vertAlign w:val="superscript"/>
        </w:rPr>
        <w:t>+</w:t>
      </w:r>
      <w:r>
        <w:rPr>
          <w:color w:val="000000"/>
          <w:kern w:val="0"/>
          <w:szCs w:val="28"/>
        </w:rPr>
        <w:t>）。具体步骤如下：</w:t>
      </w:r>
    </w:p>
    <w:p w14:paraId="1A74681F">
      <w:pPr>
        <w:pStyle w:val="508"/>
        <w:spacing w:line="520" w:lineRule="exact"/>
        <w:ind w:firstLine="480"/>
        <w:jc w:val="left"/>
        <w:rPr>
          <w:color w:val="000000"/>
          <w:kern w:val="0"/>
          <w:szCs w:val="28"/>
        </w:rPr>
      </w:pPr>
      <w:r>
        <w:rPr>
          <w:color w:val="000000"/>
          <w:kern w:val="0"/>
          <w:szCs w:val="28"/>
        </w:rPr>
        <w:t>将6种主要离子中含量大于25％毫克当量的阴离子和阳离子进行组合，可组合出49型水，并将每型用一个阿拉伯数字作为代号，</w:t>
      </w:r>
      <w:r>
        <w:rPr>
          <w:rFonts w:hint="eastAsia"/>
          <w:color w:val="000000"/>
          <w:kern w:val="0"/>
          <w:szCs w:val="28"/>
        </w:rPr>
        <w:t>见下表</w:t>
      </w:r>
      <w:r>
        <w:rPr>
          <w:color w:val="000000"/>
          <w:kern w:val="0"/>
          <w:szCs w:val="28"/>
        </w:rPr>
        <w:t>。</w:t>
      </w:r>
    </w:p>
    <w:p w14:paraId="0B711800">
      <w:pPr>
        <w:pStyle w:val="206"/>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表4-</w:t>
      </w:r>
      <w:r>
        <w:rPr>
          <w:rFonts w:hint="eastAsia"/>
          <w:color w:val="000000" w:themeColor="text1"/>
          <w:lang w:val="en-US" w:eastAsia="zh-CN"/>
          <w14:textFill>
            <w14:solidFill>
              <w14:schemeClr w14:val="tx1"/>
            </w14:solidFill>
          </w14:textFill>
        </w:rPr>
        <w:t>2-14</w:t>
      </w:r>
      <w:r>
        <w:rPr>
          <w:rFonts w:hint="eastAsia"/>
          <w:color w:val="000000" w:themeColor="text1"/>
          <w:lang w:eastAsia="zh-CN"/>
          <w14:textFill>
            <w14:solidFill>
              <w14:schemeClr w14:val="tx1"/>
            </w14:solidFill>
          </w14:textFill>
        </w:rPr>
        <w:t xml:space="preserve"> 舒卡列夫分类图表</w:t>
      </w:r>
    </w:p>
    <w:tbl>
      <w:tblPr>
        <w:tblStyle w:val="49"/>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35"/>
        <w:gridCol w:w="962"/>
        <w:gridCol w:w="967"/>
        <w:gridCol w:w="968"/>
        <w:gridCol w:w="968"/>
        <w:gridCol w:w="968"/>
        <w:gridCol w:w="968"/>
        <w:gridCol w:w="969"/>
      </w:tblGrid>
      <w:tr w14:paraId="2E5330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4" w:type="pct"/>
            <w:noWrap w:val="0"/>
            <w:vAlign w:val="center"/>
          </w:tcPr>
          <w:p w14:paraId="1A3E4615">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超过25%毫克当量的离子</w:t>
            </w:r>
          </w:p>
        </w:tc>
        <w:tc>
          <w:tcPr>
            <w:tcW w:w="579" w:type="pct"/>
            <w:noWrap w:val="0"/>
            <w:vAlign w:val="center"/>
          </w:tcPr>
          <w:p w14:paraId="70626372">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HCO</w:t>
            </w:r>
            <w:r>
              <w:rPr>
                <w:rFonts w:ascii="Times New Roman"/>
                <w:color w:val="000000"/>
                <w:kern w:val="2"/>
                <w:sz w:val="21"/>
                <w:szCs w:val="21"/>
                <w:vertAlign w:val="subscript"/>
              </w:rPr>
              <w:t>3</w:t>
            </w:r>
            <w:r>
              <w:rPr>
                <w:rFonts w:ascii="Times New Roman"/>
                <w:color w:val="000000"/>
                <w:kern w:val="2"/>
                <w:sz w:val="21"/>
                <w:szCs w:val="21"/>
                <w:vertAlign w:val="superscript"/>
              </w:rPr>
              <w:t>-</w:t>
            </w:r>
          </w:p>
        </w:tc>
        <w:tc>
          <w:tcPr>
            <w:tcW w:w="582" w:type="pct"/>
            <w:noWrap w:val="0"/>
            <w:vAlign w:val="center"/>
          </w:tcPr>
          <w:p w14:paraId="05035594">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HCO</w:t>
            </w:r>
            <w:r>
              <w:rPr>
                <w:rFonts w:ascii="Times New Roman"/>
                <w:color w:val="000000"/>
                <w:kern w:val="2"/>
                <w:sz w:val="21"/>
                <w:szCs w:val="21"/>
                <w:vertAlign w:val="subscript"/>
              </w:rPr>
              <w:t>3</w:t>
            </w:r>
            <w:r>
              <w:rPr>
                <w:rFonts w:ascii="Times New Roman"/>
                <w:color w:val="000000"/>
                <w:kern w:val="2"/>
                <w:sz w:val="21"/>
                <w:szCs w:val="21"/>
                <w:vertAlign w:val="superscript"/>
              </w:rPr>
              <w:t>-</w:t>
            </w:r>
          </w:p>
          <w:p w14:paraId="2DACE93B">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SO</w:t>
            </w:r>
            <w:r>
              <w:rPr>
                <w:rFonts w:ascii="Times New Roman"/>
                <w:color w:val="000000"/>
                <w:kern w:val="2"/>
                <w:sz w:val="21"/>
                <w:szCs w:val="21"/>
                <w:vertAlign w:val="subscript"/>
              </w:rPr>
              <w:t>4</w:t>
            </w:r>
            <w:r>
              <w:rPr>
                <w:rFonts w:ascii="Times New Roman"/>
                <w:color w:val="000000"/>
                <w:kern w:val="2"/>
                <w:sz w:val="21"/>
                <w:szCs w:val="21"/>
                <w:vertAlign w:val="superscript"/>
              </w:rPr>
              <w:t>2-</w:t>
            </w:r>
          </w:p>
        </w:tc>
        <w:tc>
          <w:tcPr>
            <w:tcW w:w="582" w:type="pct"/>
            <w:noWrap w:val="0"/>
            <w:vAlign w:val="center"/>
          </w:tcPr>
          <w:p w14:paraId="55B38060">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HCO</w:t>
            </w:r>
            <w:r>
              <w:rPr>
                <w:rFonts w:ascii="Times New Roman"/>
                <w:color w:val="000000"/>
                <w:kern w:val="2"/>
                <w:sz w:val="21"/>
                <w:szCs w:val="21"/>
                <w:vertAlign w:val="subscript"/>
              </w:rPr>
              <w:t>3</w:t>
            </w:r>
            <w:r>
              <w:rPr>
                <w:rFonts w:ascii="Times New Roman"/>
                <w:color w:val="000000"/>
                <w:kern w:val="2"/>
                <w:sz w:val="21"/>
                <w:szCs w:val="21"/>
                <w:vertAlign w:val="superscript"/>
              </w:rPr>
              <w:t>-</w:t>
            </w:r>
          </w:p>
          <w:p w14:paraId="7DF95412">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SO</w:t>
            </w:r>
            <w:r>
              <w:rPr>
                <w:rFonts w:ascii="Times New Roman"/>
                <w:color w:val="000000"/>
                <w:kern w:val="2"/>
                <w:sz w:val="21"/>
                <w:szCs w:val="21"/>
                <w:vertAlign w:val="subscript"/>
              </w:rPr>
              <w:t>4</w:t>
            </w:r>
            <w:r>
              <w:rPr>
                <w:rFonts w:ascii="Times New Roman"/>
                <w:color w:val="000000"/>
                <w:kern w:val="2"/>
                <w:sz w:val="21"/>
                <w:szCs w:val="21"/>
                <w:vertAlign w:val="superscript"/>
              </w:rPr>
              <w:t>2-</w:t>
            </w:r>
          </w:p>
          <w:p w14:paraId="43389CE2">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Cl</w:t>
            </w:r>
            <w:r>
              <w:rPr>
                <w:rFonts w:ascii="Times New Roman"/>
                <w:color w:val="000000"/>
                <w:kern w:val="2"/>
                <w:sz w:val="21"/>
                <w:szCs w:val="21"/>
                <w:vertAlign w:val="superscript"/>
              </w:rPr>
              <w:t>-</w:t>
            </w:r>
          </w:p>
        </w:tc>
        <w:tc>
          <w:tcPr>
            <w:tcW w:w="582" w:type="pct"/>
            <w:noWrap w:val="0"/>
            <w:vAlign w:val="center"/>
          </w:tcPr>
          <w:p w14:paraId="1AE36637">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HCO</w:t>
            </w:r>
            <w:r>
              <w:rPr>
                <w:rFonts w:ascii="Times New Roman"/>
                <w:color w:val="000000"/>
                <w:kern w:val="2"/>
                <w:sz w:val="21"/>
                <w:szCs w:val="21"/>
                <w:vertAlign w:val="subscript"/>
              </w:rPr>
              <w:t>3</w:t>
            </w:r>
            <w:r>
              <w:rPr>
                <w:rFonts w:ascii="Times New Roman"/>
                <w:color w:val="000000"/>
                <w:kern w:val="2"/>
                <w:sz w:val="21"/>
                <w:szCs w:val="21"/>
                <w:vertAlign w:val="superscript"/>
              </w:rPr>
              <w:t>-</w:t>
            </w:r>
          </w:p>
          <w:p w14:paraId="04219C01">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Cl</w:t>
            </w:r>
            <w:r>
              <w:rPr>
                <w:rFonts w:ascii="Times New Roman"/>
                <w:color w:val="000000"/>
                <w:kern w:val="2"/>
                <w:sz w:val="21"/>
                <w:szCs w:val="21"/>
                <w:vertAlign w:val="superscript"/>
              </w:rPr>
              <w:t>-</w:t>
            </w:r>
          </w:p>
        </w:tc>
        <w:tc>
          <w:tcPr>
            <w:tcW w:w="582" w:type="pct"/>
            <w:noWrap w:val="0"/>
            <w:vAlign w:val="center"/>
          </w:tcPr>
          <w:p w14:paraId="42861C53">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SO</w:t>
            </w:r>
            <w:r>
              <w:rPr>
                <w:rFonts w:ascii="Times New Roman"/>
                <w:color w:val="000000"/>
                <w:kern w:val="2"/>
                <w:sz w:val="21"/>
                <w:szCs w:val="21"/>
                <w:vertAlign w:val="subscript"/>
              </w:rPr>
              <w:t>4</w:t>
            </w:r>
            <w:r>
              <w:rPr>
                <w:rFonts w:ascii="Times New Roman"/>
                <w:color w:val="000000"/>
                <w:kern w:val="2"/>
                <w:sz w:val="21"/>
                <w:szCs w:val="21"/>
                <w:vertAlign w:val="superscript"/>
              </w:rPr>
              <w:t>2-</w:t>
            </w:r>
          </w:p>
        </w:tc>
        <w:tc>
          <w:tcPr>
            <w:tcW w:w="582" w:type="pct"/>
            <w:noWrap w:val="0"/>
            <w:vAlign w:val="center"/>
          </w:tcPr>
          <w:p w14:paraId="05617A33">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SO</w:t>
            </w:r>
            <w:r>
              <w:rPr>
                <w:rFonts w:ascii="Times New Roman"/>
                <w:color w:val="000000"/>
                <w:kern w:val="2"/>
                <w:sz w:val="21"/>
                <w:szCs w:val="21"/>
                <w:vertAlign w:val="subscript"/>
              </w:rPr>
              <w:t>4</w:t>
            </w:r>
            <w:r>
              <w:rPr>
                <w:rFonts w:ascii="Times New Roman"/>
                <w:color w:val="000000"/>
                <w:kern w:val="2"/>
                <w:sz w:val="21"/>
                <w:szCs w:val="21"/>
                <w:vertAlign w:val="superscript"/>
              </w:rPr>
              <w:t>2-</w:t>
            </w:r>
          </w:p>
          <w:p w14:paraId="50A89AC0">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Cl</w:t>
            </w:r>
            <w:r>
              <w:rPr>
                <w:rFonts w:ascii="Times New Roman"/>
                <w:color w:val="000000"/>
                <w:kern w:val="2"/>
                <w:sz w:val="21"/>
                <w:szCs w:val="21"/>
                <w:vertAlign w:val="superscript"/>
              </w:rPr>
              <w:t>-</w:t>
            </w:r>
          </w:p>
        </w:tc>
        <w:tc>
          <w:tcPr>
            <w:tcW w:w="583" w:type="pct"/>
            <w:noWrap w:val="0"/>
            <w:vAlign w:val="center"/>
          </w:tcPr>
          <w:p w14:paraId="01DCA1D0">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Cl</w:t>
            </w:r>
            <w:r>
              <w:rPr>
                <w:rFonts w:ascii="Times New Roman"/>
                <w:color w:val="000000"/>
                <w:kern w:val="2"/>
                <w:sz w:val="21"/>
                <w:szCs w:val="21"/>
                <w:vertAlign w:val="superscript"/>
              </w:rPr>
              <w:t>-</w:t>
            </w:r>
          </w:p>
        </w:tc>
      </w:tr>
      <w:tr w14:paraId="05CC08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4" w:type="pct"/>
            <w:noWrap w:val="0"/>
            <w:vAlign w:val="center"/>
          </w:tcPr>
          <w:p w14:paraId="23E05DDD">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Ca</w:t>
            </w:r>
            <w:r>
              <w:rPr>
                <w:rFonts w:ascii="Times New Roman"/>
                <w:color w:val="000000"/>
                <w:kern w:val="2"/>
                <w:sz w:val="21"/>
                <w:szCs w:val="21"/>
                <w:vertAlign w:val="superscript"/>
              </w:rPr>
              <w:t>2+</w:t>
            </w:r>
          </w:p>
        </w:tc>
        <w:tc>
          <w:tcPr>
            <w:tcW w:w="579" w:type="pct"/>
            <w:noWrap w:val="0"/>
            <w:vAlign w:val="center"/>
          </w:tcPr>
          <w:p w14:paraId="736255F4">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w:t>
            </w:r>
          </w:p>
        </w:tc>
        <w:tc>
          <w:tcPr>
            <w:tcW w:w="582" w:type="pct"/>
            <w:noWrap w:val="0"/>
            <w:vAlign w:val="center"/>
          </w:tcPr>
          <w:p w14:paraId="395E155D">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8</w:t>
            </w:r>
          </w:p>
        </w:tc>
        <w:tc>
          <w:tcPr>
            <w:tcW w:w="582" w:type="pct"/>
            <w:noWrap w:val="0"/>
            <w:vAlign w:val="center"/>
          </w:tcPr>
          <w:p w14:paraId="1079227C">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15</w:t>
            </w:r>
          </w:p>
        </w:tc>
        <w:tc>
          <w:tcPr>
            <w:tcW w:w="582" w:type="pct"/>
            <w:noWrap w:val="0"/>
            <w:vAlign w:val="center"/>
          </w:tcPr>
          <w:p w14:paraId="414AFFDC">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22</w:t>
            </w:r>
          </w:p>
        </w:tc>
        <w:tc>
          <w:tcPr>
            <w:tcW w:w="582" w:type="pct"/>
            <w:noWrap w:val="0"/>
            <w:vAlign w:val="center"/>
          </w:tcPr>
          <w:p w14:paraId="14457DD9">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29</w:t>
            </w:r>
          </w:p>
        </w:tc>
        <w:tc>
          <w:tcPr>
            <w:tcW w:w="582" w:type="pct"/>
            <w:noWrap w:val="0"/>
            <w:vAlign w:val="center"/>
          </w:tcPr>
          <w:p w14:paraId="0405DDB9">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36</w:t>
            </w:r>
          </w:p>
        </w:tc>
        <w:tc>
          <w:tcPr>
            <w:tcW w:w="583" w:type="pct"/>
            <w:noWrap w:val="0"/>
            <w:vAlign w:val="center"/>
          </w:tcPr>
          <w:p w14:paraId="6F1FECB5">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43</w:t>
            </w:r>
          </w:p>
        </w:tc>
      </w:tr>
      <w:tr w14:paraId="16A3DD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4" w:type="pct"/>
            <w:noWrap w:val="0"/>
            <w:vAlign w:val="center"/>
          </w:tcPr>
          <w:p w14:paraId="4740F9F6">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Ca</w:t>
            </w:r>
            <w:r>
              <w:rPr>
                <w:rFonts w:ascii="Times New Roman"/>
                <w:color w:val="000000"/>
                <w:kern w:val="2"/>
                <w:sz w:val="21"/>
                <w:szCs w:val="21"/>
                <w:vertAlign w:val="superscript"/>
              </w:rPr>
              <w:t>2+</w:t>
            </w:r>
            <w:r>
              <w:rPr>
                <w:rFonts w:ascii="Times New Roman"/>
                <w:color w:val="000000"/>
                <w:kern w:val="2"/>
                <w:sz w:val="21"/>
                <w:szCs w:val="21"/>
              </w:rPr>
              <w:t>-Mg</w:t>
            </w:r>
            <w:r>
              <w:rPr>
                <w:rFonts w:ascii="Times New Roman"/>
                <w:color w:val="000000"/>
                <w:kern w:val="2"/>
                <w:sz w:val="21"/>
                <w:szCs w:val="21"/>
                <w:vertAlign w:val="superscript"/>
              </w:rPr>
              <w:t>2+</w:t>
            </w:r>
          </w:p>
        </w:tc>
        <w:tc>
          <w:tcPr>
            <w:tcW w:w="579" w:type="pct"/>
            <w:noWrap w:val="0"/>
            <w:vAlign w:val="center"/>
          </w:tcPr>
          <w:p w14:paraId="33D964CB">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w:t>
            </w:r>
          </w:p>
        </w:tc>
        <w:tc>
          <w:tcPr>
            <w:tcW w:w="582" w:type="pct"/>
            <w:noWrap w:val="0"/>
            <w:vAlign w:val="center"/>
          </w:tcPr>
          <w:p w14:paraId="2245DC4F">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9</w:t>
            </w:r>
          </w:p>
        </w:tc>
        <w:tc>
          <w:tcPr>
            <w:tcW w:w="582" w:type="pct"/>
            <w:noWrap w:val="0"/>
            <w:vAlign w:val="center"/>
          </w:tcPr>
          <w:p w14:paraId="5A08A3B7">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16</w:t>
            </w:r>
          </w:p>
        </w:tc>
        <w:tc>
          <w:tcPr>
            <w:tcW w:w="582" w:type="pct"/>
            <w:noWrap w:val="0"/>
            <w:vAlign w:val="center"/>
          </w:tcPr>
          <w:p w14:paraId="4E200FB9">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23</w:t>
            </w:r>
          </w:p>
        </w:tc>
        <w:tc>
          <w:tcPr>
            <w:tcW w:w="582" w:type="pct"/>
            <w:noWrap w:val="0"/>
            <w:vAlign w:val="center"/>
          </w:tcPr>
          <w:p w14:paraId="2BCCC4FC">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30</w:t>
            </w:r>
          </w:p>
        </w:tc>
        <w:tc>
          <w:tcPr>
            <w:tcW w:w="582" w:type="pct"/>
            <w:noWrap w:val="0"/>
            <w:vAlign w:val="center"/>
          </w:tcPr>
          <w:p w14:paraId="67B3DD0F">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37</w:t>
            </w:r>
          </w:p>
        </w:tc>
        <w:tc>
          <w:tcPr>
            <w:tcW w:w="583" w:type="pct"/>
            <w:noWrap w:val="0"/>
            <w:vAlign w:val="center"/>
          </w:tcPr>
          <w:p w14:paraId="71ADFC9C">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44</w:t>
            </w:r>
          </w:p>
        </w:tc>
      </w:tr>
      <w:tr w14:paraId="5230E9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4" w:type="pct"/>
            <w:noWrap w:val="0"/>
            <w:vAlign w:val="center"/>
          </w:tcPr>
          <w:p w14:paraId="06AD0785">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Mg</w:t>
            </w:r>
            <w:r>
              <w:rPr>
                <w:rFonts w:ascii="Times New Roman"/>
                <w:color w:val="000000"/>
                <w:kern w:val="2"/>
                <w:sz w:val="21"/>
                <w:szCs w:val="21"/>
                <w:vertAlign w:val="superscript"/>
              </w:rPr>
              <w:t>2+</w:t>
            </w:r>
          </w:p>
        </w:tc>
        <w:tc>
          <w:tcPr>
            <w:tcW w:w="579" w:type="pct"/>
            <w:noWrap w:val="0"/>
            <w:vAlign w:val="center"/>
          </w:tcPr>
          <w:p w14:paraId="0F9C2FFA">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w:t>
            </w:r>
          </w:p>
        </w:tc>
        <w:tc>
          <w:tcPr>
            <w:tcW w:w="582" w:type="pct"/>
            <w:noWrap w:val="0"/>
            <w:vAlign w:val="center"/>
          </w:tcPr>
          <w:p w14:paraId="1C2717BB">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10</w:t>
            </w:r>
          </w:p>
        </w:tc>
        <w:tc>
          <w:tcPr>
            <w:tcW w:w="582" w:type="pct"/>
            <w:noWrap w:val="0"/>
            <w:vAlign w:val="center"/>
          </w:tcPr>
          <w:p w14:paraId="5D8FC3F0">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17</w:t>
            </w:r>
          </w:p>
        </w:tc>
        <w:tc>
          <w:tcPr>
            <w:tcW w:w="582" w:type="pct"/>
            <w:noWrap w:val="0"/>
            <w:vAlign w:val="center"/>
          </w:tcPr>
          <w:p w14:paraId="1C031112">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24</w:t>
            </w:r>
          </w:p>
        </w:tc>
        <w:tc>
          <w:tcPr>
            <w:tcW w:w="582" w:type="pct"/>
            <w:noWrap w:val="0"/>
            <w:vAlign w:val="center"/>
          </w:tcPr>
          <w:p w14:paraId="3E29F44C">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31</w:t>
            </w:r>
          </w:p>
        </w:tc>
        <w:tc>
          <w:tcPr>
            <w:tcW w:w="582" w:type="pct"/>
            <w:noWrap w:val="0"/>
            <w:vAlign w:val="center"/>
          </w:tcPr>
          <w:p w14:paraId="64F9D654">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38</w:t>
            </w:r>
          </w:p>
        </w:tc>
        <w:tc>
          <w:tcPr>
            <w:tcW w:w="583" w:type="pct"/>
            <w:noWrap w:val="0"/>
            <w:vAlign w:val="center"/>
          </w:tcPr>
          <w:p w14:paraId="13DCAEFB">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45</w:t>
            </w:r>
          </w:p>
        </w:tc>
      </w:tr>
      <w:tr w14:paraId="4B8BA1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4" w:type="pct"/>
            <w:noWrap w:val="0"/>
            <w:vAlign w:val="center"/>
          </w:tcPr>
          <w:p w14:paraId="11B8A0E5">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Na</w:t>
            </w:r>
            <w:r>
              <w:rPr>
                <w:rFonts w:ascii="Times New Roman"/>
                <w:color w:val="000000"/>
                <w:kern w:val="2"/>
                <w:sz w:val="21"/>
                <w:szCs w:val="21"/>
                <w:vertAlign w:val="superscript"/>
              </w:rPr>
              <w:t>+</w:t>
            </w:r>
            <w:r>
              <w:rPr>
                <w:rFonts w:ascii="Times New Roman"/>
                <w:color w:val="000000"/>
                <w:kern w:val="2"/>
                <w:sz w:val="21"/>
                <w:szCs w:val="21"/>
              </w:rPr>
              <w:t>-Ca</w:t>
            </w:r>
            <w:r>
              <w:rPr>
                <w:rFonts w:ascii="Times New Roman"/>
                <w:color w:val="000000"/>
                <w:kern w:val="2"/>
                <w:sz w:val="21"/>
                <w:szCs w:val="21"/>
                <w:vertAlign w:val="superscript"/>
              </w:rPr>
              <w:t>2+</w:t>
            </w:r>
          </w:p>
        </w:tc>
        <w:tc>
          <w:tcPr>
            <w:tcW w:w="579" w:type="pct"/>
            <w:noWrap w:val="0"/>
            <w:vAlign w:val="center"/>
          </w:tcPr>
          <w:p w14:paraId="0DF1E2D1">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w:t>
            </w:r>
          </w:p>
        </w:tc>
        <w:tc>
          <w:tcPr>
            <w:tcW w:w="582" w:type="pct"/>
            <w:noWrap w:val="0"/>
            <w:vAlign w:val="center"/>
          </w:tcPr>
          <w:p w14:paraId="0865F5DA">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11</w:t>
            </w:r>
          </w:p>
        </w:tc>
        <w:tc>
          <w:tcPr>
            <w:tcW w:w="582" w:type="pct"/>
            <w:noWrap w:val="0"/>
            <w:vAlign w:val="center"/>
          </w:tcPr>
          <w:p w14:paraId="334FF33F">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18</w:t>
            </w:r>
          </w:p>
        </w:tc>
        <w:tc>
          <w:tcPr>
            <w:tcW w:w="582" w:type="pct"/>
            <w:noWrap w:val="0"/>
            <w:vAlign w:val="center"/>
          </w:tcPr>
          <w:p w14:paraId="021FB4FE">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25</w:t>
            </w:r>
          </w:p>
        </w:tc>
        <w:tc>
          <w:tcPr>
            <w:tcW w:w="582" w:type="pct"/>
            <w:noWrap w:val="0"/>
            <w:vAlign w:val="center"/>
          </w:tcPr>
          <w:p w14:paraId="1F9487A7">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32</w:t>
            </w:r>
          </w:p>
        </w:tc>
        <w:tc>
          <w:tcPr>
            <w:tcW w:w="582" w:type="pct"/>
            <w:noWrap w:val="0"/>
            <w:vAlign w:val="center"/>
          </w:tcPr>
          <w:p w14:paraId="58E2004F">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39</w:t>
            </w:r>
          </w:p>
        </w:tc>
        <w:tc>
          <w:tcPr>
            <w:tcW w:w="583" w:type="pct"/>
            <w:noWrap w:val="0"/>
            <w:vAlign w:val="center"/>
          </w:tcPr>
          <w:p w14:paraId="34E9BA73">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46</w:t>
            </w:r>
          </w:p>
        </w:tc>
      </w:tr>
      <w:tr w14:paraId="04698E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4" w:type="pct"/>
            <w:noWrap w:val="0"/>
            <w:vAlign w:val="center"/>
          </w:tcPr>
          <w:p w14:paraId="5FECF54A">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Na</w:t>
            </w:r>
            <w:r>
              <w:rPr>
                <w:rFonts w:ascii="Times New Roman"/>
                <w:color w:val="000000"/>
                <w:kern w:val="2"/>
                <w:sz w:val="21"/>
                <w:szCs w:val="21"/>
                <w:vertAlign w:val="superscript"/>
              </w:rPr>
              <w:t>+</w:t>
            </w:r>
            <w:r>
              <w:rPr>
                <w:rFonts w:ascii="Times New Roman"/>
                <w:color w:val="000000"/>
                <w:kern w:val="2"/>
                <w:sz w:val="21"/>
                <w:szCs w:val="21"/>
              </w:rPr>
              <w:t>-Ca</w:t>
            </w:r>
            <w:r>
              <w:rPr>
                <w:rFonts w:ascii="Times New Roman"/>
                <w:color w:val="000000"/>
                <w:kern w:val="2"/>
                <w:sz w:val="21"/>
                <w:szCs w:val="21"/>
                <w:vertAlign w:val="superscript"/>
              </w:rPr>
              <w:t>2+</w:t>
            </w:r>
            <w:r>
              <w:rPr>
                <w:rFonts w:ascii="Times New Roman"/>
                <w:color w:val="000000"/>
                <w:kern w:val="2"/>
                <w:sz w:val="21"/>
                <w:szCs w:val="21"/>
              </w:rPr>
              <w:t>-Mg</w:t>
            </w:r>
            <w:r>
              <w:rPr>
                <w:rFonts w:ascii="Times New Roman"/>
                <w:color w:val="000000"/>
                <w:kern w:val="2"/>
                <w:sz w:val="21"/>
                <w:szCs w:val="21"/>
                <w:vertAlign w:val="superscript"/>
              </w:rPr>
              <w:t>2+</w:t>
            </w:r>
          </w:p>
        </w:tc>
        <w:tc>
          <w:tcPr>
            <w:tcW w:w="579" w:type="pct"/>
            <w:noWrap w:val="0"/>
            <w:vAlign w:val="center"/>
          </w:tcPr>
          <w:p w14:paraId="2AB58EA3">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5</w:t>
            </w:r>
          </w:p>
        </w:tc>
        <w:tc>
          <w:tcPr>
            <w:tcW w:w="582" w:type="pct"/>
            <w:noWrap w:val="0"/>
            <w:vAlign w:val="center"/>
          </w:tcPr>
          <w:p w14:paraId="16AA5F2E">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12</w:t>
            </w:r>
          </w:p>
        </w:tc>
        <w:tc>
          <w:tcPr>
            <w:tcW w:w="582" w:type="pct"/>
            <w:noWrap w:val="0"/>
            <w:vAlign w:val="center"/>
          </w:tcPr>
          <w:p w14:paraId="2EC79E58">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19</w:t>
            </w:r>
          </w:p>
        </w:tc>
        <w:tc>
          <w:tcPr>
            <w:tcW w:w="582" w:type="pct"/>
            <w:noWrap w:val="0"/>
            <w:vAlign w:val="center"/>
          </w:tcPr>
          <w:p w14:paraId="085D01C9">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26</w:t>
            </w:r>
          </w:p>
        </w:tc>
        <w:tc>
          <w:tcPr>
            <w:tcW w:w="582" w:type="pct"/>
            <w:noWrap w:val="0"/>
            <w:vAlign w:val="center"/>
          </w:tcPr>
          <w:p w14:paraId="25D77164">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33</w:t>
            </w:r>
          </w:p>
        </w:tc>
        <w:tc>
          <w:tcPr>
            <w:tcW w:w="582" w:type="pct"/>
            <w:noWrap w:val="0"/>
            <w:vAlign w:val="center"/>
          </w:tcPr>
          <w:p w14:paraId="0194C4B3">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40</w:t>
            </w:r>
          </w:p>
        </w:tc>
        <w:tc>
          <w:tcPr>
            <w:tcW w:w="583" w:type="pct"/>
            <w:noWrap w:val="0"/>
            <w:vAlign w:val="center"/>
          </w:tcPr>
          <w:p w14:paraId="3389424C">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47</w:t>
            </w:r>
          </w:p>
        </w:tc>
      </w:tr>
      <w:tr w14:paraId="7390E6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4" w:type="pct"/>
            <w:noWrap w:val="0"/>
            <w:vAlign w:val="center"/>
          </w:tcPr>
          <w:p w14:paraId="0D1849ED">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Na</w:t>
            </w:r>
            <w:r>
              <w:rPr>
                <w:rFonts w:ascii="Times New Roman"/>
                <w:color w:val="000000"/>
                <w:kern w:val="2"/>
                <w:sz w:val="21"/>
                <w:szCs w:val="21"/>
                <w:vertAlign w:val="superscript"/>
              </w:rPr>
              <w:t>+</w:t>
            </w:r>
            <w:r>
              <w:rPr>
                <w:rFonts w:ascii="Times New Roman"/>
                <w:color w:val="000000"/>
                <w:kern w:val="2"/>
                <w:sz w:val="21"/>
                <w:szCs w:val="21"/>
              </w:rPr>
              <w:t>-Mg</w:t>
            </w:r>
            <w:r>
              <w:rPr>
                <w:rFonts w:ascii="Times New Roman"/>
                <w:color w:val="000000"/>
                <w:kern w:val="2"/>
                <w:sz w:val="21"/>
                <w:szCs w:val="21"/>
                <w:vertAlign w:val="superscript"/>
              </w:rPr>
              <w:t>2+</w:t>
            </w:r>
          </w:p>
        </w:tc>
        <w:tc>
          <w:tcPr>
            <w:tcW w:w="579" w:type="pct"/>
            <w:noWrap w:val="0"/>
            <w:vAlign w:val="center"/>
          </w:tcPr>
          <w:p w14:paraId="0721303F">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6</w:t>
            </w:r>
          </w:p>
        </w:tc>
        <w:tc>
          <w:tcPr>
            <w:tcW w:w="582" w:type="pct"/>
            <w:noWrap w:val="0"/>
            <w:vAlign w:val="center"/>
          </w:tcPr>
          <w:p w14:paraId="78E53D2B">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13</w:t>
            </w:r>
          </w:p>
        </w:tc>
        <w:tc>
          <w:tcPr>
            <w:tcW w:w="582" w:type="pct"/>
            <w:noWrap w:val="0"/>
            <w:vAlign w:val="center"/>
          </w:tcPr>
          <w:p w14:paraId="3EA99D3F">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20</w:t>
            </w:r>
          </w:p>
        </w:tc>
        <w:tc>
          <w:tcPr>
            <w:tcW w:w="582" w:type="pct"/>
            <w:noWrap w:val="0"/>
            <w:vAlign w:val="center"/>
          </w:tcPr>
          <w:p w14:paraId="7F31479E">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27</w:t>
            </w:r>
          </w:p>
        </w:tc>
        <w:tc>
          <w:tcPr>
            <w:tcW w:w="582" w:type="pct"/>
            <w:noWrap w:val="0"/>
            <w:vAlign w:val="center"/>
          </w:tcPr>
          <w:p w14:paraId="08DAEFE0">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34</w:t>
            </w:r>
          </w:p>
        </w:tc>
        <w:tc>
          <w:tcPr>
            <w:tcW w:w="582" w:type="pct"/>
            <w:noWrap w:val="0"/>
            <w:vAlign w:val="center"/>
          </w:tcPr>
          <w:p w14:paraId="06DE10D3">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41</w:t>
            </w:r>
          </w:p>
        </w:tc>
        <w:tc>
          <w:tcPr>
            <w:tcW w:w="583" w:type="pct"/>
            <w:noWrap w:val="0"/>
            <w:vAlign w:val="center"/>
          </w:tcPr>
          <w:p w14:paraId="39F942F3">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48</w:t>
            </w:r>
          </w:p>
        </w:tc>
      </w:tr>
      <w:tr w14:paraId="6BFFFE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4" w:type="pct"/>
            <w:noWrap w:val="0"/>
            <w:vAlign w:val="center"/>
          </w:tcPr>
          <w:p w14:paraId="6CF3F190">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Na</w:t>
            </w:r>
            <w:r>
              <w:rPr>
                <w:rFonts w:ascii="Times New Roman"/>
                <w:color w:val="000000"/>
                <w:kern w:val="2"/>
                <w:sz w:val="21"/>
                <w:szCs w:val="21"/>
                <w:vertAlign w:val="superscript"/>
              </w:rPr>
              <w:t>+</w:t>
            </w:r>
          </w:p>
        </w:tc>
        <w:tc>
          <w:tcPr>
            <w:tcW w:w="579" w:type="pct"/>
            <w:noWrap w:val="0"/>
            <w:vAlign w:val="center"/>
          </w:tcPr>
          <w:p w14:paraId="55EE8720">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7</w:t>
            </w:r>
          </w:p>
        </w:tc>
        <w:tc>
          <w:tcPr>
            <w:tcW w:w="582" w:type="pct"/>
            <w:noWrap w:val="0"/>
            <w:vAlign w:val="center"/>
          </w:tcPr>
          <w:p w14:paraId="2B469F68">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14</w:t>
            </w:r>
          </w:p>
        </w:tc>
        <w:tc>
          <w:tcPr>
            <w:tcW w:w="582" w:type="pct"/>
            <w:noWrap w:val="0"/>
            <w:vAlign w:val="center"/>
          </w:tcPr>
          <w:p w14:paraId="748338F5">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21</w:t>
            </w:r>
          </w:p>
        </w:tc>
        <w:tc>
          <w:tcPr>
            <w:tcW w:w="582" w:type="pct"/>
            <w:noWrap w:val="0"/>
            <w:vAlign w:val="center"/>
          </w:tcPr>
          <w:p w14:paraId="52F93C74">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28</w:t>
            </w:r>
          </w:p>
        </w:tc>
        <w:tc>
          <w:tcPr>
            <w:tcW w:w="582" w:type="pct"/>
            <w:noWrap w:val="0"/>
            <w:vAlign w:val="center"/>
          </w:tcPr>
          <w:p w14:paraId="666C1613">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35</w:t>
            </w:r>
          </w:p>
        </w:tc>
        <w:tc>
          <w:tcPr>
            <w:tcW w:w="582" w:type="pct"/>
            <w:noWrap w:val="0"/>
            <w:vAlign w:val="center"/>
          </w:tcPr>
          <w:p w14:paraId="79273B28">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42</w:t>
            </w:r>
          </w:p>
        </w:tc>
        <w:tc>
          <w:tcPr>
            <w:tcW w:w="583" w:type="pct"/>
            <w:noWrap w:val="0"/>
            <w:vAlign w:val="center"/>
          </w:tcPr>
          <w:p w14:paraId="2D71D9E6">
            <w:pPr>
              <w:ind w:left="-160" w:leftChars="-67" w:right="-127" w:rightChars="-53" w:firstLine="18" w:firstLineChars="9"/>
              <w:jc w:val="center"/>
              <w:rPr>
                <w:rFonts w:ascii="Times New Roman"/>
                <w:color w:val="000000"/>
                <w:kern w:val="2"/>
                <w:sz w:val="21"/>
                <w:szCs w:val="21"/>
              </w:rPr>
            </w:pPr>
            <w:r>
              <w:rPr>
                <w:rFonts w:ascii="Times New Roman"/>
                <w:color w:val="000000"/>
                <w:kern w:val="2"/>
                <w:sz w:val="21"/>
                <w:szCs w:val="21"/>
              </w:rPr>
              <w:t>49</w:t>
            </w:r>
          </w:p>
        </w:tc>
      </w:tr>
    </w:tbl>
    <w:p w14:paraId="027D0D4C">
      <w:pPr>
        <w:adjustRightInd w:val="0"/>
        <w:snapToGrid w:val="0"/>
        <w:spacing w:line="480" w:lineRule="exact"/>
        <w:ind w:firstLine="480" w:firstLineChars="200"/>
        <w:jc w:val="left"/>
        <w:rPr>
          <w:rFonts w:ascii="Times New Roman"/>
          <w:color w:val="000000"/>
          <w:kern w:val="2"/>
          <w:szCs w:val="24"/>
        </w:rPr>
      </w:pPr>
      <w:r>
        <w:rPr>
          <w:rFonts w:ascii="Times New Roman"/>
          <w:color w:val="000000"/>
          <w:kern w:val="2"/>
          <w:szCs w:val="24"/>
        </w:rPr>
        <w:t>评价范围内地下水中八大离子的检测结果统计计算见表4</w:t>
      </w:r>
      <w:r>
        <w:rPr>
          <w:rFonts w:hint="eastAsia" w:ascii="Times New Roman"/>
          <w:color w:val="000000"/>
          <w:kern w:val="2"/>
          <w:szCs w:val="24"/>
        </w:rPr>
        <w:t>-</w:t>
      </w:r>
      <w:r>
        <w:rPr>
          <w:rFonts w:hint="eastAsia"/>
          <w:color w:val="000000"/>
          <w:kern w:val="2"/>
          <w:szCs w:val="24"/>
          <w:lang w:val="en-US" w:eastAsia="zh-CN"/>
        </w:rPr>
        <w:t>2-15</w:t>
      </w:r>
      <w:r>
        <w:rPr>
          <w:rFonts w:ascii="Times New Roman"/>
          <w:color w:val="000000"/>
          <w:kern w:val="2"/>
          <w:szCs w:val="24"/>
        </w:rPr>
        <w:t>。</w:t>
      </w:r>
    </w:p>
    <w:p w14:paraId="1F68CADE">
      <w:pPr>
        <w:pStyle w:val="206"/>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表4-</w:t>
      </w:r>
      <w:r>
        <w:rPr>
          <w:rFonts w:hint="eastAsia"/>
          <w:color w:val="000000" w:themeColor="text1"/>
          <w:lang w:val="en-US" w:eastAsia="zh-CN"/>
          <w14:textFill>
            <w14:solidFill>
              <w14:schemeClr w14:val="tx1"/>
            </w14:solidFill>
          </w14:textFill>
        </w:rPr>
        <w:t>2-15</w:t>
      </w:r>
      <w:r>
        <w:rPr>
          <w:rFonts w:hint="eastAsia"/>
          <w:color w:val="000000" w:themeColor="text1"/>
          <w:lang w:eastAsia="zh-CN"/>
          <w14:textFill>
            <w14:solidFill>
              <w14:schemeClr w14:val="tx1"/>
            </w14:solidFill>
          </w14:textFill>
        </w:rPr>
        <w:t xml:space="preserve">    八大离子的检测结果统计表</w:t>
      </w:r>
    </w:p>
    <w:tbl>
      <w:tblPr>
        <w:tblStyle w:val="49"/>
        <w:tblW w:w="829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421"/>
        <w:gridCol w:w="2126"/>
        <w:gridCol w:w="549"/>
        <w:gridCol w:w="549"/>
        <w:gridCol w:w="549"/>
        <w:gridCol w:w="550"/>
        <w:gridCol w:w="549"/>
        <w:gridCol w:w="549"/>
        <w:gridCol w:w="549"/>
        <w:gridCol w:w="550"/>
        <w:gridCol w:w="709"/>
        <w:gridCol w:w="646"/>
      </w:tblGrid>
      <w:tr w14:paraId="1D7901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48" w:hRule="atLeast"/>
          <w:tblHeader/>
        </w:trPr>
        <w:tc>
          <w:tcPr>
            <w:tcW w:w="421" w:type="dxa"/>
            <w:noWrap w:val="0"/>
            <w:vAlign w:val="center"/>
          </w:tcPr>
          <w:p w14:paraId="0D1CF4B6">
            <w:pPr>
              <w:keepNext w:val="0"/>
              <w:keepLines w:val="0"/>
              <w:pageBreakBefore w:val="0"/>
              <w:kinsoku/>
              <w:wordWrap/>
              <w:overflowPunct/>
              <w:topLinePunct w:val="0"/>
              <w:autoSpaceDE/>
              <w:autoSpaceDN/>
              <w:bidi w:val="0"/>
              <w:adjustRightInd w:val="0"/>
              <w:snapToGrid w:val="0"/>
              <w:spacing w:line="340" w:lineRule="exact"/>
              <w:ind w:left="0" w:leftChars="0" w:right="0" w:rightChars="0" w:firstLine="0" w:firstLineChars="0"/>
              <w:jc w:val="center"/>
              <w:rPr>
                <w:rFonts w:ascii="Times New Roman"/>
                <w:bCs/>
                <w:color w:val="000000"/>
                <w:sz w:val="21"/>
                <w:szCs w:val="21"/>
              </w:rPr>
            </w:pPr>
            <w:r>
              <w:rPr>
                <w:rFonts w:ascii="Times New Roman"/>
                <w:bCs/>
                <w:color w:val="000000"/>
                <w:sz w:val="21"/>
                <w:szCs w:val="21"/>
              </w:rPr>
              <w:t>监测点</w:t>
            </w:r>
          </w:p>
        </w:tc>
        <w:tc>
          <w:tcPr>
            <w:tcW w:w="2126" w:type="dxa"/>
            <w:noWrap w:val="0"/>
            <w:vAlign w:val="center"/>
          </w:tcPr>
          <w:p w14:paraId="2D1279DF">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sz w:val="21"/>
                <w:szCs w:val="21"/>
              </w:rPr>
            </w:pPr>
            <w:r>
              <w:rPr>
                <w:rFonts w:hint="eastAsia" w:ascii="Times New Roman"/>
                <w:color w:val="000000"/>
                <w:sz w:val="21"/>
                <w:szCs w:val="21"/>
              </w:rPr>
              <w:t>项目</w:t>
            </w:r>
          </w:p>
        </w:tc>
        <w:tc>
          <w:tcPr>
            <w:tcW w:w="549" w:type="dxa"/>
            <w:noWrap w:val="0"/>
            <w:vAlign w:val="center"/>
          </w:tcPr>
          <w:p w14:paraId="6DAA85D1">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bCs/>
                <w:color w:val="000000"/>
                <w:sz w:val="21"/>
                <w:szCs w:val="21"/>
              </w:rPr>
            </w:pPr>
            <w:r>
              <w:rPr>
                <w:rFonts w:ascii="Times New Roman"/>
                <w:color w:val="000000"/>
                <w:sz w:val="21"/>
                <w:szCs w:val="21"/>
              </w:rPr>
              <w:t>K</w:t>
            </w:r>
            <w:r>
              <w:rPr>
                <w:rFonts w:ascii="Times New Roman"/>
                <w:color w:val="000000"/>
                <w:sz w:val="21"/>
                <w:szCs w:val="21"/>
                <w:vertAlign w:val="superscript"/>
              </w:rPr>
              <w:t>+</w:t>
            </w:r>
          </w:p>
        </w:tc>
        <w:tc>
          <w:tcPr>
            <w:tcW w:w="549" w:type="dxa"/>
            <w:noWrap w:val="0"/>
            <w:vAlign w:val="center"/>
          </w:tcPr>
          <w:p w14:paraId="4FD1CCFA">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bCs/>
                <w:color w:val="000000"/>
                <w:sz w:val="21"/>
                <w:szCs w:val="21"/>
              </w:rPr>
            </w:pPr>
            <w:r>
              <w:rPr>
                <w:rFonts w:ascii="Times New Roman"/>
                <w:color w:val="000000"/>
                <w:sz w:val="21"/>
                <w:szCs w:val="21"/>
              </w:rPr>
              <w:t>Na</w:t>
            </w:r>
            <w:r>
              <w:rPr>
                <w:rFonts w:ascii="Times New Roman"/>
                <w:color w:val="000000"/>
                <w:sz w:val="21"/>
                <w:szCs w:val="21"/>
                <w:vertAlign w:val="superscript"/>
              </w:rPr>
              <w:t>+</w:t>
            </w:r>
          </w:p>
        </w:tc>
        <w:tc>
          <w:tcPr>
            <w:tcW w:w="549" w:type="dxa"/>
            <w:noWrap w:val="0"/>
            <w:vAlign w:val="center"/>
          </w:tcPr>
          <w:p w14:paraId="0945F3B8">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bCs/>
                <w:color w:val="000000"/>
                <w:sz w:val="21"/>
                <w:szCs w:val="21"/>
              </w:rPr>
            </w:pPr>
            <w:r>
              <w:rPr>
                <w:rFonts w:ascii="Times New Roman"/>
                <w:color w:val="000000"/>
                <w:sz w:val="21"/>
                <w:szCs w:val="21"/>
              </w:rPr>
              <w:t>Ca</w:t>
            </w:r>
            <w:r>
              <w:rPr>
                <w:rFonts w:ascii="Times New Roman"/>
                <w:color w:val="000000"/>
                <w:sz w:val="21"/>
                <w:szCs w:val="21"/>
                <w:vertAlign w:val="superscript"/>
              </w:rPr>
              <w:t>2+</w:t>
            </w:r>
          </w:p>
        </w:tc>
        <w:tc>
          <w:tcPr>
            <w:tcW w:w="550" w:type="dxa"/>
            <w:noWrap w:val="0"/>
            <w:vAlign w:val="center"/>
          </w:tcPr>
          <w:p w14:paraId="71B7154B">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bCs/>
                <w:color w:val="000000"/>
                <w:sz w:val="21"/>
                <w:szCs w:val="21"/>
              </w:rPr>
            </w:pPr>
            <w:r>
              <w:rPr>
                <w:rFonts w:ascii="Times New Roman"/>
                <w:color w:val="000000"/>
                <w:sz w:val="21"/>
                <w:szCs w:val="21"/>
              </w:rPr>
              <w:t>Mg</w:t>
            </w:r>
            <w:r>
              <w:rPr>
                <w:rFonts w:ascii="Times New Roman"/>
                <w:color w:val="000000"/>
                <w:sz w:val="21"/>
                <w:szCs w:val="21"/>
                <w:vertAlign w:val="superscript"/>
              </w:rPr>
              <w:t>2+</w:t>
            </w:r>
          </w:p>
        </w:tc>
        <w:tc>
          <w:tcPr>
            <w:tcW w:w="549" w:type="dxa"/>
            <w:noWrap w:val="0"/>
            <w:vAlign w:val="center"/>
          </w:tcPr>
          <w:p w14:paraId="19A3A44A">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bCs/>
                <w:color w:val="000000"/>
                <w:sz w:val="21"/>
                <w:szCs w:val="21"/>
              </w:rPr>
            </w:pPr>
            <w:r>
              <w:rPr>
                <w:rFonts w:ascii="Times New Roman"/>
                <w:color w:val="000000"/>
                <w:sz w:val="21"/>
                <w:szCs w:val="21"/>
              </w:rPr>
              <w:t>CO</w:t>
            </w:r>
            <w:r>
              <w:rPr>
                <w:rFonts w:ascii="Times New Roman"/>
                <w:color w:val="000000"/>
                <w:sz w:val="21"/>
                <w:szCs w:val="21"/>
                <w:vertAlign w:val="subscript"/>
              </w:rPr>
              <w:t>3</w:t>
            </w:r>
            <w:r>
              <w:rPr>
                <w:rFonts w:ascii="Times New Roman"/>
                <w:color w:val="000000"/>
                <w:sz w:val="21"/>
                <w:szCs w:val="21"/>
                <w:vertAlign w:val="superscript"/>
              </w:rPr>
              <w:t>2-</w:t>
            </w:r>
          </w:p>
        </w:tc>
        <w:tc>
          <w:tcPr>
            <w:tcW w:w="549" w:type="dxa"/>
            <w:noWrap w:val="0"/>
            <w:vAlign w:val="center"/>
          </w:tcPr>
          <w:p w14:paraId="5BB34AF3">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bCs/>
                <w:color w:val="000000"/>
                <w:sz w:val="21"/>
                <w:szCs w:val="21"/>
                <w:vertAlign w:val="subscript"/>
              </w:rPr>
            </w:pPr>
            <w:r>
              <w:rPr>
                <w:rFonts w:ascii="Times New Roman"/>
                <w:color w:val="000000"/>
                <w:sz w:val="21"/>
                <w:szCs w:val="21"/>
              </w:rPr>
              <w:t>HCO</w:t>
            </w:r>
            <w:r>
              <w:rPr>
                <w:rFonts w:ascii="Times New Roman"/>
                <w:color w:val="000000"/>
                <w:sz w:val="21"/>
                <w:szCs w:val="21"/>
                <w:vertAlign w:val="subscript"/>
              </w:rPr>
              <w:t>3</w:t>
            </w:r>
            <w:r>
              <w:rPr>
                <w:rFonts w:ascii="Times New Roman"/>
                <w:color w:val="000000"/>
                <w:sz w:val="21"/>
                <w:szCs w:val="21"/>
                <w:vertAlign w:val="superscript"/>
              </w:rPr>
              <w:t>-</w:t>
            </w:r>
          </w:p>
        </w:tc>
        <w:tc>
          <w:tcPr>
            <w:tcW w:w="549" w:type="dxa"/>
            <w:noWrap w:val="0"/>
            <w:vAlign w:val="center"/>
          </w:tcPr>
          <w:p w14:paraId="4BAA9787">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sz w:val="21"/>
                <w:szCs w:val="21"/>
              </w:rPr>
            </w:pPr>
            <w:r>
              <w:rPr>
                <w:rFonts w:ascii="Times New Roman"/>
                <w:color w:val="000000"/>
                <w:sz w:val="21"/>
                <w:szCs w:val="21"/>
              </w:rPr>
              <w:t>Cl</w:t>
            </w:r>
            <w:r>
              <w:rPr>
                <w:rFonts w:ascii="Times New Roman"/>
                <w:color w:val="000000"/>
                <w:sz w:val="21"/>
                <w:szCs w:val="21"/>
                <w:vertAlign w:val="superscript"/>
              </w:rPr>
              <w:t>-</w:t>
            </w:r>
          </w:p>
        </w:tc>
        <w:tc>
          <w:tcPr>
            <w:tcW w:w="550" w:type="dxa"/>
            <w:noWrap w:val="0"/>
            <w:vAlign w:val="center"/>
          </w:tcPr>
          <w:p w14:paraId="46380C97">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sz w:val="21"/>
                <w:szCs w:val="21"/>
              </w:rPr>
            </w:pPr>
            <w:r>
              <w:rPr>
                <w:rFonts w:ascii="Times New Roman"/>
                <w:color w:val="000000"/>
                <w:sz w:val="21"/>
                <w:szCs w:val="21"/>
              </w:rPr>
              <w:t>SO</w:t>
            </w:r>
            <w:r>
              <w:rPr>
                <w:rFonts w:ascii="Times New Roman"/>
                <w:color w:val="000000"/>
                <w:sz w:val="21"/>
                <w:szCs w:val="21"/>
                <w:vertAlign w:val="subscript"/>
              </w:rPr>
              <w:t>4</w:t>
            </w:r>
            <w:r>
              <w:rPr>
                <w:rFonts w:ascii="Times New Roman"/>
                <w:color w:val="000000"/>
                <w:sz w:val="21"/>
                <w:szCs w:val="21"/>
                <w:vertAlign w:val="superscript"/>
              </w:rPr>
              <w:t>2-</w:t>
            </w:r>
          </w:p>
        </w:tc>
        <w:tc>
          <w:tcPr>
            <w:tcW w:w="709" w:type="dxa"/>
            <w:noWrap w:val="0"/>
            <w:vAlign w:val="center"/>
          </w:tcPr>
          <w:p w14:paraId="412831AE">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sz w:val="21"/>
                <w:szCs w:val="21"/>
              </w:rPr>
            </w:pPr>
            <w:r>
              <w:rPr>
                <w:rFonts w:ascii="Times New Roman"/>
                <w:color w:val="000000"/>
                <w:sz w:val="21"/>
                <w:szCs w:val="21"/>
              </w:rPr>
              <w:t>总计</w:t>
            </w:r>
          </w:p>
        </w:tc>
        <w:tc>
          <w:tcPr>
            <w:tcW w:w="646" w:type="dxa"/>
            <w:noWrap w:val="0"/>
            <w:vAlign w:val="center"/>
          </w:tcPr>
          <w:p w14:paraId="63DE5866">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sz w:val="21"/>
                <w:szCs w:val="21"/>
              </w:rPr>
            </w:pPr>
            <w:r>
              <w:rPr>
                <w:rFonts w:ascii="Times New Roman"/>
                <w:color w:val="000000"/>
                <w:sz w:val="21"/>
                <w:szCs w:val="21"/>
              </w:rPr>
              <w:t>水化学类型</w:t>
            </w:r>
          </w:p>
        </w:tc>
      </w:tr>
      <w:tr w14:paraId="1CED5B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23" w:hRule="atLeast"/>
        </w:trPr>
        <w:tc>
          <w:tcPr>
            <w:tcW w:w="421" w:type="dxa"/>
            <w:vMerge w:val="restart"/>
            <w:noWrap w:val="0"/>
            <w:vAlign w:val="center"/>
          </w:tcPr>
          <w:p w14:paraId="17031AAB">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ascii="Times New Roman"/>
                <w:color w:val="000000"/>
                <w:kern w:val="2"/>
                <w:sz w:val="21"/>
                <w:szCs w:val="21"/>
              </w:rPr>
              <w:t>1#</w:t>
            </w:r>
          </w:p>
        </w:tc>
        <w:tc>
          <w:tcPr>
            <w:tcW w:w="2126" w:type="dxa"/>
            <w:noWrap w:val="0"/>
            <w:vAlign w:val="center"/>
          </w:tcPr>
          <w:p w14:paraId="5E98BA80">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rPr>
                <w:rFonts w:ascii="Times New Roman"/>
                <w:color w:val="000000"/>
                <w:sz w:val="21"/>
                <w:szCs w:val="21"/>
              </w:rPr>
            </w:pPr>
            <w:r>
              <w:rPr>
                <w:rFonts w:hint="eastAsia" w:ascii="Times New Roman"/>
                <w:color w:val="000000"/>
                <w:kern w:val="2"/>
                <w:sz w:val="21"/>
                <w:szCs w:val="21"/>
              </w:rPr>
              <w:t>监测值</w:t>
            </w:r>
            <w:r>
              <w:rPr>
                <w:rFonts w:ascii="Times New Roman"/>
                <w:color w:val="000000"/>
                <w:kern w:val="2"/>
                <w:sz w:val="21"/>
                <w:szCs w:val="21"/>
              </w:rPr>
              <w:t>mg/L</w:t>
            </w:r>
          </w:p>
        </w:tc>
        <w:tc>
          <w:tcPr>
            <w:tcW w:w="549" w:type="dxa"/>
            <w:noWrap w:val="0"/>
            <w:vAlign w:val="center"/>
          </w:tcPr>
          <w:p w14:paraId="52C9C95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sz w:val="21"/>
                <w:szCs w:val="21"/>
              </w:rPr>
            </w:pPr>
            <w:r>
              <w:rPr>
                <w:rFonts w:hint="default" w:ascii="Times New Roman" w:hAnsi="Times New Roman" w:eastAsia="宋体" w:cs="Times New Roman"/>
                <w:i w:val="0"/>
                <w:iCs w:val="0"/>
                <w:color w:val="000000"/>
                <w:kern w:val="0"/>
                <w:sz w:val="21"/>
                <w:szCs w:val="21"/>
                <w:u w:val="none"/>
                <w:lang w:val="en-US" w:eastAsia="zh-CN" w:bidi="ar"/>
              </w:rPr>
              <w:t>1.06</w:t>
            </w:r>
          </w:p>
        </w:tc>
        <w:tc>
          <w:tcPr>
            <w:tcW w:w="549" w:type="dxa"/>
            <w:noWrap w:val="0"/>
            <w:vAlign w:val="center"/>
          </w:tcPr>
          <w:p w14:paraId="25904A8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57.2</w:t>
            </w:r>
          </w:p>
        </w:tc>
        <w:tc>
          <w:tcPr>
            <w:tcW w:w="549" w:type="dxa"/>
            <w:noWrap w:val="0"/>
            <w:vAlign w:val="center"/>
          </w:tcPr>
          <w:p w14:paraId="4854973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40.1</w:t>
            </w:r>
          </w:p>
        </w:tc>
        <w:tc>
          <w:tcPr>
            <w:tcW w:w="550" w:type="dxa"/>
            <w:noWrap w:val="0"/>
            <w:vAlign w:val="center"/>
          </w:tcPr>
          <w:p w14:paraId="2A3F566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30.1</w:t>
            </w:r>
          </w:p>
        </w:tc>
        <w:tc>
          <w:tcPr>
            <w:tcW w:w="549" w:type="dxa"/>
            <w:noWrap w:val="0"/>
            <w:vAlign w:val="center"/>
          </w:tcPr>
          <w:p w14:paraId="598FF19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549" w:type="dxa"/>
            <w:noWrap w:val="0"/>
            <w:vAlign w:val="center"/>
          </w:tcPr>
          <w:p w14:paraId="40FBAE1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themeColor="text1"/>
                <w:kern w:val="2"/>
                <w:sz w:val="21"/>
                <w:szCs w:val="21"/>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97</w:t>
            </w:r>
          </w:p>
        </w:tc>
        <w:tc>
          <w:tcPr>
            <w:tcW w:w="549" w:type="dxa"/>
            <w:noWrap w:val="0"/>
            <w:vAlign w:val="center"/>
          </w:tcPr>
          <w:p w14:paraId="20D0F29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120</w:t>
            </w:r>
          </w:p>
        </w:tc>
        <w:tc>
          <w:tcPr>
            <w:tcW w:w="550" w:type="dxa"/>
            <w:noWrap w:val="0"/>
            <w:vAlign w:val="center"/>
          </w:tcPr>
          <w:p w14:paraId="528A91C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89</w:t>
            </w:r>
          </w:p>
        </w:tc>
        <w:tc>
          <w:tcPr>
            <w:tcW w:w="709" w:type="dxa"/>
            <w:noWrap w:val="0"/>
            <w:vAlign w:val="center"/>
          </w:tcPr>
          <w:p w14:paraId="396F50D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sz w:val="21"/>
                <w:szCs w:val="21"/>
              </w:rPr>
            </w:pPr>
            <w:r>
              <w:rPr>
                <w:rFonts w:hint="default" w:ascii="Times New Roman" w:hAnsi="Times New Roman" w:eastAsia="宋体" w:cs="Times New Roman"/>
                <w:i w:val="0"/>
                <w:iCs w:val="0"/>
                <w:color w:val="000000"/>
                <w:kern w:val="0"/>
                <w:sz w:val="21"/>
                <w:szCs w:val="21"/>
                <w:u w:val="none"/>
                <w:lang w:val="en-US" w:eastAsia="zh-CN" w:bidi="ar"/>
              </w:rPr>
              <w:t>434.46</w:t>
            </w:r>
          </w:p>
        </w:tc>
        <w:tc>
          <w:tcPr>
            <w:tcW w:w="646" w:type="dxa"/>
            <w:vMerge w:val="restart"/>
            <w:noWrap w:val="0"/>
            <w:vAlign w:val="center"/>
          </w:tcPr>
          <w:p w14:paraId="7864772A">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hint="eastAsia" w:ascii="Times New Roman"/>
                <w:color w:val="000000"/>
                <w:sz w:val="21"/>
                <w:szCs w:val="21"/>
              </w:rPr>
            </w:pPr>
            <w:r>
              <w:rPr>
                <w:rFonts w:hint="eastAsia" w:ascii="Times New Roman"/>
                <w:color w:val="000000"/>
                <w:sz w:val="21"/>
                <w:szCs w:val="21"/>
              </w:rPr>
              <w:t>3</w:t>
            </w:r>
          </w:p>
        </w:tc>
      </w:tr>
      <w:tr w14:paraId="1D9507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23" w:hRule="atLeast"/>
        </w:trPr>
        <w:tc>
          <w:tcPr>
            <w:tcW w:w="421" w:type="dxa"/>
            <w:vMerge w:val="continue"/>
            <w:noWrap w:val="0"/>
            <w:vAlign w:val="center"/>
          </w:tcPr>
          <w:p w14:paraId="4104EE90">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c>
          <w:tcPr>
            <w:tcW w:w="2126" w:type="dxa"/>
            <w:noWrap w:val="0"/>
            <w:vAlign w:val="center"/>
          </w:tcPr>
          <w:p w14:paraId="7A6EFE37">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hint="eastAsia" w:ascii="Times New Roman"/>
                <w:color w:val="000000"/>
                <w:kern w:val="2"/>
                <w:sz w:val="21"/>
                <w:szCs w:val="21"/>
              </w:rPr>
              <w:t>毫克当量</w:t>
            </w:r>
            <w:r>
              <w:rPr>
                <w:rFonts w:ascii="Times New Roman"/>
                <w:color w:val="000000"/>
                <w:kern w:val="2"/>
                <w:sz w:val="21"/>
                <w:szCs w:val="21"/>
              </w:rPr>
              <w:t>mEq/L</w:t>
            </w:r>
          </w:p>
        </w:tc>
        <w:tc>
          <w:tcPr>
            <w:tcW w:w="549" w:type="dxa"/>
            <w:noWrap w:val="0"/>
            <w:vAlign w:val="center"/>
          </w:tcPr>
          <w:p w14:paraId="579349E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0.03 </w:t>
            </w:r>
          </w:p>
        </w:tc>
        <w:tc>
          <w:tcPr>
            <w:tcW w:w="549" w:type="dxa"/>
            <w:noWrap w:val="0"/>
            <w:vAlign w:val="center"/>
          </w:tcPr>
          <w:p w14:paraId="40E4CE1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2.49 </w:t>
            </w:r>
          </w:p>
        </w:tc>
        <w:tc>
          <w:tcPr>
            <w:tcW w:w="549" w:type="dxa"/>
            <w:noWrap w:val="0"/>
            <w:vAlign w:val="center"/>
          </w:tcPr>
          <w:p w14:paraId="7AC84AE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2.01 </w:t>
            </w:r>
          </w:p>
        </w:tc>
        <w:tc>
          <w:tcPr>
            <w:tcW w:w="550" w:type="dxa"/>
            <w:noWrap w:val="0"/>
            <w:vAlign w:val="center"/>
          </w:tcPr>
          <w:p w14:paraId="5FB30A7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2.51 </w:t>
            </w:r>
          </w:p>
        </w:tc>
        <w:tc>
          <w:tcPr>
            <w:tcW w:w="549" w:type="dxa"/>
            <w:noWrap w:val="0"/>
            <w:vAlign w:val="center"/>
          </w:tcPr>
          <w:p w14:paraId="68C173D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0.00 </w:t>
            </w:r>
          </w:p>
        </w:tc>
        <w:tc>
          <w:tcPr>
            <w:tcW w:w="549" w:type="dxa"/>
            <w:noWrap w:val="0"/>
            <w:vAlign w:val="center"/>
          </w:tcPr>
          <w:p w14:paraId="34FE908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themeColor="text1"/>
                <w:kern w:val="2"/>
                <w:sz w:val="21"/>
                <w:szCs w:val="21"/>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 xml:space="preserve">1.59 </w:t>
            </w:r>
          </w:p>
        </w:tc>
        <w:tc>
          <w:tcPr>
            <w:tcW w:w="549" w:type="dxa"/>
            <w:noWrap w:val="0"/>
            <w:vAlign w:val="center"/>
          </w:tcPr>
          <w:p w14:paraId="6F033B3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3.38 </w:t>
            </w:r>
          </w:p>
        </w:tc>
        <w:tc>
          <w:tcPr>
            <w:tcW w:w="550" w:type="dxa"/>
            <w:noWrap w:val="0"/>
            <w:vAlign w:val="center"/>
          </w:tcPr>
          <w:p w14:paraId="75F2A50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1.85 </w:t>
            </w:r>
          </w:p>
        </w:tc>
        <w:tc>
          <w:tcPr>
            <w:tcW w:w="709" w:type="dxa"/>
            <w:noWrap w:val="0"/>
            <w:vAlign w:val="center"/>
          </w:tcPr>
          <w:p w14:paraId="2FEC112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13.85 </w:t>
            </w:r>
          </w:p>
        </w:tc>
        <w:tc>
          <w:tcPr>
            <w:tcW w:w="646" w:type="dxa"/>
            <w:vMerge w:val="continue"/>
            <w:noWrap w:val="0"/>
            <w:vAlign w:val="center"/>
          </w:tcPr>
          <w:p w14:paraId="631327C3">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r>
      <w:tr w14:paraId="05B048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23" w:hRule="atLeast"/>
        </w:trPr>
        <w:tc>
          <w:tcPr>
            <w:tcW w:w="421" w:type="dxa"/>
            <w:vMerge w:val="continue"/>
            <w:noWrap w:val="0"/>
            <w:vAlign w:val="center"/>
          </w:tcPr>
          <w:p w14:paraId="24A7E292">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c>
          <w:tcPr>
            <w:tcW w:w="2126" w:type="dxa"/>
            <w:noWrap w:val="0"/>
            <w:vAlign w:val="center"/>
          </w:tcPr>
          <w:p w14:paraId="623612E1">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hint="eastAsia" w:ascii="Times New Roman"/>
                <w:color w:val="000000"/>
                <w:kern w:val="2"/>
                <w:sz w:val="21"/>
                <w:szCs w:val="21"/>
              </w:rPr>
              <w:t>毫克当量百分比</w:t>
            </w:r>
            <w:r>
              <w:rPr>
                <w:rFonts w:ascii="Times New Roman"/>
                <w:color w:val="000000"/>
                <w:kern w:val="2"/>
                <w:sz w:val="21"/>
                <w:szCs w:val="21"/>
              </w:rPr>
              <w:t>mEq</w:t>
            </w:r>
            <w:r>
              <w:rPr>
                <w:rFonts w:hint="eastAsia" w:ascii="Times New Roman"/>
                <w:color w:val="000000"/>
                <w:kern w:val="2"/>
                <w:sz w:val="21"/>
                <w:szCs w:val="21"/>
              </w:rPr>
              <w:t>%</w:t>
            </w:r>
          </w:p>
        </w:tc>
        <w:tc>
          <w:tcPr>
            <w:tcW w:w="549" w:type="dxa"/>
            <w:noWrap w:val="0"/>
            <w:vAlign w:val="center"/>
          </w:tcPr>
          <w:p w14:paraId="743CC5C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0.20 </w:t>
            </w:r>
          </w:p>
        </w:tc>
        <w:tc>
          <w:tcPr>
            <w:tcW w:w="549" w:type="dxa"/>
            <w:noWrap w:val="0"/>
            <w:vAlign w:val="center"/>
          </w:tcPr>
          <w:p w14:paraId="58B9D18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17.95 </w:t>
            </w:r>
          </w:p>
        </w:tc>
        <w:tc>
          <w:tcPr>
            <w:tcW w:w="549" w:type="dxa"/>
            <w:noWrap w:val="0"/>
            <w:vAlign w:val="center"/>
          </w:tcPr>
          <w:p w14:paraId="3FCAACF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14.47 </w:t>
            </w:r>
          </w:p>
        </w:tc>
        <w:tc>
          <w:tcPr>
            <w:tcW w:w="550" w:type="dxa"/>
            <w:noWrap w:val="0"/>
            <w:vAlign w:val="center"/>
          </w:tcPr>
          <w:p w14:paraId="5500FF2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18.11 </w:t>
            </w:r>
          </w:p>
        </w:tc>
        <w:tc>
          <w:tcPr>
            <w:tcW w:w="549" w:type="dxa"/>
            <w:noWrap w:val="0"/>
            <w:vAlign w:val="center"/>
          </w:tcPr>
          <w:p w14:paraId="066F114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0.00 </w:t>
            </w:r>
          </w:p>
        </w:tc>
        <w:tc>
          <w:tcPr>
            <w:tcW w:w="549" w:type="dxa"/>
            <w:noWrap w:val="0"/>
            <w:vAlign w:val="center"/>
          </w:tcPr>
          <w:p w14:paraId="2967136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themeColor="text1"/>
                <w:kern w:val="2"/>
                <w:sz w:val="21"/>
                <w:szCs w:val="21"/>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 xml:space="preserve">11.48 </w:t>
            </w:r>
          </w:p>
        </w:tc>
        <w:tc>
          <w:tcPr>
            <w:tcW w:w="549" w:type="dxa"/>
            <w:noWrap w:val="0"/>
            <w:vAlign w:val="center"/>
          </w:tcPr>
          <w:p w14:paraId="381EC6A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24.40 </w:t>
            </w:r>
          </w:p>
        </w:tc>
        <w:tc>
          <w:tcPr>
            <w:tcW w:w="550" w:type="dxa"/>
            <w:noWrap w:val="0"/>
            <w:vAlign w:val="center"/>
          </w:tcPr>
          <w:p w14:paraId="4C5FCA8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13.39 </w:t>
            </w:r>
          </w:p>
        </w:tc>
        <w:tc>
          <w:tcPr>
            <w:tcW w:w="709" w:type="dxa"/>
            <w:noWrap w:val="0"/>
            <w:vAlign w:val="center"/>
          </w:tcPr>
          <w:p w14:paraId="66A4DD1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100.00 </w:t>
            </w:r>
          </w:p>
        </w:tc>
        <w:tc>
          <w:tcPr>
            <w:tcW w:w="646" w:type="dxa"/>
            <w:vMerge w:val="continue"/>
            <w:noWrap w:val="0"/>
            <w:vAlign w:val="center"/>
          </w:tcPr>
          <w:p w14:paraId="088EB4D5">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r>
      <w:tr w14:paraId="45ABDD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72" w:hRule="atLeast"/>
        </w:trPr>
        <w:tc>
          <w:tcPr>
            <w:tcW w:w="421" w:type="dxa"/>
            <w:vMerge w:val="restart"/>
            <w:noWrap w:val="0"/>
            <w:vAlign w:val="center"/>
          </w:tcPr>
          <w:p w14:paraId="17F651FB">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ascii="Times New Roman"/>
                <w:color w:val="000000"/>
                <w:kern w:val="2"/>
                <w:sz w:val="21"/>
                <w:szCs w:val="21"/>
              </w:rPr>
              <w:t>2#</w:t>
            </w:r>
          </w:p>
        </w:tc>
        <w:tc>
          <w:tcPr>
            <w:tcW w:w="2126" w:type="dxa"/>
            <w:noWrap w:val="0"/>
            <w:vAlign w:val="center"/>
          </w:tcPr>
          <w:p w14:paraId="7407155C">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rPr>
                <w:rFonts w:ascii="Times New Roman"/>
                <w:color w:val="000000"/>
                <w:sz w:val="21"/>
                <w:szCs w:val="21"/>
              </w:rPr>
            </w:pPr>
            <w:r>
              <w:rPr>
                <w:rFonts w:hint="eastAsia" w:ascii="Times New Roman"/>
                <w:color w:val="000000"/>
                <w:kern w:val="2"/>
                <w:sz w:val="21"/>
                <w:szCs w:val="21"/>
              </w:rPr>
              <w:t>监测值</w:t>
            </w:r>
            <w:r>
              <w:rPr>
                <w:rFonts w:ascii="Times New Roman"/>
                <w:color w:val="000000"/>
                <w:kern w:val="2"/>
                <w:sz w:val="21"/>
                <w:szCs w:val="21"/>
              </w:rPr>
              <w:t>mg/L</w:t>
            </w:r>
          </w:p>
        </w:tc>
        <w:tc>
          <w:tcPr>
            <w:tcW w:w="549" w:type="dxa"/>
            <w:noWrap w:val="0"/>
            <w:vAlign w:val="center"/>
          </w:tcPr>
          <w:p w14:paraId="43FEFC2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1.37</w:t>
            </w:r>
          </w:p>
        </w:tc>
        <w:tc>
          <w:tcPr>
            <w:tcW w:w="549" w:type="dxa"/>
            <w:noWrap w:val="0"/>
            <w:vAlign w:val="center"/>
          </w:tcPr>
          <w:p w14:paraId="3BF669B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57.2</w:t>
            </w:r>
          </w:p>
        </w:tc>
        <w:tc>
          <w:tcPr>
            <w:tcW w:w="549" w:type="dxa"/>
            <w:noWrap w:val="0"/>
            <w:vAlign w:val="center"/>
          </w:tcPr>
          <w:p w14:paraId="3D255C5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40.1</w:t>
            </w:r>
          </w:p>
        </w:tc>
        <w:tc>
          <w:tcPr>
            <w:tcW w:w="550" w:type="dxa"/>
            <w:noWrap w:val="0"/>
            <w:vAlign w:val="center"/>
          </w:tcPr>
          <w:p w14:paraId="639770F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25.5</w:t>
            </w:r>
          </w:p>
        </w:tc>
        <w:tc>
          <w:tcPr>
            <w:tcW w:w="549" w:type="dxa"/>
            <w:noWrap w:val="0"/>
            <w:vAlign w:val="center"/>
          </w:tcPr>
          <w:p w14:paraId="15CEC6C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549" w:type="dxa"/>
            <w:noWrap w:val="0"/>
            <w:vAlign w:val="center"/>
          </w:tcPr>
          <w:p w14:paraId="5D64D61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themeColor="text1"/>
                <w:kern w:val="2"/>
                <w:sz w:val="21"/>
                <w:szCs w:val="21"/>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101</w:t>
            </w:r>
          </w:p>
        </w:tc>
        <w:tc>
          <w:tcPr>
            <w:tcW w:w="549" w:type="dxa"/>
            <w:noWrap w:val="0"/>
            <w:vAlign w:val="center"/>
          </w:tcPr>
          <w:p w14:paraId="4E8A762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130</w:t>
            </w:r>
          </w:p>
        </w:tc>
        <w:tc>
          <w:tcPr>
            <w:tcW w:w="550" w:type="dxa"/>
            <w:noWrap w:val="0"/>
            <w:vAlign w:val="center"/>
          </w:tcPr>
          <w:p w14:paraId="645C517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92</w:t>
            </w:r>
          </w:p>
        </w:tc>
        <w:tc>
          <w:tcPr>
            <w:tcW w:w="709" w:type="dxa"/>
            <w:noWrap w:val="0"/>
            <w:vAlign w:val="center"/>
          </w:tcPr>
          <w:p w14:paraId="3A0F902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447.17</w:t>
            </w:r>
          </w:p>
        </w:tc>
        <w:tc>
          <w:tcPr>
            <w:tcW w:w="646" w:type="dxa"/>
            <w:vMerge w:val="restart"/>
            <w:noWrap w:val="0"/>
            <w:vAlign w:val="center"/>
          </w:tcPr>
          <w:p w14:paraId="6279D703">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hint="eastAsia" w:ascii="Times New Roman"/>
                <w:color w:val="000000"/>
                <w:sz w:val="21"/>
                <w:szCs w:val="21"/>
              </w:rPr>
            </w:pPr>
            <w:r>
              <w:rPr>
                <w:rFonts w:hint="eastAsia" w:ascii="Times New Roman"/>
                <w:color w:val="000000"/>
                <w:sz w:val="21"/>
                <w:szCs w:val="21"/>
              </w:rPr>
              <w:t>3</w:t>
            </w:r>
          </w:p>
        </w:tc>
      </w:tr>
      <w:tr w14:paraId="156B92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72" w:hRule="atLeast"/>
        </w:trPr>
        <w:tc>
          <w:tcPr>
            <w:tcW w:w="421" w:type="dxa"/>
            <w:vMerge w:val="continue"/>
            <w:noWrap w:val="0"/>
            <w:vAlign w:val="center"/>
          </w:tcPr>
          <w:p w14:paraId="2C62C4A6">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c>
          <w:tcPr>
            <w:tcW w:w="2126" w:type="dxa"/>
            <w:noWrap w:val="0"/>
            <w:vAlign w:val="center"/>
          </w:tcPr>
          <w:p w14:paraId="2D4EA669">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hint="eastAsia" w:ascii="Times New Roman"/>
                <w:color w:val="000000"/>
                <w:kern w:val="2"/>
                <w:sz w:val="21"/>
                <w:szCs w:val="21"/>
              </w:rPr>
              <w:t>毫克当量</w:t>
            </w:r>
            <w:r>
              <w:rPr>
                <w:rFonts w:ascii="Times New Roman"/>
                <w:color w:val="000000"/>
                <w:kern w:val="2"/>
                <w:sz w:val="21"/>
                <w:szCs w:val="21"/>
              </w:rPr>
              <w:t>mEq/L</w:t>
            </w:r>
          </w:p>
        </w:tc>
        <w:tc>
          <w:tcPr>
            <w:tcW w:w="549" w:type="dxa"/>
            <w:noWrap w:val="0"/>
            <w:vAlign w:val="center"/>
          </w:tcPr>
          <w:p w14:paraId="44ED0E8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0.04 </w:t>
            </w:r>
          </w:p>
        </w:tc>
        <w:tc>
          <w:tcPr>
            <w:tcW w:w="549" w:type="dxa"/>
            <w:noWrap w:val="0"/>
            <w:vAlign w:val="center"/>
          </w:tcPr>
          <w:p w14:paraId="0E23BEC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2.49 </w:t>
            </w:r>
          </w:p>
        </w:tc>
        <w:tc>
          <w:tcPr>
            <w:tcW w:w="549" w:type="dxa"/>
            <w:noWrap w:val="0"/>
            <w:vAlign w:val="center"/>
          </w:tcPr>
          <w:p w14:paraId="72C205E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2.01 </w:t>
            </w:r>
          </w:p>
        </w:tc>
        <w:tc>
          <w:tcPr>
            <w:tcW w:w="550" w:type="dxa"/>
            <w:noWrap w:val="0"/>
            <w:vAlign w:val="center"/>
          </w:tcPr>
          <w:p w14:paraId="2A21DB0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2.13 </w:t>
            </w:r>
          </w:p>
        </w:tc>
        <w:tc>
          <w:tcPr>
            <w:tcW w:w="549" w:type="dxa"/>
            <w:noWrap w:val="0"/>
            <w:vAlign w:val="center"/>
          </w:tcPr>
          <w:p w14:paraId="20D926C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0.00 </w:t>
            </w:r>
          </w:p>
        </w:tc>
        <w:tc>
          <w:tcPr>
            <w:tcW w:w="549" w:type="dxa"/>
            <w:noWrap w:val="0"/>
            <w:vAlign w:val="center"/>
          </w:tcPr>
          <w:p w14:paraId="1BA2461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1.66 </w:t>
            </w:r>
          </w:p>
        </w:tc>
        <w:tc>
          <w:tcPr>
            <w:tcW w:w="549" w:type="dxa"/>
            <w:noWrap w:val="0"/>
            <w:vAlign w:val="center"/>
          </w:tcPr>
          <w:p w14:paraId="750C9CA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3.66 </w:t>
            </w:r>
          </w:p>
        </w:tc>
        <w:tc>
          <w:tcPr>
            <w:tcW w:w="550" w:type="dxa"/>
            <w:noWrap w:val="0"/>
            <w:vAlign w:val="center"/>
          </w:tcPr>
          <w:p w14:paraId="512AB43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1.92 </w:t>
            </w:r>
          </w:p>
        </w:tc>
        <w:tc>
          <w:tcPr>
            <w:tcW w:w="709" w:type="dxa"/>
            <w:noWrap w:val="0"/>
            <w:vAlign w:val="center"/>
          </w:tcPr>
          <w:p w14:paraId="4784777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13.89 </w:t>
            </w:r>
          </w:p>
        </w:tc>
        <w:tc>
          <w:tcPr>
            <w:tcW w:w="646" w:type="dxa"/>
            <w:vMerge w:val="continue"/>
            <w:noWrap w:val="0"/>
            <w:vAlign w:val="center"/>
          </w:tcPr>
          <w:p w14:paraId="415D998D">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r>
      <w:tr w14:paraId="1884E4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72" w:hRule="atLeast"/>
        </w:trPr>
        <w:tc>
          <w:tcPr>
            <w:tcW w:w="421" w:type="dxa"/>
            <w:vMerge w:val="continue"/>
            <w:noWrap w:val="0"/>
            <w:vAlign w:val="center"/>
          </w:tcPr>
          <w:p w14:paraId="4E6C413A">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c>
          <w:tcPr>
            <w:tcW w:w="2126" w:type="dxa"/>
            <w:noWrap w:val="0"/>
            <w:vAlign w:val="center"/>
          </w:tcPr>
          <w:p w14:paraId="1FCC06F8">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hint="eastAsia" w:ascii="Times New Roman"/>
                <w:color w:val="000000"/>
                <w:kern w:val="2"/>
                <w:sz w:val="21"/>
                <w:szCs w:val="21"/>
              </w:rPr>
              <w:t>毫克当量百分比</w:t>
            </w:r>
            <w:r>
              <w:rPr>
                <w:rFonts w:ascii="Times New Roman"/>
                <w:color w:val="000000"/>
                <w:kern w:val="2"/>
                <w:sz w:val="21"/>
                <w:szCs w:val="21"/>
              </w:rPr>
              <w:t>mEq</w:t>
            </w:r>
            <w:r>
              <w:rPr>
                <w:rFonts w:hint="eastAsia" w:ascii="Times New Roman"/>
                <w:color w:val="000000"/>
                <w:kern w:val="2"/>
                <w:sz w:val="21"/>
                <w:szCs w:val="21"/>
              </w:rPr>
              <w:t>%</w:t>
            </w:r>
          </w:p>
        </w:tc>
        <w:tc>
          <w:tcPr>
            <w:tcW w:w="549" w:type="dxa"/>
            <w:noWrap w:val="0"/>
            <w:vAlign w:val="center"/>
          </w:tcPr>
          <w:p w14:paraId="73AE4F4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0.25 </w:t>
            </w:r>
          </w:p>
        </w:tc>
        <w:tc>
          <w:tcPr>
            <w:tcW w:w="549" w:type="dxa"/>
            <w:noWrap w:val="0"/>
            <w:vAlign w:val="center"/>
          </w:tcPr>
          <w:p w14:paraId="3D6EC46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17.91 </w:t>
            </w:r>
          </w:p>
        </w:tc>
        <w:tc>
          <w:tcPr>
            <w:tcW w:w="549" w:type="dxa"/>
            <w:noWrap w:val="0"/>
            <w:vAlign w:val="center"/>
          </w:tcPr>
          <w:p w14:paraId="5B07F05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14.44 </w:t>
            </w:r>
          </w:p>
        </w:tc>
        <w:tc>
          <w:tcPr>
            <w:tcW w:w="550" w:type="dxa"/>
            <w:noWrap w:val="0"/>
            <w:vAlign w:val="center"/>
          </w:tcPr>
          <w:p w14:paraId="170A6D3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15.30 </w:t>
            </w:r>
          </w:p>
        </w:tc>
        <w:tc>
          <w:tcPr>
            <w:tcW w:w="549" w:type="dxa"/>
            <w:noWrap w:val="0"/>
            <w:vAlign w:val="center"/>
          </w:tcPr>
          <w:p w14:paraId="69F2C6D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0.00 </w:t>
            </w:r>
          </w:p>
        </w:tc>
        <w:tc>
          <w:tcPr>
            <w:tcW w:w="549" w:type="dxa"/>
            <w:noWrap w:val="0"/>
            <w:vAlign w:val="center"/>
          </w:tcPr>
          <w:p w14:paraId="204889F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11.92 </w:t>
            </w:r>
          </w:p>
        </w:tc>
        <w:tc>
          <w:tcPr>
            <w:tcW w:w="549" w:type="dxa"/>
            <w:noWrap w:val="0"/>
            <w:vAlign w:val="center"/>
          </w:tcPr>
          <w:p w14:paraId="6354187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26.37 </w:t>
            </w:r>
          </w:p>
        </w:tc>
        <w:tc>
          <w:tcPr>
            <w:tcW w:w="550" w:type="dxa"/>
            <w:noWrap w:val="0"/>
            <w:vAlign w:val="center"/>
          </w:tcPr>
          <w:p w14:paraId="52C4C5A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13.80 </w:t>
            </w:r>
          </w:p>
        </w:tc>
        <w:tc>
          <w:tcPr>
            <w:tcW w:w="709" w:type="dxa"/>
            <w:noWrap w:val="0"/>
            <w:vAlign w:val="center"/>
          </w:tcPr>
          <w:p w14:paraId="5DA685C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100.00 </w:t>
            </w:r>
          </w:p>
        </w:tc>
        <w:tc>
          <w:tcPr>
            <w:tcW w:w="646" w:type="dxa"/>
            <w:vMerge w:val="continue"/>
            <w:noWrap w:val="0"/>
            <w:vAlign w:val="center"/>
          </w:tcPr>
          <w:p w14:paraId="54C7878D">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r>
      <w:tr w14:paraId="7AA473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76" w:hRule="atLeast"/>
        </w:trPr>
        <w:tc>
          <w:tcPr>
            <w:tcW w:w="421" w:type="dxa"/>
            <w:vMerge w:val="restart"/>
            <w:noWrap w:val="0"/>
            <w:vAlign w:val="center"/>
          </w:tcPr>
          <w:p w14:paraId="756EFF3C">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ascii="Times New Roman"/>
                <w:color w:val="000000"/>
                <w:kern w:val="2"/>
                <w:sz w:val="21"/>
                <w:szCs w:val="21"/>
              </w:rPr>
              <w:t>3#</w:t>
            </w:r>
          </w:p>
        </w:tc>
        <w:tc>
          <w:tcPr>
            <w:tcW w:w="2126" w:type="dxa"/>
            <w:noWrap w:val="0"/>
            <w:vAlign w:val="center"/>
          </w:tcPr>
          <w:p w14:paraId="6D251140">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rPr>
                <w:rFonts w:ascii="Times New Roman"/>
                <w:color w:val="000000"/>
                <w:sz w:val="21"/>
                <w:szCs w:val="21"/>
              </w:rPr>
            </w:pPr>
            <w:r>
              <w:rPr>
                <w:rFonts w:hint="eastAsia" w:ascii="Times New Roman"/>
                <w:color w:val="000000"/>
                <w:kern w:val="2"/>
                <w:sz w:val="21"/>
                <w:szCs w:val="21"/>
              </w:rPr>
              <w:t>监测值</w:t>
            </w:r>
            <w:r>
              <w:rPr>
                <w:rFonts w:ascii="Times New Roman"/>
                <w:color w:val="000000"/>
                <w:kern w:val="2"/>
                <w:sz w:val="21"/>
                <w:szCs w:val="21"/>
              </w:rPr>
              <w:t>mg/L</w:t>
            </w:r>
          </w:p>
        </w:tc>
        <w:tc>
          <w:tcPr>
            <w:tcW w:w="549" w:type="dxa"/>
            <w:noWrap w:val="0"/>
            <w:vAlign w:val="center"/>
          </w:tcPr>
          <w:p w14:paraId="05D8E19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1.36</w:t>
            </w:r>
          </w:p>
        </w:tc>
        <w:tc>
          <w:tcPr>
            <w:tcW w:w="549" w:type="dxa"/>
            <w:noWrap w:val="0"/>
            <w:vAlign w:val="center"/>
          </w:tcPr>
          <w:p w14:paraId="09B320D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91.2</w:t>
            </w:r>
          </w:p>
        </w:tc>
        <w:tc>
          <w:tcPr>
            <w:tcW w:w="549" w:type="dxa"/>
            <w:noWrap w:val="0"/>
            <w:vAlign w:val="center"/>
          </w:tcPr>
          <w:p w14:paraId="417981B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18.7</w:t>
            </w:r>
          </w:p>
        </w:tc>
        <w:tc>
          <w:tcPr>
            <w:tcW w:w="550" w:type="dxa"/>
            <w:noWrap w:val="0"/>
            <w:vAlign w:val="center"/>
          </w:tcPr>
          <w:p w14:paraId="5860DC4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30</w:t>
            </w:r>
          </w:p>
        </w:tc>
        <w:tc>
          <w:tcPr>
            <w:tcW w:w="549" w:type="dxa"/>
            <w:noWrap w:val="0"/>
            <w:vAlign w:val="center"/>
          </w:tcPr>
          <w:p w14:paraId="06FAA18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549" w:type="dxa"/>
            <w:noWrap w:val="0"/>
            <w:vAlign w:val="center"/>
          </w:tcPr>
          <w:p w14:paraId="3AD1CF7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103</w:t>
            </w:r>
          </w:p>
        </w:tc>
        <w:tc>
          <w:tcPr>
            <w:tcW w:w="549" w:type="dxa"/>
            <w:noWrap w:val="0"/>
            <w:vAlign w:val="center"/>
          </w:tcPr>
          <w:p w14:paraId="7B99DF9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125</w:t>
            </w:r>
          </w:p>
        </w:tc>
        <w:tc>
          <w:tcPr>
            <w:tcW w:w="550" w:type="dxa"/>
            <w:noWrap w:val="0"/>
            <w:vAlign w:val="center"/>
          </w:tcPr>
          <w:p w14:paraId="0B97DD2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95</w:t>
            </w:r>
          </w:p>
        </w:tc>
        <w:tc>
          <w:tcPr>
            <w:tcW w:w="709" w:type="dxa"/>
            <w:noWrap w:val="0"/>
            <w:vAlign w:val="center"/>
          </w:tcPr>
          <w:p w14:paraId="726297F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464.26</w:t>
            </w:r>
          </w:p>
        </w:tc>
        <w:tc>
          <w:tcPr>
            <w:tcW w:w="646" w:type="dxa"/>
            <w:vMerge w:val="restart"/>
            <w:noWrap w:val="0"/>
            <w:vAlign w:val="center"/>
          </w:tcPr>
          <w:p w14:paraId="4E2F721A">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r>
              <w:rPr>
                <w:rFonts w:hint="eastAsia" w:ascii="Times New Roman"/>
                <w:color w:val="000000"/>
                <w:sz w:val="21"/>
                <w:szCs w:val="21"/>
              </w:rPr>
              <w:t>10</w:t>
            </w:r>
          </w:p>
        </w:tc>
      </w:tr>
      <w:tr w14:paraId="2AD62C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76" w:hRule="atLeast"/>
        </w:trPr>
        <w:tc>
          <w:tcPr>
            <w:tcW w:w="421" w:type="dxa"/>
            <w:vMerge w:val="continue"/>
            <w:noWrap w:val="0"/>
            <w:vAlign w:val="center"/>
          </w:tcPr>
          <w:p w14:paraId="6E160C98">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c>
          <w:tcPr>
            <w:tcW w:w="2126" w:type="dxa"/>
            <w:noWrap w:val="0"/>
            <w:vAlign w:val="center"/>
          </w:tcPr>
          <w:p w14:paraId="4AE16790">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hint="eastAsia" w:ascii="Times New Roman"/>
                <w:color w:val="000000"/>
                <w:kern w:val="2"/>
                <w:sz w:val="21"/>
                <w:szCs w:val="21"/>
              </w:rPr>
              <w:t>毫克当量</w:t>
            </w:r>
            <w:r>
              <w:rPr>
                <w:rFonts w:ascii="Times New Roman"/>
                <w:color w:val="000000"/>
                <w:kern w:val="2"/>
                <w:sz w:val="21"/>
                <w:szCs w:val="21"/>
              </w:rPr>
              <w:t>mEq/L</w:t>
            </w:r>
          </w:p>
        </w:tc>
        <w:tc>
          <w:tcPr>
            <w:tcW w:w="549" w:type="dxa"/>
            <w:noWrap w:val="0"/>
            <w:vAlign w:val="center"/>
          </w:tcPr>
          <w:p w14:paraId="3C589E5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0.03 </w:t>
            </w:r>
          </w:p>
        </w:tc>
        <w:tc>
          <w:tcPr>
            <w:tcW w:w="549" w:type="dxa"/>
            <w:noWrap w:val="0"/>
            <w:vAlign w:val="center"/>
          </w:tcPr>
          <w:p w14:paraId="352C4A4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3.97 </w:t>
            </w:r>
          </w:p>
        </w:tc>
        <w:tc>
          <w:tcPr>
            <w:tcW w:w="549" w:type="dxa"/>
            <w:noWrap w:val="0"/>
            <w:vAlign w:val="center"/>
          </w:tcPr>
          <w:p w14:paraId="53B5C6E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0.94 </w:t>
            </w:r>
          </w:p>
        </w:tc>
        <w:tc>
          <w:tcPr>
            <w:tcW w:w="550" w:type="dxa"/>
            <w:noWrap w:val="0"/>
            <w:vAlign w:val="center"/>
          </w:tcPr>
          <w:p w14:paraId="3809416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2.50 </w:t>
            </w:r>
          </w:p>
        </w:tc>
        <w:tc>
          <w:tcPr>
            <w:tcW w:w="549" w:type="dxa"/>
            <w:noWrap w:val="0"/>
            <w:vAlign w:val="center"/>
          </w:tcPr>
          <w:p w14:paraId="07A2A60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0.00 </w:t>
            </w:r>
          </w:p>
        </w:tc>
        <w:tc>
          <w:tcPr>
            <w:tcW w:w="549" w:type="dxa"/>
            <w:noWrap w:val="0"/>
            <w:vAlign w:val="center"/>
          </w:tcPr>
          <w:p w14:paraId="50FFEDA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1.69 </w:t>
            </w:r>
          </w:p>
        </w:tc>
        <w:tc>
          <w:tcPr>
            <w:tcW w:w="549" w:type="dxa"/>
            <w:noWrap w:val="0"/>
            <w:vAlign w:val="center"/>
          </w:tcPr>
          <w:p w14:paraId="50DBA59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3.52 </w:t>
            </w:r>
          </w:p>
        </w:tc>
        <w:tc>
          <w:tcPr>
            <w:tcW w:w="550" w:type="dxa"/>
            <w:noWrap w:val="0"/>
            <w:vAlign w:val="center"/>
          </w:tcPr>
          <w:p w14:paraId="7A8C82D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1.98 </w:t>
            </w:r>
          </w:p>
        </w:tc>
        <w:tc>
          <w:tcPr>
            <w:tcW w:w="709" w:type="dxa"/>
            <w:noWrap w:val="0"/>
            <w:vAlign w:val="center"/>
          </w:tcPr>
          <w:p w14:paraId="30F2838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14.62 </w:t>
            </w:r>
          </w:p>
        </w:tc>
        <w:tc>
          <w:tcPr>
            <w:tcW w:w="646" w:type="dxa"/>
            <w:vMerge w:val="continue"/>
            <w:noWrap w:val="0"/>
            <w:vAlign w:val="center"/>
          </w:tcPr>
          <w:p w14:paraId="7CB9C6F0">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r>
      <w:tr w14:paraId="4C2B1F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76" w:hRule="atLeast"/>
        </w:trPr>
        <w:tc>
          <w:tcPr>
            <w:tcW w:w="421" w:type="dxa"/>
            <w:vMerge w:val="continue"/>
            <w:noWrap w:val="0"/>
            <w:vAlign w:val="center"/>
          </w:tcPr>
          <w:p w14:paraId="34EA1518">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c>
          <w:tcPr>
            <w:tcW w:w="2126" w:type="dxa"/>
            <w:noWrap w:val="0"/>
            <w:vAlign w:val="center"/>
          </w:tcPr>
          <w:p w14:paraId="02E6E889">
            <w:pPr>
              <w:keepNext w:val="0"/>
              <w:keepLines w:val="0"/>
              <w:pageBreakBefore w:val="0"/>
              <w:kinsoku/>
              <w:wordWrap/>
              <w:overflowPunct/>
              <w:topLinePunct w:val="0"/>
              <w:autoSpaceDE/>
              <w:autoSpaceDN/>
              <w:bidi w:val="0"/>
              <w:adjustRightInd w:val="0"/>
              <w:snapToGrid w:val="0"/>
              <w:ind w:left="0" w:leftChars="0" w:right="0" w:rightChars="0" w:firstLine="0" w:firstLineChars="0"/>
              <w:jc w:val="center"/>
              <w:rPr>
                <w:rFonts w:ascii="Times New Roman"/>
                <w:color w:val="000000"/>
                <w:kern w:val="2"/>
                <w:sz w:val="21"/>
                <w:szCs w:val="21"/>
              </w:rPr>
            </w:pPr>
            <w:r>
              <w:rPr>
                <w:rFonts w:hint="eastAsia" w:ascii="Times New Roman"/>
                <w:color w:val="000000"/>
                <w:kern w:val="2"/>
                <w:sz w:val="21"/>
                <w:szCs w:val="21"/>
              </w:rPr>
              <w:t>毫克当量百分比</w:t>
            </w:r>
            <w:r>
              <w:rPr>
                <w:rFonts w:ascii="Times New Roman"/>
                <w:color w:val="000000"/>
                <w:kern w:val="2"/>
                <w:sz w:val="21"/>
                <w:szCs w:val="21"/>
              </w:rPr>
              <w:t>mEq</w:t>
            </w:r>
            <w:r>
              <w:rPr>
                <w:rFonts w:hint="eastAsia" w:ascii="Times New Roman"/>
                <w:color w:val="000000"/>
                <w:kern w:val="2"/>
                <w:sz w:val="21"/>
                <w:szCs w:val="21"/>
              </w:rPr>
              <w:t>%</w:t>
            </w:r>
          </w:p>
        </w:tc>
        <w:tc>
          <w:tcPr>
            <w:tcW w:w="549" w:type="dxa"/>
            <w:noWrap w:val="0"/>
            <w:vAlign w:val="center"/>
          </w:tcPr>
          <w:p w14:paraId="1009469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0.24 </w:t>
            </w:r>
          </w:p>
        </w:tc>
        <w:tc>
          <w:tcPr>
            <w:tcW w:w="549" w:type="dxa"/>
            <w:noWrap w:val="0"/>
            <w:vAlign w:val="center"/>
          </w:tcPr>
          <w:p w14:paraId="77E85E9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27.11 </w:t>
            </w:r>
          </w:p>
        </w:tc>
        <w:tc>
          <w:tcPr>
            <w:tcW w:w="549" w:type="dxa"/>
            <w:noWrap w:val="0"/>
            <w:vAlign w:val="center"/>
          </w:tcPr>
          <w:p w14:paraId="30FAE45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6.39 </w:t>
            </w:r>
          </w:p>
        </w:tc>
        <w:tc>
          <w:tcPr>
            <w:tcW w:w="550" w:type="dxa"/>
            <w:noWrap w:val="0"/>
            <w:vAlign w:val="center"/>
          </w:tcPr>
          <w:p w14:paraId="08718DE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17.10 </w:t>
            </w:r>
          </w:p>
        </w:tc>
        <w:tc>
          <w:tcPr>
            <w:tcW w:w="549" w:type="dxa"/>
            <w:noWrap w:val="0"/>
            <w:vAlign w:val="center"/>
          </w:tcPr>
          <w:p w14:paraId="5D9C84A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0.00 </w:t>
            </w:r>
          </w:p>
        </w:tc>
        <w:tc>
          <w:tcPr>
            <w:tcW w:w="549" w:type="dxa"/>
            <w:noWrap w:val="0"/>
            <w:vAlign w:val="center"/>
          </w:tcPr>
          <w:p w14:paraId="378B91C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11.55 </w:t>
            </w:r>
          </w:p>
        </w:tc>
        <w:tc>
          <w:tcPr>
            <w:tcW w:w="549" w:type="dxa"/>
            <w:noWrap w:val="0"/>
            <w:vAlign w:val="center"/>
          </w:tcPr>
          <w:p w14:paraId="160AE1C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24.08 </w:t>
            </w:r>
          </w:p>
        </w:tc>
        <w:tc>
          <w:tcPr>
            <w:tcW w:w="550" w:type="dxa"/>
            <w:noWrap w:val="0"/>
            <w:vAlign w:val="center"/>
          </w:tcPr>
          <w:p w14:paraId="6368899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13.53 </w:t>
            </w:r>
          </w:p>
        </w:tc>
        <w:tc>
          <w:tcPr>
            <w:tcW w:w="709" w:type="dxa"/>
            <w:noWrap w:val="0"/>
            <w:vAlign w:val="center"/>
          </w:tcPr>
          <w:p w14:paraId="5EE2E6E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Times New Roman"/>
                <w:color w:val="000000"/>
                <w:kern w:val="2"/>
                <w:sz w:val="21"/>
                <w:szCs w:val="21"/>
              </w:rPr>
            </w:pPr>
            <w:r>
              <w:rPr>
                <w:rFonts w:hint="default" w:ascii="Times New Roman" w:hAnsi="Times New Roman" w:eastAsia="宋体" w:cs="Times New Roman"/>
                <w:i w:val="0"/>
                <w:iCs w:val="0"/>
                <w:color w:val="000000"/>
                <w:kern w:val="0"/>
                <w:sz w:val="21"/>
                <w:szCs w:val="21"/>
                <w:u w:val="none"/>
                <w:lang w:val="en-US" w:eastAsia="zh-CN" w:bidi="ar"/>
              </w:rPr>
              <w:t xml:space="preserve">100.00 </w:t>
            </w:r>
          </w:p>
        </w:tc>
        <w:tc>
          <w:tcPr>
            <w:tcW w:w="646" w:type="dxa"/>
            <w:vMerge w:val="continue"/>
            <w:noWrap w:val="0"/>
            <w:vAlign w:val="center"/>
          </w:tcPr>
          <w:p w14:paraId="73551851">
            <w:pPr>
              <w:keepNext w:val="0"/>
              <w:keepLines w:val="0"/>
              <w:pageBreakBefore w:val="0"/>
              <w:widowControl/>
              <w:kinsoku/>
              <w:wordWrap/>
              <w:overflowPunct/>
              <w:topLinePunct w:val="0"/>
              <w:autoSpaceDE/>
              <w:autoSpaceDN/>
              <w:bidi w:val="0"/>
              <w:adjustRightInd w:val="0"/>
              <w:snapToGrid w:val="0"/>
              <w:ind w:left="0" w:leftChars="0" w:right="0" w:rightChars="0" w:firstLine="0" w:firstLineChars="0"/>
              <w:jc w:val="center"/>
              <w:textAlignment w:val="center"/>
              <w:rPr>
                <w:rFonts w:ascii="Times New Roman"/>
                <w:color w:val="000000"/>
                <w:sz w:val="21"/>
                <w:szCs w:val="21"/>
              </w:rPr>
            </w:pPr>
          </w:p>
        </w:tc>
      </w:tr>
    </w:tbl>
    <w:p w14:paraId="1685FBEA">
      <w:pPr>
        <w:keepNext w:val="0"/>
        <w:keepLines w:val="0"/>
        <w:pageBreakBefore w:val="0"/>
        <w:widowControl w:val="0"/>
        <w:kinsoku/>
        <w:wordWrap/>
        <w:overflowPunct/>
        <w:topLinePunct w:val="0"/>
        <w:autoSpaceDE/>
        <w:autoSpaceDN/>
        <w:bidi w:val="0"/>
        <w:adjustRightInd w:val="0"/>
        <w:snapToGrid w:val="0"/>
        <w:ind w:left="0" w:leftChars="0" w:right="0" w:rightChars="0" w:firstLine="480" w:firstLineChars="200"/>
        <w:jc w:val="left"/>
        <w:textAlignment w:val="auto"/>
        <w:rPr>
          <w:rFonts w:ascii="Times New Roman"/>
          <w:color w:val="000000"/>
          <w:kern w:val="2"/>
          <w:sz w:val="24"/>
          <w:szCs w:val="24"/>
        </w:rPr>
      </w:pPr>
      <w:r>
        <w:rPr>
          <w:rFonts w:ascii="Times New Roman"/>
          <w:color w:val="000000"/>
          <w:kern w:val="2"/>
          <w:sz w:val="24"/>
          <w:szCs w:val="24"/>
        </w:rPr>
        <w:t>按舒卡列夫分类，评价范围内地下水水化学类型</w:t>
      </w:r>
      <w:r>
        <w:rPr>
          <w:rFonts w:hint="eastAsia" w:ascii="Times New Roman"/>
          <w:color w:val="000000"/>
          <w:kern w:val="2"/>
          <w:sz w:val="24"/>
          <w:szCs w:val="24"/>
        </w:rPr>
        <w:t>为</w:t>
      </w:r>
      <w:r>
        <w:rPr>
          <w:rFonts w:ascii="Times New Roman"/>
          <w:color w:val="000000"/>
          <w:kern w:val="2"/>
          <w:sz w:val="24"/>
          <w:szCs w:val="24"/>
        </w:rPr>
        <w:t>SO</w:t>
      </w:r>
      <w:r>
        <w:rPr>
          <w:rFonts w:ascii="Times New Roman"/>
          <w:color w:val="000000"/>
          <w:kern w:val="2"/>
          <w:sz w:val="24"/>
          <w:szCs w:val="24"/>
          <w:vertAlign w:val="subscript"/>
        </w:rPr>
        <w:t>4</w:t>
      </w:r>
      <w:r>
        <w:rPr>
          <w:rFonts w:ascii="Times New Roman"/>
          <w:color w:val="000000"/>
          <w:kern w:val="2"/>
          <w:sz w:val="24"/>
          <w:szCs w:val="24"/>
          <w:vertAlign w:val="superscript"/>
        </w:rPr>
        <w:t>2-</w:t>
      </w:r>
      <w:r>
        <w:rPr>
          <w:rFonts w:ascii="Times New Roman"/>
          <w:color w:val="000000"/>
          <w:kern w:val="2"/>
          <w:sz w:val="24"/>
          <w:szCs w:val="24"/>
        </w:rPr>
        <w:t>Cl</w:t>
      </w:r>
      <w:r>
        <w:rPr>
          <w:rFonts w:ascii="Times New Roman"/>
          <w:color w:val="000000"/>
          <w:kern w:val="2"/>
          <w:sz w:val="24"/>
          <w:szCs w:val="24"/>
          <w:vertAlign w:val="superscript"/>
        </w:rPr>
        <w:t>-</w:t>
      </w:r>
      <w:r>
        <w:rPr>
          <w:rFonts w:hint="eastAsia" w:ascii="Times New Roman"/>
          <w:color w:val="000000"/>
          <w:sz w:val="24"/>
          <w:szCs w:val="24"/>
          <w:vertAlign w:val="baseline"/>
          <w:lang w:val="en-US" w:eastAsia="zh-CN"/>
        </w:rPr>
        <w:t>—</w:t>
      </w:r>
      <w:r>
        <w:rPr>
          <w:rFonts w:ascii="Times New Roman"/>
          <w:color w:val="000000"/>
          <w:kern w:val="2"/>
          <w:sz w:val="24"/>
          <w:szCs w:val="24"/>
        </w:rPr>
        <w:t>Na</w:t>
      </w:r>
      <w:r>
        <w:rPr>
          <w:rFonts w:ascii="Times New Roman"/>
          <w:color w:val="000000"/>
          <w:kern w:val="2"/>
          <w:sz w:val="24"/>
          <w:szCs w:val="24"/>
          <w:vertAlign w:val="superscript"/>
        </w:rPr>
        <w:t>+</w:t>
      </w:r>
      <w:r>
        <w:rPr>
          <w:rFonts w:ascii="Times New Roman"/>
          <w:color w:val="000000"/>
          <w:kern w:val="2"/>
          <w:sz w:val="24"/>
          <w:szCs w:val="24"/>
        </w:rPr>
        <w:t>-Mg</w:t>
      </w:r>
      <w:r>
        <w:rPr>
          <w:rFonts w:ascii="Times New Roman"/>
          <w:color w:val="000000"/>
          <w:kern w:val="2"/>
          <w:sz w:val="24"/>
          <w:szCs w:val="24"/>
          <w:vertAlign w:val="superscript"/>
        </w:rPr>
        <w:t>2+</w:t>
      </w:r>
      <w:r>
        <w:rPr>
          <w:rFonts w:ascii="Times New Roman"/>
          <w:color w:val="000000"/>
          <w:sz w:val="24"/>
          <w:szCs w:val="24"/>
        </w:rPr>
        <w:t>型</w:t>
      </w:r>
      <w:r>
        <w:rPr>
          <w:rFonts w:ascii="Times New Roman"/>
          <w:color w:val="000000"/>
          <w:kern w:val="2"/>
          <w:sz w:val="24"/>
          <w:szCs w:val="24"/>
        </w:rPr>
        <w:t>水。</w:t>
      </w:r>
    </w:p>
    <w:p w14:paraId="4EF727BC">
      <w:pPr>
        <w:pStyle w:val="508"/>
        <w:ind w:firstLine="480"/>
        <w:rPr>
          <w:color w:val="000000"/>
          <w:szCs w:val="28"/>
        </w:rPr>
      </w:pPr>
      <w:r>
        <w:rPr>
          <w:color w:val="000000"/>
          <w:szCs w:val="28"/>
        </w:rPr>
        <w:t>对阴阳离子平衡关系进行检测可采用以下公式进行计算：</w:t>
      </w:r>
    </w:p>
    <w:p w14:paraId="3D46BFD8">
      <w:pPr>
        <w:pStyle w:val="508"/>
        <w:ind w:firstLine="480"/>
        <w:rPr>
          <w:color w:val="000000"/>
          <w:szCs w:val="28"/>
        </w:rPr>
      </w:pPr>
      <w:r>
        <w:rPr>
          <w:color w:val="000000"/>
          <w:szCs w:val="28"/>
        </w:rPr>
        <w:drawing>
          <wp:inline distT="0" distB="0" distL="114300" distR="114300">
            <wp:extent cx="1752600" cy="439420"/>
            <wp:effectExtent l="0" t="0" r="0" b="177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13"/>
                    <a:stretch>
                      <a:fillRect/>
                    </a:stretch>
                  </pic:blipFill>
                  <pic:spPr>
                    <a:xfrm>
                      <a:off x="0" y="0"/>
                      <a:ext cx="1752600" cy="439420"/>
                    </a:xfrm>
                    <a:prstGeom prst="rect">
                      <a:avLst/>
                    </a:prstGeom>
                    <a:noFill/>
                    <a:ln>
                      <a:noFill/>
                    </a:ln>
                  </pic:spPr>
                </pic:pic>
              </a:graphicData>
            </a:graphic>
          </wp:inline>
        </w:drawing>
      </w:r>
    </w:p>
    <w:p w14:paraId="37D5B035">
      <w:pPr>
        <w:pStyle w:val="508"/>
        <w:ind w:firstLine="480"/>
        <w:rPr>
          <w:color w:val="000000"/>
          <w:szCs w:val="28"/>
        </w:rPr>
      </w:pPr>
      <w:r>
        <w:rPr>
          <w:color w:val="000000"/>
          <w:szCs w:val="28"/>
        </w:rPr>
        <w:t>其中：mc为阳离子当量，ma为阴离子当量</w:t>
      </w:r>
    </w:p>
    <w:p w14:paraId="4511A8EE">
      <w:pPr>
        <w:pStyle w:val="508"/>
        <w:ind w:firstLine="480"/>
        <w:rPr>
          <w:color w:val="000000"/>
          <w:szCs w:val="28"/>
        </w:rPr>
      </w:pPr>
      <w:r>
        <w:rPr>
          <w:color w:val="000000"/>
          <w:szCs w:val="28"/>
        </w:rPr>
        <w:t xml:space="preserve">      m=质量浓度/分子量*离子价</w:t>
      </w:r>
    </w:p>
    <w:p w14:paraId="0790E86F">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eastAsia="黑体"/>
          <w:snapToGrid w:val="0"/>
          <w:color w:val="000000" w:themeColor="text1"/>
          <w:kern w:val="0"/>
          <w:lang w:val="zh-CN" w:eastAsia="zh-CN"/>
          <w14:textFill>
            <w14:solidFill>
              <w14:schemeClr w14:val="tx1"/>
            </w14:solidFill>
          </w14:textFill>
        </w:rPr>
        <w:t>表4</w:t>
      </w:r>
      <w:r>
        <w:rPr>
          <w:rFonts w:hint="eastAsia" w:eastAsia="黑体"/>
          <w:snapToGrid w:val="0"/>
          <w:color w:val="000000" w:themeColor="text1"/>
          <w:kern w:val="0"/>
          <w:lang w:val="zh-CN" w:eastAsia="zh-CN"/>
          <w14:textFill>
            <w14:solidFill>
              <w14:schemeClr w14:val="tx1"/>
            </w14:solidFill>
          </w14:textFill>
        </w:rPr>
        <w:t>-</w:t>
      </w:r>
      <w:r>
        <w:rPr>
          <w:rFonts w:hint="eastAsia" w:eastAsia="黑体"/>
          <w:snapToGrid w:val="0"/>
          <w:color w:val="000000" w:themeColor="text1"/>
          <w:kern w:val="0"/>
          <w:lang w:val="en-US" w:eastAsia="zh-CN"/>
          <w14:textFill>
            <w14:solidFill>
              <w14:schemeClr w14:val="tx1"/>
            </w14:solidFill>
          </w14:textFill>
        </w:rPr>
        <w:t>2</w:t>
      </w:r>
      <w:r>
        <w:rPr>
          <w:rFonts w:hint="eastAsia" w:eastAsia="黑体"/>
          <w:snapToGrid w:val="0"/>
          <w:color w:val="000000" w:themeColor="text1"/>
          <w:kern w:val="0"/>
          <w:lang w:val="zh-CN" w:eastAsia="zh-CN"/>
          <w14:textFill>
            <w14:solidFill>
              <w14:schemeClr w14:val="tx1"/>
            </w14:solidFill>
          </w14:textFill>
        </w:rPr>
        <w:t>-1</w:t>
      </w:r>
      <w:r>
        <w:rPr>
          <w:rFonts w:hint="eastAsia" w:eastAsia="黑体"/>
          <w:snapToGrid w:val="0"/>
          <w:color w:val="000000" w:themeColor="text1"/>
          <w:kern w:val="0"/>
          <w:lang w:val="en-US" w:eastAsia="zh-CN"/>
          <w14:textFill>
            <w14:solidFill>
              <w14:schemeClr w14:val="tx1"/>
            </w14:solidFill>
          </w14:textFill>
        </w:rPr>
        <w:t>6</w:t>
      </w:r>
      <w:r>
        <w:rPr>
          <w:rFonts w:eastAsia="黑体"/>
          <w:snapToGrid w:val="0"/>
          <w:color w:val="000000" w:themeColor="text1"/>
          <w:kern w:val="0"/>
          <w:lang w:val="zh-CN" w:eastAsia="zh-CN"/>
          <w14:textFill>
            <w14:solidFill>
              <w14:schemeClr w14:val="tx1"/>
            </w14:solidFill>
          </w14:textFill>
        </w:rPr>
        <w:t xml:space="preserve"> 阴阳离子平衡关系计算成果表</w:t>
      </w:r>
    </w:p>
    <w:tbl>
      <w:tblPr>
        <w:tblStyle w:val="49"/>
        <w:tblW w:w="4873" w:type="pct"/>
        <w:tblInd w:w="0" w:type="dxa"/>
        <w:tblLayout w:type="fixed"/>
        <w:tblCellMar>
          <w:top w:w="0" w:type="dxa"/>
          <w:left w:w="108" w:type="dxa"/>
          <w:bottom w:w="0" w:type="dxa"/>
          <w:right w:w="108" w:type="dxa"/>
        </w:tblCellMar>
      </w:tblPr>
      <w:tblGrid>
        <w:gridCol w:w="557"/>
        <w:gridCol w:w="764"/>
        <w:gridCol w:w="527"/>
        <w:gridCol w:w="553"/>
        <w:gridCol w:w="579"/>
        <w:gridCol w:w="567"/>
        <w:gridCol w:w="580"/>
        <w:gridCol w:w="752"/>
        <w:gridCol w:w="528"/>
        <w:gridCol w:w="633"/>
        <w:gridCol w:w="518"/>
        <w:gridCol w:w="669"/>
        <w:gridCol w:w="873"/>
      </w:tblGrid>
      <w:tr w14:paraId="5912A352">
        <w:tblPrEx>
          <w:tblCellMar>
            <w:top w:w="0" w:type="dxa"/>
            <w:left w:w="108" w:type="dxa"/>
            <w:bottom w:w="0" w:type="dxa"/>
            <w:right w:w="108" w:type="dxa"/>
          </w:tblCellMar>
        </w:tblPrEx>
        <w:trPr>
          <w:trHeight w:val="2055" w:hRule="atLeast"/>
        </w:trPr>
        <w:tc>
          <w:tcPr>
            <w:tcW w:w="344" w:type="pct"/>
            <w:tcBorders>
              <w:top w:val="single" w:color="auto" w:sz="12" w:space="0"/>
              <w:left w:val="nil"/>
              <w:right w:val="single" w:color="auto" w:sz="4" w:space="0"/>
            </w:tcBorders>
            <w:noWrap/>
            <w:vAlign w:val="center"/>
          </w:tcPr>
          <w:p w14:paraId="2843DF8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监测点</w:t>
            </w:r>
          </w:p>
        </w:tc>
        <w:tc>
          <w:tcPr>
            <w:tcW w:w="471" w:type="pct"/>
            <w:tcBorders>
              <w:top w:val="single" w:color="auto" w:sz="12" w:space="0"/>
              <w:left w:val="single" w:color="auto" w:sz="4" w:space="0"/>
              <w:right w:val="single" w:color="auto" w:sz="4" w:space="0"/>
            </w:tcBorders>
            <w:noWrap/>
            <w:vAlign w:val="center"/>
          </w:tcPr>
          <w:p w14:paraId="6EF086B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项目</w:t>
            </w:r>
          </w:p>
        </w:tc>
        <w:tc>
          <w:tcPr>
            <w:tcW w:w="325" w:type="pct"/>
            <w:tcBorders>
              <w:top w:val="single" w:color="auto" w:sz="12" w:space="0"/>
              <w:left w:val="single" w:color="auto" w:sz="4" w:space="0"/>
              <w:right w:val="single" w:color="auto" w:sz="4" w:space="0"/>
            </w:tcBorders>
            <w:noWrap/>
            <w:vAlign w:val="center"/>
          </w:tcPr>
          <w:p w14:paraId="325C5FF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k</w:t>
            </w:r>
            <w:r>
              <w:rPr>
                <w:rFonts w:hint="eastAsia" w:ascii="Times New Roman"/>
                <w:color w:val="000000"/>
                <w:kern w:val="2"/>
                <w:sz w:val="21"/>
                <w:szCs w:val="21"/>
                <w:vertAlign w:val="superscript"/>
              </w:rPr>
              <w:t>+</w:t>
            </w:r>
          </w:p>
        </w:tc>
        <w:tc>
          <w:tcPr>
            <w:tcW w:w="341" w:type="pct"/>
            <w:tcBorders>
              <w:top w:val="single" w:color="auto" w:sz="12" w:space="0"/>
              <w:left w:val="single" w:color="auto" w:sz="4" w:space="0"/>
              <w:bottom w:val="single" w:color="auto" w:sz="4" w:space="0"/>
              <w:right w:val="single" w:color="auto" w:sz="4" w:space="0"/>
            </w:tcBorders>
            <w:noWrap/>
            <w:vAlign w:val="center"/>
          </w:tcPr>
          <w:p w14:paraId="4D319F9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Na</w:t>
            </w:r>
            <w:r>
              <w:rPr>
                <w:rFonts w:hint="eastAsia" w:ascii="Times New Roman"/>
                <w:color w:val="000000"/>
                <w:kern w:val="2"/>
                <w:sz w:val="21"/>
                <w:szCs w:val="21"/>
                <w:vertAlign w:val="superscript"/>
              </w:rPr>
              <w:t>+</w:t>
            </w:r>
          </w:p>
        </w:tc>
        <w:tc>
          <w:tcPr>
            <w:tcW w:w="357" w:type="pct"/>
            <w:tcBorders>
              <w:top w:val="single" w:color="auto" w:sz="12" w:space="0"/>
              <w:left w:val="single" w:color="auto" w:sz="4" w:space="0"/>
              <w:right w:val="single" w:color="auto" w:sz="4" w:space="0"/>
            </w:tcBorders>
            <w:noWrap/>
            <w:vAlign w:val="center"/>
          </w:tcPr>
          <w:p w14:paraId="16DAAD3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Ca</w:t>
            </w:r>
            <w:r>
              <w:rPr>
                <w:rFonts w:hint="eastAsia" w:ascii="Times New Roman"/>
                <w:color w:val="000000"/>
                <w:kern w:val="2"/>
                <w:sz w:val="21"/>
                <w:szCs w:val="21"/>
                <w:vertAlign w:val="superscript"/>
              </w:rPr>
              <w:t>2+</w:t>
            </w:r>
          </w:p>
        </w:tc>
        <w:tc>
          <w:tcPr>
            <w:tcW w:w="350" w:type="pct"/>
            <w:tcBorders>
              <w:top w:val="single" w:color="auto" w:sz="12" w:space="0"/>
              <w:left w:val="single" w:color="auto" w:sz="4" w:space="0"/>
              <w:right w:val="single" w:color="auto" w:sz="4" w:space="0"/>
            </w:tcBorders>
            <w:noWrap/>
            <w:vAlign w:val="center"/>
          </w:tcPr>
          <w:p w14:paraId="32C6965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Mg</w:t>
            </w:r>
            <w:r>
              <w:rPr>
                <w:rFonts w:hint="eastAsia" w:ascii="Times New Roman"/>
                <w:color w:val="000000"/>
                <w:kern w:val="2"/>
                <w:sz w:val="21"/>
                <w:szCs w:val="21"/>
                <w:vertAlign w:val="superscript"/>
              </w:rPr>
              <w:t>2+</w:t>
            </w:r>
          </w:p>
        </w:tc>
        <w:tc>
          <w:tcPr>
            <w:tcW w:w="357" w:type="pct"/>
            <w:tcBorders>
              <w:top w:val="single" w:color="auto" w:sz="12" w:space="0"/>
              <w:left w:val="single" w:color="auto" w:sz="4" w:space="0"/>
              <w:right w:val="single" w:color="auto" w:sz="4" w:space="0"/>
            </w:tcBorders>
            <w:noWrap/>
            <w:vAlign w:val="center"/>
          </w:tcPr>
          <w:p w14:paraId="7C6CBE1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Times New Roman"/>
                <w:color w:val="000000"/>
                <w:kern w:val="2"/>
                <w:sz w:val="21"/>
                <w:szCs w:val="21"/>
              </w:rPr>
            </w:pPr>
            <w:r>
              <w:rPr>
                <w:rFonts w:ascii="Times New Roman"/>
                <w:color w:val="000000"/>
                <w:kern w:val="2"/>
                <w:sz w:val="21"/>
                <w:szCs w:val="21"/>
              </w:rPr>
              <w:t>CO</w:t>
            </w:r>
            <w:r>
              <w:rPr>
                <w:rFonts w:ascii="Times New Roman"/>
                <w:color w:val="000000"/>
                <w:kern w:val="2"/>
                <w:sz w:val="21"/>
                <w:szCs w:val="21"/>
                <w:vertAlign w:val="subscript"/>
              </w:rPr>
              <w:t>3</w:t>
            </w:r>
            <w:r>
              <w:rPr>
                <w:rFonts w:ascii="Times New Roman"/>
                <w:color w:val="000000"/>
                <w:kern w:val="2"/>
                <w:sz w:val="21"/>
                <w:szCs w:val="21"/>
                <w:vertAlign w:val="superscript"/>
              </w:rPr>
              <w:t>2-</w:t>
            </w:r>
          </w:p>
        </w:tc>
        <w:tc>
          <w:tcPr>
            <w:tcW w:w="464" w:type="pct"/>
            <w:tcBorders>
              <w:top w:val="single" w:color="auto" w:sz="12" w:space="0"/>
              <w:left w:val="single" w:color="auto" w:sz="4" w:space="0"/>
              <w:right w:val="single" w:color="auto" w:sz="4" w:space="0"/>
            </w:tcBorders>
            <w:noWrap/>
            <w:vAlign w:val="center"/>
          </w:tcPr>
          <w:p w14:paraId="1DCD5B4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HCO</w:t>
            </w:r>
            <w:r>
              <w:rPr>
                <w:rFonts w:hint="eastAsia" w:ascii="Times New Roman"/>
                <w:color w:val="000000"/>
                <w:kern w:val="2"/>
                <w:sz w:val="21"/>
                <w:szCs w:val="21"/>
                <w:vertAlign w:val="subscript"/>
              </w:rPr>
              <w:t>3</w:t>
            </w:r>
            <w:r>
              <w:rPr>
                <w:rFonts w:hint="eastAsia" w:ascii="Times New Roman"/>
                <w:color w:val="000000"/>
                <w:kern w:val="2"/>
                <w:sz w:val="21"/>
                <w:szCs w:val="21"/>
                <w:vertAlign w:val="superscript"/>
              </w:rPr>
              <w:t>-</w:t>
            </w:r>
          </w:p>
        </w:tc>
        <w:tc>
          <w:tcPr>
            <w:tcW w:w="325" w:type="pct"/>
            <w:tcBorders>
              <w:top w:val="single" w:color="auto" w:sz="12" w:space="0"/>
              <w:left w:val="single" w:color="auto" w:sz="4" w:space="0"/>
              <w:right w:val="single" w:color="auto" w:sz="4" w:space="0"/>
            </w:tcBorders>
            <w:noWrap/>
            <w:vAlign w:val="center"/>
          </w:tcPr>
          <w:p w14:paraId="3243734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Times New Roman"/>
                <w:color w:val="000000"/>
                <w:kern w:val="2"/>
                <w:sz w:val="21"/>
                <w:szCs w:val="21"/>
                <w:vertAlign w:val="superscript"/>
              </w:rPr>
            </w:pPr>
            <w:r>
              <w:rPr>
                <w:rFonts w:hint="eastAsia" w:ascii="Times New Roman"/>
                <w:color w:val="000000"/>
                <w:kern w:val="2"/>
                <w:sz w:val="21"/>
                <w:szCs w:val="21"/>
              </w:rPr>
              <w:t>Cl</w:t>
            </w:r>
            <w:r>
              <w:rPr>
                <w:rFonts w:hint="eastAsia" w:ascii="Times New Roman"/>
                <w:color w:val="000000"/>
                <w:kern w:val="2"/>
                <w:sz w:val="21"/>
                <w:szCs w:val="21"/>
                <w:vertAlign w:val="superscript"/>
              </w:rPr>
              <w:t>-</w:t>
            </w:r>
          </w:p>
        </w:tc>
        <w:tc>
          <w:tcPr>
            <w:tcW w:w="390" w:type="pct"/>
            <w:tcBorders>
              <w:top w:val="single" w:color="auto" w:sz="12" w:space="0"/>
              <w:left w:val="single" w:color="auto" w:sz="4" w:space="0"/>
              <w:right w:val="single" w:color="auto" w:sz="4" w:space="0"/>
            </w:tcBorders>
            <w:noWrap/>
            <w:vAlign w:val="center"/>
          </w:tcPr>
          <w:p w14:paraId="7626A57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SO</w:t>
            </w:r>
            <w:r>
              <w:rPr>
                <w:rFonts w:hint="eastAsia" w:ascii="Times New Roman"/>
                <w:color w:val="000000"/>
                <w:kern w:val="2"/>
                <w:sz w:val="21"/>
                <w:szCs w:val="21"/>
                <w:vertAlign w:val="subscript"/>
              </w:rPr>
              <w:t>4</w:t>
            </w:r>
            <w:r>
              <w:rPr>
                <w:rFonts w:hint="eastAsia" w:ascii="Times New Roman"/>
                <w:color w:val="000000"/>
                <w:kern w:val="2"/>
                <w:sz w:val="21"/>
                <w:szCs w:val="21"/>
                <w:vertAlign w:val="superscript"/>
              </w:rPr>
              <w:t>2-</w:t>
            </w:r>
          </w:p>
        </w:tc>
        <w:tc>
          <w:tcPr>
            <w:tcW w:w="319" w:type="pct"/>
            <w:tcBorders>
              <w:top w:val="single" w:color="auto" w:sz="12" w:space="0"/>
              <w:left w:val="single" w:color="auto" w:sz="4" w:space="0"/>
              <w:bottom w:val="single" w:color="auto" w:sz="4" w:space="0"/>
              <w:right w:val="single" w:color="auto" w:sz="4" w:space="0"/>
            </w:tcBorders>
            <w:noWrap w:val="0"/>
            <w:vAlign w:val="center"/>
          </w:tcPr>
          <w:p w14:paraId="416CF4F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阳离子合计</w:t>
            </w:r>
          </w:p>
        </w:tc>
        <w:tc>
          <w:tcPr>
            <w:tcW w:w="412" w:type="pct"/>
            <w:tcBorders>
              <w:top w:val="single" w:color="auto" w:sz="12" w:space="0"/>
              <w:left w:val="single" w:color="auto" w:sz="4" w:space="0"/>
              <w:right w:val="single" w:color="auto" w:sz="4" w:space="0"/>
            </w:tcBorders>
            <w:noWrap w:val="0"/>
            <w:vAlign w:val="center"/>
          </w:tcPr>
          <w:p w14:paraId="6662821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阴离子</w:t>
            </w:r>
          </w:p>
          <w:p w14:paraId="0B7A494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合计</w:t>
            </w:r>
          </w:p>
        </w:tc>
        <w:tc>
          <w:tcPr>
            <w:tcW w:w="538" w:type="pct"/>
            <w:tcBorders>
              <w:top w:val="single" w:color="auto" w:sz="12" w:space="0"/>
              <w:left w:val="single" w:color="auto" w:sz="4" w:space="0"/>
              <w:right w:val="nil"/>
            </w:tcBorders>
            <w:noWrap w:val="0"/>
            <w:vAlign w:val="center"/>
          </w:tcPr>
          <w:p w14:paraId="51B294F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相对</w:t>
            </w:r>
          </w:p>
          <w:p w14:paraId="3D040ED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误差</w:t>
            </w:r>
          </w:p>
        </w:tc>
      </w:tr>
      <w:tr w14:paraId="71439CB5">
        <w:tblPrEx>
          <w:tblCellMar>
            <w:top w:w="0" w:type="dxa"/>
            <w:left w:w="108" w:type="dxa"/>
            <w:bottom w:w="0" w:type="dxa"/>
            <w:right w:w="108" w:type="dxa"/>
          </w:tblCellMar>
        </w:tblPrEx>
        <w:trPr>
          <w:trHeight w:val="285" w:hRule="atLeast"/>
        </w:trPr>
        <w:tc>
          <w:tcPr>
            <w:tcW w:w="344" w:type="pct"/>
            <w:tcBorders>
              <w:top w:val="single" w:color="auto" w:sz="4" w:space="0"/>
              <w:left w:val="nil"/>
              <w:bottom w:val="single" w:color="auto" w:sz="4" w:space="0"/>
              <w:right w:val="single" w:color="auto" w:sz="4" w:space="0"/>
            </w:tcBorders>
            <w:noWrap/>
            <w:vAlign w:val="center"/>
          </w:tcPr>
          <w:p w14:paraId="781DE58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1#</w:t>
            </w:r>
          </w:p>
        </w:tc>
        <w:tc>
          <w:tcPr>
            <w:tcW w:w="471" w:type="pct"/>
            <w:tcBorders>
              <w:top w:val="single" w:color="auto" w:sz="4" w:space="0"/>
              <w:left w:val="single" w:color="auto" w:sz="4" w:space="0"/>
              <w:bottom w:val="single" w:color="auto" w:sz="4" w:space="0"/>
              <w:right w:val="single" w:color="auto" w:sz="4" w:space="0"/>
            </w:tcBorders>
            <w:noWrap/>
            <w:vAlign w:val="center"/>
          </w:tcPr>
          <w:p w14:paraId="3D1E558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毫克当量mEq/L</w:t>
            </w:r>
          </w:p>
        </w:tc>
        <w:tc>
          <w:tcPr>
            <w:tcW w:w="325" w:type="pct"/>
            <w:tcBorders>
              <w:top w:val="single" w:color="auto" w:sz="4" w:space="0"/>
              <w:left w:val="single" w:color="auto" w:sz="4" w:space="0"/>
              <w:bottom w:val="single" w:color="auto" w:sz="4" w:space="0"/>
              <w:right w:val="single" w:color="auto" w:sz="4" w:space="0"/>
            </w:tcBorders>
            <w:noWrap/>
            <w:vAlign w:val="center"/>
          </w:tcPr>
          <w:p w14:paraId="3A1D55B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0.03</w:t>
            </w:r>
          </w:p>
        </w:tc>
        <w:tc>
          <w:tcPr>
            <w:tcW w:w="341" w:type="pct"/>
            <w:tcBorders>
              <w:top w:val="single" w:color="auto" w:sz="4" w:space="0"/>
              <w:left w:val="single" w:color="auto" w:sz="4" w:space="0"/>
              <w:bottom w:val="single" w:color="auto" w:sz="4" w:space="0"/>
              <w:right w:val="single" w:color="auto" w:sz="4" w:space="0"/>
            </w:tcBorders>
            <w:noWrap/>
            <w:vAlign w:val="center"/>
          </w:tcPr>
          <w:p w14:paraId="2220D96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2.49</w:t>
            </w:r>
          </w:p>
        </w:tc>
        <w:tc>
          <w:tcPr>
            <w:tcW w:w="357" w:type="pct"/>
            <w:tcBorders>
              <w:top w:val="single" w:color="auto" w:sz="4" w:space="0"/>
              <w:left w:val="single" w:color="auto" w:sz="4" w:space="0"/>
              <w:bottom w:val="single" w:color="auto" w:sz="4" w:space="0"/>
              <w:right w:val="single" w:color="auto" w:sz="4" w:space="0"/>
            </w:tcBorders>
            <w:noWrap/>
            <w:vAlign w:val="center"/>
          </w:tcPr>
          <w:p w14:paraId="028045E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2.01</w:t>
            </w:r>
          </w:p>
        </w:tc>
        <w:tc>
          <w:tcPr>
            <w:tcW w:w="350" w:type="pct"/>
            <w:tcBorders>
              <w:top w:val="single" w:color="auto" w:sz="4" w:space="0"/>
              <w:left w:val="single" w:color="auto" w:sz="4" w:space="0"/>
              <w:bottom w:val="single" w:color="auto" w:sz="4" w:space="0"/>
              <w:right w:val="single" w:color="auto" w:sz="4" w:space="0"/>
            </w:tcBorders>
            <w:noWrap/>
            <w:vAlign w:val="center"/>
          </w:tcPr>
          <w:p w14:paraId="0EA5225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2.51</w:t>
            </w:r>
          </w:p>
        </w:tc>
        <w:tc>
          <w:tcPr>
            <w:tcW w:w="357" w:type="pct"/>
            <w:tcBorders>
              <w:top w:val="single" w:color="auto" w:sz="4" w:space="0"/>
              <w:left w:val="single" w:color="auto" w:sz="4" w:space="0"/>
              <w:bottom w:val="single" w:color="auto" w:sz="4" w:space="0"/>
              <w:right w:val="single" w:color="auto" w:sz="4" w:space="0"/>
            </w:tcBorders>
            <w:noWrap/>
            <w:vAlign w:val="center"/>
          </w:tcPr>
          <w:p w14:paraId="3D1D707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0.00</w:t>
            </w:r>
          </w:p>
        </w:tc>
        <w:tc>
          <w:tcPr>
            <w:tcW w:w="464" w:type="pct"/>
            <w:tcBorders>
              <w:top w:val="single" w:color="auto" w:sz="4" w:space="0"/>
              <w:left w:val="single" w:color="auto" w:sz="4" w:space="0"/>
              <w:bottom w:val="single" w:color="auto" w:sz="4" w:space="0"/>
              <w:right w:val="single" w:color="auto" w:sz="4" w:space="0"/>
            </w:tcBorders>
            <w:noWrap/>
            <w:vAlign w:val="center"/>
          </w:tcPr>
          <w:p w14:paraId="7710412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1.59</w:t>
            </w:r>
          </w:p>
        </w:tc>
        <w:tc>
          <w:tcPr>
            <w:tcW w:w="325" w:type="pct"/>
            <w:tcBorders>
              <w:top w:val="single" w:color="auto" w:sz="4" w:space="0"/>
              <w:left w:val="single" w:color="auto" w:sz="4" w:space="0"/>
              <w:bottom w:val="single" w:color="auto" w:sz="4" w:space="0"/>
              <w:right w:val="single" w:color="auto" w:sz="4" w:space="0"/>
            </w:tcBorders>
            <w:noWrap/>
            <w:vAlign w:val="center"/>
          </w:tcPr>
          <w:p w14:paraId="0578C35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3.38</w:t>
            </w:r>
          </w:p>
        </w:tc>
        <w:tc>
          <w:tcPr>
            <w:tcW w:w="390" w:type="pct"/>
            <w:tcBorders>
              <w:top w:val="single" w:color="auto" w:sz="4" w:space="0"/>
              <w:left w:val="single" w:color="auto" w:sz="4" w:space="0"/>
              <w:bottom w:val="single" w:color="auto" w:sz="4" w:space="0"/>
              <w:right w:val="single" w:color="auto" w:sz="4" w:space="0"/>
            </w:tcBorders>
            <w:noWrap/>
            <w:vAlign w:val="center"/>
          </w:tcPr>
          <w:p w14:paraId="01E83D7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1.85</w:t>
            </w:r>
          </w:p>
        </w:tc>
        <w:tc>
          <w:tcPr>
            <w:tcW w:w="319" w:type="pct"/>
            <w:tcBorders>
              <w:top w:val="single" w:color="auto" w:sz="4" w:space="0"/>
              <w:left w:val="single" w:color="auto" w:sz="4" w:space="0"/>
              <w:bottom w:val="single" w:color="auto" w:sz="4" w:space="0"/>
              <w:right w:val="single" w:color="auto" w:sz="4" w:space="0"/>
            </w:tcBorders>
            <w:noWrap/>
            <w:vAlign w:val="center"/>
          </w:tcPr>
          <w:p w14:paraId="4974B32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7.03</w:t>
            </w:r>
          </w:p>
        </w:tc>
        <w:tc>
          <w:tcPr>
            <w:tcW w:w="412" w:type="pct"/>
            <w:tcBorders>
              <w:top w:val="single" w:color="auto" w:sz="4" w:space="0"/>
              <w:left w:val="single" w:color="auto" w:sz="4" w:space="0"/>
              <w:bottom w:val="single" w:color="auto" w:sz="4" w:space="0"/>
              <w:right w:val="single" w:color="auto" w:sz="4" w:space="0"/>
            </w:tcBorders>
            <w:noWrap/>
            <w:vAlign w:val="center"/>
          </w:tcPr>
          <w:p w14:paraId="783D7F8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6.82</w:t>
            </w:r>
          </w:p>
        </w:tc>
        <w:tc>
          <w:tcPr>
            <w:tcW w:w="538" w:type="pct"/>
            <w:tcBorders>
              <w:top w:val="single" w:color="auto" w:sz="4" w:space="0"/>
              <w:left w:val="single" w:color="auto" w:sz="4" w:space="0"/>
              <w:bottom w:val="single" w:color="auto" w:sz="4" w:space="0"/>
              <w:right w:val="nil"/>
            </w:tcBorders>
            <w:noWrap/>
            <w:vAlign w:val="center"/>
          </w:tcPr>
          <w:p w14:paraId="10A697AA">
            <w:pPr>
              <w:keepNext w:val="0"/>
              <w:keepLines w:val="0"/>
              <w:pageBreakBefore w:val="0"/>
              <w:widowControl w:val="0"/>
              <w:kinsoku/>
              <w:wordWrap/>
              <w:overflowPunct/>
              <w:topLinePunct w:val="0"/>
              <w:autoSpaceDE/>
              <w:autoSpaceDN/>
              <w:bidi/>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1.464451744</w:t>
            </w:r>
          </w:p>
        </w:tc>
      </w:tr>
      <w:tr w14:paraId="584A4F5B">
        <w:tblPrEx>
          <w:tblCellMar>
            <w:top w:w="0" w:type="dxa"/>
            <w:left w:w="108" w:type="dxa"/>
            <w:bottom w:w="0" w:type="dxa"/>
            <w:right w:w="108" w:type="dxa"/>
          </w:tblCellMar>
        </w:tblPrEx>
        <w:trPr>
          <w:trHeight w:val="285" w:hRule="atLeast"/>
        </w:trPr>
        <w:tc>
          <w:tcPr>
            <w:tcW w:w="344" w:type="pct"/>
            <w:tcBorders>
              <w:top w:val="single" w:color="auto" w:sz="4" w:space="0"/>
              <w:left w:val="nil"/>
              <w:bottom w:val="single" w:color="auto" w:sz="4" w:space="0"/>
              <w:right w:val="single" w:color="auto" w:sz="4" w:space="0"/>
            </w:tcBorders>
            <w:noWrap/>
            <w:vAlign w:val="center"/>
          </w:tcPr>
          <w:p w14:paraId="14A66BD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2#</w:t>
            </w:r>
          </w:p>
        </w:tc>
        <w:tc>
          <w:tcPr>
            <w:tcW w:w="471" w:type="pct"/>
            <w:tcBorders>
              <w:top w:val="single" w:color="auto" w:sz="4" w:space="0"/>
              <w:left w:val="single" w:color="auto" w:sz="4" w:space="0"/>
              <w:bottom w:val="single" w:color="auto" w:sz="4" w:space="0"/>
              <w:right w:val="single" w:color="auto" w:sz="4" w:space="0"/>
            </w:tcBorders>
            <w:noWrap/>
            <w:vAlign w:val="center"/>
          </w:tcPr>
          <w:p w14:paraId="55C259A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毫克当量mEq/L</w:t>
            </w:r>
          </w:p>
        </w:tc>
        <w:tc>
          <w:tcPr>
            <w:tcW w:w="325" w:type="pct"/>
            <w:tcBorders>
              <w:top w:val="single" w:color="auto" w:sz="4" w:space="0"/>
              <w:left w:val="single" w:color="auto" w:sz="4" w:space="0"/>
              <w:bottom w:val="single" w:color="auto" w:sz="4" w:space="0"/>
              <w:right w:val="single" w:color="auto" w:sz="4" w:space="0"/>
            </w:tcBorders>
            <w:noWrap/>
            <w:vAlign w:val="center"/>
          </w:tcPr>
          <w:p w14:paraId="0B8EA8C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0.04</w:t>
            </w:r>
          </w:p>
        </w:tc>
        <w:tc>
          <w:tcPr>
            <w:tcW w:w="341" w:type="pct"/>
            <w:tcBorders>
              <w:top w:val="single" w:color="auto" w:sz="4" w:space="0"/>
              <w:left w:val="single" w:color="auto" w:sz="4" w:space="0"/>
              <w:bottom w:val="single" w:color="auto" w:sz="4" w:space="0"/>
              <w:right w:val="single" w:color="auto" w:sz="4" w:space="0"/>
            </w:tcBorders>
            <w:noWrap/>
            <w:vAlign w:val="center"/>
          </w:tcPr>
          <w:p w14:paraId="24263CF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2.49</w:t>
            </w:r>
          </w:p>
        </w:tc>
        <w:tc>
          <w:tcPr>
            <w:tcW w:w="357" w:type="pct"/>
            <w:tcBorders>
              <w:top w:val="single" w:color="auto" w:sz="4" w:space="0"/>
              <w:left w:val="single" w:color="auto" w:sz="4" w:space="0"/>
              <w:bottom w:val="single" w:color="auto" w:sz="4" w:space="0"/>
              <w:right w:val="single" w:color="auto" w:sz="4" w:space="0"/>
            </w:tcBorders>
            <w:noWrap/>
            <w:vAlign w:val="center"/>
          </w:tcPr>
          <w:p w14:paraId="771DA02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2.01</w:t>
            </w:r>
          </w:p>
        </w:tc>
        <w:tc>
          <w:tcPr>
            <w:tcW w:w="350" w:type="pct"/>
            <w:tcBorders>
              <w:top w:val="single" w:color="auto" w:sz="4" w:space="0"/>
              <w:left w:val="single" w:color="auto" w:sz="4" w:space="0"/>
              <w:bottom w:val="single" w:color="auto" w:sz="4" w:space="0"/>
              <w:right w:val="single" w:color="auto" w:sz="4" w:space="0"/>
            </w:tcBorders>
            <w:noWrap/>
            <w:vAlign w:val="center"/>
          </w:tcPr>
          <w:p w14:paraId="660607E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2.13</w:t>
            </w:r>
          </w:p>
        </w:tc>
        <w:tc>
          <w:tcPr>
            <w:tcW w:w="357" w:type="pct"/>
            <w:tcBorders>
              <w:top w:val="single" w:color="auto" w:sz="4" w:space="0"/>
              <w:left w:val="single" w:color="auto" w:sz="4" w:space="0"/>
              <w:bottom w:val="single" w:color="auto" w:sz="4" w:space="0"/>
              <w:right w:val="single" w:color="auto" w:sz="4" w:space="0"/>
            </w:tcBorders>
            <w:noWrap/>
            <w:vAlign w:val="center"/>
          </w:tcPr>
          <w:p w14:paraId="002EB25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0.00</w:t>
            </w:r>
          </w:p>
        </w:tc>
        <w:tc>
          <w:tcPr>
            <w:tcW w:w="464" w:type="pct"/>
            <w:tcBorders>
              <w:top w:val="single" w:color="auto" w:sz="4" w:space="0"/>
              <w:left w:val="single" w:color="auto" w:sz="4" w:space="0"/>
              <w:bottom w:val="single" w:color="auto" w:sz="4" w:space="0"/>
              <w:right w:val="single" w:color="auto" w:sz="4" w:space="0"/>
            </w:tcBorders>
            <w:noWrap/>
            <w:vAlign w:val="center"/>
          </w:tcPr>
          <w:p w14:paraId="4D59259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1.66</w:t>
            </w:r>
          </w:p>
        </w:tc>
        <w:tc>
          <w:tcPr>
            <w:tcW w:w="325" w:type="pct"/>
            <w:tcBorders>
              <w:top w:val="single" w:color="auto" w:sz="4" w:space="0"/>
              <w:left w:val="single" w:color="auto" w:sz="4" w:space="0"/>
              <w:bottom w:val="single" w:color="auto" w:sz="4" w:space="0"/>
              <w:right w:val="single" w:color="auto" w:sz="4" w:space="0"/>
            </w:tcBorders>
            <w:noWrap/>
            <w:vAlign w:val="center"/>
          </w:tcPr>
          <w:p w14:paraId="194E522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3.66</w:t>
            </w:r>
          </w:p>
        </w:tc>
        <w:tc>
          <w:tcPr>
            <w:tcW w:w="390" w:type="pct"/>
            <w:tcBorders>
              <w:top w:val="single" w:color="auto" w:sz="4" w:space="0"/>
              <w:left w:val="single" w:color="auto" w:sz="4" w:space="0"/>
              <w:bottom w:val="single" w:color="auto" w:sz="4" w:space="0"/>
              <w:right w:val="single" w:color="auto" w:sz="4" w:space="0"/>
            </w:tcBorders>
            <w:noWrap/>
            <w:vAlign w:val="center"/>
          </w:tcPr>
          <w:p w14:paraId="7EBC25A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1.92</w:t>
            </w:r>
          </w:p>
        </w:tc>
        <w:tc>
          <w:tcPr>
            <w:tcW w:w="319" w:type="pct"/>
            <w:tcBorders>
              <w:top w:val="single" w:color="auto" w:sz="4" w:space="0"/>
              <w:left w:val="single" w:color="auto" w:sz="4" w:space="0"/>
              <w:bottom w:val="single" w:color="auto" w:sz="4" w:space="0"/>
              <w:right w:val="single" w:color="auto" w:sz="4" w:space="0"/>
            </w:tcBorders>
            <w:noWrap/>
            <w:vAlign w:val="center"/>
          </w:tcPr>
          <w:p w14:paraId="722D104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6.65</w:t>
            </w:r>
          </w:p>
        </w:tc>
        <w:tc>
          <w:tcPr>
            <w:tcW w:w="412" w:type="pct"/>
            <w:tcBorders>
              <w:top w:val="single" w:color="auto" w:sz="4" w:space="0"/>
              <w:left w:val="single" w:color="auto" w:sz="4" w:space="0"/>
              <w:bottom w:val="single" w:color="auto" w:sz="4" w:space="0"/>
              <w:right w:val="single" w:color="auto" w:sz="4" w:space="0"/>
            </w:tcBorders>
            <w:noWrap/>
            <w:vAlign w:val="center"/>
          </w:tcPr>
          <w:p w14:paraId="23A816C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7.23</w:t>
            </w:r>
          </w:p>
        </w:tc>
        <w:tc>
          <w:tcPr>
            <w:tcW w:w="538" w:type="pct"/>
            <w:tcBorders>
              <w:top w:val="single" w:color="auto" w:sz="4" w:space="0"/>
              <w:left w:val="single" w:color="auto" w:sz="4" w:space="0"/>
              <w:bottom w:val="single" w:color="auto" w:sz="4" w:space="0"/>
              <w:right w:val="nil"/>
            </w:tcBorders>
            <w:noWrap/>
            <w:vAlign w:val="center"/>
          </w:tcPr>
          <w:p w14:paraId="3E366A36">
            <w:pPr>
              <w:keepNext w:val="0"/>
              <w:keepLines w:val="0"/>
              <w:pageBreakBefore w:val="0"/>
              <w:widowControl w:val="0"/>
              <w:kinsoku/>
              <w:wordWrap/>
              <w:overflowPunct/>
              <w:topLinePunct w:val="0"/>
              <w:autoSpaceDE/>
              <w:autoSpaceDN/>
              <w:bidi/>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-4.193231657</w:t>
            </w:r>
          </w:p>
        </w:tc>
      </w:tr>
      <w:tr w14:paraId="64C65751">
        <w:tblPrEx>
          <w:tblCellMar>
            <w:top w:w="0" w:type="dxa"/>
            <w:left w:w="108" w:type="dxa"/>
            <w:bottom w:w="0" w:type="dxa"/>
            <w:right w:w="108" w:type="dxa"/>
          </w:tblCellMar>
        </w:tblPrEx>
        <w:trPr>
          <w:trHeight w:val="285" w:hRule="atLeast"/>
        </w:trPr>
        <w:tc>
          <w:tcPr>
            <w:tcW w:w="344" w:type="pct"/>
            <w:tcBorders>
              <w:top w:val="single" w:color="auto" w:sz="4" w:space="0"/>
              <w:left w:val="nil"/>
              <w:bottom w:val="single" w:color="auto" w:sz="4" w:space="0"/>
              <w:right w:val="single" w:color="auto" w:sz="4" w:space="0"/>
            </w:tcBorders>
            <w:noWrap/>
            <w:vAlign w:val="center"/>
          </w:tcPr>
          <w:p w14:paraId="5BF0C6F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3#</w:t>
            </w:r>
          </w:p>
        </w:tc>
        <w:tc>
          <w:tcPr>
            <w:tcW w:w="471" w:type="pct"/>
            <w:tcBorders>
              <w:top w:val="single" w:color="auto" w:sz="4" w:space="0"/>
              <w:left w:val="single" w:color="auto" w:sz="4" w:space="0"/>
              <w:bottom w:val="single" w:color="auto" w:sz="4" w:space="0"/>
              <w:right w:val="single" w:color="auto" w:sz="4" w:space="0"/>
            </w:tcBorders>
            <w:noWrap/>
            <w:vAlign w:val="center"/>
          </w:tcPr>
          <w:p w14:paraId="61B86A7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color w:val="000000"/>
                <w:kern w:val="2"/>
                <w:sz w:val="21"/>
                <w:szCs w:val="21"/>
              </w:rPr>
            </w:pPr>
            <w:r>
              <w:rPr>
                <w:rFonts w:hint="eastAsia" w:ascii="Times New Roman"/>
                <w:color w:val="000000"/>
                <w:kern w:val="2"/>
                <w:sz w:val="21"/>
                <w:szCs w:val="21"/>
              </w:rPr>
              <w:t>毫克当量mEq/L</w:t>
            </w:r>
          </w:p>
        </w:tc>
        <w:tc>
          <w:tcPr>
            <w:tcW w:w="325" w:type="pct"/>
            <w:tcBorders>
              <w:top w:val="single" w:color="auto" w:sz="4" w:space="0"/>
              <w:left w:val="single" w:color="auto" w:sz="4" w:space="0"/>
              <w:bottom w:val="single" w:color="auto" w:sz="4" w:space="0"/>
              <w:right w:val="single" w:color="auto" w:sz="4" w:space="0"/>
            </w:tcBorders>
            <w:noWrap/>
            <w:vAlign w:val="center"/>
          </w:tcPr>
          <w:p w14:paraId="3657440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0.03</w:t>
            </w:r>
          </w:p>
        </w:tc>
        <w:tc>
          <w:tcPr>
            <w:tcW w:w="341" w:type="pct"/>
            <w:tcBorders>
              <w:top w:val="single" w:color="auto" w:sz="4" w:space="0"/>
              <w:left w:val="single" w:color="auto" w:sz="4" w:space="0"/>
              <w:bottom w:val="single" w:color="auto" w:sz="4" w:space="0"/>
              <w:right w:val="single" w:color="auto" w:sz="4" w:space="0"/>
            </w:tcBorders>
            <w:noWrap/>
            <w:vAlign w:val="center"/>
          </w:tcPr>
          <w:p w14:paraId="27D632E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3.97</w:t>
            </w:r>
          </w:p>
        </w:tc>
        <w:tc>
          <w:tcPr>
            <w:tcW w:w="357" w:type="pct"/>
            <w:tcBorders>
              <w:top w:val="single" w:color="auto" w:sz="4" w:space="0"/>
              <w:left w:val="single" w:color="auto" w:sz="4" w:space="0"/>
              <w:bottom w:val="single" w:color="auto" w:sz="4" w:space="0"/>
              <w:right w:val="single" w:color="auto" w:sz="4" w:space="0"/>
            </w:tcBorders>
            <w:noWrap/>
            <w:vAlign w:val="center"/>
          </w:tcPr>
          <w:p w14:paraId="7100AC4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0.94</w:t>
            </w:r>
          </w:p>
        </w:tc>
        <w:tc>
          <w:tcPr>
            <w:tcW w:w="350" w:type="pct"/>
            <w:tcBorders>
              <w:top w:val="single" w:color="auto" w:sz="4" w:space="0"/>
              <w:left w:val="single" w:color="auto" w:sz="4" w:space="0"/>
              <w:bottom w:val="single" w:color="auto" w:sz="4" w:space="0"/>
              <w:right w:val="single" w:color="auto" w:sz="4" w:space="0"/>
            </w:tcBorders>
            <w:noWrap/>
            <w:vAlign w:val="center"/>
          </w:tcPr>
          <w:p w14:paraId="57844C8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2.50</w:t>
            </w:r>
          </w:p>
        </w:tc>
        <w:tc>
          <w:tcPr>
            <w:tcW w:w="357" w:type="pct"/>
            <w:tcBorders>
              <w:top w:val="single" w:color="auto" w:sz="4" w:space="0"/>
              <w:left w:val="single" w:color="auto" w:sz="4" w:space="0"/>
              <w:bottom w:val="single" w:color="auto" w:sz="4" w:space="0"/>
              <w:right w:val="single" w:color="auto" w:sz="4" w:space="0"/>
            </w:tcBorders>
            <w:noWrap/>
            <w:vAlign w:val="center"/>
          </w:tcPr>
          <w:p w14:paraId="3396DD1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0.00</w:t>
            </w:r>
          </w:p>
        </w:tc>
        <w:tc>
          <w:tcPr>
            <w:tcW w:w="464" w:type="pct"/>
            <w:tcBorders>
              <w:top w:val="single" w:color="auto" w:sz="4" w:space="0"/>
              <w:left w:val="single" w:color="auto" w:sz="4" w:space="0"/>
              <w:bottom w:val="single" w:color="auto" w:sz="4" w:space="0"/>
              <w:right w:val="single" w:color="auto" w:sz="4" w:space="0"/>
            </w:tcBorders>
            <w:noWrap/>
            <w:vAlign w:val="center"/>
          </w:tcPr>
          <w:p w14:paraId="3FD11A6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1.69</w:t>
            </w:r>
          </w:p>
        </w:tc>
        <w:tc>
          <w:tcPr>
            <w:tcW w:w="325" w:type="pct"/>
            <w:tcBorders>
              <w:top w:val="single" w:color="auto" w:sz="4" w:space="0"/>
              <w:left w:val="single" w:color="auto" w:sz="4" w:space="0"/>
              <w:bottom w:val="single" w:color="auto" w:sz="4" w:space="0"/>
              <w:right w:val="single" w:color="auto" w:sz="4" w:space="0"/>
            </w:tcBorders>
            <w:noWrap/>
            <w:vAlign w:val="center"/>
          </w:tcPr>
          <w:p w14:paraId="17DE1B4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3.52</w:t>
            </w:r>
          </w:p>
        </w:tc>
        <w:tc>
          <w:tcPr>
            <w:tcW w:w="390" w:type="pct"/>
            <w:tcBorders>
              <w:top w:val="single" w:color="auto" w:sz="4" w:space="0"/>
              <w:left w:val="single" w:color="auto" w:sz="4" w:space="0"/>
              <w:bottom w:val="single" w:color="auto" w:sz="4" w:space="0"/>
              <w:right w:val="single" w:color="auto" w:sz="4" w:space="0"/>
            </w:tcBorders>
            <w:noWrap/>
            <w:vAlign w:val="center"/>
          </w:tcPr>
          <w:p w14:paraId="606B947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1.98</w:t>
            </w:r>
          </w:p>
        </w:tc>
        <w:tc>
          <w:tcPr>
            <w:tcW w:w="319" w:type="pct"/>
            <w:tcBorders>
              <w:top w:val="single" w:color="auto" w:sz="4" w:space="0"/>
              <w:left w:val="single" w:color="auto" w:sz="4" w:space="0"/>
              <w:bottom w:val="single" w:color="auto" w:sz="4" w:space="0"/>
              <w:right w:val="single" w:color="auto" w:sz="4" w:space="0"/>
            </w:tcBorders>
            <w:noWrap/>
            <w:vAlign w:val="center"/>
          </w:tcPr>
          <w:p w14:paraId="43AB572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7.44</w:t>
            </w:r>
          </w:p>
        </w:tc>
        <w:tc>
          <w:tcPr>
            <w:tcW w:w="412" w:type="pct"/>
            <w:tcBorders>
              <w:top w:val="single" w:color="auto" w:sz="4" w:space="0"/>
              <w:left w:val="single" w:color="auto" w:sz="4" w:space="0"/>
              <w:bottom w:val="single" w:color="auto" w:sz="4" w:space="0"/>
              <w:right w:val="single" w:color="auto" w:sz="4" w:space="0"/>
            </w:tcBorders>
            <w:noWrap/>
            <w:vAlign w:val="center"/>
          </w:tcPr>
          <w:p w14:paraId="7B0D1FD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7.19</w:t>
            </w:r>
          </w:p>
        </w:tc>
        <w:tc>
          <w:tcPr>
            <w:tcW w:w="538" w:type="pct"/>
            <w:tcBorders>
              <w:top w:val="single" w:color="auto" w:sz="4" w:space="0"/>
              <w:left w:val="single" w:color="auto" w:sz="4" w:space="0"/>
              <w:bottom w:val="single" w:color="auto" w:sz="4" w:space="0"/>
              <w:right w:val="nil"/>
            </w:tcBorders>
            <w:noWrap/>
            <w:vAlign w:val="center"/>
          </w:tcPr>
          <w:p w14:paraId="408D53DF">
            <w:pPr>
              <w:keepNext w:val="0"/>
              <w:keepLines w:val="0"/>
              <w:pageBreakBefore w:val="0"/>
              <w:widowControl w:val="0"/>
              <w:kinsoku/>
              <w:wordWrap/>
              <w:overflowPunct/>
              <w:topLinePunct w:val="0"/>
              <w:autoSpaceDE/>
              <w:autoSpaceDN/>
              <w:bidi/>
              <w:adjustRightInd w:val="0"/>
              <w:snapToGrid w:val="0"/>
              <w:spacing w:line="240" w:lineRule="auto"/>
              <w:ind w:left="0" w:right="0" w:firstLine="0" w:firstLineChars="0"/>
              <w:jc w:val="center"/>
              <w:textAlignment w:val="auto"/>
              <w:rPr>
                <w:rFonts w:hint="eastAsia" w:ascii="Times New Roman" w:hAnsi="Times New Roman" w:eastAsia="宋体"/>
                <w:color w:val="000000"/>
                <w:kern w:val="2"/>
                <w:sz w:val="21"/>
                <w:szCs w:val="21"/>
              </w:rPr>
            </w:pPr>
            <w:r>
              <w:rPr>
                <w:rFonts w:hint="eastAsia" w:ascii="Times New Roman" w:hAnsi="Times New Roman" w:eastAsia="宋体"/>
                <w:color w:val="000000"/>
                <w:kern w:val="2"/>
                <w:sz w:val="21"/>
                <w:szCs w:val="21"/>
                <w:lang w:val="en-US" w:eastAsia="zh-CN"/>
              </w:rPr>
              <w:t>1.68403126</w:t>
            </w:r>
          </w:p>
        </w:tc>
      </w:tr>
    </w:tbl>
    <w:p w14:paraId="068718A3">
      <w:pPr>
        <w:pStyle w:val="508"/>
        <w:spacing w:line="360" w:lineRule="auto"/>
        <w:ind w:firstLine="480"/>
        <w:rPr>
          <w:color w:val="000000"/>
          <w:szCs w:val="28"/>
        </w:rPr>
      </w:pPr>
      <w:r>
        <w:rPr>
          <w:color w:val="000000"/>
          <w:szCs w:val="28"/>
        </w:rPr>
        <w:t>对于一份监测报告，E小于等于5%可以认为监测报告数据更加准确。由分析结果可知，所以监测点阴阳离子平衡E值均在5%以内，故认为监测数据准确。</w:t>
      </w:r>
    </w:p>
    <w:p w14:paraId="2185C08D">
      <w:pPr>
        <w:pStyle w:val="85"/>
        <w:spacing w:line="360" w:lineRule="auto"/>
        <w:rPr>
          <w:bCs/>
          <w:color w:val="000000" w:themeColor="text1"/>
          <w14:textFill>
            <w14:solidFill>
              <w14:schemeClr w14:val="tx1"/>
            </w14:solidFill>
          </w14:textFill>
        </w:rPr>
      </w:pPr>
      <w:r>
        <w:rPr>
          <w:rFonts w:hint="eastAsia"/>
          <w:color w:val="000000" w:themeColor="text1"/>
          <w14:textFill>
            <w14:solidFill>
              <w14:schemeClr w14:val="tx1"/>
            </w14:solidFill>
          </w14:textFill>
        </w:rPr>
        <w:t>8、地下水环境质量现状评价结论</w:t>
      </w:r>
    </w:p>
    <w:p w14:paraId="7F618358">
      <w:pPr>
        <w:pStyle w:val="85"/>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由以上地下水标准指数分析可知，</w:t>
      </w:r>
      <w:r>
        <w:rPr>
          <w:color w:val="000000" w:themeColor="text1"/>
          <w14:textFill>
            <w14:solidFill>
              <w14:schemeClr w14:val="tx1"/>
            </w14:solidFill>
          </w14:textFill>
        </w:rPr>
        <w:t>评价区域内地下水个别点位锰超标，锰超标的原因是由于特殊的地下水水文地球化学原生还原环境造成的锰高背景环境状态。其余指标均满足《地下水质量标准》（GB/T14848-2017）Ⅲ类标准。</w:t>
      </w:r>
    </w:p>
    <w:p w14:paraId="5E1A8342">
      <w:pPr>
        <w:pStyle w:val="6"/>
        <w:rPr>
          <w:snapToGrid w:val="0"/>
          <w:color w:val="000000" w:themeColor="text1"/>
          <w14:textFill>
            <w14:solidFill>
              <w14:schemeClr w14:val="tx1"/>
            </w14:solidFill>
          </w14:textFill>
        </w:rPr>
      </w:pPr>
      <w:bookmarkStart w:id="237" w:name="_Toc3256"/>
      <w:r>
        <w:rPr>
          <w:rFonts w:hint="eastAsia"/>
          <w:snapToGrid w:val="0"/>
          <w:color w:val="000000" w:themeColor="text1"/>
          <w14:textFill>
            <w14:solidFill>
              <w14:schemeClr w14:val="tx1"/>
            </w14:solidFill>
          </w14:textFill>
        </w:rPr>
        <w:t>4.2.4声环境</w:t>
      </w:r>
      <w:r>
        <w:rPr>
          <w:snapToGrid w:val="0"/>
          <w:color w:val="000000" w:themeColor="text1"/>
          <w14:textFill>
            <w14:solidFill>
              <w14:schemeClr w14:val="tx1"/>
            </w14:solidFill>
          </w14:textFill>
        </w:rPr>
        <w:t>质量现状</w:t>
      </w:r>
      <w:bookmarkEnd w:id="237"/>
    </w:p>
    <w:p w14:paraId="3A2A757C">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本项目委托</w:t>
      </w:r>
      <w:r>
        <w:rPr>
          <w:rFonts w:hint="eastAsia"/>
          <w:snapToGrid w:val="0"/>
          <w:color w:val="000000" w:themeColor="text1"/>
          <w:kern w:val="0"/>
          <w:lang w:eastAsia="zh-CN"/>
          <w14:textFill>
            <w14:solidFill>
              <w14:schemeClr w14:val="tx1"/>
            </w14:solidFill>
          </w14:textFill>
        </w:rPr>
        <w:t>黑龙江凌霄环境监测有限公司</w:t>
      </w:r>
      <w:r>
        <w:rPr>
          <w:rFonts w:hint="eastAsia"/>
          <w:snapToGrid w:val="0"/>
          <w:color w:val="000000" w:themeColor="text1"/>
          <w:kern w:val="0"/>
          <w14:textFill>
            <w14:solidFill>
              <w14:schemeClr w14:val="tx1"/>
            </w14:solidFill>
          </w14:textFill>
        </w:rPr>
        <w:t>对项目所在区域声环境进行监测</w:t>
      </w:r>
      <w:r>
        <w:rPr>
          <w:snapToGrid w:val="0"/>
          <w:color w:val="000000" w:themeColor="text1"/>
          <w:kern w:val="0"/>
          <w14:textFill>
            <w14:solidFill>
              <w14:schemeClr w14:val="tx1"/>
            </w14:solidFill>
          </w14:textFill>
        </w:rPr>
        <w:t>。</w:t>
      </w:r>
    </w:p>
    <w:p w14:paraId="09E9EF37">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4.2.4.1声环境现状监测</w:t>
      </w:r>
    </w:p>
    <w:p w14:paraId="6E8ACA4C">
      <w:pPr>
        <w:adjustRightInd/>
        <w:snapToGrid/>
        <w:spacing w:line="500" w:lineRule="exact"/>
        <w:rPr>
          <w:snapToGrid w:val="0"/>
          <w:color w:val="000000" w:themeColor="text1"/>
          <w:kern w:val="0"/>
          <w:lang w:val="zh-CN"/>
          <w14:textFill>
            <w14:solidFill>
              <w14:schemeClr w14:val="tx1"/>
            </w14:solidFill>
          </w14:textFill>
        </w:rPr>
      </w:pPr>
      <w:r>
        <w:rPr>
          <w:rFonts w:hint="eastAsia"/>
          <w:snapToGrid w:val="0"/>
          <w:color w:val="000000" w:themeColor="text1"/>
          <w:kern w:val="0"/>
          <w:lang w:val="zh-CN"/>
          <w14:textFill>
            <w14:solidFill>
              <w14:schemeClr w14:val="tx1"/>
            </w14:solidFill>
          </w14:textFill>
        </w:rPr>
        <w:t>（1）</w:t>
      </w:r>
      <w:r>
        <w:rPr>
          <w:snapToGrid w:val="0"/>
          <w:color w:val="000000" w:themeColor="text1"/>
          <w:kern w:val="0"/>
          <w:lang w:val="zh-CN"/>
          <w14:textFill>
            <w14:solidFill>
              <w14:schemeClr w14:val="tx1"/>
            </w14:solidFill>
          </w14:textFill>
        </w:rPr>
        <w:t>监测点位</w:t>
      </w:r>
    </w:p>
    <w:p w14:paraId="5D7FC416">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本项目声环境现状监测点位布置具体见表4-2-1</w:t>
      </w:r>
      <w:r>
        <w:rPr>
          <w:rFonts w:hint="eastAsia"/>
          <w:snapToGrid w:val="0"/>
          <w:color w:val="000000" w:themeColor="text1"/>
          <w:kern w:val="0"/>
          <w:lang w:val="en-US" w:eastAsia="zh-CN"/>
          <w14:textFill>
            <w14:solidFill>
              <w14:schemeClr w14:val="tx1"/>
            </w14:solidFill>
          </w14:textFill>
        </w:rPr>
        <w:t>7</w:t>
      </w:r>
      <w:r>
        <w:rPr>
          <w:snapToGrid w:val="0"/>
          <w:color w:val="000000" w:themeColor="text1"/>
          <w:kern w:val="0"/>
          <w14:textFill>
            <w14:solidFill>
              <w14:schemeClr w14:val="tx1"/>
            </w14:solidFill>
          </w14:textFill>
        </w:rPr>
        <w:t>。</w:t>
      </w:r>
    </w:p>
    <w:p w14:paraId="09927136">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eastAsia="黑体"/>
          <w:snapToGrid w:val="0"/>
          <w:color w:val="000000" w:themeColor="text1"/>
          <w:kern w:val="0"/>
          <w:lang w:val="zh-CN" w:eastAsia="zh-CN"/>
          <w14:textFill>
            <w14:solidFill>
              <w14:schemeClr w14:val="tx1"/>
            </w14:solidFill>
          </w14:textFill>
        </w:rPr>
        <w:t>表4-2-1</w:t>
      </w:r>
      <w:r>
        <w:rPr>
          <w:rFonts w:hint="eastAsia" w:eastAsia="黑体"/>
          <w:snapToGrid w:val="0"/>
          <w:color w:val="000000" w:themeColor="text1"/>
          <w:kern w:val="0"/>
          <w:lang w:val="en-US" w:eastAsia="zh-CN"/>
          <w14:textFill>
            <w14:solidFill>
              <w14:schemeClr w14:val="tx1"/>
            </w14:solidFill>
          </w14:textFill>
        </w:rPr>
        <w:t>7</w:t>
      </w:r>
      <w:r>
        <w:rPr>
          <w:rFonts w:eastAsia="黑体"/>
          <w:snapToGrid w:val="0"/>
          <w:color w:val="000000" w:themeColor="text1"/>
          <w:kern w:val="0"/>
          <w:lang w:val="zh-CN" w:eastAsia="zh-CN"/>
          <w14:textFill>
            <w14:solidFill>
              <w14:schemeClr w14:val="tx1"/>
            </w14:solidFill>
          </w14:textFill>
        </w:rPr>
        <w:t xml:space="preserve"> 声环境现状监测点位表</w:t>
      </w:r>
    </w:p>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826"/>
        <w:gridCol w:w="5486"/>
      </w:tblGrid>
      <w:tr w14:paraId="67C824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700" w:type="pct"/>
            <w:vAlign w:val="center"/>
          </w:tcPr>
          <w:p w14:paraId="520DE9B3">
            <w:pPr>
              <w:pStyle w:val="143"/>
              <w:rPr>
                <w:iCs/>
                <w:snapToGrid w:val="0"/>
                <w:color w:val="000000" w:themeColor="text1"/>
                <w:kern w:val="0"/>
                <w14:textFill>
                  <w14:solidFill>
                    <w14:schemeClr w14:val="tx1"/>
                  </w14:solidFill>
                </w14:textFill>
              </w:rPr>
            </w:pPr>
            <w:bookmarkStart w:id="238" w:name="_Hlk477208212"/>
            <w:r>
              <w:rPr>
                <w:rFonts w:hint="eastAsia"/>
                <w:snapToGrid w:val="0"/>
                <w:color w:val="000000" w:themeColor="text1"/>
                <w:kern w:val="0"/>
                <w14:textFill>
                  <w14:solidFill>
                    <w14:schemeClr w14:val="tx1"/>
                  </w14:solidFill>
                </w14:textFill>
              </w:rPr>
              <w:t>编号</w:t>
            </w:r>
          </w:p>
        </w:tc>
        <w:tc>
          <w:tcPr>
            <w:tcW w:w="3300" w:type="pct"/>
            <w:vAlign w:val="center"/>
          </w:tcPr>
          <w:p w14:paraId="7ACB63F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监测点位置</w:t>
            </w:r>
          </w:p>
        </w:tc>
      </w:tr>
      <w:bookmarkEnd w:id="238"/>
      <w:tr w14:paraId="6D0E0E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700" w:type="pct"/>
            <w:vAlign w:val="center"/>
          </w:tcPr>
          <w:p w14:paraId="041AD3B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3300" w:type="pct"/>
            <w:vAlign w:val="center"/>
          </w:tcPr>
          <w:p w14:paraId="14391602">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厂</w:t>
            </w:r>
            <w:r>
              <w:rPr>
                <w:snapToGrid w:val="0"/>
                <w:color w:val="000000" w:themeColor="text1"/>
                <w:kern w:val="0"/>
                <w14:textFill>
                  <w14:solidFill>
                    <w14:schemeClr w14:val="tx1"/>
                  </w14:solidFill>
                </w14:textFill>
              </w:rPr>
              <w:t>界东侧</w:t>
            </w:r>
          </w:p>
        </w:tc>
      </w:tr>
      <w:tr w14:paraId="1CB2DE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trPr>
        <w:tc>
          <w:tcPr>
            <w:tcW w:w="1700" w:type="pct"/>
            <w:vAlign w:val="center"/>
          </w:tcPr>
          <w:p w14:paraId="4F4506E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w:t>
            </w:r>
          </w:p>
        </w:tc>
        <w:tc>
          <w:tcPr>
            <w:tcW w:w="3300" w:type="pct"/>
            <w:vAlign w:val="center"/>
          </w:tcPr>
          <w:p w14:paraId="26260C4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厂界南侧</w:t>
            </w:r>
          </w:p>
        </w:tc>
      </w:tr>
      <w:tr w14:paraId="1517BC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0" w:type="pct"/>
            <w:vAlign w:val="center"/>
          </w:tcPr>
          <w:p w14:paraId="14FBCC1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w:t>
            </w:r>
          </w:p>
        </w:tc>
        <w:tc>
          <w:tcPr>
            <w:tcW w:w="3300" w:type="pct"/>
            <w:vAlign w:val="center"/>
          </w:tcPr>
          <w:p w14:paraId="1AD2692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厂界西侧</w:t>
            </w:r>
          </w:p>
        </w:tc>
      </w:tr>
      <w:tr w14:paraId="5DDB41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700" w:type="pct"/>
            <w:vAlign w:val="center"/>
          </w:tcPr>
          <w:p w14:paraId="4AA2A13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w:t>
            </w:r>
          </w:p>
        </w:tc>
        <w:tc>
          <w:tcPr>
            <w:tcW w:w="3300" w:type="pct"/>
            <w:vAlign w:val="center"/>
          </w:tcPr>
          <w:p w14:paraId="5C0F9BD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厂界北侧</w:t>
            </w:r>
          </w:p>
        </w:tc>
      </w:tr>
      <w:tr w14:paraId="478990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700" w:type="pct"/>
            <w:vAlign w:val="center"/>
          </w:tcPr>
          <w:p w14:paraId="79A975D7">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w:t>
            </w:r>
          </w:p>
        </w:tc>
        <w:tc>
          <w:tcPr>
            <w:tcW w:w="3300" w:type="pct"/>
            <w:vAlign w:val="center"/>
          </w:tcPr>
          <w:p w14:paraId="116DFA3A">
            <w:pPr>
              <w:pStyle w:val="143"/>
              <w:rPr>
                <w:snapToGrid w:val="0"/>
                <w:color w:val="000000" w:themeColor="text1"/>
                <w:kern w:val="0"/>
                <w14:textFill>
                  <w14:solidFill>
                    <w14:schemeClr w14:val="tx1"/>
                  </w14:solidFill>
                </w14:textFill>
              </w:rPr>
            </w:pPr>
            <w:r>
              <w:rPr>
                <w:rFonts w:hint="eastAsia" w:ascii="Times New Roman" w:hAnsi="Times New Roman" w:cs="Times New Roman"/>
                <w:snapToGrid w:val="0"/>
                <w:szCs w:val="21"/>
                <w:lang w:val="en-US" w:eastAsia="zh-CN"/>
              </w:rPr>
              <w:t>东北侧敏感点</w:t>
            </w:r>
          </w:p>
        </w:tc>
      </w:tr>
    </w:tbl>
    <w:p w14:paraId="07769CC5">
      <w:pPr>
        <w:adjustRightInd/>
        <w:snapToGrid/>
        <w:spacing w:line="500" w:lineRule="exact"/>
        <w:ind w:left="0" w:leftChars="0" w:firstLine="0" w:firstLineChars="0"/>
        <w:rPr>
          <w:rFonts w:hint="eastAsia"/>
          <w:snapToGrid w:val="0"/>
          <w:color w:val="000000" w:themeColor="text1"/>
          <w:kern w:val="0"/>
          <w:lang w:val="zh-CN"/>
          <w14:textFill>
            <w14:solidFill>
              <w14:schemeClr w14:val="tx1"/>
            </w14:solidFill>
          </w14:textFill>
        </w:rPr>
      </w:pPr>
      <w:r>
        <w:drawing>
          <wp:anchor distT="0" distB="0" distL="114300" distR="114300" simplePos="0" relativeHeight="251751424" behindDoc="0" locked="0" layoutInCell="1" allowOverlap="1">
            <wp:simplePos x="0" y="0"/>
            <wp:positionH relativeFrom="column">
              <wp:posOffset>41910</wp:posOffset>
            </wp:positionH>
            <wp:positionV relativeFrom="paragraph">
              <wp:posOffset>26670</wp:posOffset>
            </wp:positionV>
            <wp:extent cx="5273040" cy="4398010"/>
            <wp:effectExtent l="0" t="0" r="3810" b="2540"/>
            <wp:wrapNone/>
            <wp:docPr id="15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43"/>
                    <pic:cNvPicPr>
                      <a:picLocks noChangeAspect="1"/>
                    </pic:cNvPicPr>
                  </pic:nvPicPr>
                  <pic:blipFill>
                    <a:blip r:embed="rId114"/>
                    <a:stretch>
                      <a:fillRect/>
                    </a:stretch>
                  </pic:blipFill>
                  <pic:spPr>
                    <a:xfrm>
                      <a:off x="0" y="0"/>
                      <a:ext cx="5273040" cy="4398010"/>
                    </a:xfrm>
                    <a:prstGeom prst="rect">
                      <a:avLst/>
                    </a:prstGeom>
                    <a:noFill/>
                    <a:ln>
                      <a:noFill/>
                    </a:ln>
                  </pic:spPr>
                </pic:pic>
              </a:graphicData>
            </a:graphic>
          </wp:anchor>
        </w:drawing>
      </w:r>
    </w:p>
    <w:p w14:paraId="7C2041E0">
      <w:pPr>
        <w:adjustRightInd/>
        <w:snapToGrid/>
        <w:spacing w:line="500" w:lineRule="exact"/>
        <w:rPr>
          <w:rFonts w:hint="eastAsia"/>
          <w:snapToGrid w:val="0"/>
          <w:color w:val="000000" w:themeColor="text1"/>
          <w:kern w:val="0"/>
          <w:lang w:val="zh-CN"/>
          <w14:textFill>
            <w14:solidFill>
              <w14:schemeClr w14:val="tx1"/>
            </w14:solidFill>
          </w14:textFill>
        </w:rPr>
      </w:pPr>
    </w:p>
    <w:p w14:paraId="0DACFD04">
      <w:pPr>
        <w:adjustRightInd/>
        <w:snapToGrid/>
        <w:spacing w:line="500" w:lineRule="exact"/>
        <w:rPr>
          <w:rFonts w:hint="eastAsia"/>
          <w:snapToGrid w:val="0"/>
          <w:color w:val="000000" w:themeColor="text1"/>
          <w:kern w:val="0"/>
          <w:lang w:val="zh-CN"/>
          <w14:textFill>
            <w14:solidFill>
              <w14:schemeClr w14:val="tx1"/>
            </w14:solidFill>
          </w14:textFill>
        </w:rPr>
      </w:pPr>
    </w:p>
    <w:p w14:paraId="010DFF2E">
      <w:pPr>
        <w:adjustRightInd/>
        <w:snapToGrid/>
        <w:spacing w:line="500" w:lineRule="exact"/>
        <w:rPr>
          <w:rFonts w:hint="eastAsia"/>
          <w:snapToGrid w:val="0"/>
          <w:color w:val="000000" w:themeColor="text1"/>
          <w:kern w:val="0"/>
          <w:lang w:val="zh-CN"/>
          <w14:textFill>
            <w14:solidFill>
              <w14:schemeClr w14:val="tx1"/>
            </w14:solidFill>
          </w14:textFill>
        </w:rPr>
      </w:pPr>
    </w:p>
    <w:p w14:paraId="18614CA3">
      <w:pPr>
        <w:adjustRightInd/>
        <w:snapToGrid/>
        <w:spacing w:line="500" w:lineRule="exact"/>
        <w:rPr>
          <w:rFonts w:hint="eastAsia"/>
          <w:snapToGrid w:val="0"/>
          <w:color w:val="000000" w:themeColor="text1"/>
          <w:kern w:val="0"/>
          <w:lang w:val="zh-CN"/>
          <w14:textFill>
            <w14:solidFill>
              <w14:schemeClr w14:val="tx1"/>
            </w14:solidFill>
          </w14:textFill>
        </w:rPr>
      </w:pPr>
    </w:p>
    <w:p w14:paraId="1EE9C36C">
      <w:pPr>
        <w:adjustRightInd/>
        <w:snapToGrid/>
        <w:spacing w:line="500" w:lineRule="exact"/>
        <w:rPr>
          <w:rFonts w:hint="eastAsia"/>
          <w:snapToGrid w:val="0"/>
          <w:color w:val="000000" w:themeColor="text1"/>
          <w:kern w:val="0"/>
          <w:lang w:val="zh-CN"/>
          <w14:textFill>
            <w14:solidFill>
              <w14:schemeClr w14:val="tx1"/>
            </w14:solidFill>
          </w14:textFill>
        </w:rPr>
      </w:pPr>
    </w:p>
    <w:p w14:paraId="3DE94669">
      <w:pPr>
        <w:adjustRightInd/>
        <w:snapToGrid/>
        <w:spacing w:line="500" w:lineRule="exact"/>
        <w:rPr>
          <w:rFonts w:hint="eastAsia"/>
          <w:snapToGrid w:val="0"/>
          <w:color w:val="000000" w:themeColor="text1"/>
          <w:kern w:val="0"/>
          <w:lang w:val="zh-CN"/>
          <w14:textFill>
            <w14:solidFill>
              <w14:schemeClr w14:val="tx1"/>
            </w14:solidFill>
          </w14:textFill>
        </w:rPr>
      </w:pPr>
    </w:p>
    <w:p w14:paraId="7FD73B5F">
      <w:pPr>
        <w:adjustRightInd/>
        <w:snapToGrid/>
        <w:spacing w:line="500" w:lineRule="exact"/>
        <w:rPr>
          <w:rFonts w:hint="eastAsia"/>
          <w:snapToGrid w:val="0"/>
          <w:color w:val="000000" w:themeColor="text1"/>
          <w:kern w:val="0"/>
          <w:lang w:val="zh-CN"/>
          <w14:textFill>
            <w14:solidFill>
              <w14:schemeClr w14:val="tx1"/>
            </w14:solidFill>
          </w14:textFill>
        </w:rPr>
      </w:pPr>
    </w:p>
    <w:p w14:paraId="1B990F79">
      <w:pPr>
        <w:adjustRightInd/>
        <w:snapToGrid/>
        <w:spacing w:line="500" w:lineRule="exact"/>
        <w:rPr>
          <w:rFonts w:hint="eastAsia"/>
          <w:snapToGrid w:val="0"/>
          <w:color w:val="000000" w:themeColor="text1"/>
          <w:kern w:val="0"/>
          <w:lang w:val="zh-CN"/>
          <w14:textFill>
            <w14:solidFill>
              <w14:schemeClr w14:val="tx1"/>
            </w14:solidFill>
          </w14:textFill>
        </w:rPr>
      </w:pPr>
    </w:p>
    <w:p w14:paraId="662EBCE5">
      <w:pPr>
        <w:adjustRightInd/>
        <w:snapToGrid/>
        <w:spacing w:line="500" w:lineRule="exact"/>
        <w:rPr>
          <w:rFonts w:hint="eastAsia"/>
          <w:snapToGrid w:val="0"/>
          <w:color w:val="000000" w:themeColor="text1"/>
          <w:kern w:val="0"/>
          <w:lang w:val="zh-CN"/>
          <w14:textFill>
            <w14:solidFill>
              <w14:schemeClr w14:val="tx1"/>
            </w14:solidFill>
          </w14:textFill>
        </w:rPr>
      </w:pPr>
    </w:p>
    <w:p w14:paraId="1A6152C0">
      <w:pPr>
        <w:adjustRightInd/>
        <w:snapToGrid/>
        <w:spacing w:line="500" w:lineRule="exact"/>
        <w:rPr>
          <w:rFonts w:hint="eastAsia"/>
          <w:snapToGrid w:val="0"/>
          <w:color w:val="000000" w:themeColor="text1"/>
          <w:kern w:val="0"/>
          <w:lang w:val="zh-CN"/>
          <w14:textFill>
            <w14:solidFill>
              <w14:schemeClr w14:val="tx1"/>
            </w14:solidFill>
          </w14:textFill>
        </w:rPr>
      </w:pPr>
      <w:r>
        <w:rPr>
          <w:sz w:val="24"/>
        </w:rPr>
        <mc:AlternateContent>
          <mc:Choice Requires="wps">
            <w:drawing>
              <wp:anchor distT="0" distB="0" distL="114300" distR="114300" simplePos="0" relativeHeight="251752448" behindDoc="0" locked="0" layoutInCell="1" allowOverlap="1">
                <wp:simplePos x="0" y="0"/>
                <wp:positionH relativeFrom="column">
                  <wp:posOffset>3586480</wp:posOffset>
                </wp:positionH>
                <wp:positionV relativeFrom="paragraph">
                  <wp:posOffset>309880</wp:posOffset>
                </wp:positionV>
                <wp:extent cx="1722755" cy="936625"/>
                <wp:effectExtent l="4445" t="4445" r="6350" b="11430"/>
                <wp:wrapNone/>
                <wp:docPr id="155" name="文本框 155"/>
                <wp:cNvGraphicFramePr/>
                <a:graphic xmlns:a="http://schemas.openxmlformats.org/drawingml/2006/main">
                  <a:graphicData uri="http://schemas.microsoft.com/office/word/2010/wordprocessingShape">
                    <wps:wsp>
                      <wps:cNvSpPr txBox="1"/>
                      <wps:spPr>
                        <a:xfrm>
                          <a:off x="0" y="0"/>
                          <a:ext cx="1722755" cy="9366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681D15D">
                            <w:pPr>
                              <w:ind w:firstLine="964" w:firstLineChars="400"/>
                              <w:rPr>
                                <w:rFonts w:hint="eastAsia"/>
                                <w:b/>
                                <w:bCs/>
                                <w:lang w:val="en-US" w:eastAsia="zh-CN"/>
                              </w:rPr>
                            </w:pPr>
                            <w:r>
                              <w:rPr>
                                <w:rFonts w:hint="eastAsia"/>
                                <w:b/>
                                <w:bCs/>
                                <w:lang w:val="en-US" w:eastAsia="zh-CN"/>
                              </w:rPr>
                              <w:t>图例</w:t>
                            </w:r>
                          </w:p>
                          <w:p w14:paraId="3657877F">
                            <w:pPr>
                              <w:ind w:firstLine="720" w:firstLineChars="300"/>
                              <w:rPr>
                                <w:rFonts w:hint="eastAsia"/>
                                <w:lang w:val="en-US" w:eastAsia="zh-CN"/>
                              </w:rPr>
                            </w:pPr>
                            <w:r>
                              <w:rPr>
                                <w:rFonts w:hint="eastAsia"/>
                                <w:lang w:val="en-US" w:eastAsia="zh-CN"/>
                              </w:rPr>
                              <w:t>本项目厂界</w:t>
                            </w:r>
                          </w:p>
                          <w:p w14:paraId="64AA2B4F">
                            <w:pPr>
                              <w:ind w:firstLine="720" w:firstLineChars="300"/>
                              <w:rPr>
                                <w:rFonts w:hint="default"/>
                                <w:lang w:val="en-US" w:eastAsia="zh-CN"/>
                              </w:rPr>
                            </w:pPr>
                            <w:r>
                              <w:rPr>
                                <w:rFonts w:hint="eastAsia"/>
                                <w:lang w:val="en-US" w:eastAsia="zh-CN"/>
                              </w:rPr>
                              <w:t>环境空气监测点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2.4pt;margin-top:24.4pt;height:73.75pt;width:135.65pt;z-index:251752448;mso-width-relative:page;mso-height-relative:page;" fillcolor="#FFFFFF [3201]" filled="t" stroked="t" coordsize="21600,21600" o:gfxdata="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rcYjX&#10;1wAAAAoBAAAPAAAAAAAAAAEAIAAAACIAAABkcnMvZG93bnJldi54bWxQSwECFAAUAAAACACHTuJA&#10;EZut8FsCAAC7BAAADgAAAAAAAAABACAAAAAmAQAAZHJzL2Uyb0RvYy54bWxQSwUGAAAAAAYABgBZ&#10;AQAA8wUAAAAA&#10;">
                <v:fill on="t" focussize="0,0"/>
                <v:stroke weight="0.5pt" color="#000000 [3204]" joinstyle="round"/>
                <v:imagedata o:title=""/>
                <o:lock v:ext="edit" aspectratio="f"/>
                <v:textbox>
                  <w:txbxContent>
                    <w:p w14:paraId="6681D15D">
                      <w:pPr>
                        <w:ind w:firstLine="964" w:firstLineChars="400"/>
                        <w:rPr>
                          <w:rFonts w:hint="eastAsia"/>
                          <w:b/>
                          <w:bCs/>
                          <w:lang w:val="en-US" w:eastAsia="zh-CN"/>
                        </w:rPr>
                      </w:pPr>
                      <w:r>
                        <w:rPr>
                          <w:rFonts w:hint="eastAsia"/>
                          <w:b/>
                          <w:bCs/>
                          <w:lang w:val="en-US" w:eastAsia="zh-CN"/>
                        </w:rPr>
                        <w:t>图例</w:t>
                      </w:r>
                    </w:p>
                    <w:p w14:paraId="3657877F">
                      <w:pPr>
                        <w:ind w:firstLine="720" w:firstLineChars="300"/>
                        <w:rPr>
                          <w:rFonts w:hint="eastAsia"/>
                          <w:lang w:val="en-US" w:eastAsia="zh-CN"/>
                        </w:rPr>
                      </w:pPr>
                      <w:r>
                        <w:rPr>
                          <w:rFonts w:hint="eastAsia"/>
                          <w:lang w:val="en-US" w:eastAsia="zh-CN"/>
                        </w:rPr>
                        <w:t>本项目厂界</w:t>
                      </w:r>
                    </w:p>
                    <w:p w14:paraId="64AA2B4F">
                      <w:pPr>
                        <w:ind w:firstLine="720" w:firstLineChars="300"/>
                        <w:rPr>
                          <w:rFonts w:hint="default"/>
                          <w:lang w:val="en-US" w:eastAsia="zh-CN"/>
                        </w:rPr>
                      </w:pPr>
                      <w:r>
                        <w:rPr>
                          <w:rFonts w:hint="eastAsia"/>
                          <w:lang w:val="en-US" w:eastAsia="zh-CN"/>
                        </w:rPr>
                        <w:t>环境空气监测点</w:t>
                      </w:r>
                    </w:p>
                  </w:txbxContent>
                </v:textbox>
              </v:shape>
            </w:pict>
          </mc:Fallback>
        </mc:AlternateContent>
      </w:r>
    </w:p>
    <w:p w14:paraId="7D3D50CF">
      <w:pPr>
        <w:adjustRightInd/>
        <w:snapToGrid/>
        <w:spacing w:line="500" w:lineRule="exact"/>
        <w:rPr>
          <w:rFonts w:hint="eastAsia"/>
          <w:snapToGrid w:val="0"/>
          <w:color w:val="000000" w:themeColor="text1"/>
          <w:kern w:val="0"/>
          <w:lang w:val="zh-CN"/>
          <w14:textFill>
            <w14:solidFill>
              <w14:schemeClr w14:val="tx1"/>
            </w14:solidFill>
          </w14:textFill>
        </w:rPr>
      </w:pPr>
    </w:p>
    <w:p w14:paraId="06738D54">
      <w:pPr>
        <w:adjustRightInd/>
        <w:snapToGrid/>
        <w:spacing w:line="500" w:lineRule="exact"/>
        <w:rPr>
          <w:rFonts w:hint="eastAsia"/>
          <w:snapToGrid w:val="0"/>
          <w:color w:val="000000" w:themeColor="text1"/>
          <w:kern w:val="0"/>
          <w:lang w:val="zh-CN"/>
          <w14:textFill>
            <w14:solidFill>
              <w14:schemeClr w14:val="tx1"/>
            </w14:solidFill>
          </w14:textFill>
        </w:rPr>
      </w:pPr>
      <w:r>
        <w:rPr>
          <w:sz w:val="24"/>
        </w:rPr>
        <mc:AlternateContent>
          <mc:Choice Requires="wps">
            <w:drawing>
              <wp:anchor distT="0" distB="0" distL="114300" distR="114300" simplePos="0" relativeHeight="251754496" behindDoc="0" locked="0" layoutInCell="1" allowOverlap="1">
                <wp:simplePos x="0" y="0"/>
                <wp:positionH relativeFrom="column">
                  <wp:posOffset>3823335</wp:posOffset>
                </wp:positionH>
                <wp:positionV relativeFrom="paragraph">
                  <wp:posOffset>297180</wp:posOffset>
                </wp:positionV>
                <wp:extent cx="200660" cy="200660"/>
                <wp:effectExtent l="12700" t="12700" r="15240" b="15240"/>
                <wp:wrapNone/>
                <wp:docPr id="157" name="等腰三角形 157"/>
                <wp:cNvGraphicFramePr/>
                <a:graphic xmlns:a="http://schemas.openxmlformats.org/drawingml/2006/main">
                  <a:graphicData uri="http://schemas.microsoft.com/office/word/2010/wordprocessingShape">
                    <wps:wsp>
                      <wps:cNvSpPr/>
                      <wps:spPr>
                        <a:xfrm>
                          <a:off x="4964430" y="5967095"/>
                          <a:ext cx="200660" cy="200660"/>
                        </a:xfrm>
                        <a:prstGeom prst="triangle">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301.05pt;margin-top:23.4pt;height:15.8pt;width:15.8pt;z-index:251754496;v-text-anchor:middle;mso-width-relative:page;mso-height-relative:page;" fillcolor="#FF0000" filled="t" stroked="t" coordsize="21600,21600" o:gfxdata="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U/yLStcAAAAJAQAADwAAAAAAAAABACAAAAAi&#10;AAAAZHJzL2Rvd25yZXYueG1sUEsBAhQAFAAAAAgAh07iQLBjapp9AgAA+QQAAA4AAAAAAAAAAQAg&#10;AAAAJgEAAGRycy9lMm9Eb2MueG1sUEsFBgAAAAAGAAYAWQEAABUGAAAAAA==&#10;" adj="10800">
                <v:fill on="t" focussize="0,0"/>
                <v:stroke weight="2pt" color="#FF0000 [2404]" joinstyle="round"/>
                <v:imagedata o:title=""/>
                <o:lock v:ext="edit" aspectratio="f"/>
              </v:shape>
            </w:pict>
          </mc:Fallback>
        </mc:AlternateContent>
      </w:r>
      <w:r>
        <w:rPr>
          <w:sz w:val="24"/>
        </w:rPr>
        <mc:AlternateContent>
          <mc:Choice Requires="wps">
            <w:drawing>
              <wp:anchor distT="0" distB="0" distL="114300" distR="114300" simplePos="0" relativeHeight="251753472" behindDoc="0" locked="0" layoutInCell="1" allowOverlap="1">
                <wp:simplePos x="0" y="0"/>
                <wp:positionH relativeFrom="column">
                  <wp:posOffset>3706495</wp:posOffset>
                </wp:positionH>
                <wp:positionV relativeFrom="paragraph">
                  <wp:posOffset>32385</wp:posOffset>
                </wp:positionV>
                <wp:extent cx="402590" cy="179705"/>
                <wp:effectExtent l="12700" t="12700" r="22860" b="17145"/>
                <wp:wrapNone/>
                <wp:docPr id="156" name="矩形 156"/>
                <wp:cNvGraphicFramePr/>
                <a:graphic xmlns:a="http://schemas.openxmlformats.org/drawingml/2006/main">
                  <a:graphicData uri="http://schemas.microsoft.com/office/word/2010/wordprocessingShape">
                    <wps:wsp>
                      <wps:cNvSpPr/>
                      <wps:spPr>
                        <a:xfrm>
                          <a:off x="4847590" y="5702300"/>
                          <a:ext cx="402590" cy="17970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1.85pt;margin-top:2.55pt;height:14.15pt;width:31.7pt;z-index:251753472;v-text-anchor:middle;mso-width-relative:page;mso-height-relative:page;" filled="f" stroked="t" coordsize="21600,21600" o:gfxdata="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ubjxi1wAAAAgBAAAPAAAAAAAAAAEAIAAAACIAAABkcnMvZG93bnJldi54bWxQ&#10;SwECFAAUAAAACACHTuJAxOQzN2oCAADDBAAADgAAAAAAAAABACAAAAAmAQAAZHJzL2Uyb0RvYy54&#10;bWxQSwUGAAAAAAYABgBZAQAAAgYAAAAA&#10;">
                <v:fill on="f" focussize="0,0"/>
                <v:stroke weight="2pt" color="#FF0000 [2404]" joinstyle="round"/>
                <v:imagedata o:title=""/>
                <o:lock v:ext="edit" aspectratio="f"/>
              </v:rect>
            </w:pict>
          </mc:Fallback>
        </mc:AlternateContent>
      </w:r>
    </w:p>
    <w:p w14:paraId="510C7B9A">
      <w:pPr>
        <w:adjustRightInd/>
        <w:snapToGrid/>
        <w:spacing w:line="500" w:lineRule="exact"/>
        <w:rPr>
          <w:rFonts w:hint="eastAsia"/>
          <w:snapToGrid w:val="0"/>
          <w:color w:val="000000" w:themeColor="text1"/>
          <w:kern w:val="0"/>
          <w:lang w:val="zh-CN"/>
          <w14:textFill>
            <w14:solidFill>
              <w14:schemeClr w14:val="tx1"/>
            </w14:solidFill>
          </w14:textFill>
        </w:rPr>
      </w:pPr>
    </w:p>
    <w:p w14:paraId="27B7B580">
      <w:pPr>
        <w:pStyle w:val="206"/>
        <w:rPr>
          <w:rFonts w:hint="eastAsia" w:eastAsia="黑体"/>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图</w:t>
      </w:r>
      <w:r>
        <w:rPr>
          <w:rFonts w:hint="eastAsia"/>
          <w:snapToGrid w:val="0"/>
          <w:color w:val="000000" w:themeColor="text1"/>
          <w14:textFill>
            <w14:solidFill>
              <w14:schemeClr w14:val="tx1"/>
            </w14:solidFill>
          </w14:textFill>
        </w:rPr>
        <w:t>4-2</w:t>
      </w:r>
      <w:r>
        <w:rPr>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3</w:t>
      </w:r>
      <w:r>
        <w:rPr>
          <w:snapToGrid w:val="0"/>
          <w:color w:val="000000" w:themeColor="text1"/>
          <w14:textFill>
            <w14:solidFill>
              <w14:schemeClr w14:val="tx1"/>
            </w14:solidFill>
          </w14:textFill>
        </w:rPr>
        <w:t xml:space="preserve"> </w:t>
      </w:r>
      <w:r>
        <w:rPr>
          <w:rFonts w:hint="eastAsia"/>
          <w:snapToGrid w:val="0"/>
          <w:color w:val="000000" w:themeColor="text1"/>
          <w:lang w:val="en-US" w:eastAsia="zh-CN"/>
          <w14:textFill>
            <w14:solidFill>
              <w14:schemeClr w14:val="tx1"/>
            </w14:solidFill>
          </w14:textFill>
        </w:rPr>
        <w:t>声</w:t>
      </w:r>
      <w:r>
        <w:rPr>
          <w:rFonts w:hint="eastAsia"/>
          <w:snapToGrid w:val="0"/>
          <w:color w:val="000000" w:themeColor="text1"/>
          <w14:textFill>
            <w14:solidFill>
              <w14:schemeClr w14:val="tx1"/>
            </w14:solidFill>
          </w14:textFill>
        </w:rPr>
        <w:t>环境监测布点</w:t>
      </w:r>
      <w:r>
        <w:rPr>
          <w:rFonts w:hint="eastAsia"/>
          <w:snapToGrid w:val="0"/>
          <w:color w:val="000000" w:themeColor="text1"/>
          <w:lang w:val="en-US" w:eastAsia="zh-CN"/>
          <w14:textFill>
            <w14:solidFill>
              <w14:schemeClr w14:val="tx1"/>
            </w14:solidFill>
          </w14:textFill>
        </w:rPr>
        <w:t>图</w:t>
      </w:r>
    </w:p>
    <w:p w14:paraId="3F78517B">
      <w:pPr>
        <w:adjustRightInd/>
        <w:snapToGrid/>
        <w:spacing w:line="500" w:lineRule="exact"/>
        <w:rPr>
          <w:snapToGrid w:val="0"/>
          <w:color w:val="000000" w:themeColor="text1"/>
          <w:kern w:val="0"/>
          <w:lang w:val="zh-CN"/>
          <w14:textFill>
            <w14:solidFill>
              <w14:schemeClr w14:val="tx1"/>
            </w14:solidFill>
          </w14:textFill>
        </w:rPr>
      </w:pPr>
      <w:r>
        <w:rPr>
          <w:rFonts w:hint="eastAsia"/>
          <w:snapToGrid w:val="0"/>
          <w:color w:val="000000" w:themeColor="text1"/>
          <w:kern w:val="0"/>
          <w:lang w:val="zh-CN"/>
          <w14:textFill>
            <w14:solidFill>
              <w14:schemeClr w14:val="tx1"/>
            </w14:solidFill>
          </w14:textFill>
        </w:rPr>
        <w:t>（2）</w:t>
      </w:r>
      <w:r>
        <w:rPr>
          <w:snapToGrid w:val="0"/>
          <w:color w:val="000000" w:themeColor="text1"/>
          <w:kern w:val="0"/>
          <w:lang w:val="zh-CN"/>
          <w14:textFill>
            <w14:solidFill>
              <w14:schemeClr w14:val="tx1"/>
            </w14:solidFill>
          </w14:textFill>
        </w:rPr>
        <w:t>监测时间</w:t>
      </w:r>
    </w:p>
    <w:p w14:paraId="05DAA6C4">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14:textFill>
            <w14:solidFill>
              <w14:schemeClr w14:val="tx1"/>
            </w14:solidFill>
          </w14:textFill>
        </w:rPr>
        <w:t>202</w:t>
      </w:r>
      <w:r>
        <w:rPr>
          <w:rFonts w:hint="eastAsia"/>
          <w:snapToGrid w:val="0"/>
          <w:color w:val="000000" w:themeColor="text1"/>
          <w:kern w:val="0"/>
          <w:lang w:val="en-US" w:eastAsia="zh-CN"/>
          <w14:textFill>
            <w14:solidFill>
              <w14:schemeClr w14:val="tx1"/>
            </w14:solidFill>
          </w14:textFill>
        </w:rPr>
        <w:t>6</w:t>
      </w:r>
      <w:r>
        <w:rPr>
          <w:snapToGrid w:val="0"/>
          <w:color w:val="000000" w:themeColor="text1"/>
          <w:kern w:val="0"/>
          <w14:textFill>
            <w14:solidFill>
              <w14:schemeClr w14:val="tx1"/>
            </w14:solidFill>
          </w14:textFill>
        </w:rPr>
        <w:t>年</w:t>
      </w:r>
      <w:r>
        <w:rPr>
          <w:rFonts w:hint="eastAsia"/>
          <w:snapToGrid w:val="0"/>
          <w:color w:val="000000" w:themeColor="text1"/>
          <w:kern w:val="0"/>
          <w:lang w:val="en-US" w:eastAsia="zh-CN"/>
          <w14:textFill>
            <w14:solidFill>
              <w14:schemeClr w14:val="tx1"/>
            </w14:solidFill>
          </w14:textFill>
        </w:rPr>
        <w:t>5</w:t>
      </w:r>
      <w:r>
        <w:rPr>
          <w:snapToGrid w:val="0"/>
          <w:color w:val="000000" w:themeColor="text1"/>
          <w:kern w:val="0"/>
          <w14:textFill>
            <w14:solidFill>
              <w14:schemeClr w14:val="tx1"/>
            </w14:solidFill>
          </w14:textFill>
        </w:rPr>
        <w:t>月</w:t>
      </w:r>
      <w:r>
        <w:rPr>
          <w:rFonts w:hint="eastAsia"/>
          <w:snapToGrid w:val="0"/>
          <w:color w:val="000000" w:themeColor="text1"/>
          <w:kern w:val="0"/>
          <w:lang w:val="en-US" w:eastAsia="zh-CN"/>
          <w14:textFill>
            <w14:solidFill>
              <w14:schemeClr w14:val="tx1"/>
            </w14:solidFill>
          </w14:textFill>
        </w:rPr>
        <w:t>19</w:t>
      </w:r>
      <w:r>
        <w:rPr>
          <w:snapToGrid w:val="0"/>
          <w:color w:val="000000" w:themeColor="text1"/>
          <w:kern w:val="0"/>
          <w14:textFill>
            <w14:solidFill>
              <w14:schemeClr w14:val="tx1"/>
            </w14:solidFill>
          </w14:textFill>
        </w:rPr>
        <w:t>日～</w:t>
      </w:r>
      <w:r>
        <w:rPr>
          <w:rFonts w:hint="eastAsia"/>
          <w:snapToGrid w:val="0"/>
          <w:color w:val="000000" w:themeColor="text1"/>
          <w:kern w:val="0"/>
          <w:lang w:val="en-US" w:eastAsia="zh-CN"/>
          <w14:textFill>
            <w14:solidFill>
              <w14:schemeClr w14:val="tx1"/>
            </w14:solidFill>
          </w14:textFill>
        </w:rPr>
        <w:t>5</w:t>
      </w:r>
      <w:r>
        <w:rPr>
          <w:snapToGrid w:val="0"/>
          <w:color w:val="000000" w:themeColor="text1"/>
          <w:kern w:val="0"/>
          <w14:textFill>
            <w14:solidFill>
              <w14:schemeClr w14:val="tx1"/>
            </w14:solidFill>
          </w14:textFill>
        </w:rPr>
        <w:t>月</w:t>
      </w:r>
      <w:r>
        <w:rPr>
          <w:rFonts w:hint="eastAsia"/>
          <w:snapToGrid w:val="0"/>
          <w:color w:val="000000" w:themeColor="text1"/>
          <w:kern w:val="0"/>
          <w:lang w:val="en-US" w:eastAsia="zh-CN"/>
          <w14:textFill>
            <w14:solidFill>
              <w14:schemeClr w14:val="tx1"/>
            </w14:solidFill>
          </w14:textFill>
        </w:rPr>
        <w:t>20</w:t>
      </w:r>
      <w:r>
        <w:rPr>
          <w:snapToGrid w:val="0"/>
          <w:color w:val="000000" w:themeColor="text1"/>
          <w:kern w:val="0"/>
          <w14:textFill>
            <w14:solidFill>
              <w14:schemeClr w14:val="tx1"/>
            </w14:solidFill>
          </w14:textFill>
        </w:rPr>
        <w:t>日进行噪声监测，</w:t>
      </w:r>
      <w:r>
        <w:rPr>
          <w:snapToGrid w:val="0"/>
          <w:color w:val="000000" w:themeColor="text1"/>
          <w:kern w:val="0"/>
          <w:lang w:val="zh-CN"/>
          <w14:textFill>
            <w14:solidFill>
              <w14:schemeClr w14:val="tx1"/>
            </w14:solidFill>
          </w14:textFill>
        </w:rPr>
        <w:t>连续两天。</w:t>
      </w:r>
    </w:p>
    <w:p w14:paraId="303C60D4">
      <w:pPr>
        <w:adjustRightInd/>
        <w:snapToGrid/>
        <w:spacing w:line="500" w:lineRule="exact"/>
        <w:rPr>
          <w:snapToGrid w:val="0"/>
          <w:color w:val="000000" w:themeColor="text1"/>
          <w:kern w:val="0"/>
          <w:lang w:val="zh-CN"/>
          <w14:textFill>
            <w14:solidFill>
              <w14:schemeClr w14:val="tx1"/>
            </w14:solidFill>
          </w14:textFill>
        </w:rPr>
      </w:pPr>
      <w:r>
        <w:rPr>
          <w:rFonts w:hint="eastAsia"/>
          <w:snapToGrid w:val="0"/>
          <w:color w:val="000000" w:themeColor="text1"/>
          <w:kern w:val="0"/>
          <w:lang w:val="zh-CN"/>
          <w14:textFill>
            <w14:solidFill>
              <w14:schemeClr w14:val="tx1"/>
            </w14:solidFill>
          </w14:textFill>
        </w:rPr>
        <w:t>（3）</w:t>
      </w:r>
      <w:r>
        <w:rPr>
          <w:snapToGrid w:val="0"/>
          <w:color w:val="000000" w:themeColor="text1"/>
          <w:kern w:val="0"/>
          <w:lang w:val="zh-CN"/>
          <w14:textFill>
            <w14:solidFill>
              <w14:schemeClr w14:val="tx1"/>
            </w14:solidFill>
          </w14:textFill>
        </w:rPr>
        <w:t>监测结果</w:t>
      </w:r>
    </w:p>
    <w:p w14:paraId="175B84A0">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lang w:val="zh-CN"/>
          <w14:textFill>
            <w14:solidFill>
              <w14:schemeClr w14:val="tx1"/>
            </w14:solidFill>
          </w14:textFill>
        </w:rPr>
        <w:t>监测结果见表4-2-1</w:t>
      </w:r>
      <w:r>
        <w:rPr>
          <w:rFonts w:hint="eastAsia"/>
          <w:snapToGrid w:val="0"/>
          <w:color w:val="000000" w:themeColor="text1"/>
          <w:kern w:val="0"/>
          <w:lang w:val="en-US" w:eastAsia="zh-CN"/>
          <w14:textFill>
            <w14:solidFill>
              <w14:schemeClr w14:val="tx1"/>
            </w14:solidFill>
          </w14:textFill>
        </w:rPr>
        <w:t>8</w:t>
      </w:r>
      <w:r>
        <w:rPr>
          <w:snapToGrid w:val="0"/>
          <w:color w:val="000000" w:themeColor="text1"/>
          <w:kern w:val="0"/>
          <w:lang w:val="zh-CN"/>
          <w14:textFill>
            <w14:solidFill>
              <w14:schemeClr w14:val="tx1"/>
            </w14:solidFill>
          </w14:textFill>
        </w:rPr>
        <w:t>。</w:t>
      </w:r>
    </w:p>
    <w:p w14:paraId="50E5AF67">
      <w:pPr>
        <w:spacing w:line="500" w:lineRule="exact"/>
        <w:ind w:firstLine="0" w:firstLineChars="0"/>
        <w:jc w:val="center"/>
        <w:rPr>
          <w:rFonts w:hint="eastAsia" w:eastAsia="黑体"/>
          <w:snapToGrid w:val="0"/>
          <w:color w:val="000000" w:themeColor="text1"/>
          <w:kern w:val="0"/>
          <w:lang w:val="zh-CN"/>
          <w14:textFill>
            <w14:solidFill>
              <w14:schemeClr w14:val="tx1"/>
            </w14:solidFill>
          </w14:textFill>
        </w:rPr>
      </w:pPr>
      <w:r>
        <w:rPr>
          <w:rFonts w:eastAsia="黑体"/>
          <w:snapToGrid w:val="0"/>
          <w:color w:val="000000" w:themeColor="text1"/>
          <w:kern w:val="0"/>
          <w:lang w:val="zh-CN" w:eastAsia="zh-CN"/>
          <w14:textFill>
            <w14:solidFill>
              <w14:schemeClr w14:val="tx1"/>
            </w14:solidFill>
          </w14:textFill>
        </w:rPr>
        <w:t>表4-2-1</w:t>
      </w:r>
      <w:r>
        <w:rPr>
          <w:rFonts w:hint="eastAsia" w:eastAsia="黑体"/>
          <w:snapToGrid w:val="0"/>
          <w:color w:val="000000" w:themeColor="text1"/>
          <w:kern w:val="0"/>
          <w:lang w:val="en-US" w:eastAsia="zh-CN"/>
          <w14:textFill>
            <w14:solidFill>
              <w14:schemeClr w14:val="tx1"/>
            </w14:solidFill>
          </w14:textFill>
        </w:rPr>
        <w:t>8</w:t>
      </w:r>
      <w:r>
        <w:rPr>
          <w:rFonts w:eastAsia="黑体"/>
          <w:snapToGrid w:val="0"/>
          <w:color w:val="000000" w:themeColor="text1"/>
          <w:kern w:val="0"/>
          <w:lang w:val="zh-CN" w:eastAsia="zh-CN"/>
          <w14:textFill>
            <w14:solidFill>
              <w14:schemeClr w14:val="tx1"/>
            </w14:solidFill>
          </w14:textFill>
        </w:rPr>
        <w:t xml:space="preserve"> 声环境现状监测结果</w:t>
      </w:r>
      <w:r>
        <w:rPr>
          <w:rFonts w:hint="eastAsia" w:eastAsia="黑体"/>
          <w:snapToGrid w:val="0"/>
          <w:color w:val="000000" w:themeColor="text1"/>
          <w:kern w:val="0"/>
          <w:lang w:val="zh-CN"/>
          <w14:textFill>
            <w14:solidFill>
              <w14:schemeClr w14:val="tx1"/>
            </w14:solidFill>
          </w14:textFill>
        </w:rPr>
        <w:t xml:space="preserve"> 单位：dB（A）</w:t>
      </w:r>
    </w:p>
    <w:tbl>
      <w:tblPr>
        <w:tblStyle w:val="50"/>
        <w:tblW w:w="4998" w:type="pct"/>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1789"/>
        <w:gridCol w:w="999"/>
        <w:gridCol w:w="1207"/>
        <w:gridCol w:w="1212"/>
        <w:gridCol w:w="1207"/>
        <w:gridCol w:w="1212"/>
      </w:tblGrid>
      <w:tr w14:paraId="4064015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411" w:type="pct"/>
            <w:vMerge w:val="restart"/>
            <w:vAlign w:val="center"/>
          </w:tcPr>
          <w:p w14:paraId="0A33B9FD">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测点</w:t>
            </w:r>
          </w:p>
          <w:p w14:paraId="6F103848">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编号</w:t>
            </w:r>
          </w:p>
        </w:tc>
        <w:tc>
          <w:tcPr>
            <w:tcW w:w="1077" w:type="pct"/>
            <w:vMerge w:val="restart"/>
            <w:vAlign w:val="center"/>
          </w:tcPr>
          <w:p w14:paraId="62C0E06B">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检测点位</w:t>
            </w:r>
          </w:p>
        </w:tc>
        <w:tc>
          <w:tcPr>
            <w:tcW w:w="601" w:type="pct"/>
            <w:vMerge w:val="restart"/>
            <w:vAlign w:val="center"/>
          </w:tcPr>
          <w:p w14:paraId="7C4028DB">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单位</w:t>
            </w:r>
          </w:p>
        </w:tc>
        <w:tc>
          <w:tcPr>
            <w:tcW w:w="2910" w:type="pct"/>
            <w:gridSpan w:val="4"/>
            <w:vAlign w:val="center"/>
          </w:tcPr>
          <w:p w14:paraId="7117C95B">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检测日期</w:t>
            </w:r>
            <w:r>
              <w:rPr>
                <w:rFonts w:hint="eastAsia" w:ascii="Times New Roman" w:hAnsi="Times New Roman" w:eastAsia="宋体"/>
                <w:snapToGrid w:val="0"/>
                <w:color w:val="000000" w:themeColor="text1"/>
                <w:kern w:val="0"/>
                <w:lang w:val="en-US" w:eastAsia="zh-CN"/>
                <w14:textFill>
                  <w14:solidFill>
                    <w14:schemeClr w14:val="tx1"/>
                  </w14:solidFill>
                </w14:textFill>
              </w:rPr>
              <w:t>、检测频次</w:t>
            </w:r>
            <w:r>
              <w:rPr>
                <w:rFonts w:hint="default" w:ascii="Times New Roman" w:hAnsi="Times New Roman" w:eastAsia="宋体"/>
                <w:snapToGrid w:val="0"/>
                <w:color w:val="000000" w:themeColor="text1"/>
                <w:kern w:val="0"/>
                <w:lang w:val="en-US" w:eastAsia="zh-CN"/>
                <w14:textFill>
                  <w14:solidFill>
                    <w14:schemeClr w14:val="tx1"/>
                  </w14:solidFill>
                </w14:textFill>
              </w:rPr>
              <w:t>及检测结果</w:t>
            </w:r>
          </w:p>
        </w:tc>
      </w:tr>
      <w:tr w14:paraId="5A1B7C66">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411" w:type="pct"/>
            <w:vMerge w:val="continue"/>
            <w:vAlign w:val="center"/>
          </w:tcPr>
          <w:p w14:paraId="23CE868B">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p>
        </w:tc>
        <w:tc>
          <w:tcPr>
            <w:tcW w:w="1077" w:type="pct"/>
            <w:vMerge w:val="continue"/>
            <w:vAlign w:val="center"/>
          </w:tcPr>
          <w:p w14:paraId="51DD2253">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p>
        </w:tc>
        <w:tc>
          <w:tcPr>
            <w:tcW w:w="601" w:type="pct"/>
            <w:vMerge w:val="continue"/>
            <w:vAlign w:val="center"/>
          </w:tcPr>
          <w:p w14:paraId="534DE42A">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p>
        </w:tc>
        <w:tc>
          <w:tcPr>
            <w:tcW w:w="1455" w:type="pct"/>
            <w:gridSpan w:val="2"/>
            <w:vAlign w:val="center"/>
          </w:tcPr>
          <w:p w14:paraId="4BC3342D">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2026年05月19日</w:t>
            </w:r>
          </w:p>
        </w:tc>
        <w:tc>
          <w:tcPr>
            <w:tcW w:w="1455" w:type="pct"/>
            <w:gridSpan w:val="2"/>
            <w:vAlign w:val="center"/>
          </w:tcPr>
          <w:p w14:paraId="080D73AA">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2026年05月20日</w:t>
            </w:r>
          </w:p>
        </w:tc>
      </w:tr>
      <w:tr w14:paraId="3F6D148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411" w:type="pct"/>
            <w:vMerge w:val="continue"/>
            <w:vAlign w:val="center"/>
          </w:tcPr>
          <w:p w14:paraId="22AD52E4">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p>
        </w:tc>
        <w:tc>
          <w:tcPr>
            <w:tcW w:w="1077" w:type="pct"/>
            <w:vMerge w:val="continue"/>
            <w:vAlign w:val="center"/>
          </w:tcPr>
          <w:p w14:paraId="34B8680A">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p>
        </w:tc>
        <w:tc>
          <w:tcPr>
            <w:tcW w:w="601" w:type="pct"/>
            <w:vMerge w:val="continue"/>
            <w:vAlign w:val="center"/>
          </w:tcPr>
          <w:p w14:paraId="700B3A50">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p>
        </w:tc>
        <w:tc>
          <w:tcPr>
            <w:tcW w:w="726" w:type="pct"/>
            <w:vAlign w:val="center"/>
          </w:tcPr>
          <w:p w14:paraId="7DCC5298">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昼间</w:t>
            </w:r>
          </w:p>
        </w:tc>
        <w:tc>
          <w:tcPr>
            <w:tcW w:w="728" w:type="pct"/>
            <w:vAlign w:val="center"/>
          </w:tcPr>
          <w:p w14:paraId="5B968922">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夜间</w:t>
            </w:r>
          </w:p>
        </w:tc>
        <w:tc>
          <w:tcPr>
            <w:tcW w:w="726" w:type="pct"/>
            <w:vAlign w:val="center"/>
          </w:tcPr>
          <w:p w14:paraId="3AF868D6">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昼间</w:t>
            </w:r>
          </w:p>
        </w:tc>
        <w:tc>
          <w:tcPr>
            <w:tcW w:w="728" w:type="pct"/>
            <w:vAlign w:val="center"/>
          </w:tcPr>
          <w:p w14:paraId="6AD43697">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夜间</w:t>
            </w:r>
          </w:p>
        </w:tc>
      </w:tr>
      <w:tr w14:paraId="2DC9A72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11" w:type="pct"/>
            <w:vAlign w:val="center"/>
          </w:tcPr>
          <w:p w14:paraId="5DD07E50">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w:t>
            </w:r>
            <w:r>
              <w:rPr>
                <w:rFonts w:hint="eastAsia" w:ascii="Times New Roman" w:hAnsi="Times New Roman" w:eastAsia="宋体"/>
                <w:snapToGrid w:val="0"/>
                <w:color w:val="000000" w:themeColor="text1"/>
                <w:kern w:val="0"/>
                <w:lang w:val="en-US" w:eastAsia="zh-CN"/>
                <w14:textFill>
                  <w14:solidFill>
                    <w14:schemeClr w14:val="tx1"/>
                  </w14:solidFill>
                </w14:textFill>
              </w:rPr>
              <w:t>N</w:t>
            </w:r>
            <w:r>
              <w:rPr>
                <w:rFonts w:hint="default" w:ascii="Times New Roman" w:hAnsi="Times New Roman" w:eastAsia="宋体"/>
                <w:snapToGrid w:val="0"/>
                <w:color w:val="000000" w:themeColor="text1"/>
                <w:kern w:val="0"/>
                <w:lang w:val="en-US" w:eastAsia="zh-CN"/>
                <w14:textFill>
                  <w14:solidFill>
                    <w14:schemeClr w14:val="tx1"/>
                  </w14:solidFill>
                </w14:textFill>
              </w:rPr>
              <w:t>1</w:t>
            </w:r>
          </w:p>
        </w:tc>
        <w:tc>
          <w:tcPr>
            <w:tcW w:w="1077" w:type="pct"/>
            <w:vAlign w:val="center"/>
          </w:tcPr>
          <w:p w14:paraId="7622C557">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东侧厂界外1m监测点</w:t>
            </w:r>
          </w:p>
        </w:tc>
        <w:tc>
          <w:tcPr>
            <w:tcW w:w="601" w:type="pct"/>
            <w:vAlign w:val="center"/>
          </w:tcPr>
          <w:p w14:paraId="0AED6FDF">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dB(A)</w:t>
            </w:r>
          </w:p>
        </w:tc>
        <w:tc>
          <w:tcPr>
            <w:tcW w:w="726" w:type="pct"/>
            <w:vAlign w:val="center"/>
          </w:tcPr>
          <w:p w14:paraId="6B10DCBD">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44.6</w:t>
            </w:r>
          </w:p>
        </w:tc>
        <w:tc>
          <w:tcPr>
            <w:tcW w:w="728" w:type="pct"/>
            <w:vAlign w:val="center"/>
          </w:tcPr>
          <w:p w14:paraId="78A6B369">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21.9</w:t>
            </w:r>
          </w:p>
        </w:tc>
        <w:tc>
          <w:tcPr>
            <w:tcW w:w="726" w:type="pct"/>
            <w:vAlign w:val="center"/>
          </w:tcPr>
          <w:p w14:paraId="4D54DE39">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43.9</w:t>
            </w:r>
          </w:p>
        </w:tc>
        <w:tc>
          <w:tcPr>
            <w:tcW w:w="728" w:type="pct"/>
            <w:vAlign w:val="center"/>
          </w:tcPr>
          <w:p w14:paraId="41474571">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30.4</w:t>
            </w:r>
          </w:p>
        </w:tc>
      </w:tr>
      <w:tr w14:paraId="6E66F6E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11" w:type="pct"/>
            <w:vAlign w:val="center"/>
          </w:tcPr>
          <w:p w14:paraId="072D6EF9">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w:t>
            </w:r>
            <w:r>
              <w:rPr>
                <w:rFonts w:hint="eastAsia" w:ascii="Times New Roman" w:hAnsi="Times New Roman" w:eastAsia="宋体"/>
                <w:snapToGrid w:val="0"/>
                <w:color w:val="000000" w:themeColor="text1"/>
                <w:kern w:val="0"/>
                <w:lang w:val="en-US" w:eastAsia="zh-CN"/>
                <w14:textFill>
                  <w14:solidFill>
                    <w14:schemeClr w14:val="tx1"/>
                  </w14:solidFill>
                </w14:textFill>
              </w:rPr>
              <w:t>N2</w:t>
            </w:r>
          </w:p>
        </w:tc>
        <w:tc>
          <w:tcPr>
            <w:tcW w:w="1077" w:type="pct"/>
            <w:vAlign w:val="center"/>
          </w:tcPr>
          <w:p w14:paraId="72628854">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南侧厂界外1m监测点</w:t>
            </w:r>
          </w:p>
        </w:tc>
        <w:tc>
          <w:tcPr>
            <w:tcW w:w="601" w:type="pct"/>
            <w:vAlign w:val="center"/>
          </w:tcPr>
          <w:p w14:paraId="443FEE3D">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dB(A)</w:t>
            </w:r>
          </w:p>
        </w:tc>
        <w:tc>
          <w:tcPr>
            <w:tcW w:w="726" w:type="pct"/>
            <w:vAlign w:val="center"/>
          </w:tcPr>
          <w:p w14:paraId="3ACF371F">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49.1</w:t>
            </w:r>
          </w:p>
        </w:tc>
        <w:tc>
          <w:tcPr>
            <w:tcW w:w="728" w:type="pct"/>
            <w:vAlign w:val="center"/>
          </w:tcPr>
          <w:p w14:paraId="6DEE1F7A">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26.2</w:t>
            </w:r>
          </w:p>
        </w:tc>
        <w:tc>
          <w:tcPr>
            <w:tcW w:w="726" w:type="pct"/>
            <w:shd w:val="clear" w:color="auto" w:fill="auto"/>
            <w:vAlign w:val="center"/>
          </w:tcPr>
          <w:p w14:paraId="60770571">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43.2</w:t>
            </w:r>
          </w:p>
        </w:tc>
        <w:tc>
          <w:tcPr>
            <w:tcW w:w="728" w:type="pct"/>
            <w:vAlign w:val="center"/>
          </w:tcPr>
          <w:p w14:paraId="65D34AAF">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31.0</w:t>
            </w:r>
          </w:p>
        </w:tc>
      </w:tr>
      <w:tr w14:paraId="18AF4BB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11" w:type="pct"/>
            <w:vAlign w:val="center"/>
          </w:tcPr>
          <w:p w14:paraId="3598F9D6">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w:t>
            </w:r>
            <w:r>
              <w:rPr>
                <w:rFonts w:hint="eastAsia" w:ascii="Times New Roman" w:hAnsi="Times New Roman" w:eastAsia="宋体"/>
                <w:snapToGrid w:val="0"/>
                <w:color w:val="000000" w:themeColor="text1"/>
                <w:kern w:val="0"/>
                <w:lang w:val="en-US" w:eastAsia="zh-CN"/>
                <w14:textFill>
                  <w14:solidFill>
                    <w14:schemeClr w14:val="tx1"/>
                  </w14:solidFill>
                </w14:textFill>
              </w:rPr>
              <w:t>N3</w:t>
            </w:r>
          </w:p>
        </w:tc>
        <w:tc>
          <w:tcPr>
            <w:tcW w:w="1077" w:type="pct"/>
            <w:vAlign w:val="center"/>
          </w:tcPr>
          <w:p w14:paraId="60328BA9">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西侧厂界外1m监测点</w:t>
            </w:r>
          </w:p>
        </w:tc>
        <w:tc>
          <w:tcPr>
            <w:tcW w:w="601" w:type="pct"/>
            <w:vAlign w:val="center"/>
          </w:tcPr>
          <w:p w14:paraId="4B52A469">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dB(A)</w:t>
            </w:r>
          </w:p>
        </w:tc>
        <w:tc>
          <w:tcPr>
            <w:tcW w:w="726" w:type="pct"/>
            <w:vAlign w:val="center"/>
          </w:tcPr>
          <w:p w14:paraId="4446573E">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47.1</w:t>
            </w:r>
          </w:p>
        </w:tc>
        <w:tc>
          <w:tcPr>
            <w:tcW w:w="728" w:type="pct"/>
            <w:vAlign w:val="center"/>
          </w:tcPr>
          <w:p w14:paraId="076F7E6B">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23.6</w:t>
            </w:r>
          </w:p>
        </w:tc>
        <w:tc>
          <w:tcPr>
            <w:tcW w:w="726" w:type="pct"/>
            <w:shd w:val="clear" w:color="auto" w:fill="auto"/>
            <w:vAlign w:val="center"/>
          </w:tcPr>
          <w:p w14:paraId="535B4542">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44.8</w:t>
            </w:r>
          </w:p>
        </w:tc>
        <w:tc>
          <w:tcPr>
            <w:tcW w:w="728" w:type="pct"/>
            <w:vAlign w:val="center"/>
          </w:tcPr>
          <w:p w14:paraId="6BFC7608">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30.1</w:t>
            </w:r>
          </w:p>
        </w:tc>
      </w:tr>
      <w:tr w14:paraId="763EC09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11" w:type="pct"/>
            <w:shd w:val="clear" w:color="auto" w:fill="auto"/>
            <w:vAlign w:val="center"/>
          </w:tcPr>
          <w:p w14:paraId="552323E7">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w:t>
            </w:r>
            <w:r>
              <w:rPr>
                <w:rFonts w:hint="eastAsia" w:ascii="Times New Roman" w:hAnsi="Times New Roman" w:eastAsia="宋体"/>
                <w:snapToGrid w:val="0"/>
                <w:color w:val="000000" w:themeColor="text1"/>
                <w:kern w:val="0"/>
                <w:lang w:val="en-US" w:eastAsia="zh-CN"/>
                <w14:textFill>
                  <w14:solidFill>
                    <w14:schemeClr w14:val="tx1"/>
                  </w14:solidFill>
                </w14:textFill>
              </w:rPr>
              <w:t>N4</w:t>
            </w:r>
          </w:p>
        </w:tc>
        <w:tc>
          <w:tcPr>
            <w:tcW w:w="1077" w:type="pct"/>
            <w:shd w:val="clear" w:color="auto" w:fill="auto"/>
            <w:vAlign w:val="center"/>
          </w:tcPr>
          <w:p w14:paraId="64E6ABF0">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北侧厂界外1m监测点</w:t>
            </w:r>
          </w:p>
        </w:tc>
        <w:tc>
          <w:tcPr>
            <w:tcW w:w="601" w:type="pct"/>
            <w:shd w:val="clear" w:color="auto" w:fill="auto"/>
            <w:vAlign w:val="center"/>
          </w:tcPr>
          <w:p w14:paraId="29B961AE">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dB(A)</w:t>
            </w:r>
          </w:p>
        </w:tc>
        <w:tc>
          <w:tcPr>
            <w:tcW w:w="726" w:type="pct"/>
            <w:shd w:val="clear" w:color="auto" w:fill="auto"/>
            <w:vAlign w:val="center"/>
          </w:tcPr>
          <w:p w14:paraId="0EA93ED0">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47.2</w:t>
            </w:r>
          </w:p>
        </w:tc>
        <w:tc>
          <w:tcPr>
            <w:tcW w:w="728" w:type="pct"/>
            <w:shd w:val="clear" w:color="auto" w:fill="auto"/>
            <w:vAlign w:val="center"/>
          </w:tcPr>
          <w:p w14:paraId="2957B47F">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20.0</w:t>
            </w:r>
          </w:p>
        </w:tc>
        <w:tc>
          <w:tcPr>
            <w:tcW w:w="726" w:type="pct"/>
            <w:shd w:val="clear" w:color="auto" w:fill="auto"/>
            <w:vAlign w:val="center"/>
          </w:tcPr>
          <w:p w14:paraId="050B8253">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43.3</w:t>
            </w:r>
          </w:p>
        </w:tc>
        <w:tc>
          <w:tcPr>
            <w:tcW w:w="728" w:type="pct"/>
            <w:shd w:val="clear" w:color="auto" w:fill="auto"/>
            <w:vAlign w:val="center"/>
          </w:tcPr>
          <w:p w14:paraId="3F052210">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31.4</w:t>
            </w:r>
          </w:p>
        </w:tc>
      </w:tr>
      <w:tr w14:paraId="21D4C1A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11" w:type="pct"/>
            <w:shd w:val="clear" w:color="auto" w:fill="auto"/>
            <w:vAlign w:val="center"/>
          </w:tcPr>
          <w:p w14:paraId="6DE8DF10">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w:t>
            </w:r>
            <w:r>
              <w:rPr>
                <w:rFonts w:hint="eastAsia" w:ascii="Times New Roman" w:hAnsi="Times New Roman" w:eastAsia="宋体"/>
                <w:snapToGrid w:val="0"/>
                <w:color w:val="000000" w:themeColor="text1"/>
                <w:kern w:val="0"/>
                <w:lang w:val="en-US" w:eastAsia="zh-CN"/>
                <w14:textFill>
                  <w14:solidFill>
                    <w14:schemeClr w14:val="tx1"/>
                  </w14:solidFill>
                </w14:textFill>
              </w:rPr>
              <w:t>N5</w:t>
            </w:r>
          </w:p>
        </w:tc>
        <w:tc>
          <w:tcPr>
            <w:tcW w:w="1077" w:type="pct"/>
            <w:shd w:val="clear" w:color="auto" w:fill="auto"/>
            <w:vAlign w:val="center"/>
          </w:tcPr>
          <w:p w14:paraId="64DF3452">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东北侧敏感点</w:t>
            </w:r>
          </w:p>
        </w:tc>
        <w:tc>
          <w:tcPr>
            <w:tcW w:w="601" w:type="pct"/>
            <w:shd w:val="clear" w:color="auto" w:fill="auto"/>
            <w:vAlign w:val="center"/>
          </w:tcPr>
          <w:p w14:paraId="2A69A8AC">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default" w:ascii="Times New Roman" w:hAnsi="Times New Roman" w:eastAsia="宋体"/>
                <w:snapToGrid w:val="0"/>
                <w:color w:val="000000" w:themeColor="text1"/>
                <w:kern w:val="0"/>
                <w:lang w:val="en-US" w:eastAsia="zh-CN"/>
                <w14:textFill>
                  <w14:solidFill>
                    <w14:schemeClr w14:val="tx1"/>
                  </w14:solidFill>
                </w14:textFill>
              </w:rPr>
              <w:t>dB(A)</w:t>
            </w:r>
          </w:p>
        </w:tc>
        <w:tc>
          <w:tcPr>
            <w:tcW w:w="726" w:type="pct"/>
            <w:shd w:val="clear" w:color="auto" w:fill="auto"/>
            <w:vAlign w:val="center"/>
          </w:tcPr>
          <w:p w14:paraId="6605E6A7">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47.5</w:t>
            </w:r>
          </w:p>
        </w:tc>
        <w:tc>
          <w:tcPr>
            <w:tcW w:w="728" w:type="pct"/>
            <w:shd w:val="clear" w:color="auto" w:fill="auto"/>
            <w:vAlign w:val="center"/>
          </w:tcPr>
          <w:p w14:paraId="7830E75D">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46.4</w:t>
            </w:r>
          </w:p>
        </w:tc>
        <w:tc>
          <w:tcPr>
            <w:tcW w:w="726" w:type="pct"/>
            <w:shd w:val="clear" w:color="auto" w:fill="auto"/>
            <w:vAlign w:val="center"/>
          </w:tcPr>
          <w:p w14:paraId="0484A71D">
            <w:pPr>
              <w:pStyle w:val="143"/>
              <w:rPr>
                <w:rFonts w:hint="eastAsia"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44.1</w:t>
            </w:r>
          </w:p>
        </w:tc>
        <w:tc>
          <w:tcPr>
            <w:tcW w:w="728" w:type="pct"/>
            <w:shd w:val="clear" w:color="auto" w:fill="auto"/>
            <w:vAlign w:val="center"/>
          </w:tcPr>
          <w:p w14:paraId="3730080E">
            <w:pPr>
              <w:pStyle w:val="143"/>
              <w:rPr>
                <w:rFonts w:hint="default" w:ascii="Times New Roman" w:hAnsi="Times New Roman" w:eastAsia="宋体"/>
                <w:snapToGrid w:val="0"/>
                <w:color w:val="000000" w:themeColor="text1"/>
                <w:kern w:val="0"/>
                <w:lang w:val="en-US" w:eastAsia="zh-CN"/>
                <w14:textFill>
                  <w14:solidFill>
                    <w14:schemeClr w14:val="tx1"/>
                  </w14:solidFill>
                </w14:textFill>
              </w:rPr>
            </w:pPr>
            <w:r>
              <w:rPr>
                <w:rFonts w:hint="eastAsia" w:ascii="Times New Roman" w:hAnsi="Times New Roman" w:eastAsia="宋体"/>
                <w:snapToGrid w:val="0"/>
                <w:color w:val="000000" w:themeColor="text1"/>
                <w:kern w:val="0"/>
                <w:lang w:val="en-US" w:eastAsia="zh-CN"/>
                <w14:textFill>
                  <w14:solidFill>
                    <w14:schemeClr w14:val="tx1"/>
                  </w14:solidFill>
                </w14:textFill>
              </w:rPr>
              <w:t>31.1</w:t>
            </w:r>
          </w:p>
        </w:tc>
      </w:tr>
    </w:tbl>
    <w:p w14:paraId="1BA9A43B">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4.2.4.2声环境质量现状评价</w:t>
      </w:r>
    </w:p>
    <w:p w14:paraId="560E3BD5">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lang w:val="zh-CN"/>
          <w14:textFill>
            <w14:solidFill>
              <w14:schemeClr w14:val="tx1"/>
            </w14:solidFill>
          </w14:textFill>
        </w:rPr>
        <w:t>（1）评价因子</w:t>
      </w:r>
    </w:p>
    <w:p w14:paraId="7B1A3065">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lang w:val="zh-CN"/>
          <w14:textFill>
            <w14:solidFill>
              <w14:schemeClr w14:val="tx1"/>
            </w14:solidFill>
          </w14:textFill>
        </w:rPr>
        <w:t>选择等效连续A声级Leq（A）为本建设项目环境噪声的评价因子。</w:t>
      </w:r>
    </w:p>
    <w:p w14:paraId="36BF809D">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lang w:val="zh-CN"/>
          <w14:textFill>
            <w14:solidFill>
              <w14:schemeClr w14:val="tx1"/>
            </w14:solidFill>
          </w14:textFill>
        </w:rPr>
        <w:t>（2）评价方法</w:t>
      </w:r>
    </w:p>
    <w:p w14:paraId="6BB5CC7E">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lang w:val="zh-CN"/>
          <w14:textFill>
            <w14:solidFill>
              <w14:schemeClr w14:val="tx1"/>
            </w14:solidFill>
          </w14:textFill>
        </w:rPr>
        <w:t>直接比较法。</w:t>
      </w:r>
    </w:p>
    <w:p w14:paraId="3872E639">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lang w:val="zh-CN"/>
          <w14:textFill>
            <w14:solidFill>
              <w14:schemeClr w14:val="tx1"/>
            </w14:solidFill>
          </w14:textFill>
        </w:rPr>
        <w:t>（3）评价标准</w:t>
      </w:r>
    </w:p>
    <w:p w14:paraId="5D48B948">
      <w:pPr>
        <w:spacing w:line="480" w:lineRule="exact"/>
        <w:ind w:firstLine="480" w:firstLineChars="200"/>
        <w:rPr>
          <w:rFonts w:hint="default" w:ascii="Times New Roman" w:hAnsi="Times New Roman" w:eastAsia="宋体" w:cs="Times New Roman"/>
          <w:sz w:val="24"/>
          <w:lang w:val="en-US" w:eastAsia="zh-CN"/>
        </w:rPr>
      </w:pPr>
      <w:r>
        <w:rPr>
          <w:rFonts w:hint="eastAsia" w:cs="Times New Roman"/>
          <w:sz w:val="24"/>
          <w:lang w:val="en-US" w:eastAsia="zh-CN"/>
        </w:rPr>
        <w:t>东侧、南侧、北侧</w:t>
      </w:r>
      <w:r>
        <w:rPr>
          <w:rFonts w:hint="eastAsia" w:ascii="Times New Roman" w:hAnsi="Times New Roman" w:eastAsia="宋体" w:cs="Times New Roman"/>
          <w:sz w:val="24"/>
          <w:lang w:val="en-US" w:eastAsia="zh-CN"/>
        </w:rPr>
        <w:t>厂界执行</w:t>
      </w:r>
      <w:r>
        <w:rPr>
          <w:rFonts w:ascii="Times New Roman" w:hAnsi="Times New Roman" w:eastAsia="宋体" w:cs="Times New Roman"/>
          <w:sz w:val="24"/>
        </w:rPr>
        <w:t>《声环境质量标准》（GB3096-2008）中的3类</w:t>
      </w:r>
      <w:r>
        <w:rPr>
          <w:rFonts w:hint="eastAsia" w:ascii="Times New Roman" w:hAnsi="Times New Roman" w:eastAsia="宋体" w:cs="Times New Roman"/>
          <w:sz w:val="24"/>
          <w:lang w:val="en-US" w:eastAsia="zh-CN"/>
        </w:rPr>
        <w:t>标准，</w:t>
      </w:r>
      <w:r>
        <w:rPr>
          <w:rFonts w:hint="eastAsia" w:cs="Times New Roman"/>
          <w:sz w:val="24"/>
          <w:lang w:val="en-US" w:eastAsia="zh-CN"/>
        </w:rPr>
        <w:t>西侧</w:t>
      </w:r>
      <w:r>
        <w:rPr>
          <w:rFonts w:hint="eastAsia" w:ascii="Times New Roman" w:hAnsi="Times New Roman" w:eastAsia="宋体" w:cs="Times New Roman"/>
          <w:sz w:val="24"/>
          <w:lang w:val="en-US" w:eastAsia="zh-CN"/>
        </w:rPr>
        <w:t>厂界执行</w:t>
      </w:r>
      <w:r>
        <w:rPr>
          <w:rFonts w:ascii="Times New Roman" w:hAnsi="Times New Roman" w:eastAsia="宋体" w:cs="Times New Roman"/>
          <w:sz w:val="24"/>
        </w:rPr>
        <w:t>《声环境质量标准》（GB3096-2008）中的</w:t>
      </w:r>
      <w:r>
        <w:rPr>
          <w:rFonts w:hint="eastAsia" w:cs="Times New Roman"/>
          <w:sz w:val="24"/>
          <w:lang w:val="en-US" w:eastAsia="zh-CN"/>
        </w:rPr>
        <w:t>4a</w:t>
      </w:r>
      <w:r>
        <w:rPr>
          <w:rFonts w:ascii="Times New Roman" w:hAnsi="Times New Roman" w:eastAsia="宋体" w:cs="Times New Roman"/>
          <w:sz w:val="24"/>
        </w:rPr>
        <w:t>类</w:t>
      </w:r>
      <w:r>
        <w:rPr>
          <w:rFonts w:hint="eastAsia" w:ascii="Times New Roman" w:hAnsi="Times New Roman" w:eastAsia="宋体" w:cs="Times New Roman"/>
          <w:sz w:val="24"/>
          <w:lang w:val="en-US" w:eastAsia="zh-CN"/>
        </w:rPr>
        <w:t>标准，东北侧敏感点执行</w:t>
      </w:r>
      <w:r>
        <w:rPr>
          <w:rFonts w:ascii="Times New Roman" w:hAnsi="Times New Roman" w:eastAsia="宋体" w:cs="Times New Roman"/>
          <w:sz w:val="24"/>
        </w:rPr>
        <w:t>《声环境质量标准》（GB3096-2008）中的</w:t>
      </w:r>
      <w:r>
        <w:rPr>
          <w:rFonts w:hint="eastAsia" w:ascii="Times New Roman" w:hAnsi="Times New Roman" w:eastAsia="宋体" w:cs="Times New Roman"/>
          <w:sz w:val="24"/>
          <w:lang w:val="en-US" w:eastAsia="zh-CN"/>
        </w:rPr>
        <w:t>2</w:t>
      </w:r>
      <w:r>
        <w:rPr>
          <w:rFonts w:ascii="Times New Roman" w:hAnsi="Times New Roman" w:eastAsia="宋体" w:cs="Times New Roman"/>
          <w:sz w:val="24"/>
        </w:rPr>
        <w:t>类</w:t>
      </w:r>
      <w:r>
        <w:rPr>
          <w:rFonts w:hint="eastAsia" w:ascii="Times New Roman" w:hAnsi="Times New Roman" w:eastAsia="宋体" w:cs="Times New Roman"/>
          <w:sz w:val="24"/>
          <w:lang w:val="en-US" w:eastAsia="zh-CN"/>
        </w:rPr>
        <w:t>标准。</w:t>
      </w:r>
    </w:p>
    <w:p w14:paraId="5FFA2890">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lang w:val="zh-CN"/>
          <w14:textFill>
            <w14:solidFill>
              <w14:schemeClr w14:val="tx1"/>
            </w14:solidFill>
          </w14:textFill>
        </w:rPr>
        <w:t>（4）评价结论</w:t>
      </w:r>
    </w:p>
    <w:p w14:paraId="6C3EADBC">
      <w:pPr>
        <w:spacing w:line="480" w:lineRule="exact"/>
        <w:ind w:firstLine="480" w:firstLineChars="200"/>
        <w:rPr>
          <w:rFonts w:hint="default" w:ascii="Times New Roman" w:hAnsi="Times New Roman" w:eastAsia="宋体" w:cs="Times New Roman"/>
          <w:sz w:val="24"/>
          <w:lang w:val="en-US" w:eastAsia="zh-CN"/>
        </w:rPr>
      </w:pPr>
      <w:r>
        <w:rPr>
          <w:snapToGrid w:val="0"/>
          <w:color w:val="000000" w:themeColor="text1"/>
          <w:kern w:val="0"/>
          <w:lang w:val="zh-CN"/>
          <w14:textFill>
            <w14:solidFill>
              <w14:schemeClr w14:val="tx1"/>
            </w14:solidFill>
          </w14:textFill>
        </w:rPr>
        <w:t>将环境噪声现状监测结果与标准比较，</w:t>
      </w:r>
      <w:r>
        <w:rPr>
          <w:rFonts w:hint="eastAsia" w:cs="Times New Roman"/>
          <w:sz w:val="24"/>
          <w:lang w:val="en-US" w:eastAsia="zh-CN"/>
        </w:rPr>
        <w:t>东侧、南侧、北侧</w:t>
      </w:r>
      <w:r>
        <w:rPr>
          <w:rFonts w:hint="eastAsia" w:ascii="Times New Roman" w:hAnsi="Times New Roman" w:eastAsia="宋体" w:cs="Times New Roman"/>
          <w:sz w:val="24"/>
          <w:lang w:val="en-US" w:eastAsia="zh-CN"/>
        </w:rPr>
        <w:t>厂界</w:t>
      </w:r>
      <w:r>
        <w:rPr>
          <w:rFonts w:hint="eastAsia" w:cs="Times New Roman"/>
          <w:sz w:val="24"/>
          <w:lang w:val="en-US" w:eastAsia="zh-CN"/>
        </w:rPr>
        <w:t>满足</w:t>
      </w:r>
      <w:r>
        <w:rPr>
          <w:rFonts w:ascii="Times New Roman" w:hAnsi="Times New Roman" w:eastAsia="宋体" w:cs="Times New Roman"/>
          <w:sz w:val="24"/>
        </w:rPr>
        <w:t>《声环境质量标准》（GB3096-2008）中的3类</w:t>
      </w:r>
      <w:r>
        <w:rPr>
          <w:rFonts w:hint="eastAsia" w:ascii="Times New Roman" w:hAnsi="Times New Roman" w:eastAsia="宋体" w:cs="Times New Roman"/>
          <w:sz w:val="24"/>
          <w:lang w:val="en-US" w:eastAsia="zh-CN"/>
        </w:rPr>
        <w:t>标准，</w:t>
      </w:r>
      <w:r>
        <w:rPr>
          <w:rFonts w:hint="eastAsia" w:cs="Times New Roman"/>
          <w:sz w:val="24"/>
          <w:lang w:val="en-US" w:eastAsia="zh-CN"/>
        </w:rPr>
        <w:t>西侧</w:t>
      </w:r>
      <w:r>
        <w:rPr>
          <w:rFonts w:hint="eastAsia" w:ascii="Times New Roman" w:hAnsi="Times New Roman" w:eastAsia="宋体" w:cs="Times New Roman"/>
          <w:sz w:val="24"/>
          <w:lang w:val="en-US" w:eastAsia="zh-CN"/>
        </w:rPr>
        <w:t>厂界</w:t>
      </w:r>
      <w:r>
        <w:rPr>
          <w:rFonts w:hint="eastAsia" w:cs="Times New Roman"/>
          <w:sz w:val="24"/>
          <w:lang w:val="en-US" w:eastAsia="zh-CN"/>
        </w:rPr>
        <w:t>满足</w:t>
      </w:r>
      <w:r>
        <w:rPr>
          <w:rFonts w:ascii="Times New Roman" w:hAnsi="Times New Roman" w:eastAsia="宋体" w:cs="Times New Roman"/>
          <w:sz w:val="24"/>
        </w:rPr>
        <w:t>《声环境质量标准》（GB3096-2008）中的</w:t>
      </w:r>
      <w:r>
        <w:rPr>
          <w:rFonts w:hint="eastAsia" w:cs="Times New Roman"/>
          <w:sz w:val="24"/>
          <w:lang w:val="en-US" w:eastAsia="zh-CN"/>
        </w:rPr>
        <w:t>4a</w:t>
      </w:r>
      <w:r>
        <w:rPr>
          <w:rFonts w:ascii="Times New Roman" w:hAnsi="Times New Roman" w:eastAsia="宋体" w:cs="Times New Roman"/>
          <w:sz w:val="24"/>
        </w:rPr>
        <w:t>类</w:t>
      </w:r>
      <w:r>
        <w:rPr>
          <w:rFonts w:hint="eastAsia" w:ascii="Times New Roman" w:hAnsi="Times New Roman" w:eastAsia="宋体" w:cs="Times New Roman"/>
          <w:sz w:val="24"/>
          <w:lang w:val="en-US" w:eastAsia="zh-CN"/>
        </w:rPr>
        <w:t>标准，东北侧敏感点</w:t>
      </w:r>
      <w:r>
        <w:rPr>
          <w:rFonts w:hint="eastAsia" w:cs="Times New Roman"/>
          <w:sz w:val="24"/>
          <w:lang w:val="en-US" w:eastAsia="zh-CN"/>
        </w:rPr>
        <w:t>噪声</w:t>
      </w:r>
      <w:r>
        <w:rPr>
          <w:rFonts w:hint="eastAsia" w:ascii="Times New Roman" w:hAnsi="Times New Roman" w:eastAsia="宋体" w:cs="Times New Roman"/>
          <w:sz w:val="24"/>
          <w:lang w:val="en-US" w:eastAsia="zh-CN"/>
        </w:rPr>
        <w:t>满足</w:t>
      </w:r>
      <w:r>
        <w:rPr>
          <w:rFonts w:ascii="Times New Roman" w:hAnsi="Times New Roman" w:eastAsia="宋体" w:cs="Times New Roman"/>
          <w:sz w:val="24"/>
        </w:rPr>
        <w:t>《声环境质量标准》（GB3096-2008）中的</w:t>
      </w:r>
      <w:r>
        <w:rPr>
          <w:rFonts w:hint="eastAsia" w:ascii="Times New Roman" w:hAnsi="Times New Roman" w:eastAsia="宋体" w:cs="Times New Roman"/>
          <w:sz w:val="24"/>
          <w:lang w:val="en-US" w:eastAsia="zh-CN"/>
        </w:rPr>
        <w:t>2</w:t>
      </w:r>
      <w:r>
        <w:rPr>
          <w:rFonts w:ascii="Times New Roman" w:hAnsi="Times New Roman" w:eastAsia="宋体" w:cs="Times New Roman"/>
          <w:sz w:val="24"/>
        </w:rPr>
        <w:t>类</w:t>
      </w:r>
      <w:r>
        <w:rPr>
          <w:rFonts w:hint="eastAsia" w:ascii="Times New Roman" w:hAnsi="Times New Roman" w:eastAsia="宋体" w:cs="Times New Roman"/>
          <w:sz w:val="24"/>
          <w:lang w:val="en-US" w:eastAsia="zh-CN"/>
        </w:rPr>
        <w:t>标准限值要求。</w:t>
      </w:r>
    </w:p>
    <w:p w14:paraId="78132E3B">
      <w:pPr>
        <w:pStyle w:val="6"/>
        <w:rPr>
          <w:snapToGrid w:val="0"/>
          <w:color w:val="000000" w:themeColor="text1"/>
          <w14:textFill>
            <w14:solidFill>
              <w14:schemeClr w14:val="tx1"/>
            </w14:solidFill>
          </w14:textFill>
        </w:rPr>
      </w:pPr>
      <w:bookmarkStart w:id="239" w:name="_Toc7575"/>
      <w:r>
        <w:rPr>
          <w:rFonts w:hint="eastAsia"/>
          <w:snapToGrid w:val="0"/>
          <w:color w:val="000000" w:themeColor="text1"/>
          <w14:textFill>
            <w14:solidFill>
              <w14:schemeClr w14:val="tx1"/>
            </w14:solidFill>
          </w14:textFill>
        </w:rPr>
        <w:t>4.2.</w:t>
      </w:r>
      <w:r>
        <w:rPr>
          <w:snapToGrid w:val="0"/>
          <w:color w:val="000000" w:themeColor="text1"/>
          <w14:textFill>
            <w14:solidFill>
              <w14:schemeClr w14:val="tx1"/>
            </w14:solidFill>
          </w14:textFill>
        </w:rPr>
        <w:t>5</w:t>
      </w:r>
      <w:r>
        <w:rPr>
          <w:rFonts w:hint="eastAsia"/>
          <w:snapToGrid w:val="0"/>
          <w:color w:val="000000" w:themeColor="text1"/>
          <w14:textFill>
            <w14:solidFill>
              <w14:schemeClr w14:val="tx1"/>
            </w14:solidFill>
          </w14:textFill>
        </w:rPr>
        <w:t>生态环境现状调查</w:t>
      </w:r>
      <w:bookmarkEnd w:id="239"/>
    </w:p>
    <w:p w14:paraId="5DC85FFA">
      <w:pPr>
        <w:pageBreakBefore w:val="0"/>
        <w:widowControl w:val="0"/>
        <w:kinsoku/>
        <w:wordWrap/>
        <w:overflowPunct/>
        <w:topLinePunct w:val="0"/>
        <w:autoSpaceDE/>
        <w:autoSpaceDN/>
        <w:bidi w:val="0"/>
        <w:snapToGrid/>
        <w:spacing w:line="500" w:lineRule="exact"/>
        <w:ind w:firstLine="480" w:firstLineChars="200"/>
        <w:textAlignment w:val="auto"/>
        <w:rPr>
          <w:color w:val="000000" w:themeColor="text1"/>
          <w14:textFill>
            <w14:solidFill>
              <w14:schemeClr w14:val="tx1"/>
            </w14:solidFill>
          </w14:textFill>
        </w:rPr>
      </w:pPr>
      <w:r>
        <w:rPr>
          <w:rFonts w:hint="eastAsia" w:ascii="Times New Roman" w:eastAsia="宋体"/>
          <w:color w:val="auto"/>
          <w:highlight w:val="none"/>
          <w:lang w:val="en-US" w:eastAsia="zh-CN"/>
        </w:rPr>
        <w:t>本项目拟建于桦</w:t>
      </w:r>
      <w:r>
        <w:rPr>
          <w:rFonts w:hint="eastAsia"/>
          <w:color w:val="auto"/>
          <w:highlight w:val="none"/>
          <w:lang w:val="en-US" w:eastAsia="zh-CN"/>
        </w:rPr>
        <w:t>南县</w:t>
      </w:r>
      <w:r>
        <w:rPr>
          <w:rFonts w:hint="eastAsia" w:ascii="Times New Roman" w:eastAsia="宋体"/>
          <w:color w:val="auto"/>
          <w:highlight w:val="none"/>
          <w:lang w:val="en-US" w:eastAsia="zh-CN"/>
        </w:rPr>
        <w:t>经济开发区，项目用地为工业用地，项目区企业居多。</w:t>
      </w:r>
      <w:r>
        <w:rPr>
          <w:rFonts w:hint="eastAsia"/>
          <w:color w:val="000000" w:themeColor="text1"/>
          <w14:textFill>
            <w14:solidFill>
              <w14:schemeClr w14:val="tx1"/>
            </w14:solidFill>
          </w14:textFill>
        </w:rPr>
        <w:t>经调查，本项目所在地区没有野生动物保护品种，也未发现濒危、珍惜动物栖息场所，区域内无国家、省、市级自然保护区、风景名胜区等保护目标，区域整体生态环境质量较好。</w:t>
      </w:r>
    </w:p>
    <w:p w14:paraId="0034BC9A">
      <w:pPr>
        <w:pStyle w:val="5"/>
        <w:rPr>
          <w:snapToGrid w:val="0"/>
          <w:color w:val="000000" w:themeColor="text1"/>
          <w:highlight w:val="none"/>
          <w14:textFill>
            <w14:solidFill>
              <w14:schemeClr w14:val="tx1"/>
            </w14:solidFill>
          </w14:textFill>
        </w:rPr>
      </w:pPr>
      <w:bookmarkStart w:id="240" w:name="_Toc626"/>
      <w:bookmarkStart w:id="241" w:name="_Toc519610352"/>
      <w:r>
        <w:rPr>
          <w:rFonts w:hint="eastAsia"/>
          <w:snapToGrid w:val="0"/>
          <w:color w:val="000000" w:themeColor="text1"/>
          <w:highlight w:val="none"/>
          <w14:textFill>
            <w14:solidFill>
              <w14:schemeClr w14:val="tx1"/>
            </w14:solidFill>
          </w14:textFill>
        </w:rPr>
        <w:t>4.3区域污染源</w:t>
      </w:r>
      <w:r>
        <w:rPr>
          <w:snapToGrid w:val="0"/>
          <w:color w:val="000000" w:themeColor="text1"/>
          <w:highlight w:val="none"/>
          <w14:textFill>
            <w14:solidFill>
              <w14:schemeClr w14:val="tx1"/>
            </w14:solidFill>
          </w14:textFill>
        </w:rPr>
        <w:t>调查</w:t>
      </w:r>
      <w:bookmarkEnd w:id="240"/>
      <w:bookmarkEnd w:id="241"/>
    </w:p>
    <w:p w14:paraId="2CA691E0">
      <w:pPr>
        <w:pStyle w:val="85"/>
        <w:rPr>
          <w:snapToGrid w:val="0"/>
          <w:color w:val="000000" w:themeColor="text1"/>
          <w14:textFill>
            <w14:solidFill>
              <w14:schemeClr w14:val="tx1"/>
            </w14:solidFill>
          </w14:textFill>
        </w:rPr>
      </w:pPr>
      <w:bookmarkStart w:id="242" w:name="_Toc519610353"/>
      <w:r>
        <w:rPr>
          <w:rFonts w:hint="eastAsia"/>
          <w:snapToGrid w:val="0"/>
          <w:color w:val="000000" w:themeColor="text1"/>
          <w:lang w:val="en-US" w:eastAsia="zh-CN"/>
          <w14:textFill>
            <w14:solidFill>
              <w14:schemeClr w14:val="tx1"/>
            </w14:solidFill>
          </w14:textFill>
        </w:rPr>
        <w:t>选择建设项目常规污染因子和特征污染因子、影响评价区环境质量的主要污染因子和特殊污染因子作为主要调查对象。</w:t>
      </w:r>
      <w:r>
        <w:rPr>
          <w:rFonts w:hint="eastAsia"/>
          <w:snapToGrid w:val="0"/>
          <w:color w:val="000000" w:themeColor="text1"/>
          <w14:textFill>
            <w14:solidFill>
              <w14:schemeClr w14:val="tx1"/>
            </w14:solidFill>
          </w14:textFill>
        </w:rPr>
        <w:t>经调查，本项目选址位于</w:t>
      </w:r>
      <w:r>
        <w:rPr>
          <w:rFonts w:hint="eastAsia"/>
          <w:snapToGrid w:val="0"/>
          <w:color w:val="000000" w:themeColor="text1"/>
          <w:lang w:eastAsia="zh-CN"/>
          <w14:textFill>
            <w14:solidFill>
              <w14:schemeClr w14:val="tx1"/>
            </w14:solidFill>
          </w14:textFill>
        </w:rPr>
        <w:t>黑龙江省佳木斯市桦南县经济开发区兴企路东园兴街北</w:t>
      </w:r>
      <w:r>
        <w:rPr>
          <w:rFonts w:hint="eastAsia"/>
          <w:snapToGrid w:val="0"/>
          <w:color w:val="000000" w:themeColor="text1"/>
          <w14:textFill>
            <w14:solidFill>
              <w14:schemeClr w14:val="tx1"/>
            </w14:solidFill>
          </w14:textFill>
        </w:rPr>
        <w:t>，本项目排放的废气污染因子包括P</w:t>
      </w:r>
      <w:r>
        <w:rPr>
          <w:snapToGrid w:val="0"/>
          <w:color w:val="000000" w:themeColor="text1"/>
          <w14:textFill>
            <w14:solidFill>
              <w14:schemeClr w14:val="tx1"/>
            </w14:solidFill>
          </w14:textFill>
        </w:rPr>
        <w:t>M</w:t>
      </w:r>
      <w:r>
        <w:rPr>
          <w:snapToGrid w:val="0"/>
          <w:color w:val="000000" w:themeColor="text1"/>
          <w:vertAlign w:val="subscript"/>
          <w14:textFill>
            <w14:solidFill>
              <w14:schemeClr w14:val="tx1"/>
            </w14:solidFill>
          </w14:textFill>
        </w:rPr>
        <w:t>10</w:t>
      </w:r>
      <w:r>
        <w:rPr>
          <w:rFonts w:hint="eastAsia"/>
          <w:snapToGrid w:val="0"/>
          <w:color w:val="000000" w:themeColor="text1"/>
          <w14:textFill>
            <w14:solidFill>
              <w14:schemeClr w14:val="tx1"/>
            </w14:solidFill>
          </w14:textFill>
        </w:rPr>
        <w:t>、S</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、N</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X</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TSP、</w:t>
      </w:r>
      <w:r>
        <w:rPr>
          <w:rFonts w:hint="eastAsia"/>
          <w:snapToGrid w:val="0"/>
          <w:color w:val="000000" w:themeColor="text1"/>
          <w14:textFill>
            <w14:solidFill>
              <w14:schemeClr w14:val="tx1"/>
            </w14:solidFill>
          </w14:textFill>
        </w:rPr>
        <w:t>NH</w:t>
      </w:r>
      <w:r>
        <w:rPr>
          <w:rFonts w:hint="eastAsia"/>
          <w:snapToGrid w:val="0"/>
          <w:color w:val="000000" w:themeColor="text1"/>
          <w:vertAlign w:val="subscript"/>
          <w14:textFill>
            <w14:solidFill>
              <w14:schemeClr w14:val="tx1"/>
            </w14:solidFill>
          </w14:textFill>
        </w:rPr>
        <w:t>3</w:t>
      </w:r>
      <w:r>
        <w:rPr>
          <w:rFonts w:hint="eastAsia"/>
          <w:snapToGrid w:val="0"/>
          <w:color w:val="000000" w:themeColor="text1"/>
          <w14:textFill>
            <w14:solidFill>
              <w14:schemeClr w14:val="tx1"/>
            </w14:solidFill>
          </w14:textFill>
        </w:rPr>
        <w:t>、H</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S、臭气浓度等；废水污染因子包括化学需氧量、氨氮等。本次评价以本项目排放常规污染因子、特征污染因子、影响评价区环境质量的主要污染因子和特征污染因子作为主要调查对象，根据调查，项目周边无其他已建、在建和拟建的同行业企业污染源。根据《</w:t>
      </w:r>
      <w:r>
        <w:rPr>
          <w:rFonts w:hint="eastAsia"/>
          <w:snapToGrid w:val="0"/>
          <w:color w:val="000000" w:themeColor="text1"/>
          <w:lang w:eastAsia="zh-CN"/>
          <w14:textFill>
            <w14:solidFill>
              <w14:schemeClr w14:val="tx1"/>
            </w14:solidFill>
          </w14:textFill>
        </w:rPr>
        <w:t>黑龙江桦南经济开发区总体规划（2021-2035 年）环境影响报告书</w:t>
      </w:r>
      <w:r>
        <w:rPr>
          <w:rFonts w:hint="eastAsia"/>
          <w:snapToGrid w:val="0"/>
          <w:color w:val="000000" w:themeColor="text1"/>
          <w14:textFill>
            <w14:solidFill>
              <w14:schemeClr w14:val="tx1"/>
            </w14:solidFill>
          </w14:textFill>
        </w:rPr>
        <w:t>》及其审查意见，本项目区域污染源调查情况如下表。</w:t>
      </w:r>
    </w:p>
    <w:p w14:paraId="47D96883">
      <w:pPr>
        <w:pStyle w:val="85"/>
        <w:rPr>
          <w:snapToGrid w:val="0"/>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3A23FCB6">
      <w:pPr>
        <w:pStyle w:val="206"/>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表4</w:t>
      </w:r>
      <w:r>
        <w:rPr>
          <w:snapToGrid w:val="0"/>
          <w:color w:val="000000" w:themeColor="text1"/>
          <w:lang w:eastAsia="zh-CN"/>
          <w14:textFill>
            <w14:solidFill>
              <w14:schemeClr w14:val="tx1"/>
            </w14:solidFill>
          </w14:textFill>
        </w:rPr>
        <w:t xml:space="preserve">-3-1 </w:t>
      </w:r>
      <w:r>
        <w:rPr>
          <w:rFonts w:hint="eastAsia"/>
          <w:snapToGrid w:val="0"/>
          <w:color w:val="000000" w:themeColor="text1"/>
          <w:lang w:eastAsia="zh-CN"/>
          <w14:textFill>
            <w14:solidFill>
              <w14:schemeClr w14:val="tx1"/>
            </w14:solidFill>
          </w14:textFill>
        </w:rPr>
        <w:t>区域污染源调查情况一览表</w:t>
      </w:r>
    </w:p>
    <w:tbl>
      <w:tblPr>
        <w:tblStyle w:val="49"/>
        <w:tblW w:w="46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48"/>
        <w:gridCol w:w="5253"/>
        <w:gridCol w:w="1543"/>
        <w:gridCol w:w="5668"/>
      </w:tblGrid>
      <w:tr w14:paraId="415FA5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blHeader/>
          <w:jc w:val="center"/>
        </w:trPr>
        <w:tc>
          <w:tcPr>
            <w:tcW w:w="247" w:type="pct"/>
            <w:vAlign w:val="center"/>
          </w:tcPr>
          <w:p w14:paraId="215A7754">
            <w:pPr>
              <w:pStyle w:val="143"/>
              <w:rPr>
                <w:snapToGrid w:val="0"/>
                <w:color w:val="000000" w:themeColor="text1"/>
                <w:lang w:val="en-US"/>
                <w14:textFill>
                  <w14:solidFill>
                    <w14:schemeClr w14:val="tx1"/>
                  </w14:solidFill>
                </w14:textFill>
              </w:rPr>
            </w:pPr>
            <w:r>
              <w:rPr>
                <w:snapToGrid w:val="0"/>
                <w:color w:val="000000" w:themeColor="text1"/>
                <w:lang w:val="en-US"/>
                <w14:textFill>
                  <w14:solidFill>
                    <w14:schemeClr w14:val="tx1"/>
                  </w14:solidFill>
                </w14:textFill>
              </w:rPr>
              <w:t>序号</w:t>
            </w:r>
          </w:p>
        </w:tc>
        <w:tc>
          <w:tcPr>
            <w:tcW w:w="2002" w:type="pct"/>
            <w:vAlign w:val="center"/>
          </w:tcPr>
          <w:p w14:paraId="26A09E9E">
            <w:pPr>
              <w:pStyle w:val="143"/>
              <w:rPr>
                <w:snapToGrid w:val="0"/>
                <w:color w:val="000000" w:themeColor="text1"/>
                <w:lang w:val="en-US"/>
                <w14:textFill>
                  <w14:solidFill>
                    <w14:schemeClr w14:val="tx1"/>
                  </w14:solidFill>
                </w14:textFill>
              </w:rPr>
            </w:pPr>
            <w:r>
              <w:rPr>
                <w:snapToGrid w:val="0"/>
                <w:color w:val="000000" w:themeColor="text1"/>
                <w:lang w:val="en-US"/>
                <w14:textFill>
                  <w14:solidFill>
                    <w14:schemeClr w14:val="tx1"/>
                  </w14:solidFill>
                </w14:textFill>
              </w:rPr>
              <w:t>企业名称</w:t>
            </w:r>
          </w:p>
        </w:tc>
        <w:tc>
          <w:tcPr>
            <w:tcW w:w="588" w:type="pct"/>
            <w:vAlign w:val="center"/>
          </w:tcPr>
          <w:p w14:paraId="029C9A57">
            <w:pPr>
              <w:pStyle w:val="143"/>
              <w:rPr>
                <w:snapToGrid w:val="0"/>
                <w:color w:val="000000" w:themeColor="text1"/>
                <w:lang w:val="en-US"/>
                <w14:textFill>
                  <w14:solidFill>
                    <w14:schemeClr w14:val="tx1"/>
                  </w14:solidFill>
                </w14:textFill>
              </w:rPr>
            </w:pPr>
            <w:r>
              <w:rPr>
                <w:snapToGrid w:val="0"/>
                <w:color w:val="000000" w:themeColor="text1"/>
                <w:lang w:val="en-US"/>
                <w14:textFill>
                  <w14:solidFill>
                    <w14:schemeClr w14:val="tx1"/>
                  </w14:solidFill>
                </w14:textFill>
              </w:rPr>
              <w:t>所在园区功能区</w:t>
            </w:r>
          </w:p>
        </w:tc>
        <w:tc>
          <w:tcPr>
            <w:tcW w:w="2160" w:type="pct"/>
            <w:vAlign w:val="center"/>
          </w:tcPr>
          <w:p w14:paraId="4CD9AE2E">
            <w:pPr>
              <w:pStyle w:val="143"/>
              <w:rPr>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主要污染源</w:t>
            </w:r>
          </w:p>
        </w:tc>
      </w:tr>
      <w:tr w14:paraId="45D6F7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47" w:type="pct"/>
            <w:vAlign w:val="center"/>
          </w:tcPr>
          <w:p w14:paraId="0D63C4E1">
            <w:pPr>
              <w:pStyle w:val="143"/>
              <w:rPr>
                <w:snapToGrid w:val="0"/>
                <w:color w:val="000000" w:themeColor="text1"/>
                <w:lang w:val="en-US"/>
                <w14:textFill>
                  <w14:solidFill>
                    <w14:schemeClr w14:val="tx1"/>
                  </w14:solidFill>
                </w14:textFill>
              </w:rPr>
            </w:pPr>
            <w:r>
              <w:rPr>
                <w:snapToGrid w:val="0"/>
                <w:color w:val="000000" w:themeColor="text1"/>
                <w:lang w:val="en-US"/>
                <w14:textFill>
                  <w14:solidFill>
                    <w14:schemeClr w14:val="tx1"/>
                  </w14:solidFill>
                </w14:textFill>
              </w:rPr>
              <w:t>1</w:t>
            </w:r>
          </w:p>
        </w:tc>
        <w:tc>
          <w:tcPr>
            <w:tcW w:w="2002" w:type="pct"/>
            <w:vAlign w:val="center"/>
          </w:tcPr>
          <w:p w14:paraId="478495D9">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黑龙江迪诺</w:t>
            </w:r>
            <w:r>
              <w:rPr>
                <w:rFonts w:hint="eastAsia"/>
                <w:color w:val="000000" w:themeColor="text1"/>
                <w:lang w:val="en-US" w:eastAsia="zh-CN"/>
                <w14:textFill>
                  <w14:solidFill>
                    <w14:schemeClr w14:val="tx1"/>
                  </w14:solidFill>
                </w14:textFill>
              </w:rPr>
              <w:t>医药有限公司</w:t>
            </w:r>
          </w:p>
        </w:tc>
        <w:tc>
          <w:tcPr>
            <w:tcW w:w="588" w:type="pct"/>
            <w:vMerge w:val="restart"/>
            <w:vAlign w:val="center"/>
          </w:tcPr>
          <w:p w14:paraId="3A70A06A">
            <w:pPr>
              <w:pStyle w:val="143"/>
              <w:rPr>
                <w:snapToGrid w:val="0"/>
                <w:color w:val="000000" w:themeColor="text1"/>
                <w:lang w:val="en-US"/>
                <w14:textFill>
                  <w14:solidFill>
                    <w14:schemeClr w14:val="tx1"/>
                  </w14:solidFill>
                </w14:textFill>
              </w:rPr>
            </w:pPr>
            <w:r>
              <w:rPr>
                <w:snapToGrid w:val="0"/>
                <w:color w:val="000000" w:themeColor="text1"/>
                <w:lang w:val="en-US" w:eastAsia="zh-CN"/>
                <w14:textFill>
                  <w14:solidFill>
                    <w14:schemeClr w14:val="tx1"/>
                  </w14:solidFill>
                </w14:textFill>
              </w:rPr>
              <w:t>精细化工</w:t>
            </w:r>
            <w:r>
              <w:rPr>
                <w:rFonts w:hint="eastAsia"/>
                <w:snapToGrid w:val="0"/>
                <w:color w:val="000000" w:themeColor="text1"/>
                <w:lang w:val="en-US" w:eastAsia="zh-CN"/>
                <w14:textFill>
                  <w14:solidFill>
                    <w14:schemeClr w14:val="tx1"/>
                  </w14:solidFill>
                </w14:textFill>
              </w:rPr>
              <w:t>产业区</w:t>
            </w:r>
          </w:p>
        </w:tc>
        <w:tc>
          <w:tcPr>
            <w:tcW w:w="2160" w:type="pct"/>
            <w:vAlign w:val="center"/>
          </w:tcPr>
          <w:p w14:paraId="732CF0A7">
            <w:pPr>
              <w:pStyle w:val="143"/>
              <w:rPr>
                <w:snapToGrid w:val="0"/>
                <w:color w:val="000000" w:themeColor="text1"/>
                <w:lang w:val="en-US"/>
                <w14:textFill>
                  <w14:solidFill>
                    <w14:schemeClr w14:val="tx1"/>
                  </w14:solidFill>
                </w14:textFill>
              </w:rPr>
            </w:pPr>
            <w:r>
              <w:rPr>
                <w:snapToGrid w:val="0"/>
                <w:color w:val="000000" w:themeColor="text1"/>
                <w:lang w:val="en-US" w:eastAsia="zh-CN"/>
                <w14:textFill>
                  <w14:solidFill>
                    <w14:schemeClr w14:val="tx1"/>
                  </w14:solidFill>
                </w14:textFill>
              </w:rPr>
              <w:t>颗粒物、非甲烷总烃、苯系物、苯、氰化氢、氯化氢、氯气、氨和</w:t>
            </w:r>
            <w:r>
              <w:rPr>
                <w:rFonts w:hint="eastAsia"/>
                <w:snapToGrid w:val="0"/>
                <w:color w:val="000000" w:themeColor="text1"/>
                <w:lang w:val="en-US" w:eastAsia="zh-CN"/>
                <w14:textFill>
                  <w14:solidFill>
                    <w14:schemeClr w14:val="tx1"/>
                  </w14:solidFill>
                </w14:textFill>
              </w:rPr>
              <w:t>硫化氢、二氧化硫、氮氧化物、二氯甲烷、三氯甲烷、低盐废水、废气吸收装置排水、工器具及设备冲洗</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水、地面冲洗水、初期污染雨水、质检废水、锅炉排污水、去离子水、食堂废水、生活污水、生活垃圾、锅炉灰渣、废外包装物、废布袋、</w:t>
            </w:r>
            <w:r>
              <w:rPr>
                <w:rFonts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废</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弃反渗透膜、生活垃圾、</w:t>
            </w:r>
            <w:r>
              <w:rPr>
                <w:rFonts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废干燥剂、废润滑油、污水处理站污泥、废内包装物、</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废活性炭、化验室废物、釜残、反应残余物、工艺废液、废树脂、废催化剂、废吸附剂、蒸发析盐装置浓缩盐和白油脱附回收处理系统废液</w:t>
            </w:r>
            <w:r>
              <w:rPr>
                <w:rFonts w:hint="eastAsia"/>
                <w:snapToGrid w:val="0"/>
                <w:color w:val="000000" w:themeColor="text1"/>
                <w:lang w:val="en-US" w:eastAsia="zh-CN"/>
                <w14:textFill>
                  <w14:solidFill>
                    <w14:schemeClr w14:val="tx1"/>
                  </w14:solidFill>
                </w14:textFill>
              </w:rPr>
              <w:t>、设备噪声</w:t>
            </w:r>
          </w:p>
        </w:tc>
      </w:tr>
      <w:tr w14:paraId="7CBE4E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62EA7D53">
            <w:pPr>
              <w:pStyle w:val="143"/>
              <w:rPr>
                <w:snapToGrid w:val="0"/>
                <w:color w:val="000000" w:themeColor="text1"/>
                <w:lang w:val="en-US"/>
                <w14:textFill>
                  <w14:solidFill>
                    <w14:schemeClr w14:val="tx1"/>
                  </w14:solidFill>
                </w14:textFill>
              </w:rPr>
            </w:pPr>
            <w:r>
              <w:rPr>
                <w:snapToGrid w:val="0"/>
                <w:color w:val="000000" w:themeColor="text1"/>
                <w:lang w:val="en-US"/>
                <w14:textFill>
                  <w14:solidFill>
                    <w14:schemeClr w14:val="tx1"/>
                  </w14:solidFill>
                </w14:textFill>
              </w:rPr>
              <w:t>2</w:t>
            </w:r>
          </w:p>
        </w:tc>
        <w:tc>
          <w:tcPr>
            <w:tcW w:w="2002" w:type="pct"/>
            <w:vAlign w:val="center"/>
          </w:tcPr>
          <w:p w14:paraId="58D6C26D">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桦南龙源生物</w:t>
            </w:r>
            <w:r>
              <w:rPr>
                <w:rFonts w:hint="eastAsia"/>
                <w:color w:val="000000" w:themeColor="text1"/>
                <w:lang w:val="en-US" w:eastAsia="zh-CN"/>
                <w14:textFill>
                  <w14:solidFill>
                    <w14:schemeClr w14:val="tx1"/>
                  </w14:solidFill>
                </w14:textFill>
              </w:rPr>
              <w:t>科技有限公司</w:t>
            </w:r>
          </w:p>
        </w:tc>
        <w:tc>
          <w:tcPr>
            <w:tcW w:w="588" w:type="pct"/>
            <w:vMerge w:val="continue"/>
            <w:vAlign w:val="center"/>
          </w:tcPr>
          <w:p w14:paraId="78666466">
            <w:pPr>
              <w:pStyle w:val="143"/>
              <w:rPr>
                <w:snapToGrid w:val="0"/>
                <w:color w:val="000000" w:themeColor="text1"/>
                <w:lang w:val="en-US"/>
                <w14:textFill>
                  <w14:solidFill>
                    <w14:schemeClr w14:val="tx1"/>
                  </w14:solidFill>
                </w14:textFill>
              </w:rPr>
            </w:pPr>
          </w:p>
        </w:tc>
        <w:tc>
          <w:tcPr>
            <w:tcW w:w="2160" w:type="pct"/>
            <w:vAlign w:val="center"/>
          </w:tcPr>
          <w:p w14:paraId="0B269086">
            <w:pPr>
              <w:pStyle w:val="143"/>
              <w:rPr>
                <w:rFonts w:hint="default"/>
                <w:snapToGrid w:val="0"/>
                <w:color w:val="000000" w:themeColor="text1"/>
                <w:lang w:val="en-US"/>
                <w14:textFill>
                  <w14:solidFill>
                    <w14:schemeClr w14:val="tx1"/>
                  </w14:solidFill>
                </w14:textFill>
              </w:rPr>
            </w:pPr>
            <w:r>
              <w:rPr>
                <w:snapToGrid w:val="0"/>
                <w:color w:val="000000" w:themeColor="text1"/>
                <w:lang w:val="en-US" w:eastAsia="zh-CN"/>
                <w14:textFill>
                  <w14:solidFill>
                    <w14:schemeClr w14:val="tx1"/>
                  </w14:solidFill>
                </w14:textFill>
              </w:rPr>
              <w:t>非甲烷</w:t>
            </w:r>
            <w:r>
              <w:rPr>
                <w:rFonts w:hint="eastAsia"/>
                <w:snapToGrid w:val="0"/>
                <w:color w:val="000000" w:themeColor="text1"/>
                <w:lang w:val="en-US" w:eastAsia="zh-CN"/>
                <w14:textFill>
                  <w14:solidFill>
                    <w14:schemeClr w14:val="tx1"/>
                  </w14:solidFill>
                </w14:textFill>
              </w:rPr>
              <w:t>总烃、氨、苯系物、苯、氯化氢、锅炉烟气、臭气浓度、锅炉排污水和软化水、（工艺废水、循环冷却水排水、废气吸收装置排水、地面冲洗水、初期雨水、化验室废水和生活污水）、锅炉灰渣和废外包装物、废布袋、生活垃圾、废催化剂、釜残、废活性炭、废吸附树脂、废滤料、滤渣、污水处理站污泥、废内包装物、化验室废物、废润滑油和废导热油、设备噪声</w:t>
            </w:r>
          </w:p>
        </w:tc>
      </w:tr>
      <w:tr w14:paraId="2412CB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7" w:type="pct"/>
            <w:vAlign w:val="center"/>
          </w:tcPr>
          <w:p w14:paraId="2BC90550">
            <w:pPr>
              <w:pStyle w:val="143"/>
              <w:rPr>
                <w:snapToGrid w:val="0"/>
                <w:color w:val="000000" w:themeColor="text1"/>
                <w:lang w:val="en-US"/>
                <w14:textFill>
                  <w14:solidFill>
                    <w14:schemeClr w14:val="tx1"/>
                  </w14:solidFill>
                </w14:textFill>
              </w:rPr>
            </w:pPr>
            <w:r>
              <w:rPr>
                <w:snapToGrid w:val="0"/>
                <w:color w:val="000000" w:themeColor="text1"/>
                <w:lang w:val="en-US"/>
                <w14:textFill>
                  <w14:solidFill>
                    <w14:schemeClr w14:val="tx1"/>
                  </w14:solidFill>
                </w14:textFill>
              </w:rPr>
              <w:t>3</w:t>
            </w:r>
          </w:p>
        </w:tc>
        <w:tc>
          <w:tcPr>
            <w:tcW w:w="2002" w:type="pct"/>
            <w:vAlign w:val="center"/>
          </w:tcPr>
          <w:p w14:paraId="59DD8B21">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黑龙江永灵</w:t>
            </w:r>
            <w:r>
              <w:rPr>
                <w:rFonts w:hint="eastAsia"/>
                <w:color w:val="000000" w:themeColor="text1"/>
                <w:lang w:val="en-US" w:eastAsia="zh-CN"/>
                <w14:textFill>
                  <w14:solidFill>
                    <w14:schemeClr w14:val="tx1"/>
                  </w14:solidFill>
                </w14:textFill>
              </w:rPr>
              <w:t>航空材料有限公司</w:t>
            </w:r>
          </w:p>
        </w:tc>
        <w:tc>
          <w:tcPr>
            <w:tcW w:w="588" w:type="pct"/>
            <w:vMerge w:val="continue"/>
            <w:vAlign w:val="center"/>
          </w:tcPr>
          <w:p w14:paraId="7AEBD9E1">
            <w:pPr>
              <w:pStyle w:val="143"/>
              <w:rPr>
                <w:snapToGrid w:val="0"/>
                <w:color w:val="000000" w:themeColor="text1"/>
                <w:lang w:val="en-US"/>
                <w14:textFill>
                  <w14:solidFill>
                    <w14:schemeClr w14:val="tx1"/>
                  </w14:solidFill>
                </w14:textFill>
              </w:rPr>
            </w:pPr>
          </w:p>
        </w:tc>
        <w:tc>
          <w:tcPr>
            <w:tcW w:w="2160" w:type="pct"/>
            <w:vAlign w:val="center"/>
          </w:tcPr>
          <w:p w14:paraId="45129256">
            <w:pPr>
              <w:pStyle w:val="143"/>
              <w:rPr>
                <w:snapToGrid w:val="0"/>
                <w:color w:val="000000" w:themeColor="text1"/>
                <w:lang w:val="en-US"/>
                <w14:textFill>
                  <w14:solidFill>
                    <w14:schemeClr w14:val="tx1"/>
                  </w14:solidFill>
                </w14:textFill>
              </w:rPr>
            </w:pPr>
            <w:r>
              <w:rPr>
                <w:snapToGrid w:val="0"/>
                <w:color w:val="000000" w:themeColor="text1"/>
                <w:lang w:val="en-US" w:eastAsia="zh-CN"/>
                <w14:textFill>
                  <w14:solidFill>
                    <w14:schemeClr w14:val="tx1"/>
                  </w14:solidFill>
                </w14:textFill>
              </w:rPr>
              <w:t>非甲烷总烃</w:t>
            </w:r>
            <w:r>
              <w:rPr>
                <w:rFonts w:hint="eastAsia"/>
                <w:snapToGrid w:val="0"/>
                <w:color w:val="000000" w:themeColor="text1"/>
                <w:lang w:val="en-US" w:eastAsia="zh-CN"/>
                <w14:textFill>
                  <w14:solidFill>
                    <w14:schemeClr w14:val="tx1"/>
                  </w14:solidFill>
                </w14:textFill>
              </w:rPr>
              <w:t>、</w:t>
            </w:r>
            <w:r>
              <w:rPr>
                <w:snapToGrid w:val="0"/>
                <w:color w:val="000000" w:themeColor="text1"/>
                <w:lang w:val="en-US" w:eastAsia="zh-CN"/>
                <w14:textFill>
                  <w14:solidFill>
                    <w14:schemeClr w14:val="tx1"/>
                  </w14:solidFill>
                </w14:textFill>
              </w:rPr>
              <w:t>甲苯</w:t>
            </w:r>
            <w:r>
              <w:rPr>
                <w:rFonts w:hint="eastAsia"/>
                <w:snapToGrid w:val="0"/>
                <w:color w:val="000000" w:themeColor="text1"/>
                <w:lang w:val="en-US" w:eastAsia="zh-CN"/>
                <w14:textFill>
                  <w14:solidFill>
                    <w14:schemeClr w14:val="tx1"/>
                  </w14:solidFill>
                </w14:textFill>
              </w:rPr>
              <w:t>、实验室废气、危废贮存点废气、颗粒物、工艺废水、循环冷却水排水、软化水制备排水、设备和地面冲洗水、初期雨水、实验室废水和生活污水（含食堂废水）、废弃反渗透膜和生活垃圾、釜残、废化学品包装物、废活性炭、实验室废物和废润滑油、设备噪声</w:t>
            </w:r>
          </w:p>
        </w:tc>
      </w:tr>
      <w:tr w14:paraId="3CF21D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55AB829">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w:t>
            </w:r>
          </w:p>
        </w:tc>
        <w:tc>
          <w:tcPr>
            <w:tcW w:w="2002" w:type="pct"/>
            <w:vAlign w:val="center"/>
          </w:tcPr>
          <w:p w14:paraId="7D53116F">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黑龙江鸿展生物能源有限公司</w:t>
            </w:r>
          </w:p>
        </w:tc>
        <w:tc>
          <w:tcPr>
            <w:tcW w:w="588" w:type="pct"/>
            <w:vMerge w:val="continue"/>
            <w:vAlign w:val="center"/>
          </w:tcPr>
          <w:p w14:paraId="4CA1198A">
            <w:pPr>
              <w:pStyle w:val="143"/>
              <w:rPr>
                <w:snapToGrid w:val="0"/>
                <w:color w:val="000000" w:themeColor="text1"/>
                <w:lang w:val="en-US" w:eastAsia="zh-CN"/>
                <w14:textFill>
                  <w14:solidFill>
                    <w14:schemeClr w14:val="tx1"/>
                  </w14:solidFill>
                </w14:textFill>
              </w:rPr>
            </w:pPr>
          </w:p>
        </w:tc>
        <w:tc>
          <w:tcPr>
            <w:tcW w:w="2160" w:type="pct"/>
            <w:vAlign w:val="center"/>
          </w:tcPr>
          <w:p w14:paraId="5DAB0FEF">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工业粉尘、发酵废气、污水处理站沼气、恶臭、生产废水、生活污水、生活垃圾、粮食杂质、废分子筛、污泥、硫磺、废润滑油、实验室废液、设备噪声</w:t>
            </w:r>
          </w:p>
        </w:tc>
      </w:tr>
      <w:tr w14:paraId="5C3A4D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00A9E38C">
            <w:pPr>
              <w:pStyle w:val="143"/>
              <w:ind w:firstLine="0" w:firstLineChars="0"/>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w:t>
            </w:r>
          </w:p>
        </w:tc>
        <w:tc>
          <w:tcPr>
            <w:tcW w:w="2002" w:type="pct"/>
            <w:vAlign w:val="center"/>
          </w:tcPr>
          <w:p w14:paraId="21138FE8">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桦南县鸿展热电有限公司</w:t>
            </w:r>
          </w:p>
        </w:tc>
        <w:tc>
          <w:tcPr>
            <w:tcW w:w="588" w:type="pct"/>
            <w:vMerge w:val="continue"/>
            <w:vAlign w:val="center"/>
          </w:tcPr>
          <w:p w14:paraId="4BCC2193">
            <w:pPr>
              <w:pStyle w:val="143"/>
              <w:rPr>
                <w:snapToGrid w:val="0"/>
                <w:color w:val="000000" w:themeColor="text1"/>
                <w:lang w:val="en-US" w:eastAsia="zh-CN"/>
                <w14:textFill>
                  <w14:solidFill>
                    <w14:schemeClr w14:val="tx1"/>
                  </w14:solidFill>
                </w14:textFill>
              </w:rPr>
            </w:pPr>
          </w:p>
        </w:tc>
        <w:tc>
          <w:tcPr>
            <w:tcW w:w="2160" w:type="pct"/>
            <w:vAlign w:val="center"/>
          </w:tcPr>
          <w:p w14:paraId="4C30B039">
            <w:pPr>
              <w:pStyle w:val="143"/>
              <w:rPr>
                <w:rFonts w:hint="eastAsia"/>
                <w:snapToGrid w:val="0"/>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烟尘、二氧化硫</w:t>
            </w:r>
            <w:r>
              <w:rPr>
                <w:rFonts w:hint="eastAsia"/>
                <w:color w:val="000000" w:themeColor="text1"/>
                <w:lang w:val="en-US" w:eastAsia="zh-CN"/>
                <w14:textFill>
                  <w14:solidFill>
                    <w14:schemeClr w14:val="tx1"/>
                  </w14:solidFill>
                </w14:textFill>
              </w:rPr>
              <w:t>和氮氧化物、颗粒物、</w:t>
            </w:r>
            <w:r>
              <w:rPr>
                <w:color w:val="000000" w:themeColor="text1"/>
                <w:lang w:val="en-US" w:eastAsia="zh-CN"/>
                <w14:textFill>
                  <w14:solidFill>
                    <w14:schemeClr w14:val="tx1"/>
                  </w14:solidFill>
                </w14:textFill>
              </w:rPr>
              <w:t>脱硫废水</w:t>
            </w:r>
            <w:r>
              <w:rPr>
                <w:rFonts w:hint="eastAsia"/>
                <w:color w:val="000000" w:themeColor="text1"/>
                <w:lang w:val="en-US" w:eastAsia="zh-CN"/>
                <w14:textFill>
                  <w14:solidFill>
                    <w14:schemeClr w14:val="tx1"/>
                  </w14:solidFill>
                </w14:textFill>
              </w:rPr>
              <w:t>、</w:t>
            </w:r>
            <w:r>
              <w:rPr>
                <w:color w:val="000000" w:themeColor="text1"/>
                <w:lang w:val="en-US" w:eastAsia="zh-CN"/>
                <w14:textFill>
                  <w14:solidFill>
                    <w14:schemeClr w14:val="tx1"/>
                  </w14:solidFill>
                </w14:textFill>
              </w:rPr>
              <w:t>冷却塔排污废水</w:t>
            </w:r>
            <w:r>
              <w:rPr>
                <w:rFonts w:hint="eastAsia"/>
                <w:color w:val="000000" w:themeColor="text1"/>
                <w:lang w:val="en-US" w:eastAsia="zh-CN"/>
                <w14:textFill>
                  <w14:solidFill>
                    <w14:schemeClr w14:val="tx1"/>
                  </w14:solidFill>
                </w14:textFill>
              </w:rPr>
              <w:t>、</w:t>
            </w:r>
            <w:r>
              <w:rPr>
                <w:color w:val="000000" w:themeColor="text1"/>
                <w:lang w:val="en-US" w:eastAsia="zh-CN"/>
                <w14:textFill>
                  <w14:solidFill>
                    <w14:schemeClr w14:val="tx1"/>
                  </w14:solidFill>
                </w14:textFill>
              </w:rPr>
              <w:t>化学水处理系统废水</w:t>
            </w:r>
            <w:r>
              <w:rPr>
                <w:rFonts w:hint="eastAsia"/>
                <w:color w:val="000000" w:themeColor="text1"/>
                <w:lang w:val="en-US" w:eastAsia="zh-CN"/>
                <w14:textFill>
                  <w14:solidFill>
                    <w14:schemeClr w14:val="tx1"/>
                  </w14:solidFill>
                </w14:textFill>
              </w:rPr>
              <w:t>、生活污水、</w:t>
            </w:r>
            <w:r>
              <w:rPr>
                <w:color w:val="000000" w:themeColor="text1"/>
                <w:lang w:val="en-US" w:eastAsia="zh-CN"/>
                <w14:textFill>
                  <w14:solidFill>
                    <w14:schemeClr w14:val="tx1"/>
                  </w14:solidFill>
                </w14:textFill>
              </w:rPr>
              <w:t>灰渣和脱硫石膏</w:t>
            </w:r>
            <w:r>
              <w:rPr>
                <w:rFonts w:hint="eastAsia"/>
                <w:color w:val="000000" w:themeColor="text1"/>
                <w:lang w:val="en-US" w:eastAsia="zh-CN"/>
                <w14:textFill>
                  <w14:solidFill>
                    <w14:schemeClr w14:val="tx1"/>
                  </w14:solidFill>
                </w14:textFill>
              </w:rPr>
              <w:t>、</w:t>
            </w:r>
            <w:r>
              <w:rPr>
                <w:color w:val="000000" w:themeColor="text1"/>
                <w:lang w:val="en-US" w:eastAsia="zh-CN"/>
                <w14:textFill>
                  <w14:solidFill>
                    <w14:schemeClr w14:val="tx1"/>
                  </w14:solidFill>
                </w14:textFill>
              </w:rPr>
              <w:t>废布袋和生活垃圾</w:t>
            </w:r>
            <w:r>
              <w:rPr>
                <w:rFonts w:hint="eastAsia"/>
                <w:color w:val="000000" w:themeColor="text1"/>
                <w:lang w:val="en-US" w:eastAsia="zh-CN"/>
                <w14:textFill>
                  <w14:solidFill>
                    <w14:schemeClr w14:val="tx1"/>
                  </w14:solidFill>
                </w14:textFill>
              </w:rPr>
              <w:t>、</w:t>
            </w:r>
            <w:r>
              <w:rPr>
                <w:color w:val="000000" w:themeColor="text1"/>
                <w:lang w:val="en-US" w:eastAsia="zh-CN"/>
                <w14:textFill>
                  <w14:solidFill>
                    <w14:schemeClr w14:val="tx1"/>
                  </w14:solidFill>
                </w14:textFill>
              </w:rPr>
              <w:t>废树脂、废润滑油和实验室废物</w:t>
            </w:r>
          </w:p>
        </w:tc>
      </w:tr>
      <w:tr w14:paraId="21E294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7" w:type="pct"/>
            <w:vAlign w:val="center"/>
          </w:tcPr>
          <w:p w14:paraId="1DC8C175">
            <w:pPr>
              <w:pStyle w:val="143"/>
              <w:ind w:firstLine="0" w:firstLineChars="0"/>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6</w:t>
            </w:r>
          </w:p>
        </w:tc>
        <w:tc>
          <w:tcPr>
            <w:tcW w:w="2002" w:type="pct"/>
            <w:vAlign w:val="center"/>
          </w:tcPr>
          <w:p w14:paraId="600F1C65">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桦南县鸿洋物流有限公司</w:t>
            </w:r>
          </w:p>
        </w:tc>
        <w:tc>
          <w:tcPr>
            <w:tcW w:w="588" w:type="pct"/>
            <w:vMerge w:val="restart"/>
            <w:vAlign w:val="center"/>
          </w:tcPr>
          <w:p w14:paraId="0DB4E288">
            <w:pPr>
              <w:pStyle w:val="143"/>
              <w:rPr>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农产品加工产业</w:t>
            </w:r>
            <w:r>
              <w:rPr>
                <w:snapToGrid w:val="0"/>
                <w:color w:val="000000" w:themeColor="text1"/>
                <w:lang w:val="en-US"/>
                <w14:textFill>
                  <w14:solidFill>
                    <w14:schemeClr w14:val="tx1"/>
                  </w14:solidFill>
                </w14:textFill>
              </w:rPr>
              <w:t>区</w:t>
            </w:r>
          </w:p>
        </w:tc>
        <w:tc>
          <w:tcPr>
            <w:tcW w:w="2160" w:type="pct"/>
            <w:vAlign w:val="center"/>
          </w:tcPr>
          <w:p w14:paraId="47531A5A">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w:t>
            </w:r>
          </w:p>
        </w:tc>
      </w:tr>
      <w:tr w14:paraId="1891A2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48815B9">
            <w:pPr>
              <w:pStyle w:val="143"/>
              <w:ind w:firstLine="0" w:firstLineChars="0"/>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7</w:t>
            </w:r>
          </w:p>
        </w:tc>
        <w:tc>
          <w:tcPr>
            <w:tcW w:w="2002" w:type="pct"/>
            <w:vAlign w:val="center"/>
          </w:tcPr>
          <w:p w14:paraId="0BB1C62F">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桦南县派斯菲科单采血浆</w:t>
            </w:r>
            <w:r>
              <w:rPr>
                <w:rFonts w:hint="eastAsia"/>
                <w:color w:val="000000" w:themeColor="text1"/>
                <w:lang w:val="en-US" w:eastAsia="zh-CN"/>
                <w14:textFill>
                  <w14:solidFill>
                    <w14:schemeClr w14:val="tx1"/>
                  </w14:solidFill>
                </w14:textFill>
              </w:rPr>
              <w:t>有限公司</w:t>
            </w:r>
          </w:p>
        </w:tc>
        <w:tc>
          <w:tcPr>
            <w:tcW w:w="588" w:type="pct"/>
            <w:vMerge w:val="continue"/>
            <w:vAlign w:val="center"/>
          </w:tcPr>
          <w:p w14:paraId="09C77FE4">
            <w:pPr>
              <w:pStyle w:val="143"/>
              <w:rPr>
                <w:snapToGrid w:val="0"/>
                <w:color w:val="000000" w:themeColor="text1"/>
                <w:lang w:val="en-US" w:eastAsia="zh-CN"/>
                <w14:textFill>
                  <w14:solidFill>
                    <w14:schemeClr w14:val="tx1"/>
                  </w14:solidFill>
                </w14:textFill>
              </w:rPr>
            </w:pPr>
          </w:p>
        </w:tc>
        <w:tc>
          <w:tcPr>
            <w:tcW w:w="2160" w:type="pct"/>
            <w:vAlign w:val="center"/>
          </w:tcPr>
          <w:p w14:paraId="62B5F17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工艺废水、生活污水、生活垃圾、设备噪声</w:t>
            </w:r>
          </w:p>
        </w:tc>
      </w:tr>
      <w:tr w14:paraId="1A56B9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00063CF3">
            <w:pPr>
              <w:pStyle w:val="143"/>
              <w:ind w:firstLine="0" w:firstLineChars="0"/>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8</w:t>
            </w:r>
          </w:p>
        </w:tc>
        <w:tc>
          <w:tcPr>
            <w:tcW w:w="2002" w:type="pct"/>
            <w:vAlign w:val="center"/>
          </w:tcPr>
          <w:p w14:paraId="0A5CF8F8">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黑龙江宏昌</w:t>
            </w:r>
            <w:r>
              <w:rPr>
                <w:rFonts w:hint="eastAsia"/>
                <w:color w:val="000000" w:themeColor="text1"/>
                <w:lang w:val="en-US" w:eastAsia="zh-CN"/>
                <w14:textFill>
                  <w14:solidFill>
                    <w14:schemeClr w14:val="tx1"/>
                  </w14:solidFill>
                </w14:textFill>
              </w:rPr>
              <w:t>生物科技有限公司</w:t>
            </w:r>
          </w:p>
        </w:tc>
        <w:tc>
          <w:tcPr>
            <w:tcW w:w="588" w:type="pct"/>
            <w:vMerge w:val="continue"/>
            <w:vAlign w:val="center"/>
          </w:tcPr>
          <w:p w14:paraId="260E3E3F">
            <w:pPr>
              <w:pStyle w:val="143"/>
              <w:rPr>
                <w:snapToGrid w:val="0"/>
                <w:color w:val="000000" w:themeColor="text1"/>
                <w:lang w:val="en-US"/>
                <w14:textFill>
                  <w14:solidFill>
                    <w14:schemeClr w14:val="tx1"/>
                  </w14:solidFill>
                </w14:textFill>
              </w:rPr>
            </w:pPr>
          </w:p>
        </w:tc>
        <w:tc>
          <w:tcPr>
            <w:tcW w:w="2160" w:type="pct"/>
            <w:vAlign w:val="center"/>
          </w:tcPr>
          <w:p w14:paraId="0B76CD4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颗粒物、挥发性有机物、生活污水、生活垃圾、设备噪声</w:t>
            </w:r>
          </w:p>
        </w:tc>
      </w:tr>
      <w:tr w14:paraId="6302A4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376A204E">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w:t>
            </w:r>
          </w:p>
        </w:tc>
        <w:tc>
          <w:tcPr>
            <w:tcW w:w="2002" w:type="pct"/>
            <w:vAlign w:val="center"/>
          </w:tcPr>
          <w:p w14:paraId="182877EF">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桦南县世纪伟业新能源汽车</w:t>
            </w:r>
            <w:r>
              <w:rPr>
                <w:rFonts w:hint="eastAsia"/>
                <w:color w:val="000000" w:themeColor="text1"/>
                <w:lang w:val="en-US" w:eastAsia="zh-CN"/>
                <w14:textFill>
                  <w14:solidFill>
                    <w14:schemeClr w14:val="tx1"/>
                  </w14:solidFill>
                </w14:textFill>
              </w:rPr>
              <w:t>充电站综合服务有限公司</w:t>
            </w:r>
          </w:p>
        </w:tc>
        <w:tc>
          <w:tcPr>
            <w:tcW w:w="588" w:type="pct"/>
            <w:vMerge w:val="continue"/>
            <w:vAlign w:val="center"/>
          </w:tcPr>
          <w:p w14:paraId="25EDB85B">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4179BB59">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w:t>
            </w:r>
          </w:p>
        </w:tc>
      </w:tr>
      <w:tr w14:paraId="463DB7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9E991EA">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10</w:t>
            </w:r>
          </w:p>
        </w:tc>
        <w:tc>
          <w:tcPr>
            <w:tcW w:w="2002" w:type="pct"/>
            <w:vAlign w:val="center"/>
          </w:tcPr>
          <w:p w14:paraId="58274EA7">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桦南隆发食品饮料有限责任公司</w:t>
            </w:r>
          </w:p>
        </w:tc>
        <w:tc>
          <w:tcPr>
            <w:tcW w:w="588" w:type="pct"/>
            <w:vMerge w:val="continue"/>
            <w:vAlign w:val="center"/>
          </w:tcPr>
          <w:p w14:paraId="40F6FE19">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502BAF62">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工艺废水、生活污水、生活垃圾、设备噪声</w:t>
            </w:r>
          </w:p>
        </w:tc>
      </w:tr>
      <w:tr w14:paraId="24A1C2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648FBD6">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11</w:t>
            </w:r>
          </w:p>
        </w:tc>
        <w:tc>
          <w:tcPr>
            <w:tcW w:w="2002" w:type="pct"/>
            <w:vAlign w:val="center"/>
          </w:tcPr>
          <w:p w14:paraId="7095DE40">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供销粮油黑龙江有限公司</w:t>
            </w:r>
          </w:p>
        </w:tc>
        <w:tc>
          <w:tcPr>
            <w:tcW w:w="588" w:type="pct"/>
            <w:vMerge w:val="continue"/>
            <w:vAlign w:val="center"/>
          </w:tcPr>
          <w:p w14:paraId="17D18398">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5BD62C19">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生活污水、生活垃圾、设备噪声、粮食杂质</w:t>
            </w:r>
          </w:p>
        </w:tc>
      </w:tr>
      <w:tr w14:paraId="0B6A63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B94C0F0">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12</w:t>
            </w:r>
          </w:p>
        </w:tc>
        <w:tc>
          <w:tcPr>
            <w:tcW w:w="2002" w:type="pct"/>
            <w:vAlign w:val="center"/>
          </w:tcPr>
          <w:p w14:paraId="1E70AE63">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佳木斯佰彩农业科技有限公司</w:t>
            </w:r>
          </w:p>
        </w:tc>
        <w:tc>
          <w:tcPr>
            <w:tcW w:w="588" w:type="pct"/>
            <w:vMerge w:val="continue"/>
            <w:vAlign w:val="center"/>
          </w:tcPr>
          <w:p w14:paraId="0F9632B6">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6FD3EA88">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工艺废水、生活污水、生活垃圾、设备噪声</w:t>
            </w:r>
          </w:p>
        </w:tc>
      </w:tr>
      <w:tr w14:paraId="2D3DC4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7" w:type="pct"/>
            <w:vAlign w:val="center"/>
          </w:tcPr>
          <w:p w14:paraId="27C1229B">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13</w:t>
            </w:r>
          </w:p>
        </w:tc>
        <w:tc>
          <w:tcPr>
            <w:tcW w:w="2002" w:type="pct"/>
            <w:vAlign w:val="center"/>
          </w:tcPr>
          <w:p w14:paraId="06AB475A">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黑龙江鑫地源豆制品有限公司</w:t>
            </w:r>
          </w:p>
        </w:tc>
        <w:tc>
          <w:tcPr>
            <w:tcW w:w="588" w:type="pct"/>
            <w:vMerge w:val="continue"/>
            <w:vAlign w:val="center"/>
          </w:tcPr>
          <w:p w14:paraId="1A79C005">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23BC2C8A">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工艺废水、生活污水、生活垃圾、设备噪声、锅炉废气、原料杂质</w:t>
            </w:r>
          </w:p>
        </w:tc>
      </w:tr>
      <w:tr w14:paraId="795C73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2FF5B55A">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14</w:t>
            </w:r>
          </w:p>
        </w:tc>
        <w:tc>
          <w:tcPr>
            <w:tcW w:w="2002" w:type="pct"/>
            <w:vAlign w:val="center"/>
          </w:tcPr>
          <w:p w14:paraId="5786B7FD">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黑龙江新曙光牧业集团桦南县</w:t>
            </w:r>
            <w:r>
              <w:rPr>
                <w:rFonts w:hint="eastAsia"/>
                <w:color w:val="000000" w:themeColor="text1"/>
                <w:lang w:val="en-US" w:eastAsia="zh-CN"/>
                <w14:textFill>
                  <w14:solidFill>
                    <w14:schemeClr w14:val="tx1"/>
                  </w14:solidFill>
                </w14:textFill>
              </w:rPr>
              <w:t>大丰生物有机肥有限公司</w:t>
            </w:r>
          </w:p>
        </w:tc>
        <w:tc>
          <w:tcPr>
            <w:tcW w:w="588" w:type="pct"/>
            <w:vMerge w:val="continue"/>
            <w:vAlign w:val="center"/>
          </w:tcPr>
          <w:p w14:paraId="515F99F8">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11156C6A">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生活污水、生活垃圾、设备噪声、恶臭</w:t>
            </w:r>
          </w:p>
        </w:tc>
      </w:tr>
      <w:tr w14:paraId="0B9B22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311A8B0F">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w:t>
            </w:r>
          </w:p>
        </w:tc>
        <w:tc>
          <w:tcPr>
            <w:tcW w:w="2002" w:type="pct"/>
            <w:vAlign w:val="center"/>
          </w:tcPr>
          <w:p w14:paraId="2A3E0C06">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佳木斯先锋种业有限公司</w:t>
            </w:r>
          </w:p>
        </w:tc>
        <w:tc>
          <w:tcPr>
            <w:tcW w:w="588" w:type="pct"/>
            <w:vMerge w:val="continue"/>
            <w:vAlign w:val="center"/>
          </w:tcPr>
          <w:p w14:paraId="7DC032CB">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1483B20B">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工艺废水、生活污水、生活垃圾、设备噪声、锅炉烟气</w:t>
            </w:r>
          </w:p>
        </w:tc>
      </w:tr>
      <w:tr w14:paraId="4DA274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7" w:type="pct"/>
            <w:vAlign w:val="center"/>
          </w:tcPr>
          <w:p w14:paraId="191D0707">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16</w:t>
            </w:r>
          </w:p>
        </w:tc>
        <w:tc>
          <w:tcPr>
            <w:tcW w:w="2002" w:type="pct"/>
            <w:vAlign w:val="center"/>
          </w:tcPr>
          <w:p w14:paraId="07A9D6EC">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黑龙江宏昌生物科技有限公司</w:t>
            </w:r>
          </w:p>
        </w:tc>
        <w:tc>
          <w:tcPr>
            <w:tcW w:w="588" w:type="pct"/>
            <w:vMerge w:val="continue"/>
            <w:vAlign w:val="center"/>
          </w:tcPr>
          <w:p w14:paraId="768EC574">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3D43797B">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工艺废水、生活污水、生活垃圾、设备噪声、锅炉烟气、粮食杂质</w:t>
            </w:r>
          </w:p>
        </w:tc>
      </w:tr>
      <w:tr w14:paraId="64469A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265686F2">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17</w:t>
            </w:r>
          </w:p>
        </w:tc>
        <w:tc>
          <w:tcPr>
            <w:tcW w:w="2002" w:type="pct"/>
            <w:vAlign w:val="center"/>
          </w:tcPr>
          <w:p w14:paraId="45ACDB18">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桦南县中天塑业有限公司</w:t>
            </w:r>
          </w:p>
        </w:tc>
        <w:tc>
          <w:tcPr>
            <w:tcW w:w="588" w:type="pct"/>
            <w:vMerge w:val="continue"/>
            <w:vAlign w:val="center"/>
          </w:tcPr>
          <w:p w14:paraId="5CBA1D67">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0EC8F4A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锅炉烟气、非甲烷总烃、颗粒物、生活污水、生活垃圾、设备噪声</w:t>
            </w:r>
          </w:p>
        </w:tc>
      </w:tr>
      <w:tr w14:paraId="17AF8B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5B6D2318">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18</w:t>
            </w:r>
          </w:p>
        </w:tc>
        <w:tc>
          <w:tcPr>
            <w:tcW w:w="2002" w:type="pct"/>
            <w:vAlign w:val="center"/>
          </w:tcPr>
          <w:p w14:paraId="7CF48F21">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佳木斯市久仙草中草药开发有限</w:t>
            </w:r>
            <w:r>
              <w:rPr>
                <w:rFonts w:hint="eastAsia"/>
                <w:color w:val="000000" w:themeColor="text1"/>
                <w:lang w:val="en-US" w:eastAsia="zh-CN"/>
                <w14:textFill>
                  <w14:solidFill>
                    <w14:schemeClr w14:val="tx1"/>
                  </w14:solidFill>
                </w14:textFill>
              </w:rPr>
              <w:t>公司</w:t>
            </w:r>
          </w:p>
        </w:tc>
        <w:tc>
          <w:tcPr>
            <w:tcW w:w="588" w:type="pct"/>
            <w:vMerge w:val="continue"/>
            <w:vAlign w:val="center"/>
          </w:tcPr>
          <w:p w14:paraId="56DB76F7">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7F88714C">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工艺废水、生活污水、生活垃圾、设备噪声、原料杂质</w:t>
            </w:r>
          </w:p>
        </w:tc>
      </w:tr>
      <w:tr w14:paraId="38E203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7" w:type="pct"/>
            <w:vAlign w:val="center"/>
          </w:tcPr>
          <w:p w14:paraId="78ACDC7E">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19</w:t>
            </w:r>
          </w:p>
        </w:tc>
        <w:tc>
          <w:tcPr>
            <w:tcW w:w="2002" w:type="pct"/>
            <w:vAlign w:val="center"/>
          </w:tcPr>
          <w:p w14:paraId="3C73CB33">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黑龙江德盛粮食深加工有限公司</w:t>
            </w:r>
          </w:p>
        </w:tc>
        <w:tc>
          <w:tcPr>
            <w:tcW w:w="588" w:type="pct"/>
            <w:vMerge w:val="continue"/>
            <w:vAlign w:val="center"/>
          </w:tcPr>
          <w:p w14:paraId="6D410659">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5A189C10">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生活污水、生活垃圾、设备噪声、原料杂质、热风炉烟气</w:t>
            </w:r>
          </w:p>
        </w:tc>
      </w:tr>
      <w:tr w14:paraId="3BF793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5A046204">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20</w:t>
            </w:r>
          </w:p>
        </w:tc>
        <w:tc>
          <w:tcPr>
            <w:tcW w:w="2002" w:type="pct"/>
            <w:vAlign w:val="center"/>
          </w:tcPr>
          <w:p w14:paraId="4C96C670">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华锐风电装备黑龙江有限公司</w:t>
            </w:r>
          </w:p>
        </w:tc>
        <w:tc>
          <w:tcPr>
            <w:tcW w:w="588" w:type="pct"/>
            <w:vMerge w:val="continue"/>
            <w:vAlign w:val="center"/>
          </w:tcPr>
          <w:p w14:paraId="218179A3">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3BF4BD9F">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颗粒物、非甲烷总烃、生活污水、生活垃圾、设备噪声、废机油</w:t>
            </w:r>
          </w:p>
        </w:tc>
      </w:tr>
      <w:tr w14:paraId="4F8786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1B6BC04B">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21</w:t>
            </w:r>
          </w:p>
        </w:tc>
        <w:tc>
          <w:tcPr>
            <w:tcW w:w="2002" w:type="pct"/>
            <w:vAlign w:val="center"/>
          </w:tcPr>
          <w:p w14:paraId="112731CA">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桦南县泰昌粮食贸易有限公司</w:t>
            </w:r>
          </w:p>
        </w:tc>
        <w:tc>
          <w:tcPr>
            <w:tcW w:w="588" w:type="pct"/>
            <w:vMerge w:val="continue"/>
            <w:vAlign w:val="center"/>
          </w:tcPr>
          <w:p w14:paraId="114F2534">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7D92D51B">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生活污水、生活垃圾、设备噪声、原料杂质、热风炉烟气</w:t>
            </w:r>
          </w:p>
        </w:tc>
      </w:tr>
      <w:tr w14:paraId="716C87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5D0A46A0">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22</w:t>
            </w:r>
          </w:p>
        </w:tc>
        <w:tc>
          <w:tcPr>
            <w:tcW w:w="2002" w:type="pct"/>
            <w:vAlign w:val="center"/>
          </w:tcPr>
          <w:p w14:paraId="257A2F7F">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黑龙江蓝谷食品有限公司</w:t>
            </w:r>
          </w:p>
        </w:tc>
        <w:tc>
          <w:tcPr>
            <w:tcW w:w="588" w:type="pct"/>
            <w:vMerge w:val="continue"/>
            <w:vAlign w:val="center"/>
          </w:tcPr>
          <w:p w14:paraId="3B40BB80">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5CA358E8">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颗粒物、工艺废水、生活污水、生活垃圾、设备噪声、锅炉烟气</w:t>
            </w:r>
          </w:p>
        </w:tc>
      </w:tr>
      <w:tr w14:paraId="50ECA8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1937134">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23</w:t>
            </w:r>
          </w:p>
        </w:tc>
        <w:tc>
          <w:tcPr>
            <w:tcW w:w="2002" w:type="pct"/>
            <w:vAlign w:val="center"/>
          </w:tcPr>
          <w:p w14:paraId="7BB77113">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黑龙江华腾生物科技有限公司</w:t>
            </w:r>
          </w:p>
        </w:tc>
        <w:tc>
          <w:tcPr>
            <w:tcW w:w="588" w:type="pct"/>
            <w:vMerge w:val="continue"/>
            <w:vAlign w:val="center"/>
          </w:tcPr>
          <w:p w14:paraId="2539357F">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25ECA7A8">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锅炉烟气、生活污水、生活垃圾、设备噪声、废菌包袋</w:t>
            </w:r>
          </w:p>
        </w:tc>
      </w:tr>
      <w:tr w14:paraId="50BBE4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7757D8DB">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24</w:t>
            </w:r>
          </w:p>
        </w:tc>
        <w:tc>
          <w:tcPr>
            <w:tcW w:w="2002" w:type="pct"/>
            <w:vAlign w:val="center"/>
          </w:tcPr>
          <w:p w14:paraId="243A6444">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黑龙江隆腾食品科技有限公司</w:t>
            </w:r>
          </w:p>
        </w:tc>
        <w:tc>
          <w:tcPr>
            <w:tcW w:w="588" w:type="pct"/>
            <w:vMerge w:val="continue"/>
            <w:vAlign w:val="center"/>
          </w:tcPr>
          <w:p w14:paraId="42BC3FD6">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6BFF774A">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工艺废水、生活污水、生活垃圾、设备噪声、锅炉烟气、原料杂质</w:t>
            </w:r>
          </w:p>
        </w:tc>
      </w:tr>
      <w:tr w14:paraId="7EBD98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1DD2CCF0">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2002" w:type="pct"/>
            <w:vAlign w:val="center"/>
          </w:tcPr>
          <w:p w14:paraId="48DB2F65">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桦南仙紫食品科技有限公司</w:t>
            </w:r>
          </w:p>
        </w:tc>
        <w:tc>
          <w:tcPr>
            <w:tcW w:w="588" w:type="pct"/>
            <w:vMerge w:val="continue"/>
            <w:vAlign w:val="center"/>
          </w:tcPr>
          <w:p w14:paraId="696A3A79">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794B9597">
            <w:pPr>
              <w:pStyle w:val="143"/>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生活污水、生活垃圾、设备噪声、粮食杂质、锅炉烟气</w:t>
            </w:r>
          </w:p>
        </w:tc>
      </w:tr>
      <w:tr w14:paraId="24AE53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3D9AAD8E">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26</w:t>
            </w:r>
          </w:p>
        </w:tc>
        <w:tc>
          <w:tcPr>
            <w:tcW w:w="2002" w:type="pct"/>
            <w:vAlign w:val="center"/>
          </w:tcPr>
          <w:p w14:paraId="7C217E51">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桦南哈天源食品有限公司</w:t>
            </w:r>
          </w:p>
        </w:tc>
        <w:tc>
          <w:tcPr>
            <w:tcW w:w="588" w:type="pct"/>
            <w:vMerge w:val="continue"/>
            <w:vAlign w:val="center"/>
          </w:tcPr>
          <w:p w14:paraId="2A1DFCCD">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070F51B6">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屠宰废水、生活污水、生活垃圾、锅炉烟气、恶臭、设备噪声、</w:t>
            </w:r>
            <w:r>
              <w:rPr>
                <w:rFonts w:hint="eastAsia"/>
              </w:rPr>
              <w:t>污泥及栅渣</w:t>
            </w:r>
            <w:r>
              <w:rPr>
                <w:rFonts w:hint="eastAsia"/>
                <w:lang w:eastAsia="zh-CN"/>
              </w:rPr>
              <w:t>、</w:t>
            </w:r>
            <w:r>
              <w:rPr>
                <w:rFonts w:hint="eastAsia"/>
              </w:rPr>
              <w:t>废离子交换树脂</w:t>
            </w:r>
            <w:r>
              <w:rPr>
                <w:rFonts w:hint="eastAsia"/>
                <w:lang w:eastAsia="zh-CN"/>
              </w:rPr>
              <w:t>、</w:t>
            </w:r>
            <w:r>
              <w:rPr>
                <w:rFonts w:hint="eastAsia"/>
              </w:rPr>
              <w:t>锅炉灰渣</w:t>
            </w:r>
            <w:r>
              <w:rPr>
                <w:rFonts w:hint="eastAsia"/>
                <w:lang w:eastAsia="zh-CN"/>
              </w:rPr>
              <w:t>、</w:t>
            </w:r>
            <w:r>
              <w:t>废活性炭</w:t>
            </w:r>
            <w:r>
              <w:rPr>
                <w:rFonts w:hint="eastAsia"/>
                <w:lang w:eastAsia="zh-CN"/>
              </w:rPr>
              <w:t>、</w:t>
            </w:r>
            <w:r>
              <w:rPr>
                <w:rFonts w:hint="eastAsia"/>
              </w:rPr>
              <w:t>肠胃内容物</w:t>
            </w:r>
            <w:r>
              <w:rPr>
                <w:rFonts w:hint="eastAsia"/>
                <w:lang w:eastAsia="zh-CN"/>
              </w:rPr>
              <w:t>、</w:t>
            </w:r>
            <w:r>
              <w:rPr>
                <w:rFonts w:hint="eastAsia"/>
                <w:lang w:val="en-US" w:eastAsia="zh-CN"/>
              </w:rPr>
              <w:t>猪粪等</w:t>
            </w:r>
          </w:p>
        </w:tc>
      </w:tr>
      <w:tr w14:paraId="1D5A6C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71647889">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27</w:t>
            </w:r>
          </w:p>
        </w:tc>
        <w:tc>
          <w:tcPr>
            <w:tcW w:w="2002" w:type="pct"/>
            <w:vAlign w:val="center"/>
          </w:tcPr>
          <w:p w14:paraId="40C2CED3">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桦南县深达泵业有限公司</w:t>
            </w:r>
          </w:p>
        </w:tc>
        <w:tc>
          <w:tcPr>
            <w:tcW w:w="588" w:type="pct"/>
            <w:vMerge w:val="continue"/>
            <w:vAlign w:val="center"/>
          </w:tcPr>
          <w:p w14:paraId="3E527F5C">
            <w:pPr>
              <w:pStyle w:val="143"/>
              <w:rPr>
                <w:rFonts w:hint="eastAsia"/>
                <w:snapToGrid w:val="0"/>
                <w:color w:val="000000" w:themeColor="text1"/>
                <w:lang w:val="en-US" w:eastAsia="zh-CN"/>
                <w14:textFill>
                  <w14:solidFill>
                    <w14:schemeClr w14:val="tx1"/>
                  </w14:solidFill>
                </w14:textFill>
              </w:rPr>
            </w:pPr>
          </w:p>
        </w:tc>
        <w:tc>
          <w:tcPr>
            <w:tcW w:w="2160" w:type="pct"/>
            <w:vAlign w:val="center"/>
          </w:tcPr>
          <w:p w14:paraId="50F81F37">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非甲烷总烃、颗粒物、生活污水、生活垃圾、设备噪声</w:t>
            </w:r>
          </w:p>
        </w:tc>
      </w:tr>
      <w:tr w14:paraId="014181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3FA68D38">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28</w:t>
            </w:r>
          </w:p>
        </w:tc>
        <w:tc>
          <w:tcPr>
            <w:tcW w:w="2002" w:type="pct"/>
            <w:vAlign w:val="center"/>
          </w:tcPr>
          <w:p w14:paraId="7DA8D992">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黑龙江龙胶堂</w:t>
            </w:r>
            <w:r>
              <w:rPr>
                <w:rFonts w:hint="eastAsia"/>
                <w:color w:val="000000" w:themeColor="text1"/>
                <w:lang w:val="en-US" w:eastAsia="zh-CN"/>
                <w14:textFill>
                  <w14:solidFill>
                    <w14:schemeClr w14:val="tx1"/>
                  </w14:solidFill>
                </w14:textFill>
              </w:rPr>
              <w:t>阿胶有限公司</w:t>
            </w:r>
          </w:p>
        </w:tc>
        <w:tc>
          <w:tcPr>
            <w:tcW w:w="588" w:type="pct"/>
            <w:vMerge w:val="continue"/>
            <w:vAlign w:val="center"/>
          </w:tcPr>
          <w:p w14:paraId="199D0FA4">
            <w:pPr>
              <w:pStyle w:val="143"/>
              <w:rPr>
                <w:snapToGrid w:val="0"/>
                <w:color w:val="000000" w:themeColor="text1"/>
                <w:lang w:val="en-US"/>
                <w14:textFill>
                  <w14:solidFill>
                    <w14:schemeClr w14:val="tx1"/>
                  </w14:solidFill>
                </w14:textFill>
              </w:rPr>
            </w:pPr>
          </w:p>
        </w:tc>
        <w:tc>
          <w:tcPr>
            <w:tcW w:w="2160" w:type="pct"/>
            <w:vAlign w:val="center"/>
          </w:tcPr>
          <w:p w14:paraId="396DD1E2">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锅炉烟气、氨、硫化氢、生活污水、生活垃圾、设备噪声</w:t>
            </w:r>
          </w:p>
        </w:tc>
      </w:tr>
      <w:tr w14:paraId="7D9F67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9026E5A">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29</w:t>
            </w:r>
          </w:p>
        </w:tc>
        <w:tc>
          <w:tcPr>
            <w:tcW w:w="2002" w:type="pct"/>
            <w:vAlign w:val="center"/>
          </w:tcPr>
          <w:p w14:paraId="7D505D77">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黑龙江大峰生</w:t>
            </w:r>
            <w:r>
              <w:rPr>
                <w:rFonts w:hint="eastAsia"/>
                <w:color w:val="000000" w:themeColor="text1"/>
                <w:lang w:val="en-US" w:eastAsia="zh-CN"/>
                <w14:textFill>
                  <w14:solidFill>
                    <w14:schemeClr w14:val="tx1"/>
                  </w14:solidFill>
                </w14:textFill>
              </w:rPr>
              <w:t>物质能源科技有限公司</w:t>
            </w:r>
          </w:p>
        </w:tc>
        <w:tc>
          <w:tcPr>
            <w:tcW w:w="588" w:type="pct"/>
            <w:vMerge w:val="continue"/>
            <w:vAlign w:val="center"/>
          </w:tcPr>
          <w:p w14:paraId="3A487ECE">
            <w:pPr>
              <w:pStyle w:val="143"/>
              <w:rPr>
                <w:snapToGrid w:val="0"/>
                <w:color w:val="000000" w:themeColor="text1"/>
                <w:lang w:val="en-US"/>
                <w14:textFill>
                  <w14:solidFill>
                    <w14:schemeClr w14:val="tx1"/>
                  </w14:solidFill>
                </w14:textFill>
              </w:rPr>
            </w:pPr>
          </w:p>
        </w:tc>
        <w:tc>
          <w:tcPr>
            <w:tcW w:w="2160" w:type="pct"/>
            <w:vAlign w:val="center"/>
          </w:tcPr>
          <w:p w14:paraId="0A357649">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颗粒物、生活污水、生活垃圾、设备噪声</w:t>
            </w:r>
          </w:p>
        </w:tc>
      </w:tr>
      <w:tr w14:paraId="611B1C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6763C644">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30</w:t>
            </w:r>
          </w:p>
        </w:tc>
        <w:tc>
          <w:tcPr>
            <w:tcW w:w="2002" w:type="pct"/>
            <w:vAlign w:val="center"/>
          </w:tcPr>
          <w:p w14:paraId="79BA1B9B">
            <w:pPr>
              <w:pStyle w:val="143"/>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桦南县水母再生环保科技有限公司</w:t>
            </w:r>
          </w:p>
        </w:tc>
        <w:tc>
          <w:tcPr>
            <w:tcW w:w="588" w:type="pct"/>
            <w:vMerge w:val="continue"/>
            <w:vAlign w:val="center"/>
          </w:tcPr>
          <w:p w14:paraId="15C64335">
            <w:pPr>
              <w:pStyle w:val="143"/>
              <w:rPr>
                <w:snapToGrid w:val="0"/>
                <w:color w:val="000000" w:themeColor="text1"/>
                <w:lang w:val="en-US"/>
                <w14:textFill>
                  <w14:solidFill>
                    <w14:schemeClr w14:val="tx1"/>
                  </w14:solidFill>
                </w14:textFill>
              </w:rPr>
            </w:pPr>
          </w:p>
        </w:tc>
        <w:tc>
          <w:tcPr>
            <w:tcW w:w="2160" w:type="pct"/>
            <w:vAlign w:val="center"/>
          </w:tcPr>
          <w:p w14:paraId="720D0FCF">
            <w:pPr>
              <w:pStyle w:val="143"/>
              <w:rPr>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锅炉烟气、挥发性有机物、颗粒物、生活污水、生活垃圾、设备噪声</w:t>
            </w:r>
          </w:p>
        </w:tc>
      </w:tr>
      <w:tr w14:paraId="4610EE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6822F468">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31</w:t>
            </w:r>
          </w:p>
        </w:tc>
        <w:tc>
          <w:tcPr>
            <w:tcW w:w="2002" w:type="pct"/>
            <w:vAlign w:val="center"/>
          </w:tcPr>
          <w:p w14:paraId="200739E9">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黑龙江泽博</w:t>
            </w:r>
            <w:r>
              <w:rPr>
                <w:rFonts w:hint="eastAsia"/>
                <w:color w:val="000000" w:themeColor="text1"/>
                <w:lang w:val="en-US" w:eastAsia="zh-CN"/>
                <w14:textFill>
                  <w14:solidFill>
                    <w14:schemeClr w14:val="tx1"/>
                  </w14:solidFill>
                </w14:textFill>
              </w:rPr>
              <w:t>生物科技有限公司</w:t>
            </w:r>
          </w:p>
        </w:tc>
        <w:tc>
          <w:tcPr>
            <w:tcW w:w="588" w:type="pct"/>
            <w:vMerge w:val="continue"/>
            <w:vAlign w:val="center"/>
          </w:tcPr>
          <w:p w14:paraId="445D0628">
            <w:pPr>
              <w:pStyle w:val="143"/>
              <w:rPr>
                <w:snapToGrid w:val="0"/>
                <w:color w:val="000000" w:themeColor="text1"/>
                <w:lang w:val="en-US"/>
                <w14:textFill>
                  <w14:solidFill>
                    <w14:schemeClr w14:val="tx1"/>
                  </w14:solidFill>
                </w14:textFill>
              </w:rPr>
            </w:pPr>
          </w:p>
        </w:tc>
        <w:tc>
          <w:tcPr>
            <w:tcW w:w="2160" w:type="pct"/>
            <w:vAlign w:val="center"/>
          </w:tcPr>
          <w:p w14:paraId="3FC1F61C">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食品加工废水、生活污水、恶臭、生活垃圾、设备噪声</w:t>
            </w:r>
          </w:p>
        </w:tc>
      </w:tr>
      <w:tr w14:paraId="360169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128E9775">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32</w:t>
            </w:r>
          </w:p>
        </w:tc>
        <w:tc>
          <w:tcPr>
            <w:tcW w:w="2002" w:type="pct"/>
            <w:vAlign w:val="center"/>
          </w:tcPr>
          <w:p w14:paraId="03552C30">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桦南县绿维康</w:t>
            </w:r>
            <w:r>
              <w:rPr>
                <w:rFonts w:hint="eastAsia"/>
                <w:color w:val="000000" w:themeColor="text1"/>
                <w:lang w:val="en-US" w:eastAsia="zh-CN"/>
                <w14:textFill>
                  <w14:solidFill>
                    <w14:schemeClr w14:val="tx1"/>
                  </w14:solidFill>
                </w14:textFill>
              </w:rPr>
              <w:t>农业科技有限公司</w:t>
            </w:r>
          </w:p>
        </w:tc>
        <w:tc>
          <w:tcPr>
            <w:tcW w:w="588" w:type="pct"/>
            <w:vMerge w:val="continue"/>
            <w:vAlign w:val="center"/>
          </w:tcPr>
          <w:p w14:paraId="0659CBE3">
            <w:pPr>
              <w:pStyle w:val="143"/>
              <w:rPr>
                <w:snapToGrid w:val="0"/>
                <w:color w:val="000000" w:themeColor="text1"/>
                <w:lang w:val="en-US"/>
                <w14:textFill>
                  <w14:solidFill>
                    <w14:schemeClr w14:val="tx1"/>
                  </w14:solidFill>
                </w14:textFill>
              </w:rPr>
            </w:pPr>
          </w:p>
        </w:tc>
        <w:tc>
          <w:tcPr>
            <w:tcW w:w="2160" w:type="pct"/>
            <w:vAlign w:val="center"/>
          </w:tcPr>
          <w:p w14:paraId="3DEF8840">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锅炉烟气、臭气浓度、生活污水、生活垃圾、设备噪声</w:t>
            </w:r>
          </w:p>
        </w:tc>
      </w:tr>
      <w:tr w14:paraId="0393B6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6F463525">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33</w:t>
            </w:r>
          </w:p>
        </w:tc>
        <w:tc>
          <w:tcPr>
            <w:tcW w:w="2002" w:type="pct"/>
            <w:vAlign w:val="center"/>
          </w:tcPr>
          <w:p w14:paraId="7371B6B0">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桦南县佳木斯</w:t>
            </w:r>
            <w:r>
              <w:rPr>
                <w:rFonts w:hint="eastAsia"/>
                <w:color w:val="000000" w:themeColor="text1"/>
                <w:lang w:val="en-US" w:eastAsia="zh-CN"/>
                <w14:textFill>
                  <w14:solidFill>
                    <w14:schemeClr w14:val="tx1"/>
                  </w14:solidFill>
                </w14:textFill>
              </w:rPr>
              <w:t>六月土健康食品有限公司</w:t>
            </w:r>
          </w:p>
        </w:tc>
        <w:tc>
          <w:tcPr>
            <w:tcW w:w="588" w:type="pct"/>
            <w:vMerge w:val="continue"/>
            <w:vAlign w:val="center"/>
          </w:tcPr>
          <w:p w14:paraId="68B965FC">
            <w:pPr>
              <w:pStyle w:val="143"/>
              <w:rPr>
                <w:snapToGrid w:val="0"/>
                <w:color w:val="000000" w:themeColor="text1"/>
                <w:lang w:val="en-US"/>
                <w14:textFill>
                  <w14:solidFill>
                    <w14:schemeClr w14:val="tx1"/>
                  </w14:solidFill>
                </w14:textFill>
              </w:rPr>
            </w:pPr>
          </w:p>
        </w:tc>
        <w:tc>
          <w:tcPr>
            <w:tcW w:w="2160" w:type="pct"/>
            <w:vAlign w:val="center"/>
          </w:tcPr>
          <w:p w14:paraId="2B8A6A8F">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锅炉烟气、颗粒物、生活污水、生活垃圾、设备噪声</w:t>
            </w:r>
          </w:p>
        </w:tc>
      </w:tr>
      <w:tr w14:paraId="182AD8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54CCE7D9">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34</w:t>
            </w:r>
          </w:p>
        </w:tc>
        <w:tc>
          <w:tcPr>
            <w:tcW w:w="2002" w:type="pct"/>
            <w:vAlign w:val="center"/>
          </w:tcPr>
          <w:p w14:paraId="53E75522">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黑龙江秋华</w:t>
            </w:r>
            <w:r>
              <w:rPr>
                <w:rFonts w:hint="eastAsia"/>
                <w:color w:val="000000" w:themeColor="text1"/>
                <w:lang w:val="en-US" w:eastAsia="zh-CN"/>
                <w14:textFill>
                  <w14:solidFill>
                    <w14:schemeClr w14:val="tx1"/>
                  </w14:solidFill>
                </w14:textFill>
              </w:rPr>
              <w:t>硕源食品有限公司</w:t>
            </w:r>
          </w:p>
        </w:tc>
        <w:tc>
          <w:tcPr>
            <w:tcW w:w="588" w:type="pct"/>
            <w:vMerge w:val="continue"/>
            <w:vAlign w:val="center"/>
          </w:tcPr>
          <w:p w14:paraId="43D22845">
            <w:pPr>
              <w:pStyle w:val="143"/>
              <w:rPr>
                <w:snapToGrid w:val="0"/>
                <w:color w:val="000000" w:themeColor="text1"/>
                <w:lang w:val="en-US"/>
                <w14:textFill>
                  <w14:solidFill>
                    <w14:schemeClr w14:val="tx1"/>
                  </w14:solidFill>
                </w14:textFill>
              </w:rPr>
            </w:pPr>
          </w:p>
        </w:tc>
        <w:tc>
          <w:tcPr>
            <w:tcW w:w="2160" w:type="pct"/>
            <w:vAlign w:val="center"/>
          </w:tcPr>
          <w:p w14:paraId="705FB6E1">
            <w:pPr>
              <w:pStyle w:val="143"/>
              <w:rPr>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锅炉烟气、生活污水、生活垃圾、设备噪声</w:t>
            </w:r>
          </w:p>
        </w:tc>
      </w:tr>
      <w:tr w14:paraId="5598AE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247" w:type="pct"/>
            <w:vAlign w:val="center"/>
          </w:tcPr>
          <w:p w14:paraId="12932C28">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35</w:t>
            </w:r>
          </w:p>
        </w:tc>
        <w:tc>
          <w:tcPr>
            <w:tcW w:w="2002" w:type="pct"/>
            <w:vAlign w:val="center"/>
          </w:tcPr>
          <w:p w14:paraId="5ADC1ADA">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桦南县明达新型空心砖有限公司</w:t>
            </w:r>
          </w:p>
        </w:tc>
        <w:tc>
          <w:tcPr>
            <w:tcW w:w="588" w:type="pct"/>
            <w:vMerge w:val="continue"/>
            <w:vAlign w:val="center"/>
          </w:tcPr>
          <w:p w14:paraId="734A23BC">
            <w:pPr>
              <w:pStyle w:val="143"/>
              <w:rPr>
                <w:snapToGrid w:val="0"/>
                <w:color w:val="000000" w:themeColor="text1"/>
                <w:lang w:val="en-US"/>
                <w14:textFill>
                  <w14:solidFill>
                    <w14:schemeClr w14:val="tx1"/>
                  </w14:solidFill>
                </w14:textFill>
              </w:rPr>
            </w:pPr>
          </w:p>
        </w:tc>
        <w:tc>
          <w:tcPr>
            <w:tcW w:w="2160" w:type="pct"/>
            <w:vAlign w:val="center"/>
          </w:tcPr>
          <w:p w14:paraId="1C552FC6">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非甲烷总烃、颗粒物、生活污水、生活垃圾、设备噪声</w:t>
            </w:r>
          </w:p>
        </w:tc>
      </w:tr>
      <w:tr w14:paraId="4EB1F5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781354A2">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38</w:t>
            </w:r>
          </w:p>
        </w:tc>
        <w:tc>
          <w:tcPr>
            <w:tcW w:w="2002" w:type="pct"/>
            <w:vAlign w:val="center"/>
          </w:tcPr>
          <w:p w14:paraId="229C7042">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桦南县安顺机动车检测有限公司</w:t>
            </w:r>
          </w:p>
        </w:tc>
        <w:tc>
          <w:tcPr>
            <w:tcW w:w="588" w:type="pct"/>
            <w:vMerge w:val="continue"/>
            <w:vAlign w:val="center"/>
          </w:tcPr>
          <w:p w14:paraId="44E3D712">
            <w:pPr>
              <w:pStyle w:val="143"/>
              <w:rPr>
                <w:snapToGrid w:val="0"/>
                <w:color w:val="000000" w:themeColor="text1"/>
                <w:lang w:val="en-US"/>
                <w14:textFill>
                  <w14:solidFill>
                    <w14:schemeClr w14:val="tx1"/>
                  </w14:solidFill>
                </w14:textFill>
              </w:rPr>
            </w:pPr>
          </w:p>
        </w:tc>
        <w:tc>
          <w:tcPr>
            <w:tcW w:w="2160" w:type="pct"/>
            <w:vAlign w:val="center"/>
          </w:tcPr>
          <w:p w14:paraId="55BDE829">
            <w:pPr>
              <w:pStyle w:val="143"/>
              <w:rPr>
                <w:rFonts w:hint="eastAsia"/>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w:t>
            </w:r>
          </w:p>
        </w:tc>
      </w:tr>
      <w:tr w14:paraId="7C102B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191D02A7">
            <w:pPr>
              <w:pStyle w:val="143"/>
              <w:ind w:firstLine="0" w:firstLineChars="0"/>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39</w:t>
            </w:r>
          </w:p>
        </w:tc>
        <w:tc>
          <w:tcPr>
            <w:tcW w:w="2002" w:type="pct"/>
            <w:vAlign w:val="center"/>
          </w:tcPr>
          <w:p w14:paraId="08FB7C64">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黑龙江庆农农业</w:t>
            </w:r>
            <w:r>
              <w:rPr>
                <w:rFonts w:hint="eastAsia"/>
                <w:color w:val="000000" w:themeColor="text1"/>
                <w:lang w:val="en-US" w:eastAsia="zh-CN"/>
                <w14:textFill>
                  <w14:solidFill>
                    <w14:schemeClr w14:val="tx1"/>
                  </w14:solidFill>
                </w14:textFill>
              </w:rPr>
              <w:t>机械有限公司报废农机回收拆解建设项目</w:t>
            </w:r>
          </w:p>
        </w:tc>
        <w:tc>
          <w:tcPr>
            <w:tcW w:w="588" w:type="pct"/>
            <w:vMerge w:val="restart"/>
            <w:vAlign w:val="center"/>
          </w:tcPr>
          <w:p w14:paraId="6FA46CFB">
            <w:pPr>
              <w:pStyle w:val="143"/>
              <w:rPr>
                <w:snapToGrid w:val="0"/>
                <w:color w:val="000000" w:themeColor="text1"/>
                <w:lang w:val="en-US" w:eastAsia="zh-CN"/>
                <w14:textFill>
                  <w14:solidFill>
                    <w14:schemeClr w14:val="tx1"/>
                  </w14:solidFill>
                </w14:textFill>
              </w:rPr>
            </w:pPr>
            <w:r>
              <w:rPr>
                <w:snapToGrid w:val="0"/>
                <w:color w:val="000000" w:themeColor="text1"/>
                <w:lang w:val="en-US" w:eastAsia="zh-CN"/>
                <w14:textFill>
                  <w14:solidFill>
                    <w14:schemeClr w14:val="tx1"/>
                  </w14:solidFill>
                </w14:textFill>
              </w:rPr>
              <w:t>装备制造及</w:t>
            </w:r>
            <w:r>
              <w:rPr>
                <w:rFonts w:hint="eastAsia"/>
                <w:snapToGrid w:val="0"/>
                <w:color w:val="000000" w:themeColor="text1"/>
                <w:lang w:val="en-US" w:eastAsia="zh-CN"/>
                <w14:textFill>
                  <w14:solidFill>
                    <w14:schemeClr w14:val="tx1"/>
                  </w14:solidFill>
                </w14:textFill>
              </w:rPr>
              <w:t>建材产业区</w:t>
            </w:r>
          </w:p>
        </w:tc>
        <w:tc>
          <w:tcPr>
            <w:tcW w:w="2160" w:type="pct"/>
            <w:vAlign w:val="center"/>
          </w:tcPr>
          <w:p w14:paraId="11F5C575">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非甲烷总烃、生活污水、生活垃圾、设备噪声、</w:t>
            </w:r>
            <w:r>
              <w:rPr>
                <w:color w:val="000000"/>
                <w:kern w:val="0"/>
                <w:sz w:val="21"/>
                <w:szCs w:val="21"/>
                <w:highlight w:val="none"/>
              </w:rPr>
              <w:t>废油</w:t>
            </w:r>
            <w:r>
              <w:rPr>
                <w:rFonts w:hint="eastAsia"/>
                <w:color w:val="000000"/>
                <w:kern w:val="0"/>
                <w:sz w:val="21"/>
                <w:szCs w:val="21"/>
                <w:highlight w:val="none"/>
              </w:rPr>
              <w:t>液、废</w:t>
            </w:r>
            <w:r>
              <w:rPr>
                <w:rFonts w:hint="eastAsia"/>
                <w:color w:val="000000"/>
                <w:kern w:val="0"/>
                <w:sz w:val="21"/>
                <w:szCs w:val="21"/>
                <w:highlight w:val="none"/>
                <w:lang w:eastAsia="zh-CN"/>
              </w:rPr>
              <w:t>蓄电池</w:t>
            </w:r>
            <w:r>
              <w:rPr>
                <w:rFonts w:hint="eastAsia"/>
                <w:color w:val="000000"/>
                <w:kern w:val="0"/>
                <w:sz w:val="21"/>
                <w:szCs w:val="21"/>
                <w:highlight w:val="none"/>
              </w:rPr>
              <w:t>、</w:t>
            </w:r>
            <w:r>
              <w:rPr>
                <w:rFonts w:hint="eastAsia"/>
                <w:color w:val="000000"/>
                <w:kern w:val="0"/>
                <w:sz w:val="21"/>
                <w:szCs w:val="21"/>
                <w:highlight w:val="none"/>
                <w:lang w:eastAsia="zh-CN"/>
              </w:rPr>
              <w:t>含油抹布和手套、</w:t>
            </w:r>
            <w:r>
              <w:rPr>
                <w:rFonts w:hint="eastAsia"/>
                <w:color w:val="000000"/>
                <w:kern w:val="0"/>
                <w:sz w:val="21"/>
                <w:szCs w:val="21"/>
                <w:highlight w:val="none"/>
              </w:rPr>
              <w:t>浮油沉渣</w:t>
            </w:r>
            <w:r>
              <w:rPr>
                <w:rFonts w:hint="eastAsia"/>
                <w:color w:val="000000"/>
                <w:kern w:val="0"/>
                <w:sz w:val="21"/>
                <w:szCs w:val="21"/>
                <w:highlight w:val="none"/>
                <w:lang w:eastAsia="zh-CN"/>
              </w:rPr>
              <w:t>、废吸油毡</w:t>
            </w:r>
            <w:r>
              <w:rPr>
                <w:rFonts w:hint="eastAsia"/>
                <w:color w:val="000000"/>
                <w:kern w:val="0"/>
                <w:sz w:val="21"/>
                <w:szCs w:val="21"/>
                <w:highlight w:val="none"/>
                <w:lang w:val="en-US" w:eastAsia="zh-CN"/>
              </w:rPr>
              <w:t>等</w:t>
            </w:r>
          </w:p>
        </w:tc>
      </w:tr>
      <w:tr w14:paraId="604BCA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05B6E8F9">
            <w:pPr>
              <w:pStyle w:val="143"/>
              <w:ind w:firstLine="0" w:firstLineChars="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40</w:t>
            </w:r>
          </w:p>
        </w:tc>
        <w:tc>
          <w:tcPr>
            <w:tcW w:w="2002" w:type="pct"/>
            <w:vAlign w:val="center"/>
          </w:tcPr>
          <w:p w14:paraId="664199B0">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桦南县鑫春粮食贸易有限公司</w:t>
            </w:r>
          </w:p>
        </w:tc>
        <w:tc>
          <w:tcPr>
            <w:tcW w:w="588" w:type="pct"/>
            <w:vMerge w:val="continue"/>
            <w:vAlign w:val="center"/>
          </w:tcPr>
          <w:p w14:paraId="67C4D092">
            <w:pPr>
              <w:pStyle w:val="143"/>
              <w:rPr>
                <w:snapToGrid w:val="0"/>
                <w:color w:val="000000" w:themeColor="text1"/>
                <w:lang w:val="en-US" w:eastAsia="zh-CN"/>
                <w14:textFill>
                  <w14:solidFill>
                    <w14:schemeClr w14:val="tx1"/>
                  </w14:solidFill>
                </w14:textFill>
              </w:rPr>
            </w:pPr>
          </w:p>
        </w:tc>
        <w:tc>
          <w:tcPr>
            <w:tcW w:w="2160" w:type="pct"/>
            <w:vAlign w:val="center"/>
          </w:tcPr>
          <w:p w14:paraId="7B208F2B">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生活污水、生活垃圾、设备噪声、原料杂质、热风炉烟气</w:t>
            </w:r>
          </w:p>
        </w:tc>
      </w:tr>
      <w:tr w14:paraId="20FE22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387DF7DB">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41</w:t>
            </w:r>
          </w:p>
        </w:tc>
        <w:tc>
          <w:tcPr>
            <w:tcW w:w="2002" w:type="pct"/>
            <w:vAlign w:val="center"/>
          </w:tcPr>
          <w:p w14:paraId="2B618E89">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 xml:space="preserve">桦南瀚科水务有限公司 </w:t>
            </w:r>
          </w:p>
          <w:p w14:paraId="328C73A6">
            <w:pPr>
              <w:pStyle w:val="143"/>
              <w:rPr>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（桦南县化工园区污水处理厂）</w:t>
            </w:r>
          </w:p>
        </w:tc>
        <w:tc>
          <w:tcPr>
            <w:tcW w:w="588" w:type="pct"/>
            <w:vMerge w:val="continue"/>
            <w:vAlign w:val="center"/>
          </w:tcPr>
          <w:p w14:paraId="5911BE91">
            <w:pPr>
              <w:pStyle w:val="143"/>
              <w:rPr>
                <w:snapToGrid w:val="0"/>
                <w:color w:val="000000" w:themeColor="text1"/>
                <w:lang w:val="en-US" w:eastAsia="zh-CN"/>
                <w14:textFill>
                  <w14:solidFill>
                    <w14:schemeClr w14:val="tx1"/>
                  </w14:solidFill>
                </w14:textFill>
              </w:rPr>
            </w:pPr>
          </w:p>
        </w:tc>
        <w:tc>
          <w:tcPr>
            <w:tcW w:w="2160" w:type="pct"/>
            <w:vAlign w:val="center"/>
          </w:tcPr>
          <w:p w14:paraId="1C4E8155">
            <w:pPr>
              <w:keepNext w:val="0"/>
              <w:keepLines w:val="0"/>
              <w:widowControl/>
              <w:suppressLineNumbers w:val="0"/>
              <w:spacing w:line="240" w:lineRule="auto"/>
              <w:ind w:left="0" w:leftChars="0" w:firstLine="0" w:firstLineChars="0"/>
              <w:jc w:val="left"/>
              <w:rPr>
                <w:rFonts w:hint="eastAsia"/>
                <w:snapToGrid w:val="0"/>
                <w:color w:val="000000" w:themeColor="text1"/>
                <w:lang w:val="en-US" w:eastAsia="zh-CN"/>
                <w14:textFill>
                  <w14:solidFill>
                    <w14:schemeClr w14:val="tx1"/>
                  </w14:solidFill>
                </w14:textFill>
              </w:rPr>
            </w:pP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 xml:space="preserve">氨、硫化氢、工艺处理后废水、生活垃圾、栅渣、沉砂、化学品废包装物和生活垃圾、脱水污泥（含水率约 </w:t>
            </w:r>
            <w:r>
              <w:rPr>
                <w:rFonts w:hint="default"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60%</w:t>
            </w:r>
            <w:r>
              <w:rPr>
                <w:rFonts w:hint="eastAsia" w:ascii="Times New Roman" w:hAnsi="Times New Roman" w:eastAsia="宋体" w:cstheme="minorBidi"/>
                <w:snapToGrid w:val="0"/>
                <w:color w:val="000000" w:themeColor="text1"/>
                <w:kern w:val="0"/>
                <w:sz w:val="21"/>
                <w:szCs w:val="21"/>
                <w:lang w:val="en-US" w:eastAsia="zh-CN" w:bidi="ar-SA"/>
                <w14:textFill>
                  <w14:solidFill>
                    <w14:schemeClr w14:val="tx1"/>
                  </w14:solidFill>
                </w14:textFill>
              </w:rPr>
              <w:t>）和废活性炭、实验室废液和废紫外灯管、设备噪声</w:t>
            </w:r>
          </w:p>
        </w:tc>
      </w:tr>
      <w:tr w14:paraId="5D68E8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3B6A7CA">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42</w:t>
            </w:r>
          </w:p>
        </w:tc>
        <w:tc>
          <w:tcPr>
            <w:tcW w:w="2002" w:type="pct"/>
            <w:vAlign w:val="center"/>
          </w:tcPr>
          <w:p w14:paraId="7666188F">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桦南浦华净源水务有限公司</w:t>
            </w:r>
          </w:p>
          <w:p w14:paraId="30328F00">
            <w:pPr>
              <w:pStyle w:val="143"/>
              <w:rPr>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（桦南县城镇污水处理厂）</w:t>
            </w:r>
          </w:p>
        </w:tc>
        <w:tc>
          <w:tcPr>
            <w:tcW w:w="588" w:type="pct"/>
            <w:vMerge w:val="continue"/>
            <w:vAlign w:val="center"/>
          </w:tcPr>
          <w:p w14:paraId="08CC93E2">
            <w:pPr>
              <w:pStyle w:val="143"/>
              <w:rPr>
                <w:snapToGrid w:val="0"/>
                <w:color w:val="000000" w:themeColor="text1"/>
                <w:lang w:val="en-US" w:eastAsia="zh-CN"/>
                <w14:textFill>
                  <w14:solidFill>
                    <w14:schemeClr w14:val="tx1"/>
                  </w14:solidFill>
                </w14:textFill>
              </w:rPr>
            </w:pPr>
          </w:p>
        </w:tc>
        <w:tc>
          <w:tcPr>
            <w:tcW w:w="2160" w:type="pct"/>
            <w:vAlign w:val="center"/>
          </w:tcPr>
          <w:p w14:paraId="6EC723CF">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氨、硫化氢、工艺处理后废水、生活污水、生活垃圾、沉砂、栅渣和脱水污泥、实验室废液和废紫外灯、设备噪声</w:t>
            </w:r>
          </w:p>
        </w:tc>
      </w:tr>
      <w:tr w14:paraId="360C13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9D99845">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43</w:t>
            </w:r>
          </w:p>
        </w:tc>
        <w:tc>
          <w:tcPr>
            <w:tcW w:w="2002" w:type="pct"/>
            <w:vAlign w:val="center"/>
          </w:tcPr>
          <w:p w14:paraId="35432075">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黑龙江秋华硕源食品有限公司</w:t>
            </w:r>
          </w:p>
        </w:tc>
        <w:tc>
          <w:tcPr>
            <w:tcW w:w="588" w:type="pct"/>
            <w:vMerge w:val="continue"/>
            <w:vAlign w:val="center"/>
          </w:tcPr>
          <w:p w14:paraId="572919BB">
            <w:pPr>
              <w:pStyle w:val="143"/>
              <w:rPr>
                <w:snapToGrid w:val="0"/>
                <w:color w:val="000000" w:themeColor="text1"/>
                <w:lang w:val="en-US" w:eastAsia="zh-CN"/>
                <w14:textFill>
                  <w14:solidFill>
                    <w14:schemeClr w14:val="tx1"/>
                  </w14:solidFill>
                </w14:textFill>
              </w:rPr>
            </w:pPr>
          </w:p>
        </w:tc>
        <w:tc>
          <w:tcPr>
            <w:tcW w:w="2160" w:type="pct"/>
            <w:vAlign w:val="center"/>
          </w:tcPr>
          <w:p w14:paraId="7DFE6EFF">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锅炉烟气、生活污水、生活垃圾、设备噪声</w:t>
            </w:r>
          </w:p>
        </w:tc>
      </w:tr>
      <w:tr w14:paraId="5DA8A4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1405E12F">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44</w:t>
            </w:r>
          </w:p>
        </w:tc>
        <w:tc>
          <w:tcPr>
            <w:tcW w:w="2002" w:type="pct"/>
            <w:vAlign w:val="center"/>
          </w:tcPr>
          <w:p w14:paraId="4BA3D622">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黑龙江华利水泥制品有限公司</w:t>
            </w:r>
          </w:p>
        </w:tc>
        <w:tc>
          <w:tcPr>
            <w:tcW w:w="588" w:type="pct"/>
            <w:vMerge w:val="continue"/>
            <w:vAlign w:val="center"/>
          </w:tcPr>
          <w:p w14:paraId="1931661A">
            <w:pPr>
              <w:pStyle w:val="143"/>
              <w:rPr>
                <w:snapToGrid w:val="0"/>
                <w:color w:val="000000" w:themeColor="text1"/>
                <w:lang w:val="en-US" w:eastAsia="zh-CN"/>
                <w14:textFill>
                  <w14:solidFill>
                    <w14:schemeClr w14:val="tx1"/>
                  </w14:solidFill>
                </w14:textFill>
              </w:rPr>
            </w:pPr>
          </w:p>
        </w:tc>
        <w:tc>
          <w:tcPr>
            <w:tcW w:w="2160" w:type="pct"/>
            <w:vAlign w:val="center"/>
          </w:tcPr>
          <w:p w14:paraId="0B533B6F">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锅炉烟气、颗粒物、生活污水、生活垃圾、设备噪声</w:t>
            </w:r>
          </w:p>
        </w:tc>
      </w:tr>
      <w:tr w14:paraId="07FC78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0F9426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45</w:t>
            </w:r>
          </w:p>
        </w:tc>
        <w:tc>
          <w:tcPr>
            <w:tcW w:w="2002" w:type="pct"/>
            <w:vAlign w:val="center"/>
          </w:tcPr>
          <w:p w14:paraId="4EDA94ED">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黑龙江旭宏钢结构有限公司</w:t>
            </w:r>
          </w:p>
        </w:tc>
        <w:tc>
          <w:tcPr>
            <w:tcW w:w="588" w:type="pct"/>
            <w:vMerge w:val="continue"/>
            <w:vAlign w:val="center"/>
          </w:tcPr>
          <w:p w14:paraId="02C8DD66">
            <w:pPr>
              <w:pStyle w:val="143"/>
              <w:rPr>
                <w:snapToGrid w:val="0"/>
                <w:color w:val="000000" w:themeColor="text1"/>
                <w:lang w:val="en-US" w:eastAsia="zh-CN"/>
                <w14:textFill>
                  <w14:solidFill>
                    <w14:schemeClr w14:val="tx1"/>
                  </w14:solidFill>
                </w14:textFill>
              </w:rPr>
            </w:pPr>
          </w:p>
        </w:tc>
        <w:tc>
          <w:tcPr>
            <w:tcW w:w="2160" w:type="pct"/>
            <w:vAlign w:val="center"/>
          </w:tcPr>
          <w:p w14:paraId="6FE9A2F1">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颗粒物、生活污水、生活垃圾、设备噪声</w:t>
            </w:r>
          </w:p>
        </w:tc>
      </w:tr>
      <w:tr w14:paraId="159EBB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2B54CBD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46</w:t>
            </w:r>
          </w:p>
        </w:tc>
        <w:tc>
          <w:tcPr>
            <w:tcW w:w="2002" w:type="pct"/>
            <w:vAlign w:val="center"/>
          </w:tcPr>
          <w:p w14:paraId="2E28670B">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桦南县陈鑫福利铸造有限责任</w:t>
            </w:r>
            <w:r>
              <w:rPr>
                <w:rFonts w:hint="eastAsia"/>
                <w:color w:val="000000" w:themeColor="text1"/>
                <w:lang w:val="en-US" w:eastAsia="zh-CN"/>
                <w14:textFill>
                  <w14:solidFill>
                    <w14:schemeClr w14:val="tx1"/>
                  </w14:solidFill>
                </w14:textFill>
              </w:rPr>
              <w:t>公司</w:t>
            </w:r>
          </w:p>
        </w:tc>
        <w:tc>
          <w:tcPr>
            <w:tcW w:w="588" w:type="pct"/>
            <w:vMerge w:val="continue"/>
            <w:vAlign w:val="center"/>
          </w:tcPr>
          <w:p w14:paraId="498C8D51">
            <w:pPr>
              <w:pStyle w:val="143"/>
              <w:rPr>
                <w:snapToGrid w:val="0"/>
                <w:color w:val="000000" w:themeColor="text1"/>
                <w:lang w:val="en-US" w:eastAsia="zh-CN"/>
                <w14:textFill>
                  <w14:solidFill>
                    <w14:schemeClr w14:val="tx1"/>
                  </w14:solidFill>
                </w14:textFill>
              </w:rPr>
            </w:pPr>
          </w:p>
        </w:tc>
        <w:tc>
          <w:tcPr>
            <w:tcW w:w="2160" w:type="pct"/>
            <w:vAlign w:val="center"/>
          </w:tcPr>
          <w:p w14:paraId="642FB8EB">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颗粒物、锅炉烟气、生活污水、生活垃圾、设备噪声、废边角料</w:t>
            </w:r>
          </w:p>
        </w:tc>
      </w:tr>
      <w:tr w14:paraId="2E1A3B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14D63018">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47</w:t>
            </w:r>
          </w:p>
        </w:tc>
        <w:tc>
          <w:tcPr>
            <w:tcW w:w="2002" w:type="pct"/>
            <w:vAlign w:val="center"/>
          </w:tcPr>
          <w:p w14:paraId="32866A64">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黑龙江金衡新型建筑材料有限</w:t>
            </w:r>
            <w:r>
              <w:rPr>
                <w:rFonts w:hint="eastAsia"/>
                <w:color w:val="000000" w:themeColor="text1"/>
                <w:lang w:val="en-US" w:eastAsia="zh-CN"/>
                <w14:textFill>
                  <w14:solidFill>
                    <w14:schemeClr w14:val="tx1"/>
                  </w14:solidFill>
                </w14:textFill>
              </w:rPr>
              <w:t>公司</w:t>
            </w:r>
          </w:p>
        </w:tc>
        <w:tc>
          <w:tcPr>
            <w:tcW w:w="588" w:type="pct"/>
            <w:vMerge w:val="continue"/>
            <w:vAlign w:val="center"/>
          </w:tcPr>
          <w:p w14:paraId="69E7766A">
            <w:pPr>
              <w:pStyle w:val="143"/>
              <w:rPr>
                <w:snapToGrid w:val="0"/>
                <w:color w:val="000000" w:themeColor="text1"/>
                <w:lang w:val="en-US" w:eastAsia="zh-CN"/>
                <w14:textFill>
                  <w14:solidFill>
                    <w14:schemeClr w14:val="tx1"/>
                  </w14:solidFill>
                </w14:textFill>
              </w:rPr>
            </w:pPr>
          </w:p>
        </w:tc>
        <w:tc>
          <w:tcPr>
            <w:tcW w:w="2160" w:type="pct"/>
            <w:vAlign w:val="center"/>
          </w:tcPr>
          <w:p w14:paraId="6ABDDDD0">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非甲烷总烃、颗粒物、生活污水、生活垃圾、设备噪声、废边角料</w:t>
            </w:r>
          </w:p>
        </w:tc>
      </w:tr>
      <w:tr w14:paraId="1D0899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44F7573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48</w:t>
            </w:r>
          </w:p>
        </w:tc>
        <w:tc>
          <w:tcPr>
            <w:tcW w:w="2002" w:type="pct"/>
            <w:vAlign w:val="center"/>
          </w:tcPr>
          <w:p w14:paraId="785A353B">
            <w:pPr>
              <w:pStyle w:val="143"/>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桦南县奇龙新型建筑材料制造</w:t>
            </w:r>
            <w:r>
              <w:rPr>
                <w:rFonts w:hint="eastAsia"/>
                <w:color w:val="000000" w:themeColor="text1"/>
                <w:lang w:val="en-US" w:eastAsia="zh-CN"/>
                <w14:textFill>
                  <w14:solidFill>
                    <w14:schemeClr w14:val="tx1"/>
                  </w14:solidFill>
                </w14:textFill>
              </w:rPr>
              <w:t>有限公司</w:t>
            </w:r>
          </w:p>
        </w:tc>
        <w:tc>
          <w:tcPr>
            <w:tcW w:w="588" w:type="pct"/>
            <w:vMerge w:val="continue"/>
            <w:vAlign w:val="center"/>
          </w:tcPr>
          <w:p w14:paraId="21EA39BD">
            <w:pPr>
              <w:pStyle w:val="143"/>
              <w:rPr>
                <w:snapToGrid w:val="0"/>
                <w:color w:val="000000" w:themeColor="text1"/>
                <w:lang w:val="en-US" w:eastAsia="zh-CN"/>
                <w14:textFill>
                  <w14:solidFill>
                    <w14:schemeClr w14:val="tx1"/>
                  </w14:solidFill>
                </w14:textFill>
              </w:rPr>
            </w:pPr>
          </w:p>
        </w:tc>
        <w:tc>
          <w:tcPr>
            <w:tcW w:w="2160" w:type="pct"/>
            <w:vAlign w:val="center"/>
          </w:tcPr>
          <w:p w14:paraId="3D8C4B0A">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挥发性有机物、</w:t>
            </w:r>
            <w:r>
              <w:rPr>
                <w:rFonts w:hint="eastAsia"/>
              </w:rPr>
              <w:t>生活污水、循环冷却系统排污水、尾气吸收喷淋废水、软化水制备废水、车间冲洗水及初期雨水</w:t>
            </w:r>
            <w:r>
              <w:rPr>
                <w:rFonts w:hint="eastAsia"/>
                <w:lang w:eastAsia="zh-CN"/>
              </w:rPr>
              <w:t>、</w:t>
            </w:r>
            <w:r>
              <w:rPr>
                <w:rFonts w:hint="eastAsia"/>
              </w:rPr>
              <w:t>软水</w:t>
            </w:r>
            <w:r>
              <w:t>制备装置反渗透膜、一般</w:t>
            </w:r>
            <w:r>
              <w:rPr>
                <w:rFonts w:hint="eastAsia"/>
              </w:rPr>
              <w:t>性废弃</w:t>
            </w:r>
            <w:r>
              <w:t>包装、</w:t>
            </w:r>
            <w:r>
              <w:rPr>
                <w:rFonts w:hint="eastAsia"/>
              </w:rPr>
              <w:t>检验车间</w:t>
            </w:r>
            <w:r>
              <w:t>废弃水泥混凝土试块</w:t>
            </w:r>
            <w:r>
              <w:rPr>
                <w:rFonts w:hint="eastAsia"/>
                <w:lang w:eastAsia="zh-CN"/>
              </w:rPr>
              <w:t>、</w:t>
            </w:r>
            <w:r>
              <w:t>危险</w:t>
            </w:r>
            <w:r>
              <w:rPr>
                <w:rFonts w:hint="eastAsia"/>
              </w:rPr>
              <w:t>性废弃</w:t>
            </w:r>
            <w:r>
              <w:t>包装、废活性炭、</w:t>
            </w:r>
            <w:r>
              <w:rPr>
                <w:rFonts w:hint="eastAsia"/>
              </w:rPr>
              <w:t>废机油、废润滑油、废油桶等</w:t>
            </w:r>
            <w:r>
              <w:rPr>
                <w:rFonts w:hint="eastAsia"/>
                <w:lang w:eastAsia="zh-CN"/>
              </w:rPr>
              <w:t>、</w:t>
            </w:r>
            <w:r>
              <w:rPr>
                <w:rFonts w:hint="eastAsia"/>
                <w:lang w:val="en-US" w:eastAsia="zh-CN"/>
              </w:rPr>
              <w:t>生活垃圾、设备噪声</w:t>
            </w:r>
          </w:p>
        </w:tc>
      </w:tr>
      <w:tr w14:paraId="04DB5E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3684B837">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50</w:t>
            </w:r>
          </w:p>
        </w:tc>
        <w:tc>
          <w:tcPr>
            <w:tcW w:w="2002" w:type="pct"/>
            <w:vAlign w:val="center"/>
          </w:tcPr>
          <w:p w14:paraId="20517F57">
            <w:pPr>
              <w:pStyle w:val="143"/>
              <w:rPr>
                <w:color w:val="000000" w:themeColor="text1"/>
                <w:lang w:val="en-US" w:eastAsia="zh-CN"/>
                <w14:textFill>
                  <w14:solidFill>
                    <w14:schemeClr w14:val="tx1"/>
                  </w14:solidFill>
                </w14:textFill>
              </w:rPr>
            </w:pPr>
            <w:r>
              <w:rPr>
                <w:color w:val="000000" w:themeColor="text1"/>
                <w:highlight w:val="none"/>
                <w:lang w:val="en-US" w:eastAsia="zh-CN"/>
                <w14:textFill>
                  <w14:solidFill>
                    <w14:schemeClr w14:val="tx1"/>
                  </w14:solidFill>
                </w14:textFill>
              </w:rPr>
              <w:t>黑龙江万丰德肥料有限公司</w:t>
            </w:r>
          </w:p>
        </w:tc>
        <w:tc>
          <w:tcPr>
            <w:tcW w:w="588" w:type="pct"/>
            <w:vMerge w:val="continue"/>
            <w:vAlign w:val="center"/>
          </w:tcPr>
          <w:p w14:paraId="3B8E6CE8">
            <w:pPr>
              <w:pStyle w:val="143"/>
              <w:rPr>
                <w:snapToGrid w:val="0"/>
                <w:color w:val="000000" w:themeColor="text1"/>
                <w:lang w:val="en-US" w:eastAsia="zh-CN"/>
                <w14:textFill>
                  <w14:solidFill>
                    <w14:schemeClr w14:val="tx1"/>
                  </w14:solidFill>
                </w14:textFill>
              </w:rPr>
            </w:pPr>
          </w:p>
        </w:tc>
        <w:tc>
          <w:tcPr>
            <w:tcW w:w="2160" w:type="pct"/>
            <w:vAlign w:val="center"/>
          </w:tcPr>
          <w:p w14:paraId="6401D575">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颗粒物、生活污水、生活垃圾、设备噪声、废布袋等</w:t>
            </w:r>
          </w:p>
        </w:tc>
      </w:tr>
      <w:tr w14:paraId="3E71C5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47" w:type="pct"/>
            <w:vAlign w:val="center"/>
          </w:tcPr>
          <w:p w14:paraId="5C489EBA">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51</w:t>
            </w:r>
          </w:p>
        </w:tc>
        <w:tc>
          <w:tcPr>
            <w:tcW w:w="2002" w:type="pct"/>
            <w:vAlign w:val="center"/>
          </w:tcPr>
          <w:p w14:paraId="5B745E86">
            <w:pPr>
              <w:pStyle w:val="143"/>
              <w:rPr>
                <w:rFonts w:hint="default"/>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桦南县前进腾辉水泥制品厂</w:t>
            </w:r>
            <w:r>
              <w:rPr>
                <w:rFonts w:hint="eastAsia"/>
                <w:color w:val="000000" w:themeColor="text1"/>
                <w:lang w:val="en-US" w:eastAsia="zh-CN"/>
                <w14:textFill>
                  <w14:solidFill>
                    <w14:schemeClr w14:val="tx1"/>
                  </w14:solidFill>
                </w14:textFill>
              </w:rPr>
              <w:t xml:space="preserve">                                              </w:t>
            </w:r>
          </w:p>
        </w:tc>
        <w:tc>
          <w:tcPr>
            <w:tcW w:w="588" w:type="pct"/>
            <w:vMerge w:val="continue"/>
            <w:vAlign w:val="center"/>
          </w:tcPr>
          <w:p w14:paraId="1DB2BA76">
            <w:pPr>
              <w:pStyle w:val="143"/>
              <w:rPr>
                <w:snapToGrid w:val="0"/>
                <w:color w:val="000000" w:themeColor="text1"/>
                <w:lang w:val="en-US" w:eastAsia="zh-CN"/>
                <w14:textFill>
                  <w14:solidFill>
                    <w14:schemeClr w14:val="tx1"/>
                  </w14:solidFill>
                </w14:textFill>
              </w:rPr>
            </w:pPr>
          </w:p>
        </w:tc>
        <w:tc>
          <w:tcPr>
            <w:tcW w:w="2160" w:type="pct"/>
            <w:vAlign w:val="center"/>
          </w:tcPr>
          <w:p w14:paraId="7430F3C7">
            <w:pPr>
              <w:pStyle w:val="143"/>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颗粒物、生活污水、生活垃圾、设备噪声、废布袋等</w:t>
            </w:r>
          </w:p>
        </w:tc>
      </w:tr>
    </w:tbl>
    <w:p w14:paraId="00F20B09">
      <w:pPr>
        <w:pStyle w:val="85"/>
        <w:rPr>
          <w:snapToGrid w:val="0"/>
          <w:color w:val="000000" w:themeColor="text1"/>
          <w14:textFill>
            <w14:solidFill>
              <w14:schemeClr w14:val="tx1"/>
            </w14:solidFill>
          </w14:textFill>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pPr>
    </w:p>
    <w:bookmarkEnd w:id="242"/>
    <w:p w14:paraId="168A2F4D">
      <w:pPr>
        <w:pStyle w:val="4"/>
        <w:rPr>
          <w:snapToGrid w:val="0"/>
          <w:color w:val="000000" w:themeColor="text1"/>
          <w14:textFill>
            <w14:solidFill>
              <w14:schemeClr w14:val="tx1"/>
            </w14:solidFill>
          </w14:textFill>
        </w:rPr>
      </w:pPr>
      <w:bookmarkStart w:id="243" w:name="_Toc480447669"/>
      <w:bookmarkStart w:id="244" w:name="_Toc415146701"/>
      <w:bookmarkStart w:id="245" w:name="_Toc45678581"/>
      <w:bookmarkStart w:id="246" w:name="_Toc371751574"/>
      <w:bookmarkStart w:id="247" w:name="_Toc75075806"/>
      <w:bookmarkStart w:id="248" w:name="_Toc75075744"/>
      <w:bookmarkStart w:id="249" w:name="_Toc6634"/>
      <w:r>
        <w:rPr>
          <w:snapToGrid w:val="0"/>
          <w:color w:val="000000" w:themeColor="text1"/>
          <w14:textFill>
            <w14:solidFill>
              <w14:schemeClr w14:val="tx1"/>
            </w14:solidFill>
          </w14:textFill>
        </w:rPr>
        <w:t>5环境影响预测</w:t>
      </w:r>
      <w:r>
        <w:rPr>
          <w:rFonts w:hint="eastAsia"/>
          <w:snapToGrid w:val="0"/>
          <w:color w:val="000000" w:themeColor="text1"/>
          <w14:textFill>
            <w14:solidFill>
              <w14:schemeClr w14:val="tx1"/>
            </w14:solidFill>
          </w14:textFill>
        </w:rPr>
        <w:t>与</w:t>
      </w:r>
      <w:r>
        <w:rPr>
          <w:snapToGrid w:val="0"/>
          <w:color w:val="000000" w:themeColor="text1"/>
          <w14:textFill>
            <w14:solidFill>
              <w14:schemeClr w14:val="tx1"/>
            </w14:solidFill>
          </w14:textFill>
        </w:rPr>
        <w:t>评价</w:t>
      </w:r>
      <w:bookmarkEnd w:id="243"/>
      <w:bookmarkEnd w:id="244"/>
      <w:bookmarkEnd w:id="245"/>
      <w:bookmarkEnd w:id="246"/>
      <w:bookmarkEnd w:id="247"/>
      <w:bookmarkEnd w:id="248"/>
      <w:bookmarkEnd w:id="249"/>
    </w:p>
    <w:p w14:paraId="4E4553F8">
      <w:pPr>
        <w:pStyle w:val="5"/>
        <w:rPr>
          <w:snapToGrid w:val="0"/>
          <w:color w:val="000000" w:themeColor="text1"/>
          <w14:textFill>
            <w14:solidFill>
              <w14:schemeClr w14:val="tx1"/>
            </w14:solidFill>
          </w14:textFill>
        </w:rPr>
      </w:pPr>
      <w:bookmarkStart w:id="250" w:name="_Toc415146702"/>
      <w:bookmarkStart w:id="251" w:name="_Toc480447670"/>
      <w:bookmarkStart w:id="252" w:name="_Toc7196"/>
      <w:r>
        <w:rPr>
          <w:snapToGrid w:val="0"/>
          <w:color w:val="000000" w:themeColor="text1"/>
          <w14:textFill>
            <w14:solidFill>
              <w14:schemeClr w14:val="tx1"/>
            </w14:solidFill>
          </w14:textFill>
        </w:rPr>
        <w:t>5.1施工期环境影响</w:t>
      </w:r>
      <w:bookmarkEnd w:id="250"/>
      <w:r>
        <w:rPr>
          <w:snapToGrid w:val="0"/>
          <w:color w:val="000000" w:themeColor="text1"/>
          <w14:textFill>
            <w14:solidFill>
              <w14:schemeClr w14:val="tx1"/>
            </w14:solidFill>
          </w14:textFill>
        </w:rPr>
        <w:t>分析</w:t>
      </w:r>
      <w:bookmarkEnd w:id="251"/>
      <w:bookmarkEnd w:id="252"/>
    </w:p>
    <w:p w14:paraId="54B3375F">
      <w:pPr>
        <w:pStyle w:val="6"/>
        <w:rPr>
          <w:snapToGrid w:val="0"/>
          <w:color w:val="000000" w:themeColor="text1"/>
          <w14:textFill>
            <w14:solidFill>
              <w14:schemeClr w14:val="tx1"/>
            </w14:solidFill>
          </w14:textFill>
        </w:rPr>
      </w:pPr>
      <w:bookmarkStart w:id="253" w:name="_Toc11174"/>
      <w:r>
        <w:rPr>
          <w:snapToGrid w:val="0"/>
          <w:color w:val="000000" w:themeColor="text1"/>
          <w14:textFill>
            <w14:solidFill>
              <w14:schemeClr w14:val="tx1"/>
            </w14:solidFill>
          </w14:textFill>
        </w:rPr>
        <w:t>5.1.1环境空气影响分析</w:t>
      </w:r>
      <w:bookmarkEnd w:id="253"/>
    </w:p>
    <w:p w14:paraId="6952DC19">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建设施工过程中，</w:t>
      </w:r>
      <w:r>
        <w:rPr>
          <w:rFonts w:hint="eastAsia"/>
          <w:snapToGrid w:val="0"/>
          <w:color w:val="000000" w:themeColor="text1"/>
          <w:kern w:val="0"/>
          <w:lang w:eastAsia="zh-CN"/>
          <w14:textFill>
            <w14:solidFill>
              <w14:schemeClr w14:val="tx1"/>
            </w14:solidFill>
          </w14:textFill>
        </w:rPr>
        <w:t>燃气</w:t>
      </w:r>
      <w:r>
        <w:rPr>
          <w:snapToGrid w:val="0"/>
          <w:color w:val="000000" w:themeColor="text1"/>
          <w:kern w:val="0"/>
          <w14:textFill>
            <w14:solidFill>
              <w14:schemeClr w14:val="tx1"/>
            </w14:solidFill>
          </w14:textFill>
        </w:rPr>
        <w:t>动力机械和运输车辆排放的废气，挖土、运土、填土、夯实和汽车运输过程的扬尘，都会给周围环境空气带来污染。污染大气的主要因子是NO</w:t>
      </w:r>
      <w:r>
        <w:rPr>
          <w:snapToGrid w:val="0"/>
          <w:color w:val="000000" w:themeColor="text1"/>
          <w:kern w:val="0"/>
          <w:vertAlign w:val="subscript"/>
          <w14:textFill>
            <w14:solidFill>
              <w14:schemeClr w14:val="tx1"/>
            </w14:solidFill>
          </w14:textFill>
        </w:rPr>
        <w:t>2</w:t>
      </w:r>
      <w:r>
        <w:rPr>
          <w:snapToGrid w:val="0"/>
          <w:color w:val="000000" w:themeColor="text1"/>
          <w:kern w:val="0"/>
          <w14:textFill>
            <w14:solidFill>
              <w14:schemeClr w14:val="tx1"/>
            </w14:solidFill>
          </w14:textFill>
        </w:rPr>
        <w:t>、CO、SO</w:t>
      </w:r>
      <w:r>
        <w:rPr>
          <w:snapToGrid w:val="0"/>
          <w:color w:val="000000" w:themeColor="text1"/>
          <w:kern w:val="0"/>
          <w:vertAlign w:val="subscript"/>
          <w14:textFill>
            <w14:solidFill>
              <w14:schemeClr w14:val="tx1"/>
            </w14:solidFill>
          </w14:textFill>
        </w:rPr>
        <w:t>2</w:t>
      </w:r>
      <w:r>
        <w:rPr>
          <w:snapToGrid w:val="0"/>
          <w:color w:val="000000" w:themeColor="text1"/>
          <w:kern w:val="0"/>
          <w14:textFill>
            <w14:solidFill>
              <w14:schemeClr w14:val="tx1"/>
            </w14:solidFill>
          </w14:textFill>
        </w:rPr>
        <w:t>和扬尘，尤其扬尘污染最为严重。</w:t>
      </w:r>
    </w:p>
    <w:p w14:paraId="69D1DCF0">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1、施工扬尘对外环境的影响</w:t>
      </w:r>
    </w:p>
    <w:p w14:paraId="2F73DDBF">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施工过程扬尘污染的危害不容忽视。在施工现场的作业人员，如长时间吸入大量微细尘埃，不但会引起各种呼吸道疾病，而且，扬尘会夹带大量的病源菌，还会传染其它各种疾病，严重威胁施工人员的身体健康。此外，扬尘飘落在各种建筑物和绿叶植被上，将会影响景观。</w:t>
      </w:r>
    </w:p>
    <w:p w14:paraId="23FD5960">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对整个施工期而言，施工产生的扬尘主要集中在土建施工阶段。按起尘的原因可分为风力起尘和动力起尘，其中风力起尘主要是由于露天堆放的建材(如沙土、水泥等)及裸露的施工区表层浮尘因天气干燥及大风，产生风尘扬尘；而动力起尘，主要是在建材的装卸、搅拌过程中，由于外力而产生的尘粒再悬浮而造成，其中施工及装卸车辆造成的扬尘最为严重。据有关文献资料介绍，车辆行驶产生的扬尘占总扬尘的60%上。不同车速和地面清洁程度的汽车扬尘产生情况见表5-1-1。</w:t>
      </w:r>
    </w:p>
    <w:p w14:paraId="422251E7">
      <w:pPr>
        <w:pStyle w:val="206"/>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表5-1-1不同车速和地面清洁程度的汽车扬尘      单位：kg/辆·km</w:t>
      </w:r>
    </w:p>
    <w:tbl>
      <w:tblPr>
        <w:tblStyle w:val="387"/>
        <w:tblW w:w="501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1085"/>
        <w:gridCol w:w="1109"/>
        <w:gridCol w:w="1004"/>
        <w:gridCol w:w="1004"/>
        <w:gridCol w:w="1004"/>
        <w:gridCol w:w="1004"/>
      </w:tblGrid>
      <w:tr w14:paraId="7CE82C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1276" w:type="pct"/>
            <w:vAlign w:val="center"/>
          </w:tcPr>
          <w:p w14:paraId="1E1BBE5A">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P(kg/m</w:t>
            </w:r>
            <w:r>
              <w:rPr>
                <w:snapToGrid w:val="0"/>
                <w:color w:val="000000" w:themeColor="text1"/>
                <w:kern w:val="2"/>
                <w:vertAlign w:val="superscript"/>
                <w14:textFill>
                  <w14:solidFill>
                    <w14:schemeClr w14:val="tx1"/>
                  </w14:solidFill>
                </w14:textFill>
              </w:rPr>
              <w:t>2</w:t>
            </w:r>
            <w:r>
              <w:rPr>
                <w:snapToGrid w:val="0"/>
                <w:color w:val="000000" w:themeColor="text1"/>
                <w:kern w:val="2"/>
                <w14:textFill>
                  <w14:solidFill>
                    <w14:schemeClr w14:val="tx1"/>
                  </w14:solidFill>
                </w14:textFill>
              </w:rPr>
              <w:t>)车速</w:t>
            </w:r>
          </w:p>
        </w:tc>
        <w:tc>
          <w:tcPr>
            <w:tcW w:w="651" w:type="pct"/>
            <w:vAlign w:val="center"/>
          </w:tcPr>
          <w:p w14:paraId="296242C3">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w:t>
            </w:r>
          </w:p>
        </w:tc>
        <w:tc>
          <w:tcPr>
            <w:tcW w:w="665" w:type="pct"/>
            <w:vAlign w:val="center"/>
          </w:tcPr>
          <w:p w14:paraId="39A7F1EE">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0.2</w:t>
            </w:r>
          </w:p>
        </w:tc>
        <w:tc>
          <w:tcPr>
            <w:tcW w:w="602" w:type="pct"/>
            <w:vAlign w:val="center"/>
          </w:tcPr>
          <w:p w14:paraId="7AF90F0D">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0.3</w:t>
            </w:r>
          </w:p>
        </w:tc>
        <w:tc>
          <w:tcPr>
            <w:tcW w:w="602" w:type="pct"/>
            <w:vAlign w:val="center"/>
          </w:tcPr>
          <w:p w14:paraId="3FC34C86">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0.4</w:t>
            </w:r>
          </w:p>
        </w:tc>
        <w:tc>
          <w:tcPr>
            <w:tcW w:w="602" w:type="pct"/>
            <w:vAlign w:val="center"/>
          </w:tcPr>
          <w:p w14:paraId="425B929C">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0.5</w:t>
            </w:r>
          </w:p>
        </w:tc>
        <w:tc>
          <w:tcPr>
            <w:tcW w:w="602" w:type="pct"/>
            <w:vAlign w:val="center"/>
          </w:tcPr>
          <w:p w14:paraId="4E145405">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1.0</w:t>
            </w:r>
          </w:p>
        </w:tc>
      </w:tr>
      <w:tr w14:paraId="26A051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276" w:type="pct"/>
            <w:vAlign w:val="center"/>
          </w:tcPr>
          <w:p w14:paraId="71FFAE18">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5(km/hr)</w:t>
            </w:r>
          </w:p>
        </w:tc>
        <w:tc>
          <w:tcPr>
            <w:tcW w:w="651" w:type="pct"/>
            <w:vAlign w:val="center"/>
          </w:tcPr>
          <w:p w14:paraId="78C6C421">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0.051056</w:t>
            </w:r>
          </w:p>
        </w:tc>
        <w:tc>
          <w:tcPr>
            <w:tcW w:w="665" w:type="pct"/>
            <w:vAlign w:val="center"/>
          </w:tcPr>
          <w:p w14:paraId="7C5F181A">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0.0261665</w:t>
            </w:r>
          </w:p>
        </w:tc>
        <w:tc>
          <w:tcPr>
            <w:tcW w:w="602" w:type="pct"/>
            <w:vAlign w:val="center"/>
          </w:tcPr>
          <w:p w14:paraId="672C8FDC">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0.116382</w:t>
            </w:r>
          </w:p>
        </w:tc>
        <w:tc>
          <w:tcPr>
            <w:tcW w:w="602" w:type="pct"/>
            <w:vAlign w:val="center"/>
          </w:tcPr>
          <w:p w14:paraId="3397D2D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0.144408</w:t>
            </w:r>
          </w:p>
        </w:tc>
        <w:tc>
          <w:tcPr>
            <w:tcW w:w="602" w:type="pct"/>
            <w:vAlign w:val="center"/>
          </w:tcPr>
          <w:p w14:paraId="6280A632">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0.170715</w:t>
            </w:r>
          </w:p>
        </w:tc>
        <w:tc>
          <w:tcPr>
            <w:tcW w:w="602" w:type="pct"/>
            <w:vAlign w:val="center"/>
          </w:tcPr>
          <w:p w14:paraId="7C74C46C">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0.287108</w:t>
            </w:r>
          </w:p>
        </w:tc>
      </w:tr>
      <w:tr w14:paraId="0772A1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276" w:type="pct"/>
            <w:vAlign w:val="center"/>
          </w:tcPr>
          <w:p w14:paraId="6F649044">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10(km/hr)</w:t>
            </w:r>
          </w:p>
        </w:tc>
        <w:tc>
          <w:tcPr>
            <w:tcW w:w="651" w:type="pct"/>
            <w:vAlign w:val="center"/>
          </w:tcPr>
          <w:p w14:paraId="7FFF73F0">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0.102112</w:t>
            </w:r>
          </w:p>
        </w:tc>
        <w:tc>
          <w:tcPr>
            <w:tcW w:w="665" w:type="pct"/>
            <w:vAlign w:val="center"/>
          </w:tcPr>
          <w:p w14:paraId="060FCC7B">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0.171731</w:t>
            </w:r>
          </w:p>
        </w:tc>
        <w:tc>
          <w:tcPr>
            <w:tcW w:w="602" w:type="pct"/>
            <w:vAlign w:val="center"/>
          </w:tcPr>
          <w:p w14:paraId="27243BC3">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0.232764</w:t>
            </w:r>
          </w:p>
        </w:tc>
        <w:tc>
          <w:tcPr>
            <w:tcW w:w="602" w:type="pct"/>
            <w:vAlign w:val="center"/>
          </w:tcPr>
          <w:p w14:paraId="341580B5">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0.288815</w:t>
            </w:r>
          </w:p>
        </w:tc>
        <w:tc>
          <w:tcPr>
            <w:tcW w:w="602" w:type="pct"/>
            <w:vAlign w:val="center"/>
          </w:tcPr>
          <w:p w14:paraId="37F76391">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0.341431</w:t>
            </w:r>
          </w:p>
        </w:tc>
        <w:tc>
          <w:tcPr>
            <w:tcW w:w="602" w:type="pct"/>
            <w:vAlign w:val="center"/>
          </w:tcPr>
          <w:p w14:paraId="28B373EA">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0.574216</w:t>
            </w:r>
          </w:p>
        </w:tc>
      </w:tr>
      <w:tr w14:paraId="4D4836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276" w:type="pct"/>
            <w:vAlign w:val="center"/>
          </w:tcPr>
          <w:p w14:paraId="53A53FF4">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15(km/hr)</w:t>
            </w:r>
          </w:p>
        </w:tc>
        <w:tc>
          <w:tcPr>
            <w:tcW w:w="651" w:type="pct"/>
            <w:vAlign w:val="center"/>
          </w:tcPr>
          <w:p w14:paraId="05936550">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0.153167</w:t>
            </w:r>
          </w:p>
        </w:tc>
        <w:tc>
          <w:tcPr>
            <w:tcW w:w="665" w:type="pct"/>
            <w:vAlign w:val="center"/>
          </w:tcPr>
          <w:p w14:paraId="02A2503C">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0.257596</w:t>
            </w:r>
          </w:p>
        </w:tc>
        <w:tc>
          <w:tcPr>
            <w:tcW w:w="602" w:type="pct"/>
            <w:vAlign w:val="center"/>
          </w:tcPr>
          <w:p w14:paraId="27ECBAAE">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0.349146</w:t>
            </w:r>
          </w:p>
        </w:tc>
        <w:tc>
          <w:tcPr>
            <w:tcW w:w="602" w:type="pct"/>
            <w:vAlign w:val="center"/>
          </w:tcPr>
          <w:p w14:paraId="3FC2777C">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0.433223</w:t>
            </w:r>
          </w:p>
        </w:tc>
        <w:tc>
          <w:tcPr>
            <w:tcW w:w="602" w:type="pct"/>
            <w:vAlign w:val="center"/>
          </w:tcPr>
          <w:p w14:paraId="226EAB76">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0.512146</w:t>
            </w:r>
          </w:p>
        </w:tc>
        <w:tc>
          <w:tcPr>
            <w:tcW w:w="602" w:type="pct"/>
            <w:vAlign w:val="center"/>
          </w:tcPr>
          <w:p w14:paraId="0AB4986D">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0.861323</w:t>
            </w:r>
          </w:p>
        </w:tc>
      </w:tr>
      <w:tr w14:paraId="6247BF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276" w:type="pct"/>
            <w:vAlign w:val="center"/>
          </w:tcPr>
          <w:p w14:paraId="666B794A">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25(km/hr)</w:t>
            </w:r>
          </w:p>
        </w:tc>
        <w:tc>
          <w:tcPr>
            <w:tcW w:w="651" w:type="pct"/>
            <w:vAlign w:val="center"/>
          </w:tcPr>
          <w:p w14:paraId="441900C5">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0.255279</w:t>
            </w:r>
          </w:p>
        </w:tc>
        <w:tc>
          <w:tcPr>
            <w:tcW w:w="665" w:type="pct"/>
            <w:vAlign w:val="center"/>
          </w:tcPr>
          <w:p w14:paraId="0E3F6D32">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0.429326</w:t>
            </w:r>
          </w:p>
        </w:tc>
        <w:tc>
          <w:tcPr>
            <w:tcW w:w="602" w:type="pct"/>
            <w:vAlign w:val="center"/>
          </w:tcPr>
          <w:p w14:paraId="324CD2A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0.58191</w:t>
            </w:r>
          </w:p>
        </w:tc>
        <w:tc>
          <w:tcPr>
            <w:tcW w:w="602" w:type="pct"/>
            <w:vAlign w:val="center"/>
          </w:tcPr>
          <w:p w14:paraId="483A596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0.722038</w:t>
            </w:r>
          </w:p>
        </w:tc>
        <w:tc>
          <w:tcPr>
            <w:tcW w:w="602" w:type="pct"/>
            <w:vAlign w:val="center"/>
          </w:tcPr>
          <w:p w14:paraId="0184FDF2">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0.853577</w:t>
            </w:r>
          </w:p>
        </w:tc>
        <w:tc>
          <w:tcPr>
            <w:tcW w:w="602" w:type="pct"/>
            <w:vAlign w:val="center"/>
          </w:tcPr>
          <w:p w14:paraId="660ED67F">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1.435539</w:t>
            </w:r>
          </w:p>
        </w:tc>
      </w:tr>
    </w:tbl>
    <w:p w14:paraId="12F1C513">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施工期扬尘的另一个主要原因是露天堆场和裸露场地的风力扬尘。由于施工的需要，一些建材需露天堆放；一些施工点表层土壤需人工开挖、堆放，在气候干燥又有风的情况下，会产生扬尘。不同粒径尘粒的沉降速度见表5-1-2。</w:t>
      </w:r>
    </w:p>
    <w:p w14:paraId="61837660">
      <w:pPr>
        <w:pStyle w:val="206"/>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表5-1-2不同粒径尘粒的沉降速度</w:t>
      </w:r>
    </w:p>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28"/>
        <w:gridCol w:w="926"/>
        <w:gridCol w:w="926"/>
        <w:gridCol w:w="926"/>
        <w:gridCol w:w="926"/>
        <w:gridCol w:w="926"/>
        <w:gridCol w:w="926"/>
        <w:gridCol w:w="928"/>
      </w:tblGrid>
      <w:tr w14:paraId="6A4044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0" w:type="pct"/>
            <w:vAlign w:val="center"/>
          </w:tcPr>
          <w:p w14:paraId="31E969C7">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粒径（μm）</w:t>
            </w:r>
          </w:p>
        </w:tc>
        <w:tc>
          <w:tcPr>
            <w:tcW w:w="557" w:type="pct"/>
            <w:vAlign w:val="center"/>
          </w:tcPr>
          <w:p w14:paraId="628BC05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10</w:t>
            </w:r>
          </w:p>
        </w:tc>
        <w:tc>
          <w:tcPr>
            <w:tcW w:w="557" w:type="pct"/>
            <w:vAlign w:val="center"/>
          </w:tcPr>
          <w:p w14:paraId="265EF3FF">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20</w:t>
            </w:r>
          </w:p>
        </w:tc>
        <w:tc>
          <w:tcPr>
            <w:tcW w:w="557" w:type="pct"/>
            <w:vAlign w:val="center"/>
          </w:tcPr>
          <w:p w14:paraId="23C33310">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30</w:t>
            </w:r>
          </w:p>
        </w:tc>
        <w:tc>
          <w:tcPr>
            <w:tcW w:w="557" w:type="pct"/>
            <w:vAlign w:val="center"/>
          </w:tcPr>
          <w:p w14:paraId="128AB3D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40</w:t>
            </w:r>
          </w:p>
        </w:tc>
        <w:tc>
          <w:tcPr>
            <w:tcW w:w="557" w:type="pct"/>
            <w:vAlign w:val="center"/>
          </w:tcPr>
          <w:p w14:paraId="6E2246CC">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50</w:t>
            </w:r>
          </w:p>
        </w:tc>
        <w:tc>
          <w:tcPr>
            <w:tcW w:w="557" w:type="pct"/>
            <w:vAlign w:val="center"/>
          </w:tcPr>
          <w:p w14:paraId="3402FE71">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60</w:t>
            </w:r>
          </w:p>
        </w:tc>
        <w:tc>
          <w:tcPr>
            <w:tcW w:w="558" w:type="pct"/>
            <w:vAlign w:val="center"/>
          </w:tcPr>
          <w:p w14:paraId="71E7F21D">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70</w:t>
            </w:r>
          </w:p>
        </w:tc>
      </w:tr>
      <w:tr w14:paraId="12081B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0" w:type="pct"/>
            <w:vAlign w:val="center"/>
          </w:tcPr>
          <w:p w14:paraId="3E83BC06">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沉降速度（m/s）</w:t>
            </w:r>
          </w:p>
        </w:tc>
        <w:tc>
          <w:tcPr>
            <w:tcW w:w="557" w:type="pct"/>
            <w:vAlign w:val="center"/>
          </w:tcPr>
          <w:p w14:paraId="5ED117EE">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0.003</w:t>
            </w:r>
          </w:p>
        </w:tc>
        <w:tc>
          <w:tcPr>
            <w:tcW w:w="557" w:type="pct"/>
            <w:vAlign w:val="center"/>
          </w:tcPr>
          <w:p w14:paraId="168FF8EE">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0.012</w:t>
            </w:r>
          </w:p>
        </w:tc>
        <w:tc>
          <w:tcPr>
            <w:tcW w:w="557" w:type="pct"/>
            <w:vAlign w:val="center"/>
          </w:tcPr>
          <w:p w14:paraId="2C4D726B">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0.027</w:t>
            </w:r>
          </w:p>
        </w:tc>
        <w:tc>
          <w:tcPr>
            <w:tcW w:w="557" w:type="pct"/>
            <w:vAlign w:val="center"/>
          </w:tcPr>
          <w:p w14:paraId="322B2FF0">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0.048</w:t>
            </w:r>
          </w:p>
        </w:tc>
        <w:tc>
          <w:tcPr>
            <w:tcW w:w="557" w:type="pct"/>
            <w:vAlign w:val="center"/>
          </w:tcPr>
          <w:p w14:paraId="3DDAE573">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0.075</w:t>
            </w:r>
          </w:p>
        </w:tc>
        <w:tc>
          <w:tcPr>
            <w:tcW w:w="557" w:type="pct"/>
            <w:vAlign w:val="center"/>
          </w:tcPr>
          <w:p w14:paraId="11A14FC3">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0.108</w:t>
            </w:r>
          </w:p>
        </w:tc>
        <w:tc>
          <w:tcPr>
            <w:tcW w:w="558" w:type="pct"/>
            <w:vAlign w:val="center"/>
          </w:tcPr>
          <w:p w14:paraId="747D9D4A">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0.147</w:t>
            </w:r>
          </w:p>
        </w:tc>
      </w:tr>
      <w:tr w14:paraId="33FADC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0" w:type="pct"/>
            <w:vAlign w:val="center"/>
          </w:tcPr>
          <w:p w14:paraId="5C17457F">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粒径（μm）</w:t>
            </w:r>
          </w:p>
        </w:tc>
        <w:tc>
          <w:tcPr>
            <w:tcW w:w="557" w:type="pct"/>
            <w:vAlign w:val="center"/>
          </w:tcPr>
          <w:p w14:paraId="03D20A95">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80</w:t>
            </w:r>
          </w:p>
        </w:tc>
        <w:tc>
          <w:tcPr>
            <w:tcW w:w="557" w:type="pct"/>
            <w:vAlign w:val="center"/>
          </w:tcPr>
          <w:p w14:paraId="2BECA9C2">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90</w:t>
            </w:r>
          </w:p>
        </w:tc>
        <w:tc>
          <w:tcPr>
            <w:tcW w:w="557" w:type="pct"/>
            <w:vAlign w:val="center"/>
          </w:tcPr>
          <w:p w14:paraId="313930B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100</w:t>
            </w:r>
          </w:p>
        </w:tc>
        <w:tc>
          <w:tcPr>
            <w:tcW w:w="557" w:type="pct"/>
            <w:vAlign w:val="center"/>
          </w:tcPr>
          <w:p w14:paraId="7A0EFA5A">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150</w:t>
            </w:r>
          </w:p>
        </w:tc>
        <w:tc>
          <w:tcPr>
            <w:tcW w:w="557" w:type="pct"/>
            <w:vAlign w:val="center"/>
          </w:tcPr>
          <w:p w14:paraId="2BA7440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200</w:t>
            </w:r>
          </w:p>
        </w:tc>
        <w:tc>
          <w:tcPr>
            <w:tcW w:w="557" w:type="pct"/>
            <w:vAlign w:val="center"/>
          </w:tcPr>
          <w:p w14:paraId="4AE9D221">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250</w:t>
            </w:r>
          </w:p>
        </w:tc>
        <w:tc>
          <w:tcPr>
            <w:tcW w:w="558" w:type="pct"/>
            <w:vAlign w:val="center"/>
          </w:tcPr>
          <w:p w14:paraId="072F130F">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350</w:t>
            </w:r>
          </w:p>
        </w:tc>
      </w:tr>
      <w:tr w14:paraId="5EC354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0" w:type="pct"/>
            <w:vAlign w:val="center"/>
          </w:tcPr>
          <w:p w14:paraId="39E8E660">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沉降速度（m/s）</w:t>
            </w:r>
          </w:p>
        </w:tc>
        <w:tc>
          <w:tcPr>
            <w:tcW w:w="557" w:type="pct"/>
            <w:vAlign w:val="center"/>
          </w:tcPr>
          <w:p w14:paraId="36DAB13D">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0.158</w:t>
            </w:r>
          </w:p>
        </w:tc>
        <w:tc>
          <w:tcPr>
            <w:tcW w:w="557" w:type="pct"/>
            <w:vAlign w:val="center"/>
          </w:tcPr>
          <w:p w14:paraId="7ECE4C1F">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0.170</w:t>
            </w:r>
          </w:p>
        </w:tc>
        <w:tc>
          <w:tcPr>
            <w:tcW w:w="557" w:type="pct"/>
            <w:vAlign w:val="center"/>
          </w:tcPr>
          <w:p w14:paraId="4B4B2EBB">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0.182</w:t>
            </w:r>
          </w:p>
        </w:tc>
        <w:tc>
          <w:tcPr>
            <w:tcW w:w="557" w:type="pct"/>
            <w:vAlign w:val="center"/>
          </w:tcPr>
          <w:p w14:paraId="1E4CA450">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0.239</w:t>
            </w:r>
          </w:p>
        </w:tc>
        <w:tc>
          <w:tcPr>
            <w:tcW w:w="557" w:type="pct"/>
            <w:vAlign w:val="center"/>
          </w:tcPr>
          <w:p w14:paraId="7D484582">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0.804</w:t>
            </w:r>
          </w:p>
        </w:tc>
        <w:tc>
          <w:tcPr>
            <w:tcW w:w="557" w:type="pct"/>
            <w:vAlign w:val="center"/>
          </w:tcPr>
          <w:p w14:paraId="589F921F">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1.005</w:t>
            </w:r>
          </w:p>
        </w:tc>
        <w:tc>
          <w:tcPr>
            <w:tcW w:w="558" w:type="pct"/>
            <w:vAlign w:val="center"/>
          </w:tcPr>
          <w:p w14:paraId="7CB59FE0">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1.829</w:t>
            </w:r>
          </w:p>
        </w:tc>
      </w:tr>
      <w:tr w14:paraId="146510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0" w:type="pct"/>
            <w:vAlign w:val="center"/>
          </w:tcPr>
          <w:p w14:paraId="06992334">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粒径（μm）</w:t>
            </w:r>
          </w:p>
        </w:tc>
        <w:tc>
          <w:tcPr>
            <w:tcW w:w="557" w:type="pct"/>
            <w:vAlign w:val="center"/>
          </w:tcPr>
          <w:p w14:paraId="3BE8367E">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450</w:t>
            </w:r>
          </w:p>
        </w:tc>
        <w:tc>
          <w:tcPr>
            <w:tcW w:w="557" w:type="pct"/>
            <w:vAlign w:val="center"/>
          </w:tcPr>
          <w:p w14:paraId="567F46E1">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550</w:t>
            </w:r>
          </w:p>
        </w:tc>
        <w:tc>
          <w:tcPr>
            <w:tcW w:w="557" w:type="pct"/>
            <w:vAlign w:val="center"/>
          </w:tcPr>
          <w:p w14:paraId="6BCF0E0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650</w:t>
            </w:r>
          </w:p>
        </w:tc>
        <w:tc>
          <w:tcPr>
            <w:tcW w:w="557" w:type="pct"/>
            <w:vAlign w:val="center"/>
          </w:tcPr>
          <w:p w14:paraId="015A697B">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750</w:t>
            </w:r>
          </w:p>
        </w:tc>
        <w:tc>
          <w:tcPr>
            <w:tcW w:w="557" w:type="pct"/>
            <w:vAlign w:val="center"/>
          </w:tcPr>
          <w:p w14:paraId="048D510E">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850</w:t>
            </w:r>
          </w:p>
        </w:tc>
        <w:tc>
          <w:tcPr>
            <w:tcW w:w="557" w:type="pct"/>
            <w:vAlign w:val="center"/>
          </w:tcPr>
          <w:p w14:paraId="3C6B307F">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950</w:t>
            </w:r>
          </w:p>
        </w:tc>
        <w:tc>
          <w:tcPr>
            <w:tcW w:w="558" w:type="pct"/>
            <w:vAlign w:val="center"/>
          </w:tcPr>
          <w:p w14:paraId="77305620">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1050</w:t>
            </w:r>
          </w:p>
        </w:tc>
      </w:tr>
      <w:tr w14:paraId="00D24A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00" w:type="pct"/>
            <w:vAlign w:val="center"/>
          </w:tcPr>
          <w:p w14:paraId="0430F097">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沉降速度（m/s）</w:t>
            </w:r>
          </w:p>
        </w:tc>
        <w:tc>
          <w:tcPr>
            <w:tcW w:w="557" w:type="pct"/>
            <w:vAlign w:val="center"/>
          </w:tcPr>
          <w:p w14:paraId="648A848E">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2.211</w:t>
            </w:r>
          </w:p>
        </w:tc>
        <w:tc>
          <w:tcPr>
            <w:tcW w:w="557" w:type="pct"/>
            <w:vAlign w:val="center"/>
          </w:tcPr>
          <w:p w14:paraId="310C222A">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2.614</w:t>
            </w:r>
          </w:p>
        </w:tc>
        <w:tc>
          <w:tcPr>
            <w:tcW w:w="557" w:type="pct"/>
            <w:vAlign w:val="center"/>
          </w:tcPr>
          <w:p w14:paraId="3987724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3.016</w:t>
            </w:r>
          </w:p>
        </w:tc>
        <w:tc>
          <w:tcPr>
            <w:tcW w:w="557" w:type="pct"/>
            <w:vAlign w:val="center"/>
          </w:tcPr>
          <w:p w14:paraId="1C3829DF">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3.418</w:t>
            </w:r>
          </w:p>
        </w:tc>
        <w:tc>
          <w:tcPr>
            <w:tcW w:w="557" w:type="pct"/>
            <w:vAlign w:val="center"/>
          </w:tcPr>
          <w:p w14:paraId="31AB1133">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3.820</w:t>
            </w:r>
          </w:p>
        </w:tc>
        <w:tc>
          <w:tcPr>
            <w:tcW w:w="557" w:type="pct"/>
            <w:vAlign w:val="center"/>
          </w:tcPr>
          <w:p w14:paraId="0ABFAC6B">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4.222</w:t>
            </w:r>
          </w:p>
        </w:tc>
        <w:tc>
          <w:tcPr>
            <w:tcW w:w="558" w:type="pct"/>
            <w:vAlign w:val="center"/>
          </w:tcPr>
          <w:p w14:paraId="76464502">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4.624</w:t>
            </w:r>
          </w:p>
        </w:tc>
      </w:tr>
    </w:tbl>
    <w:p w14:paraId="2C97731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从表5-1-2可以看出，尘粒的沉降速度随粒径的增大而迅速增大。当粒径为250μm时，沉降速度为1.005m/s，因此可以认为当尘粒大于250μm时，主要影响范围在扬尘点下风向近距离范围内，而真正对外环境产生影响的是一些微小尘粒。在有风的情况下，施工扬尘会对该区域造成一定的影响。由起尘计算公式可知，V</w:t>
      </w:r>
      <w:r>
        <w:rPr>
          <w:snapToGrid w:val="0"/>
          <w:color w:val="000000" w:themeColor="text1"/>
          <w:vertAlign w:val="subscript"/>
          <w14:textFill>
            <w14:solidFill>
              <w14:schemeClr w14:val="tx1"/>
            </w14:solidFill>
          </w14:textFill>
        </w:rPr>
        <w:t>0</w:t>
      </w:r>
      <w:r>
        <w:rPr>
          <w:snapToGrid w:val="0"/>
          <w:color w:val="000000" w:themeColor="text1"/>
          <w14:textFill>
            <w14:solidFill>
              <w14:schemeClr w14:val="tx1"/>
            </w14:solidFill>
          </w14:textFill>
        </w:rPr>
        <w:t>与粒径和含水率有关，因此，通过采取减少露天堆放和保证一定的含水率及减少裸露地面等措施后，风力起尘对环境的影响较小。</w:t>
      </w:r>
    </w:p>
    <w:p w14:paraId="678DDE59">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为了减少粉尘产生量，本评价要求在施工场地定期洒水；建筑材料堆存过程中应有苫布遮盖；建筑垃圾及时处理、清运，运输过程中加盖篷布，避免产生二次粉尘；施工人员应采取必要的个人防护措施。通过采取上述措施后，施工期扬尘对周围大气环境影响较小。</w:t>
      </w:r>
    </w:p>
    <w:p w14:paraId="08113DFB">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2、施工机械尾气影响分析</w:t>
      </w:r>
    </w:p>
    <w:p w14:paraId="043F64D1">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施工车辆、装载机、起重机等因</w:t>
      </w:r>
      <w:r>
        <w:rPr>
          <w:rFonts w:hint="eastAsia"/>
          <w:snapToGrid w:val="0"/>
          <w:color w:val="000000" w:themeColor="text1"/>
          <w:kern w:val="0"/>
          <w:lang w:eastAsia="zh-CN"/>
          <w14:textFill>
            <w14:solidFill>
              <w14:schemeClr w14:val="tx1"/>
            </w14:solidFill>
          </w14:textFill>
        </w:rPr>
        <w:t>燃气</w:t>
      </w:r>
      <w:r>
        <w:rPr>
          <w:rFonts w:hint="eastAsia"/>
          <w:snapToGrid w:val="0"/>
          <w:color w:val="000000" w:themeColor="text1"/>
          <w:kern w:val="0"/>
          <w14:textFill>
            <w14:solidFill>
              <w14:schemeClr w14:val="tx1"/>
            </w14:solidFill>
          </w14:textFill>
        </w:rPr>
        <w:t>会产生CO、NO</w:t>
      </w:r>
      <w:r>
        <w:rPr>
          <w:rFonts w:hint="eastAsia"/>
          <w:snapToGrid w:val="0"/>
          <w:color w:val="000000" w:themeColor="text1"/>
          <w:kern w:val="0"/>
          <w:vertAlign w:val="subscript"/>
          <w14:textFill>
            <w14:solidFill>
              <w14:schemeClr w14:val="tx1"/>
            </w14:solidFill>
          </w14:textFill>
        </w:rPr>
        <w:t>2</w:t>
      </w:r>
      <w:r>
        <w:rPr>
          <w:rFonts w:hint="eastAsia"/>
          <w:snapToGrid w:val="0"/>
          <w:color w:val="000000" w:themeColor="text1"/>
          <w:kern w:val="0"/>
          <w14:textFill>
            <w14:solidFill>
              <w14:schemeClr w14:val="tx1"/>
            </w14:solidFill>
          </w14:textFill>
        </w:rPr>
        <w:t>、总烃等污染物，会对大气造成不良影响，但这种污染源较分散且为流动性，污染物排放量不大，表现为局部和间歇性。据类似工程监测，在距离现场50m处，CO、NO</w:t>
      </w:r>
      <w:r>
        <w:rPr>
          <w:rFonts w:hint="eastAsia"/>
          <w:snapToGrid w:val="0"/>
          <w:color w:val="000000" w:themeColor="text1"/>
          <w:kern w:val="0"/>
          <w:vertAlign w:val="subscript"/>
          <w14:textFill>
            <w14:solidFill>
              <w14:schemeClr w14:val="tx1"/>
            </w14:solidFill>
          </w14:textFill>
        </w:rPr>
        <w:t>2</w:t>
      </w:r>
      <w:r>
        <w:rPr>
          <w:rFonts w:hint="eastAsia"/>
          <w:snapToGrid w:val="0"/>
          <w:color w:val="000000" w:themeColor="text1"/>
          <w:kern w:val="0"/>
          <w14:textFill>
            <w14:solidFill>
              <w14:schemeClr w14:val="tx1"/>
            </w14:solidFill>
          </w14:textFill>
        </w:rPr>
        <w:t>1小时平均浓度分别为0.2mg/m</w:t>
      </w:r>
      <w:r>
        <w:rPr>
          <w:rFonts w:hint="eastAsia"/>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和0.13mg/m</w:t>
      </w:r>
      <w:r>
        <w:rPr>
          <w:rFonts w:hint="eastAsia"/>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，日平均浓度分别为0.13mg/m</w:t>
      </w:r>
      <w:r>
        <w:rPr>
          <w:rFonts w:hint="eastAsia"/>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和0.062mg/m</w:t>
      </w:r>
      <w:r>
        <w:rPr>
          <w:rFonts w:hint="eastAsia"/>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，均可达到国家《环境空气质量标准》</w:t>
      </w:r>
      <w:r>
        <w:rPr>
          <w:rFonts w:hint="eastAsia"/>
          <w:snapToGrid w:val="0"/>
          <w:color w:val="000000" w:themeColor="text1"/>
          <w:kern w:val="0"/>
          <w:lang w:val="zh-CN"/>
          <w14:textFill>
            <w14:solidFill>
              <w14:schemeClr w14:val="tx1"/>
            </w14:solidFill>
          </w14:textFill>
        </w:rPr>
        <w:t>（GB3095-2026）</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r>
        <w:rPr>
          <w:rFonts w:hint="eastAsia"/>
          <w:snapToGrid w:val="0"/>
          <w:color w:val="000000" w:themeColor="text1"/>
          <w:kern w:val="0"/>
          <w14:textFill>
            <w14:solidFill>
              <w14:schemeClr w14:val="tx1"/>
            </w14:solidFill>
          </w14:textFill>
        </w:rPr>
        <w:t>，对周边大气环境的影响较小。</w:t>
      </w:r>
    </w:p>
    <w:p w14:paraId="492EC79E">
      <w:pPr>
        <w:pStyle w:val="6"/>
        <w:rPr>
          <w:snapToGrid w:val="0"/>
          <w:color w:val="000000" w:themeColor="text1"/>
          <w14:textFill>
            <w14:solidFill>
              <w14:schemeClr w14:val="tx1"/>
            </w14:solidFill>
          </w14:textFill>
        </w:rPr>
      </w:pPr>
      <w:bookmarkStart w:id="254" w:name="_Toc10973"/>
      <w:r>
        <w:rPr>
          <w:snapToGrid w:val="0"/>
          <w:color w:val="000000" w:themeColor="text1"/>
          <w14:textFill>
            <w14:solidFill>
              <w14:schemeClr w14:val="tx1"/>
            </w14:solidFill>
          </w14:textFill>
        </w:rPr>
        <w:t>5.1.2水环境影响分析</w:t>
      </w:r>
      <w:bookmarkEnd w:id="254"/>
    </w:p>
    <w:p w14:paraId="1F54BB60">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1、施工废水</w:t>
      </w:r>
    </w:p>
    <w:p w14:paraId="0D0FE56A">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本项目施工期使用商品混凝土，不现场搅拌，无混凝土搅拌废水。施工</w:t>
      </w:r>
      <w:r>
        <w:rPr>
          <w:snapToGrid w:val="0"/>
          <w:color w:val="000000" w:themeColor="text1"/>
          <w:kern w:val="0"/>
          <w14:textFill>
            <w14:solidFill>
              <w14:schemeClr w14:val="tx1"/>
            </w14:solidFill>
          </w14:textFill>
        </w:rPr>
        <w:t>机械不在现场维修和冲洗，</w:t>
      </w:r>
      <w:r>
        <w:rPr>
          <w:rFonts w:hint="eastAsia"/>
          <w:snapToGrid w:val="0"/>
          <w:color w:val="000000" w:themeColor="text1"/>
          <w:kern w:val="0"/>
          <w14:textFill>
            <w14:solidFill>
              <w14:schemeClr w14:val="tx1"/>
            </w14:solidFill>
          </w14:textFill>
        </w:rPr>
        <w:t>因此</w:t>
      </w:r>
      <w:r>
        <w:rPr>
          <w:snapToGrid w:val="0"/>
          <w:color w:val="000000" w:themeColor="text1"/>
          <w:kern w:val="0"/>
          <w14:textFill>
            <w14:solidFill>
              <w14:schemeClr w14:val="tx1"/>
            </w14:solidFill>
          </w14:textFill>
        </w:rPr>
        <w:t>无含油废水产生。</w:t>
      </w:r>
      <w:r>
        <w:rPr>
          <w:rFonts w:hint="eastAsia"/>
          <w:snapToGrid w:val="0"/>
          <w:color w:val="000000" w:themeColor="text1"/>
          <w:kern w:val="0"/>
          <w14:textFill>
            <w14:solidFill>
              <w14:schemeClr w14:val="tx1"/>
            </w14:solidFill>
          </w14:textFill>
        </w:rPr>
        <w:t>施工废水主要</w:t>
      </w:r>
      <w:r>
        <w:rPr>
          <w:snapToGrid w:val="0"/>
          <w:color w:val="000000" w:themeColor="text1"/>
          <w:kern w:val="0"/>
          <w14:textFill>
            <w14:solidFill>
              <w14:schemeClr w14:val="tx1"/>
            </w14:solidFill>
          </w14:textFill>
        </w:rPr>
        <w:t>包括砂石料冲洗废水、混凝土养护废水</w:t>
      </w:r>
      <w:r>
        <w:rPr>
          <w:rFonts w:hint="eastAsia"/>
          <w:snapToGrid w:val="0"/>
          <w:color w:val="000000" w:themeColor="text1"/>
          <w:kern w:val="0"/>
          <w14:textFill>
            <w14:solidFill>
              <w14:schemeClr w14:val="tx1"/>
            </w14:solidFill>
          </w14:textFill>
        </w:rPr>
        <w:t>，主要污染因子为</w:t>
      </w:r>
      <w:r>
        <w:rPr>
          <w:snapToGrid w:val="0"/>
          <w:color w:val="000000" w:themeColor="text1"/>
          <w:kern w:val="0"/>
          <w14:textFill>
            <w14:solidFill>
              <w14:schemeClr w14:val="tx1"/>
            </w14:solidFill>
          </w14:textFill>
        </w:rPr>
        <w:t>COD</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BOD</w:t>
      </w:r>
      <w:r>
        <w:rPr>
          <w:snapToGrid w:val="0"/>
          <w:color w:val="000000" w:themeColor="text1"/>
          <w:kern w:val="0"/>
          <w:vertAlign w:val="subscript"/>
          <w14:textFill>
            <w14:solidFill>
              <w14:schemeClr w14:val="tx1"/>
            </w14:solidFill>
          </w14:textFill>
        </w:rPr>
        <w:t>5</w:t>
      </w:r>
      <w:r>
        <w:rPr>
          <w:rFonts w:hint="eastAsia"/>
          <w:snapToGrid w:val="0"/>
          <w:color w:val="000000" w:themeColor="text1"/>
          <w:kern w:val="0"/>
          <w14:textFill>
            <w14:solidFill>
              <w14:schemeClr w14:val="tx1"/>
            </w14:solidFill>
          </w14:textFill>
        </w:rPr>
        <w:t>、氨氮、</w:t>
      </w:r>
      <w:r>
        <w:rPr>
          <w:snapToGrid w:val="0"/>
          <w:color w:val="000000" w:themeColor="text1"/>
          <w:kern w:val="0"/>
          <w14:textFill>
            <w14:solidFill>
              <w14:schemeClr w14:val="tx1"/>
            </w14:solidFill>
          </w14:textFill>
        </w:rPr>
        <w:t>SS</w:t>
      </w:r>
      <w:r>
        <w:rPr>
          <w:rFonts w:hint="eastAsia"/>
          <w:snapToGrid w:val="0"/>
          <w:color w:val="000000" w:themeColor="text1"/>
          <w:kern w:val="0"/>
          <w14:textFill>
            <w14:solidFill>
              <w14:schemeClr w14:val="tx1"/>
            </w14:solidFill>
          </w14:textFill>
        </w:rPr>
        <w:t>。施工现场设置临时沉淀池，施工废水经沉淀后上清液用于施工场地和道路洒水降尘。</w:t>
      </w:r>
    </w:p>
    <w:p w14:paraId="1D4ECFBA">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2、降雨径流冲刷施工作业区废水</w:t>
      </w:r>
    </w:p>
    <w:p w14:paraId="7C7F1DCF">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降雨径流冲刷施工作业区产生的污水，主要含高浓度的SS，施工时应密切留意天气变化情况，在降雨尤其是大雨时对未来得及压实的土层以及建筑材料用防雨布覆盖可减少SS的浓度。在施工场地的雨水经过施工场地周边布设的排水沟排放，对周边水环境影响较小。</w:t>
      </w:r>
    </w:p>
    <w:p w14:paraId="33A782A4">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3、施工人员生活污水</w:t>
      </w:r>
    </w:p>
    <w:p w14:paraId="592195D1">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施工期废水主要是施工人员生活污水，</w:t>
      </w:r>
      <w:r>
        <w:rPr>
          <w:rFonts w:hint="eastAsia"/>
          <w:snapToGrid w:val="0"/>
          <w:color w:val="000000" w:themeColor="text1"/>
          <w:kern w:val="0"/>
          <w14:textFill>
            <w14:solidFill>
              <w14:schemeClr w14:val="tx1"/>
            </w14:solidFill>
          </w14:textFill>
        </w:rPr>
        <w:t>本项目不在施工现场设置施工营地，项目施工期施工人员主要租用周边的</w:t>
      </w:r>
      <w:r>
        <w:rPr>
          <w:rFonts w:hint="eastAsia"/>
          <w:snapToGrid w:val="0"/>
          <w:color w:val="000000" w:themeColor="text1"/>
          <w:kern w:val="0"/>
          <w:lang w:val="en-US" w:eastAsia="zh-CN"/>
          <w14:textFill>
            <w14:solidFill>
              <w14:schemeClr w14:val="tx1"/>
            </w14:solidFill>
          </w14:textFill>
        </w:rPr>
        <w:t>民房</w:t>
      </w:r>
      <w:r>
        <w:rPr>
          <w:rFonts w:hint="eastAsia"/>
          <w:snapToGrid w:val="0"/>
          <w:color w:val="000000" w:themeColor="text1"/>
          <w:kern w:val="0"/>
          <w14:textFill>
            <w14:solidFill>
              <w14:schemeClr w14:val="tx1"/>
            </w14:solidFill>
          </w14:textFill>
        </w:rPr>
        <w:t>，产生的生活污水</w:t>
      </w:r>
      <w:r>
        <w:rPr>
          <w:snapToGrid w:val="0"/>
          <w:color w:val="000000" w:themeColor="text1"/>
          <w:kern w:val="0"/>
          <w14:textFill>
            <w14:solidFill>
              <w14:schemeClr w14:val="tx1"/>
            </w14:solidFill>
          </w14:textFill>
        </w:rPr>
        <w:t>生活污水</w:t>
      </w:r>
      <w:r>
        <w:rPr>
          <w:rFonts w:hint="eastAsia"/>
          <w:snapToGrid w:val="0"/>
          <w:color w:val="000000" w:themeColor="text1"/>
          <w:kern w:val="0"/>
          <w14:textFill>
            <w14:solidFill>
              <w14:schemeClr w14:val="tx1"/>
            </w14:solidFill>
          </w14:textFill>
        </w:rPr>
        <w:t>排</w:t>
      </w:r>
      <w:r>
        <w:rPr>
          <w:rFonts w:hint="eastAsia"/>
          <w:snapToGrid w:val="0"/>
          <w:color w:val="000000" w:themeColor="text1"/>
          <w:kern w:val="0"/>
          <w:lang w:eastAsia="zh-CN"/>
          <w14:textFill>
            <w14:solidFill>
              <w14:schemeClr w14:val="tx1"/>
            </w14:solidFill>
          </w14:textFill>
        </w:rPr>
        <w:t>桦南县城镇污水处理厂</w:t>
      </w:r>
      <w:r>
        <w:rPr>
          <w:rFonts w:hint="eastAsia"/>
          <w:snapToGrid w:val="0"/>
          <w:color w:val="000000" w:themeColor="text1"/>
          <w:kern w:val="0"/>
          <w14:textFill>
            <w14:solidFill>
              <w14:schemeClr w14:val="tx1"/>
            </w14:solidFill>
          </w14:textFill>
        </w:rPr>
        <w:t>，基本不会对周围水环境产生影响，且这种影响随着施工活动的结束而消失，属于短期影响。</w:t>
      </w:r>
    </w:p>
    <w:p w14:paraId="787D565A">
      <w:pPr>
        <w:pStyle w:val="6"/>
        <w:rPr>
          <w:snapToGrid w:val="0"/>
          <w:color w:val="000000" w:themeColor="text1"/>
          <w14:textFill>
            <w14:solidFill>
              <w14:schemeClr w14:val="tx1"/>
            </w14:solidFill>
          </w14:textFill>
        </w:rPr>
      </w:pPr>
      <w:bookmarkStart w:id="255" w:name="_Toc4903"/>
      <w:r>
        <w:rPr>
          <w:snapToGrid w:val="0"/>
          <w:color w:val="000000" w:themeColor="text1"/>
          <w14:textFill>
            <w14:solidFill>
              <w14:schemeClr w14:val="tx1"/>
            </w14:solidFill>
          </w14:textFill>
        </w:rPr>
        <w:t>5.1.3噪声影响分析</w:t>
      </w:r>
      <w:bookmarkEnd w:id="255"/>
    </w:p>
    <w:p w14:paraId="7B66BC51">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项目施工期噪声主要来源于施工机械噪声和运输车辆噪声。在施工过程中，由于各种施工机械设备的运转和各类车辆的运行，不可避免地将产生噪声污染。根据调查</w:t>
      </w:r>
      <w:r>
        <w:rPr>
          <w:rFonts w:hint="eastAsia"/>
          <w:snapToGrid w:val="0"/>
          <w:color w:val="000000" w:themeColor="text1"/>
          <w:kern w:val="0"/>
          <w14:textFill>
            <w14:solidFill>
              <w14:schemeClr w14:val="tx1"/>
            </w14:solidFill>
          </w14:textFill>
        </w:rPr>
        <w:t>，本项目施工阶段距施工设备5m处</w:t>
      </w:r>
      <w:r>
        <w:rPr>
          <w:snapToGrid w:val="0"/>
          <w:color w:val="000000" w:themeColor="text1"/>
          <w:kern w:val="0"/>
          <w14:textFill>
            <w14:solidFill>
              <w14:schemeClr w14:val="tx1"/>
            </w14:solidFill>
          </w14:textFill>
        </w:rPr>
        <w:t>主要噪声源</w:t>
      </w:r>
      <w:r>
        <w:rPr>
          <w:rFonts w:hint="eastAsia"/>
          <w:snapToGrid w:val="0"/>
          <w:color w:val="000000" w:themeColor="text1"/>
          <w:kern w:val="0"/>
          <w14:textFill>
            <w14:solidFill>
              <w14:schemeClr w14:val="tx1"/>
            </w14:solidFill>
          </w14:textFill>
        </w:rPr>
        <w:t>详见下表</w:t>
      </w:r>
      <w:r>
        <w:rPr>
          <w:snapToGrid w:val="0"/>
          <w:color w:val="000000" w:themeColor="text1"/>
          <w:kern w:val="0"/>
          <w14:textFill>
            <w14:solidFill>
              <w14:schemeClr w14:val="tx1"/>
            </w14:solidFill>
          </w14:textFill>
        </w:rPr>
        <w:t>。</w:t>
      </w:r>
    </w:p>
    <w:p w14:paraId="3052B533">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表5-1-</w:t>
      </w:r>
      <w:r>
        <w:rPr>
          <w:rFonts w:hint="eastAsia"/>
          <w:snapToGrid w:val="0"/>
          <w:color w:val="000000" w:themeColor="text1"/>
          <w:lang w:val="en-US" w:eastAsia="zh-CN"/>
          <w14:textFill>
            <w14:solidFill>
              <w14:schemeClr w14:val="tx1"/>
            </w14:solidFill>
          </w14:textFill>
        </w:rPr>
        <w:t>3</w:t>
      </w:r>
      <w:r>
        <w:rPr>
          <w:snapToGrid w:val="0"/>
          <w:color w:val="000000" w:themeColor="text1"/>
          <w14:textFill>
            <w14:solidFill>
              <w14:schemeClr w14:val="tx1"/>
            </w14:solidFill>
          </w14:textFill>
        </w:rPr>
        <w:t xml:space="preserve"> 施工机械噪声源一览表</w:t>
      </w:r>
    </w:p>
    <w:tbl>
      <w:tblPr>
        <w:tblStyle w:val="38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472"/>
        <w:gridCol w:w="3853"/>
        <w:gridCol w:w="1981"/>
      </w:tblGrid>
      <w:tr w14:paraId="5DFBF5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066DEE5E">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声源</w:t>
            </w:r>
          </w:p>
        </w:tc>
        <w:tc>
          <w:tcPr>
            <w:tcW w:w="3853" w:type="dxa"/>
            <w:vAlign w:val="center"/>
          </w:tcPr>
          <w:p w14:paraId="425E4804">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噪声源强</w:t>
            </w:r>
            <w:r>
              <w:rPr>
                <w:snapToGrid w:val="0"/>
                <w:color w:val="000000" w:themeColor="text1"/>
                <w:kern w:val="2"/>
                <w14:textFill>
                  <w14:solidFill>
                    <w14:schemeClr w14:val="tx1"/>
                  </w14:solidFill>
                </w14:textFill>
              </w:rPr>
              <w:t>dB(A)</w:t>
            </w:r>
          </w:p>
        </w:tc>
        <w:tc>
          <w:tcPr>
            <w:tcW w:w="1981" w:type="dxa"/>
            <w:vAlign w:val="center"/>
          </w:tcPr>
          <w:p w14:paraId="35FDA050">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备注</w:t>
            </w:r>
          </w:p>
        </w:tc>
      </w:tr>
      <w:tr w14:paraId="21ED50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25FC9070">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装载机</w:t>
            </w:r>
          </w:p>
        </w:tc>
        <w:tc>
          <w:tcPr>
            <w:tcW w:w="3853" w:type="dxa"/>
            <w:vAlign w:val="center"/>
          </w:tcPr>
          <w:p w14:paraId="653DD9A6">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90</w:t>
            </w:r>
            <w:r>
              <w:rPr>
                <w:rFonts w:hint="eastAsia"/>
                <w:snapToGrid w:val="0"/>
                <w:color w:val="000000" w:themeColor="text1"/>
                <w:kern w:val="2"/>
                <w14:textFill>
                  <w14:solidFill>
                    <w14:schemeClr w14:val="tx1"/>
                  </w14:solidFill>
                </w14:textFill>
              </w:rPr>
              <w:t>~</w:t>
            </w:r>
            <w:r>
              <w:rPr>
                <w:snapToGrid w:val="0"/>
                <w:color w:val="000000" w:themeColor="text1"/>
                <w:kern w:val="2"/>
                <w14:textFill>
                  <w14:solidFill>
                    <w14:schemeClr w14:val="tx1"/>
                  </w14:solidFill>
                </w14:textFill>
              </w:rPr>
              <w:t>95</w:t>
            </w:r>
          </w:p>
        </w:tc>
        <w:tc>
          <w:tcPr>
            <w:tcW w:w="1981" w:type="dxa"/>
            <w:vAlign w:val="center"/>
          </w:tcPr>
          <w:p w14:paraId="10D3A1A7">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流动源</w:t>
            </w:r>
          </w:p>
        </w:tc>
      </w:tr>
      <w:tr w14:paraId="592734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28296CEC">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液压挖掘机</w:t>
            </w:r>
          </w:p>
        </w:tc>
        <w:tc>
          <w:tcPr>
            <w:tcW w:w="3853" w:type="dxa"/>
            <w:vAlign w:val="center"/>
          </w:tcPr>
          <w:p w14:paraId="58445168">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8</w:t>
            </w:r>
            <w:r>
              <w:rPr>
                <w:snapToGrid w:val="0"/>
                <w:color w:val="000000" w:themeColor="text1"/>
                <w:kern w:val="2"/>
                <w14:textFill>
                  <w14:solidFill>
                    <w14:schemeClr w14:val="tx1"/>
                  </w14:solidFill>
                </w14:textFill>
              </w:rPr>
              <w:t>2~90</w:t>
            </w:r>
          </w:p>
        </w:tc>
        <w:tc>
          <w:tcPr>
            <w:tcW w:w="1981" w:type="dxa"/>
            <w:vAlign w:val="center"/>
          </w:tcPr>
          <w:p w14:paraId="4FF3DB0C">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流动源</w:t>
            </w:r>
          </w:p>
        </w:tc>
      </w:tr>
      <w:tr w14:paraId="5AD27B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50087902">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打桩机</w:t>
            </w:r>
          </w:p>
        </w:tc>
        <w:tc>
          <w:tcPr>
            <w:tcW w:w="3853" w:type="dxa"/>
            <w:vAlign w:val="center"/>
          </w:tcPr>
          <w:p w14:paraId="70172E72">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100</w:t>
            </w:r>
            <w:r>
              <w:rPr>
                <w:rFonts w:hint="eastAsia"/>
                <w:snapToGrid w:val="0"/>
                <w:color w:val="000000" w:themeColor="text1"/>
                <w:kern w:val="2"/>
                <w14:textFill>
                  <w14:solidFill>
                    <w14:schemeClr w14:val="tx1"/>
                  </w14:solidFill>
                </w14:textFill>
              </w:rPr>
              <w:t>~</w:t>
            </w:r>
            <w:r>
              <w:rPr>
                <w:snapToGrid w:val="0"/>
                <w:color w:val="000000" w:themeColor="text1"/>
                <w:kern w:val="2"/>
                <w14:textFill>
                  <w14:solidFill>
                    <w14:schemeClr w14:val="tx1"/>
                  </w14:solidFill>
                </w14:textFill>
              </w:rPr>
              <w:t>110</w:t>
            </w:r>
          </w:p>
        </w:tc>
        <w:tc>
          <w:tcPr>
            <w:tcW w:w="1981" w:type="dxa"/>
            <w:vAlign w:val="center"/>
          </w:tcPr>
          <w:p w14:paraId="445DBAC2">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流动源</w:t>
            </w:r>
          </w:p>
        </w:tc>
      </w:tr>
      <w:tr w14:paraId="787E5F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57D1C045">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压路机</w:t>
            </w:r>
          </w:p>
        </w:tc>
        <w:tc>
          <w:tcPr>
            <w:tcW w:w="3853" w:type="dxa"/>
            <w:vAlign w:val="center"/>
          </w:tcPr>
          <w:p w14:paraId="24C9FBD9">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80</w:t>
            </w:r>
            <w:r>
              <w:rPr>
                <w:rFonts w:hint="eastAsia"/>
                <w:snapToGrid w:val="0"/>
                <w:color w:val="000000" w:themeColor="text1"/>
                <w:kern w:val="2"/>
                <w14:textFill>
                  <w14:solidFill>
                    <w14:schemeClr w14:val="tx1"/>
                  </w14:solidFill>
                </w14:textFill>
              </w:rPr>
              <w:t>~</w:t>
            </w:r>
            <w:r>
              <w:rPr>
                <w:snapToGrid w:val="0"/>
                <w:color w:val="000000" w:themeColor="text1"/>
                <w:kern w:val="2"/>
                <w14:textFill>
                  <w14:solidFill>
                    <w14:schemeClr w14:val="tx1"/>
                  </w14:solidFill>
                </w14:textFill>
              </w:rPr>
              <w:t>90</w:t>
            </w:r>
          </w:p>
        </w:tc>
        <w:tc>
          <w:tcPr>
            <w:tcW w:w="1981" w:type="dxa"/>
            <w:vAlign w:val="center"/>
          </w:tcPr>
          <w:p w14:paraId="73CF7312">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流动源</w:t>
            </w:r>
          </w:p>
        </w:tc>
      </w:tr>
      <w:tr w14:paraId="03385F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2311EDD0">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推土机</w:t>
            </w:r>
          </w:p>
        </w:tc>
        <w:tc>
          <w:tcPr>
            <w:tcW w:w="3853" w:type="dxa"/>
            <w:vAlign w:val="center"/>
          </w:tcPr>
          <w:p w14:paraId="01DD07ED">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8</w:t>
            </w:r>
            <w:r>
              <w:rPr>
                <w:snapToGrid w:val="0"/>
                <w:color w:val="000000" w:themeColor="text1"/>
                <w:kern w:val="2"/>
                <w14:textFill>
                  <w14:solidFill>
                    <w14:schemeClr w14:val="tx1"/>
                  </w14:solidFill>
                </w14:textFill>
              </w:rPr>
              <w:t>3~88</w:t>
            </w:r>
          </w:p>
        </w:tc>
        <w:tc>
          <w:tcPr>
            <w:tcW w:w="1981" w:type="dxa"/>
            <w:vAlign w:val="center"/>
          </w:tcPr>
          <w:p w14:paraId="1785CDE4">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流动源</w:t>
            </w:r>
          </w:p>
        </w:tc>
      </w:tr>
      <w:tr w14:paraId="1E4728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24B665C9">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翻斗车</w:t>
            </w:r>
          </w:p>
        </w:tc>
        <w:tc>
          <w:tcPr>
            <w:tcW w:w="3853" w:type="dxa"/>
            <w:vAlign w:val="center"/>
          </w:tcPr>
          <w:p w14:paraId="046BA764">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8</w:t>
            </w:r>
            <w:r>
              <w:rPr>
                <w:snapToGrid w:val="0"/>
                <w:color w:val="000000" w:themeColor="text1"/>
                <w:kern w:val="2"/>
                <w14:textFill>
                  <w14:solidFill>
                    <w14:schemeClr w14:val="tx1"/>
                  </w14:solidFill>
                </w14:textFill>
              </w:rPr>
              <w:t>2~90</w:t>
            </w:r>
          </w:p>
        </w:tc>
        <w:tc>
          <w:tcPr>
            <w:tcW w:w="1981" w:type="dxa"/>
            <w:vAlign w:val="center"/>
          </w:tcPr>
          <w:p w14:paraId="310169DE">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流动源</w:t>
            </w:r>
          </w:p>
        </w:tc>
      </w:tr>
      <w:tr w14:paraId="189AD5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2AEA12A4">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重型运输车</w:t>
            </w:r>
          </w:p>
        </w:tc>
        <w:tc>
          <w:tcPr>
            <w:tcW w:w="3853" w:type="dxa"/>
            <w:vAlign w:val="center"/>
          </w:tcPr>
          <w:p w14:paraId="70D9EA61">
            <w:pPr>
              <w:pStyle w:val="143"/>
              <w:rPr>
                <w:snapToGrid w:val="0"/>
                <w:color w:val="000000" w:themeColor="text1"/>
                <w:kern w:val="2"/>
                <w14:textFill>
                  <w14:solidFill>
                    <w14:schemeClr w14:val="tx1"/>
                  </w14:solidFill>
                </w14:textFill>
              </w:rPr>
            </w:pPr>
            <w:r>
              <w:rPr>
                <w:snapToGrid w:val="0"/>
                <w:color w:val="000000" w:themeColor="text1"/>
                <w:kern w:val="2"/>
                <w14:textFill>
                  <w14:solidFill>
                    <w14:schemeClr w14:val="tx1"/>
                  </w14:solidFill>
                </w14:textFill>
              </w:rPr>
              <w:t>82</w:t>
            </w:r>
            <w:r>
              <w:rPr>
                <w:rFonts w:hint="eastAsia"/>
                <w:snapToGrid w:val="0"/>
                <w:color w:val="000000" w:themeColor="text1"/>
                <w:kern w:val="2"/>
                <w14:textFill>
                  <w14:solidFill>
                    <w14:schemeClr w14:val="tx1"/>
                  </w14:solidFill>
                </w14:textFill>
              </w:rPr>
              <w:t>~</w:t>
            </w:r>
            <w:r>
              <w:rPr>
                <w:snapToGrid w:val="0"/>
                <w:color w:val="000000" w:themeColor="text1"/>
                <w:kern w:val="2"/>
                <w14:textFill>
                  <w14:solidFill>
                    <w14:schemeClr w14:val="tx1"/>
                  </w14:solidFill>
                </w14:textFill>
              </w:rPr>
              <w:t>90</w:t>
            </w:r>
          </w:p>
        </w:tc>
        <w:tc>
          <w:tcPr>
            <w:tcW w:w="1981" w:type="dxa"/>
            <w:vAlign w:val="center"/>
          </w:tcPr>
          <w:p w14:paraId="73016C0B">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流动源</w:t>
            </w:r>
          </w:p>
        </w:tc>
      </w:tr>
      <w:tr w14:paraId="73EBD7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070D257D">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电锤</w:t>
            </w:r>
          </w:p>
        </w:tc>
        <w:tc>
          <w:tcPr>
            <w:tcW w:w="3853" w:type="dxa"/>
            <w:vAlign w:val="center"/>
          </w:tcPr>
          <w:p w14:paraId="1E63D7B9">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1</w:t>
            </w:r>
            <w:r>
              <w:rPr>
                <w:snapToGrid w:val="0"/>
                <w:color w:val="000000" w:themeColor="text1"/>
                <w:kern w:val="2"/>
                <w14:textFill>
                  <w14:solidFill>
                    <w14:schemeClr w14:val="tx1"/>
                  </w14:solidFill>
                </w14:textFill>
              </w:rPr>
              <w:t>00~105</w:t>
            </w:r>
          </w:p>
        </w:tc>
        <w:tc>
          <w:tcPr>
            <w:tcW w:w="1981" w:type="dxa"/>
            <w:vAlign w:val="center"/>
          </w:tcPr>
          <w:p w14:paraId="7757873B">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流动源</w:t>
            </w:r>
          </w:p>
        </w:tc>
      </w:tr>
      <w:tr w14:paraId="04DBEE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39A4CCEF">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木工电锯</w:t>
            </w:r>
          </w:p>
        </w:tc>
        <w:tc>
          <w:tcPr>
            <w:tcW w:w="3853" w:type="dxa"/>
            <w:vAlign w:val="center"/>
          </w:tcPr>
          <w:p w14:paraId="0256B8E1">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9</w:t>
            </w:r>
            <w:r>
              <w:rPr>
                <w:snapToGrid w:val="0"/>
                <w:color w:val="000000" w:themeColor="text1"/>
                <w:kern w:val="2"/>
                <w14:textFill>
                  <w14:solidFill>
                    <w14:schemeClr w14:val="tx1"/>
                  </w14:solidFill>
                </w14:textFill>
              </w:rPr>
              <w:t>3~99</w:t>
            </w:r>
          </w:p>
        </w:tc>
        <w:tc>
          <w:tcPr>
            <w:tcW w:w="1981" w:type="dxa"/>
            <w:vAlign w:val="center"/>
          </w:tcPr>
          <w:p w14:paraId="53FF513A">
            <w:pPr>
              <w:pStyle w:val="143"/>
              <w:rPr>
                <w:snapToGrid w:val="0"/>
                <w:color w:val="000000" w:themeColor="text1"/>
                <w:kern w:val="2"/>
                <w14:textFill>
                  <w14:solidFill>
                    <w14:schemeClr w14:val="tx1"/>
                  </w14:solidFill>
                </w14:textFill>
              </w:rPr>
            </w:pPr>
            <w:r>
              <w:rPr>
                <w:rFonts w:hint="eastAsia"/>
                <w:snapToGrid w:val="0"/>
                <w:color w:val="000000" w:themeColor="text1"/>
                <w:kern w:val="2"/>
                <w:lang w:val="en-US"/>
                <w14:textFill>
                  <w14:solidFill>
                    <w14:schemeClr w14:val="tx1"/>
                  </w14:solidFill>
                </w14:textFill>
              </w:rPr>
              <w:t>流动源</w:t>
            </w:r>
          </w:p>
        </w:tc>
      </w:tr>
      <w:tr w14:paraId="13A2A0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04585E9E">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混凝土输送泵</w:t>
            </w:r>
          </w:p>
        </w:tc>
        <w:tc>
          <w:tcPr>
            <w:tcW w:w="3853" w:type="dxa"/>
            <w:vAlign w:val="center"/>
          </w:tcPr>
          <w:p w14:paraId="4D3291E3">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8</w:t>
            </w:r>
            <w:r>
              <w:rPr>
                <w:snapToGrid w:val="0"/>
                <w:color w:val="000000" w:themeColor="text1"/>
                <w:kern w:val="2"/>
                <w14:textFill>
                  <w14:solidFill>
                    <w14:schemeClr w14:val="tx1"/>
                  </w14:solidFill>
                </w14:textFill>
              </w:rPr>
              <w:t>8~95</w:t>
            </w:r>
          </w:p>
        </w:tc>
        <w:tc>
          <w:tcPr>
            <w:tcW w:w="1981" w:type="dxa"/>
            <w:vAlign w:val="center"/>
          </w:tcPr>
          <w:p w14:paraId="28139E0A">
            <w:pPr>
              <w:pStyle w:val="143"/>
              <w:rPr>
                <w:snapToGrid w:val="0"/>
                <w:color w:val="000000" w:themeColor="text1"/>
                <w:kern w:val="2"/>
                <w14:textFill>
                  <w14:solidFill>
                    <w14:schemeClr w14:val="tx1"/>
                  </w14:solidFill>
                </w14:textFill>
              </w:rPr>
            </w:pPr>
            <w:r>
              <w:rPr>
                <w:rFonts w:hint="eastAsia"/>
                <w:snapToGrid w:val="0"/>
                <w:color w:val="000000" w:themeColor="text1"/>
                <w:kern w:val="2"/>
                <w:lang w:val="en-US"/>
                <w14:textFill>
                  <w14:solidFill>
                    <w14:schemeClr w14:val="tx1"/>
                  </w14:solidFill>
                </w14:textFill>
              </w:rPr>
              <w:t>流动源</w:t>
            </w:r>
          </w:p>
        </w:tc>
      </w:tr>
      <w:tr w14:paraId="02A28A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60FAEBC8">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空压机</w:t>
            </w:r>
          </w:p>
        </w:tc>
        <w:tc>
          <w:tcPr>
            <w:tcW w:w="3853" w:type="dxa"/>
            <w:vAlign w:val="center"/>
          </w:tcPr>
          <w:p w14:paraId="153436D1">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8</w:t>
            </w:r>
            <w:r>
              <w:rPr>
                <w:snapToGrid w:val="0"/>
                <w:color w:val="000000" w:themeColor="text1"/>
                <w:kern w:val="2"/>
                <w14:textFill>
                  <w14:solidFill>
                    <w14:schemeClr w14:val="tx1"/>
                  </w14:solidFill>
                </w14:textFill>
              </w:rPr>
              <w:t>8~92</w:t>
            </w:r>
          </w:p>
        </w:tc>
        <w:tc>
          <w:tcPr>
            <w:tcW w:w="1981" w:type="dxa"/>
            <w:vAlign w:val="center"/>
          </w:tcPr>
          <w:p w14:paraId="0F27BDA1">
            <w:pPr>
              <w:pStyle w:val="143"/>
              <w:rPr>
                <w:snapToGrid w:val="0"/>
                <w:color w:val="000000" w:themeColor="text1"/>
                <w:kern w:val="2"/>
                <w14:textFill>
                  <w14:solidFill>
                    <w14:schemeClr w14:val="tx1"/>
                  </w14:solidFill>
                </w14:textFill>
              </w:rPr>
            </w:pPr>
            <w:r>
              <w:rPr>
                <w:rFonts w:hint="eastAsia"/>
                <w:snapToGrid w:val="0"/>
                <w:color w:val="000000" w:themeColor="text1"/>
                <w:kern w:val="2"/>
                <w:lang w:val="en-US"/>
                <w14:textFill>
                  <w14:solidFill>
                    <w14:schemeClr w14:val="tx1"/>
                  </w14:solidFill>
                </w14:textFill>
              </w:rPr>
              <w:t>流动源</w:t>
            </w:r>
          </w:p>
        </w:tc>
      </w:tr>
      <w:tr w14:paraId="3751D0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72" w:type="dxa"/>
            <w:vAlign w:val="center"/>
          </w:tcPr>
          <w:p w14:paraId="30B4A97A">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商砼搅拌车</w:t>
            </w:r>
          </w:p>
        </w:tc>
        <w:tc>
          <w:tcPr>
            <w:tcW w:w="3853" w:type="dxa"/>
            <w:vAlign w:val="center"/>
          </w:tcPr>
          <w:p w14:paraId="1DD68B96">
            <w:pPr>
              <w:pStyle w:val="143"/>
              <w:rPr>
                <w:snapToGrid w:val="0"/>
                <w:color w:val="000000" w:themeColor="text1"/>
                <w:kern w:val="2"/>
                <w14:textFill>
                  <w14:solidFill>
                    <w14:schemeClr w14:val="tx1"/>
                  </w14:solidFill>
                </w14:textFill>
              </w:rPr>
            </w:pPr>
            <w:r>
              <w:rPr>
                <w:rFonts w:hint="eastAsia"/>
                <w:snapToGrid w:val="0"/>
                <w:color w:val="000000" w:themeColor="text1"/>
                <w:kern w:val="2"/>
                <w14:textFill>
                  <w14:solidFill>
                    <w14:schemeClr w14:val="tx1"/>
                  </w14:solidFill>
                </w14:textFill>
              </w:rPr>
              <w:t>8</w:t>
            </w:r>
            <w:r>
              <w:rPr>
                <w:snapToGrid w:val="0"/>
                <w:color w:val="000000" w:themeColor="text1"/>
                <w:kern w:val="2"/>
                <w14:textFill>
                  <w14:solidFill>
                    <w14:schemeClr w14:val="tx1"/>
                  </w14:solidFill>
                </w14:textFill>
              </w:rPr>
              <w:t>5~90</w:t>
            </w:r>
          </w:p>
        </w:tc>
        <w:tc>
          <w:tcPr>
            <w:tcW w:w="1981" w:type="dxa"/>
            <w:vAlign w:val="center"/>
          </w:tcPr>
          <w:p w14:paraId="4AB5B0F0">
            <w:pPr>
              <w:pStyle w:val="143"/>
              <w:rPr>
                <w:snapToGrid w:val="0"/>
                <w:color w:val="000000" w:themeColor="text1"/>
                <w:kern w:val="2"/>
                <w:lang w:val="en-US"/>
                <w14:textFill>
                  <w14:solidFill>
                    <w14:schemeClr w14:val="tx1"/>
                  </w14:solidFill>
                </w14:textFill>
              </w:rPr>
            </w:pPr>
            <w:r>
              <w:rPr>
                <w:rFonts w:hint="eastAsia"/>
                <w:snapToGrid w:val="0"/>
                <w:color w:val="000000" w:themeColor="text1"/>
                <w:kern w:val="2"/>
                <w:lang w:val="en-US"/>
                <w14:textFill>
                  <w14:solidFill>
                    <w14:schemeClr w14:val="tx1"/>
                  </w14:solidFill>
                </w14:textFill>
              </w:rPr>
              <w:t>流动源</w:t>
            </w:r>
          </w:p>
        </w:tc>
      </w:tr>
    </w:tbl>
    <w:p w14:paraId="34F3757E">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施工中使用的各种施工机械、运输车辆等都是噪声的产生源。假设所有设备均为稳态连续发声状态，在不考虑任何声屏障情况下，各设备采用最大噪声值进行预测，根据声环境导则无指向性点源几何发散衰减模式：</w:t>
      </w:r>
    </w:p>
    <w:p w14:paraId="7AEF25C2">
      <w:pPr>
        <w:spacing w:line="480" w:lineRule="auto"/>
        <w:jc w:val="center"/>
        <w:rPr>
          <w:snapToGrid w:val="0"/>
          <w:color w:val="000000" w:themeColor="text1"/>
          <w:kern w:val="0"/>
          <w:lang w:val="fr-FR"/>
          <w14:textFill>
            <w14:solidFill>
              <w14:schemeClr w14:val="tx1"/>
            </w14:solidFill>
          </w14:textFill>
        </w:rPr>
      </w:pPr>
      <w:r>
        <w:rPr>
          <w:snapToGrid w:val="0"/>
          <w:color w:val="000000" w:themeColor="text1"/>
          <w:kern w:val="0"/>
          <w14:textFill>
            <w14:solidFill>
              <w14:schemeClr w14:val="tx1"/>
            </w14:solidFill>
          </w14:textFill>
        </w:rPr>
        <w:drawing>
          <wp:inline distT="0" distB="0" distL="0" distR="0">
            <wp:extent cx="1838325" cy="3251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1857702" cy="328875"/>
                    </a:xfrm>
                    <a:prstGeom prst="rect">
                      <a:avLst/>
                    </a:prstGeom>
                    <a:noFill/>
                    <a:ln>
                      <a:noFill/>
                    </a:ln>
                  </pic:spPr>
                </pic:pic>
              </a:graphicData>
            </a:graphic>
          </wp:inline>
        </w:drawing>
      </w:r>
    </w:p>
    <w:p w14:paraId="43886C27">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式中：</w:t>
      </w:r>
    </w:p>
    <w:p w14:paraId="63A9E490">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L</w:t>
      </w:r>
      <w:r>
        <w:rPr>
          <w:snapToGrid w:val="0"/>
          <w:color w:val="000000" w:themeColor="text1"/>
          <w:kern w:val="0"/>
          <w:vertAlign w:val="subscript"/>
          <w14:textFill>
            <w14:solidFill>
              <w14:schemeClr w14:val="tx1"/>
            </w14:solidFill>
          </w14:textFill>
        </w:rPr>
        <w:t>p</w:t>
      </w:r>
      <w:r>
        <w:rPr>
          <w:snapToGrid w:val="0"/>
          <w:color w:val="000000" w:themeColor="text1"/>
          <w:kern w:val="0"/>
          <w14:textFill>
            <w14:solidFill>
              <w14:schemeClr w14:val="tx1"/>
            </w14:solidFill>
          </w14:textFill>
        </w:rPr>
        <w:t>(r)——距声源r处的A声级，dB</w:t>
      </w:r>
    </w:p>
    <w:p w14:paraId="07B264B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L</w:t>
      </w:r>
      <w:r>
        <w:rPr>
          <w:snapToGrid w:val="0"/>
          <w:color w:val="000000" w:themeColor="text1"/>
          <w:kern w:val="0"/>
          <w:vertAlign w:val="subscript"/>
          <w14:textFill>
            <w14:solidFill>
              <w14:schemeClr w14:val="tx1"/>
            </w14:solidFill>
          </w14:textFill>
        </w:rPr>
        <w:t>p</w:t>
      </w:r>
      <w:r>
        <w:rPr>
          <w:snapToGrid w:val="0"/>
          <w:color w:val="000000" w:themeColor="text1"/>
          <w:kern w:val="0"/>
          <w14:textFill>
            <w14:solidFill>
              <w14:schemeClr w14:val="tx1"/>
            </w14:solidFill>
          </w14:textFill>
        </w:rPr>
        <w:t>（r</w:t>
      </w:r>
      <w:r>
        <w:rPr>
          <w:snapToGrid w:val="0"/>
          <w:color w:val="000000" w:themeColor="text1"/>
          <w:kern w:val="0"/>
          <w:vertAlign w:val="subscript"/>
          <w14:textFill>
            <w14:solidFill>
              <w14:schemeClr w14:val="tx1"/>
            </w14:solidFill>
          </w14:textFill>
        </w:rPr>
        <w:t>0</w:t>
      </w:r>
      <w:r>
        <w:rPr>
          <w:snapToGrid w:val="0"/>
          <w:color w:val="000000" w:themeColor="text1"/>
          <w:kern w:val="0"/>
          <w14:textFill>
            <w14:solidFill>
              <w14:schemeClr w14:val="tx1"/>
            </w14:solidFill>
          </w14:textFill>
        </w:rPr>
        <w:t>）——声源噪声功率级，dB</w:t>
      </w:r>
    </w:p>
    <w:p w14:paraId="61CDC838">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r ——受声点与声源距离，m</w:t>
      </w:r>
    </w:p>
    <w:p w14:paraId="2E86F818">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点声源距离衰减情况如下表所示</w:t>
      </w:r>
      <w:r>
        <w:rPr>
          <w:rFonts w:hint="eastAsia"/>
          <w:snapToGrid w:val="0"/>
          <w:color w:val="000000" w:themeColor="text1"/>
          <w:kern w:val="0"/>
          <w14:textFill>
            <w14:solidFill>
              <w14:schemeClr w14:val="tx1"/>
            </w14:solidFill>
          </w14:textFill>
        </w:rPr>
        <w:t>。</w:t>
      </w:r>
    </w:p>
    <w:p w14:paraId="0AE86BD7">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表5-1-</w:t>
      </w:r>
      <w:r>
        <w:rPr>
          <w:rFonts w:hint="eastAsia"/>
          <w:snapToGrid w:val="0"/>
          <w:color w:val="000000" w:themeColor="text1"/>
          <w:lang w:val="en-US" w:eastAsia="zh-CN"/>
          <w14:textFill>
            <w14:solidFill>
              <w14:schemeClr w14:val="tx1"/>
            </w14:solidFill>
          </w14:textFill>
        </w:rPr>
        <w:t>4</w:t>
      </w:r>
      <w:r>
        <w:rPr>
          <w:snapToGrid w:val="0"/>
          <w:color w:val="000000" w:themeColor="text1"/>
          <w14:textFill>
            <w14:solidFill>
              <w14:schemeClr w14:val="tx1"/>
            </w14:solidFill>
          </w14:textFill>
        </w:rPr>
        <w:t xml:space="preserve"> 点声源距离衰减情况</w:t>
      </w:r>
    </w:p>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99"/>
        <w:gridCol w:w="741"/>
        <w:gridCol w:w="741"/>
        <w:gridCol w:w="741"/>
        <w:gridCol w:w="741"/>
        <w:gridCol w:w="741"/>
        <w:gridCol w:w="741"/>
        <w:gridCol w:w="742"/>
        <w:gridCol w:w="742"/>
        <w:gridCol w:w="742"/>
        <w:gridCol w:w="741"/>
      </w:tblGrid>
      <w:tr w14:paraId="589C35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541" w:type="pct"/>
            <w:vAlign w:val="center"/>
          </w:tcPr>
          <w:p w14:paraId="117DD6A6">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源强</w:t>
            </w:r>
          </w:p>
        </w:tc>
        <w:tc>
          <w:tcPr>
            <w:tcW w:w="4459" w:type="pct"/>
            <w:gridSpan w:val="10"/>
            <w:vAlign w:val="center"/>
          </w:tcPr>
          <w:p w14:paraId="23A052FB">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100dB（A）</w:t>
            </w:r>
          </w:p>
        </w:tc>
      </w:tr>
      <w:tr w14:paraId="58D7CD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41" w:type="pct"/>
            <w:vAlign w:val="center"/>
          </w:tcPr>
          <w:p w14:paraId="7BB40927">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距离</w:t>
            </w:r>
          </w:p>
        </w:tc>
        <w:tc>
          <w:tcPr>
            <w:tcW w:w="446" w:type="pct"/>
            <w:vAlign w:val="center"/>
          </w:tcPr>
          <w:p w14:paraId="44D017C0">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30</w:t>
            </w:r>
          </w:p>
        </w:tc>
        <w:tc>
          <w:tcPr>
            <w:tcW w:w="446" w:type="pct"/>
            <w:vAlign w:val="center"/>
          </w:tcPr>
          <w:p w14:paraId="7E2C00E1">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50</w:t>
            </w:r>
          </w:p>
        </w:tc>
        <w:tc>
          <w:tcPr>
            <w:tcW w:w="446" w:type="pct"/>
            <w:vAlign w:val="center"/>
          </w:tcPr>
          <w:p w14:paraId="792AB9A9">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100</w:t>
            </w:r>
          </w:p>
        </w:tc>
        <w:tc>
          <w:tcPr>
            <w:tcW w:w="446" w:type="pct"/>
            <w:vAlign w:val="center"/>
          </w:tcPr>
          <w:p w14:paraId="77218765">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150</w:t>
            </w:r>
          </w:p>
        </w:tc>
        <w:tc>
          <w:tcPr>
            <w:tcW w:w="446" w:type="pct"/>
            <w:vAlign w:val="center"/>
          </w:tcPr>
          <w:p w14:paraId="5C542966">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200</w:t>
            </w:r>
          </w:p>
        </w:tc>
        <w:tc>
          <w:tcPr>
            <w:tcW w:w="446" w:type="pct"/>
            <w:vAlign w:val="center"/>
          </w:tcPr>
          <w:p w14:paraId="23C503B3">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300</w:t>
            </w:r>
          </w:p>
        </w:tc>
        <w:tc>
          <w:tcPr>
            <w:tcW w:w="446" w:type="pct"/>
            <w:vAlign w:val="center"/>
          </w:tcPr>
          <w:p w14:paraId="582BB51B">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400</w:t>
            </w:r>
          </w:p>
        </w:tc>
        <w:tc>
          <w:tcPr>
            <w:tcW w:w="446" w:type="pct"/>
            <w:vAlign w:val="center"/>
          </w:tcPr>
          <w:p w14:paraId="1FCFA6CD">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500</w:t>
            </w:r>
          </w:p>
        </w:tc>
        <w:tc>
          <w:tcPr>
            <w:tcW w:w="446" w:type="pct"/>
            <w:vAlign w:val="center"/>
          </w:tcPr>
          <w:p w14:paraId="7C3EBFB7">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600</w:t>
            </w:r>
          </w:p>
        </w:tc>
        <w:tc>
          <w:tcPr>
            <w:tcW w:w="446" w:type="pct"/>
            <w:vAlign w:val="center"/>
          </w:tcPr>
          <w:p w14:paraId="0E4DC6FF">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700</w:t>
            </w:r>
          </w:p>
        </w:tc>
      </w:tr>
      <w:tr w14:paraId="4E03B3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41" w:type="pct"/>
            <w:vAlign w:val="center"/>
          </w:tcPr>
          <w:p w14:paraId="69ECB4D4">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贡献值</w:t>
            </w:r>
          </w:p>
        </w:tc>
        <w:tc>
          <w:tcPr>
            <w:tcW w:w="446" w:type="pct"/>
            <w:vAlign w:val="center"/>
          </w:tcPr>
          <w:p w14:paraId="38E21463">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70.45</w:t>
            </w:r>
          </w:p>
        </w:tc>
        <w:tc>
          <w:tcPr>
            <w:tcW w:w="446" w:type="pct"/>
            <w:vAlign w:val="center"/>
          </w:tcPr>
          <w:p w14:paraId="5434FEF8">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66.02</w:t>
            </w:r>
          </w:p>
        </w:tc>
        <w:tc>
          <w:tcPr>
            <w:tcW w:w="446" w:type="pct"/>
            <w:vAlign w:val="center"/>
          </w:tcPr>
          <w:p w14:paraId="1026443E">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60</w:t>
            </w:r>
          </w:p>
        </w:tc>
        <w:tc>
          <w:tcPr>
            <w:tcW w:w="446" w:type="pct"/>
            <w:vAlign w:val="center"/>
          </w:tcPr>
          <w:p w14:paraId="2714B154">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56.48</w:t>
            </w:r>
          </w:p>
        </w:tc>
        <w:tc>
          <w:tcPr>
            <w:tcW w:w="446" w:type="pct"/>
            <w:vAlign w:val="center"/>
          </w:tcPr>
          <w:p w14:paraId="5FE39CD6">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53.97</w:t>
            </w:r>
          </w:p>
        </w:tc>
        <w:tc>
          <w:tcPr>
            <w:tcW w:w="446" w:type="pct"/>
            <w:vAlign w:val="center"/>
          </w:tcPr>
          <w:p w14:paraId="3A0495DC">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50.45</w:t>
            </w:r>
          </w:p>
        </w:tc>
        <w:tc>
          <w:tcPr>
            <w:tcW w:w="446" w:type="pct"/>
            <w:vAlign w:val="center"/>
          </w:tcPr>
          <w:p w14:paraId="5CF5E3C6">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47.96</w:t>
            </w:r>
          </w:p>
        </w:tc>
        <w:tc>
          <w:tcPr>
            <w:tcW w:w="446" w:type="pct"/>
            <w:vAlign w:val="center"/>
          </w:tcPr>
          <w:p w14:paraId="60300E60">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46.02</w:t>
            </w:r>
          </w:p>
        </w:tc>
        <w:tc>
          <w:tcPr>
            <w:tcW w:w="446" w:type="pct"/>
            <w:vAlign w:val="center"/>
          </w:tcPr>
          <w:p w14:paraId="2EA464D9">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44.43</w:t>
            </w:r>
          </w:p>
        </w:tc>
        <w:tc>
          <w:tcPr>
            <w:tcW w:w="446" w:type="pct"/>
            <w:vAlign w:val="center"/>
          </w:tcPr>
          <w:p w14:paraId="73BDA8DA">
            <w:pPr>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43.09</w:t>
            </w:r>
          </w:p>
        </w:tc>
      </w:tr>
    </w:tbl>
    <w:p w14:paraId="7EFAA251">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根据</w:t>
      </w:r>
      <w:r>
        <w:rPr>
          <w:rFonts w:hint="eastAsia"/>
          <w:snapToGrid w:val="0"/>
          <w:color w:val="000000" w:themeColor="text1"/>
          <w:kern w:val="0"/>
          <w:lang w:eastAsia="zh-CN"/>
          <w14:textFill>
            <w14:solidFill>
              <w14:schemeClr w14:val="tx1"/>
            </w14:solidFill>
          </w14:textFill>
        </w:rPr>
        <w:t>《建筑施工噪声排放标准》（GB12523-2025）</w:t>
      </w:r>
      <w:r>
        <w:rPr>
          <w:snapToGrid w:val="0"/>
          <w:color w:val="000000" w:themeColor="text1"/>
          <w:kern w:val="0"/>
          <w14:textFill>
            <w14:solidFill>
              <w14:schemeClr w14:val="tx1"/>
            </w14:solidFill>
          </w14:textFill>
        </w:rPr>
        <w:t>的规定，施工噪声控制在昼间70dB（A），夜间控制在55dB（A）。</w:t>
      </w:r>
    </w:p>
    <w:p w14:paraId="7031EE44">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施工机械最大声功率级按100dB（A）计算，白天衰减至70dB（A）时需要满足的衰减距离为30m，夜间衰减至55dB（A）时需要满足的衰减距离为230m。本项目500m范围内无居民点等敏感目标，且夜间不施工，所以能达到距离衰减的要求，对居民区影响较小。</w:t>
      </w:r>
    </w:p>
    <w:p w14:paraId="468E95D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在严格控制夜间不施工的前提下，</w:t>
      </w:r>
      <w:r>
        <w:rPr>
          <w:rFonts w:hint="eastAsia"/>
          <w:snapToGrid w:val="0"/>
          <w:color w:val="000000" w:themeColor="text1"/>
          <w:kern w:val="0"/>
          <w14:textFill>
            <w14:solidFill>
              <w14:schemeClr w14:val="tx1"/>
            </w14:solidFill>
          </w14:textFill>
        </w:rPr>
        <w:t>采用</w:t>
      </w:r>
      <w:r>
        <w:rPr>
          <w:snapToGrid w:val="0"/>
          <w:color w:val="000000" w:themeColor="text1"/>
          <w:kern w:val="0"/>
          <w14:textFill>
            <w14:solidFill>
              <w14:schemeClr w14:val="tx1"/>
            </w14:solidFill>
          </w14:textFill>
        </w:rPr>
        <w:t>低噪声设备、对设备进行</w:t>
      </w:r>
      <w:r>
        <w:rPr>
          <w:rFonts w:hint="eastAsia"/>
          <w:snapToGrid w:val="0"/>
          <w:color w:val="000000" w:themeColor="text1"/>
          <w:kern w:val="0"/>
          <w14:textFill>
            <w14:solidFill>
              <w14:schemeClr w14:val="tx1"/>
            </w14:solidFill>
          </w14:textFill>
        </w:rPr>
        <w:t>隔声</w:t>
      </w:r>
      <w:r>
        <w:rPr>
          <w:snapToGrid w:val="0"/>
          <w:color w:val="000000" w:themeColor="text1"/>
          <w:kern w:val="0"/>
          <w14:textFill>
            <w14:solidFill>
              <w14:schemeClr w14:val="tx1"/>
            </w14:solidFill>
          </w14:textFill>
        </w:rPr>
        <w:t>、</w:t>
      </w:r>
      <w:r>
        <w:rPr>
          <w:rFonts w:hint="eastAsia"/>
          <w:snapToGrid w:val="0"/>
          <w:color w:val="000000" w:themeColor="text1"/>
          <w:kern w:val="0"/>
          <w14:textFill>
            <w14:solidFill>
              <w14:schemeClr w14:val="tx1"/>
            </w14:solidFill>
          </w14:textFill>
        </w:rPr>
        <w:t>减振处理</w:t>
      </w:r>
      <w:r>
        <w:rPr>
          <w:snapToGrid w:val="0"/>
          <w:color w:val="000000" w:themeColor="text1"/>
          <w:kern w:val="0"/>
          <w14:textFill>
            <w14:solidFill>
              <w14:schemeClr w14:val="tx1"/>
            </w14:solidFill>
          </w14:textFill>
        </w:rPr>
        <w:t>，本项目施工期间产生的噪声不会对周围环境造成明显影响，其施工场界声环境可满足</w:t>
      </w:r>
      <w:r>
        <w:rPr>
          <w:rFonts w:hint="eastAsia"/>
          <w:snapToGrid w:val="0"/>
          <w:color w:val="000000" w:themeColor="text1"/>
          <w:kern w:val="0"/>
          <w:lang w:eastAsia="zh-CN"/>
          <w14:textFill>
            <w14:solidFill>
              <w14:schemeClr w14:val="tx1"/>
            </w14:solidFill>
          </w14:textFill>
        </w:rPr>
        <w:t>《建筑施工噪声排放标准》（GB12523-2025）</w:t>
      </w:r>
      <w:r>
        <w:rPr>
          <w:snapToGrid w:val="0"/>
          <w:color w:val="000000" w:themeColor="text1"/>
          <w:kern w:val="0"/>
          <w14:textFill>
            <w14:solidFill>
              <w14:schemeClr w14:val="tx1"/>
            </w14:solidFill>
          </w14:textFill>
        </w:rPr>
        <w:t>要求，对区域声环境不会产生显著性不良影响。</w:t>
      </w:r>
    </w:p>
    <w:p w14:paraId="67168183">
      <w:pPr>
        <w:pStyle w:val="6"/>
        <w:rPr>
          <w:snapToGrid w:val="0"/>
          <w:color w:val="000000" w:themeColor="text1"/>
          <w14:textFill>
            <w14:solidFill>
              <w14:schemeClr w14:val="tx1"/>
            </w14:solidFill>
          </w14:textFill>
        </w:rPr>
      </w:pPr>
      <w:bookmarkStart w:id="256" w:name="_Toc6695"/>
      <w:r>
        <w:rPr>
          <w:snapToGrid w:val="0"/>
          <w:color w:val="000000" w:themeColor="text1"/>
          <w14:textFill>
            <w14:solidFill>
              <w14:schemeClr w14:val="tx1"/>
            </w14:solidFill>
          </w14:textFill>
        </w:rPr>
        <w:t>5.1.4固体废物影响分析</w:t>
      </w:r>
      <w:bookmarkEnd w:id="256"/>
    </w:p>
    <w:p w14:paraId="3D3D98B7">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项目施工期间产生的废弃物主要是废弃的建筑材料</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生活垃圾</w:t>
      </w:r>
      <w:r>
        <w:rPr>
          <w:rFonts w:hint="eastAsia"/>
          <w:snapToGrid w:val="0"/>
          <w:color w:val="000000" w:themeColor="text1"/>
          <w:kern w:val="0"/>
          <w14:textFill>
            <w14:solidFill>
              <w14:schemeClr w14:val="tx1"/>
            </w14:solidFill>
          </w14:textFill>
        </w:rPr>
        <w:t>和弃土</w:t>
      </w:r>
      <w:r>
        <w:rPr>
          <w:snapToGrid w:val="0"/>
          <w:color w:val="000000" w:themeColor="text1"/>
          <w:kern w:val="0"/>
          <w14:textFill>
            <w14:solidFill>
              <w14:schemeClr w14:val="tx1"/>
            </w14:solidFill>
          </w14:textFill>
        </w:rPr>
        <w:t>。对剩余建筑材料应进行回收或分类收集，建筑垃圾要及时清运、加以利用</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施工人员产生的生活垃圾不要和建筑垃圾混放，定时清运到当地的垃圾处理站集中处理</w:t>
      </w:r>
      <w:r>
        <w:rPr>
          <w:rFonts w:hint="eastAsia"/>
          <w:snapToGrid w:val="0"/>
          <w:color w:val="000000" w:themeColor="text1"/>
          <w:kern w:val="0"/>
          <w14:textFill>
            <w14:solidFill>
              <w14:schemeClr w14:val="tx1"/>
            </w14:solidFill>
          </w14:textFill>
        </w:rPr>
        <w:t>；本项目产生的土方主要为土地平整及挖地基时产生的少许土方，除回填外平整场地外，挖方的表土用于厂区绿化，无弃土产生，</w:t>
      </w:r>
      <w:r>
        <w:rPr>
          <w:snapToGrid w:val="0"/>
          <w:color w:val="000000" w:themeColor="text1"/>
          <w:kern w:val="0"/>
          <w14:textFill>
            <w14:solidFill>
              <w14:schemeClr w14:val="tx1"/>
            </w14:solidFill>
          </w14:textFill>
        </w:rPr>
        <w:t>对周围环境影响较小。</w:t>
      </w:r>
    </w:p>
    <w:p w14:paraId="18E2B9CB">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通过以上措施，项目建设产生的固体废物得到了妥善处置，施工期间对周围环境造成的短暂影响可以接受。</w:t>
      </w:r>
    </w:p>
    <w:p w14:paraId="4CFE6A2D">
      <w:pPr>
        <w:pStyle w:val="6"/>
        <w:rPr>
          <w:snapToGrid w:val="0"/>
          <w:color w:val="000000" w:themeColor="text1"/>
          <w14:textFill>
            <w14:solidFill>
              <w14:schemeClr w14:val="tx1"/>
            </w14:solidFill>
          </w14:textFill>
        </w:rPr>
      </w:pPr>
      <w:bookmarkStart w:id="257" w:name="_Toc12413"/>
      <w:r>
        <w:rPr>
          <w:snapToGrid w:val="0"/>
          <w:color w:val="000000" w:themeColor="text1"/>
          <w14:textFill>
            <w14:solidFill>
              <w14:schemeClr w14:val="tx1"/>
            </w14:solidFill>
          </w14:textFill>
        </w:rPr>
        <w:t>5.1.5生态环境影响分析</w:t>
      </w:r>
      <w:bookmarkEnd w:id="257"/>
    </w:p>
    <w:p w14:paraId="573C1A7C">
      <w:pPr>
        <w:pStyle w:val="7"/>
        <w:rPr>
          <w:color w:val="000000" w:themeColor="text1"/>
          <w14:textFill>
            <w14:solidFill>
              <w14:schemeClr w14:val="tx1"/>
            </w14:solidFill>
          </w14:textFill>
        </w:rPr>
      </w:pPr>
      <w:bookmarkStart w:id="258" w:name="_Toc480447671"/>
      <w:bookmarkStart w:id="259" w:name="_Toc415146703"/>
      <w:r>
        <w:rPr>
          <w:color w:val="000000" w:themeColor="text1"/>
          <w14:textFill>
            <w14:solidFill>
              <w14:schemeClr w14:val="tx1"/>
            </w14:solidFill>
          </w14:textFill>
        </w:rPr>
        <w:t>5.1.5.1</w:t>
      </w:r>
      <w:r>
        <w:rPr>
          <w:rFonts w:hint="eastAsia"/>
          <w:color w:val="000000" w:themeColor="text1"/>
          <w14:textFill>
            <w14:solidFill>
              <w14:schemeClr w14:val="tx1"/>
            </w14:solidFill>
          </w14:textFill>
        </w:rPr>
        <w:t>施工期对</w:t>
      </w:r>
      <w:r>
        <w:rPr>
          <w:rFonts w:hint="eastAsia"/>
          <w:color w:val="000000" w:themeColor="text1"/>
          <w:lang w:eastAsia="zh-CN"/>
          <w14:textFill>
            <w14:solidFill>
              <w14:schemeClr w14:val="tx1"/>
            </w14:solidFill>
          </w14:textFill>
        </w:rPr>
        <w:t>陆生植被</w:t>
      </w:r>
      <w:r>
        <w:rPr>
          <w:rFonts w:hint="eastAsia"/>
          <w:color w:val="000000" w:themeColor="text1"/>
          <w14:textFill>
            <w14:solidFill>
              <w14:schemeClr w14:val="tx1"/>
            </w14:solidFill>
          </w14:textFill>
        </w:rPr>
        <w:t>的影响</w:t>
      </w:r>
    </w:p>
    <w:p w14:paraId="37D0F498">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本项目的施工建设，必然会对所在区域的生态环境带来一定破坏使现有土地利用类型发生变化，许多地表植被会消失，同时各种机动车辆碾压和施工人员的践踏及土石的堆放，也会对植被造成破坏和影响。随着施工期进行征地范围内的一些植物种类将会消失，绝大部分的植物种类数量将会减少，区域生多样性受到一定影响。但由于受破坏的植被类型均为评价区常见类型，且所破坏的物种为评价区的常见种类或世界广布种，无国家重点保护珍稀濒危植物和野生动物。因此，本项目的建设施工对植物区系、植被类型的影响不大，不会导致区域内现有植物种类和类型的消失灭绝，且随着施工期的结束，经过绿化建设，植被将会得到恢复，可弥补生物多样性的损失。</w:t>
      </w:r>
    </w:p>
    <w:p w14:paraId="6644341F">
      <w:pPr>
        <w:pStyle w:val="7"/>
        <w:rPr>
          <w:color w:val="000000" w:themeColor="text1"/>
          <w14:textFill>
            <w14:solidFill>
              <w14:schemeClr w14:val="tx1"/>
            </w14:solidFill>
          </w14:textFill>
        </w:rPr>
      </w:pPr>
      <w:r>
        <w:rPr>
          <w:color w:val="000000" w:themeColor="text1"/>
          <w14:textFill>
            <w14:solidFill>
              <w14:schemeClr w14:val="tx1"/>
            </w14:solidFill>
          </w14:textFill>
        </w:rPr>
        <w:t>5.1.5.2</w:t>
      </w:r>
      <w:r>
        <w:rPr>
          <w:rFonts w:hint="eastAsia"/>
          <w:color w:val="000000" w:themeColor="text1"/>
          <w14:textFill>
            <w14:solidFill>
              <w14:schemeClr w14:val="tx1"/>
            </w14:solidFill>
          </w14:textFill>
        </w:rPr>
        <w:t>施工期对</w:t>
      </w:r>
      <w:r>
        <w:rPr>
          <w:rFonts w:hint="eastAsia"/>
          <w:color w:val="000000" w:themeColor="text1"/>
          <w:lang w:eastAsia="zh-CN"/>
          <w14:textFill>
            <w14:solidFill>
              <w14:schemeClr w14:val="tx1"/>
            </w14:solidFill>
          </w14:textFill>
        </w:rPr>
        <w:t>陆生动物</w:t>
      </w:r>
      <w:r>
        <w:rPr>
          <w:rFonts w:hint="eastAsia"/>
          <w:color w:val="000000" w:themeColor="text1"/>
          <w14:textFill>
            <w14:solidFill>
              <w14:schemeClr w14:val="tx1"/>
            </w14:solidFill>
          </w14:textFill>
        </w:rPr>
        <w:t>的影响</w:t>
      </w:r>
    </w:p>
    <w:p w14:paraId="6BCD3071">
      <w:pPr>
        <w:pStyle w:val="85"/>
        <w:rPr>
          <w:color w:val="000000" w:themeColor="text1"/>
          <w14:textFill>
            <w14:solidFill>
              <w14:schemeClr w14:val="tx1"/>
            </w14:solidFill>
          </w14:textFill>
        </w:rPr>
      </w:pPr>
      <w:r>
        <w:rPr>
          <w:color w:val="000000" w:themeColor="text1"/>
          <w14:textFill>
            <w14:solidFill>
              <w14:schemeClr w14:val="tx1"/>
            </w14:solidFill>
          </w14:textFill>
        </w:rPr>
        <w:t>施工期间各种施工噪声增多，施工造成空气中扬尘增加以及施工人员活动频繁等因素影响，会对施工场地周围的野生动物造成一定的干扰，本工程施工所在地为</w:t>
      </w:r>
      <w:r>
        <w:rPr>
          <w:rFonts w:hint="eastAsia"/>
          <w:color w:val="000000" w:themeColor="text1"/>
          <w14:textFill>
            <w14:solidFill>
              <w14:schemeClr w14:val="tx1"/>
            </w14:solidFill>
          </w14:textFill>
        </w:rPr>
        <w:t>工业用地，</w:t>
      </w:r>
      <w:r>
        <w:rPr>
          <w:color w:val="000000" w:themeColor="text1"/>
          <w14:textFill>
            <w14:solidFill>
              <w14:schemeClr w14:val="tx1"/>
            </w14:solidFill>
          </w14:textFill>
        </w:rPr>
        <w:t>周边为</w:t>
      </w:r>
      <w:r>
        <w:rPr>
          <w:rFonts w:hint="eastAsia"/>
          <w:color w:val="000000" w:themeColor="text1"/>
          <w14:textFill>
            <w14:solidFill>
              <w14:schemeClr w14:val="tx1"/>
            </w14:solidFill>
          </w14:textFill>
        </w:rPr>
        <w:t>居民</w:t>
      </w:r>
      <w:r>
        <w:rPr>
          <w:color w:val="000000" w:themeColor="text1"/>
          <w14:textFill>
            <w14:solidFill>
              <w14:schemeClr w14:val="tx1"/>
            </w14:solidFill>
          </w14:textFill>
        </w:rPr>
        <w:t>，受人类活动影响，野生动物种类及数量很少，主要以田鼠、麻雀</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喜鹊等，施工活动对野生动物产生的影响很小。</w:t>
      </w:r>
    </w:p>
    <w:p w14:paraId="46F142A6">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.1.5.3</w:t>
      </w:r>
      <w:r>
        <w:rPr>
          <w:rFonts w:hint="eastAsia"/>
          <w:color w:val="000000" w:themeColor="text1"/>
          <w14:textFill>
            <w14:solidFill>
              <w14:schemeClr w14:val="tx1"/>
            </w14:solidFill>
          </w14:textFill>
        </w:rPr>
        <w:t>施工期对土壤的影响</w:t>
      </w:r>
    </w:p>
    <w:p w14:paraId="1E61D9F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施工被占用土地表面的土壤将被铲去，未被占用的土壤可能遭到机器的辗压和施工人员的践踏而导致严重压实，从而使施工完成后的土壤表土层缺乏原有土壤的肥力，不利于植物的生长和植被恢复。因此施工时应保留表土用作施工期结束后的绿化所用。</w:t>
      </w:r>
    </w:p>
    <w:p w14:paraId="52E1DBB0">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5.1</w:t>
      </w:r>
      <w:r>
        <w:rPr>
          <w:color w:val="000000" w:themeColor="text1"/>
          <w14:textFill>
            <w14:solidFill>
              <w14:schemeClr w14:val="tx1"/>
            </w14:solidFill>
          </w14:textFill>
        </w:rPr>
        <w:t>.5.4</w:t>
      </w:r>
      <w:r>
        <w:rPr>
          <w:rFonts w:hint="eastAsia"/>
          <w:color w:val="000000" w:themeColor="text1"/>
          <w14:textFill>
            <w14:solidFill>
              <w14:schemeClr w14:val="tx1"/>
            </w14:solidFill>
          </w14:textFill>
        </w:rPr>
        <w:t>施工期水土流失影响</w:t>
      </w:r>
    </w:p>
    <w:p w14:paraId="3E70D214">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项目建设过程中将导致地表暂时的大面积裸露，在雨水和地表径流作用下将产生一定程度的水土流失，当地表径流携带泥沙沿着附近排水管道进入附近水体后，容易造成对水体的污染。施工场地地面的开挖、土地的利用，易使土壤结构破坏，凝聚力降低，产生新的水土流失。</w:t>
      </w:r>
    </w:p>
    <w:p w14:paraId="593266F1">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5.1.</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对景观</w:t>
      </w:r>
      <w:r>
        <w:rPr>
          <w:color w:val="000000" w:themeColor="text1"/>
          <w14:textFill>
            <w14:solidFill>
              <w14:schemeClr w14:val="tx1"/>
            </w14:solidFill>
          </w14:textFill>
        </w:rPr>
        <w:t>的影响</w:t>
      </w:r>
    </w:p>
    <w:p w14:paraId="1660B33F">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项目对景观与视觉环境的负面影响主要表现在施工期。施工场地的开挖、各类施工机械运转、施工弃土、施工建材堆放等，都会对景观与视觉环境造成不良影响。在施工过程中，对于植物资源应尽量避免砍伐，尽量保留，维护和保持沿线现有景观。</w:t>
      </w:r>
    </w:p>
    <w:p w14:paraId="31A73E8A">
      <w:pPr>
        <w:pStyle w:val="85"/>
        <w:rPr>
          <w:color w:val="000000" w:themeColor="text1"/>
          <w14:textFill>
            <w14:solidFill>
              <w14:schemeClr w14:val="tx1"/>
            </w14:solidFill>
          </w14:textFill>
        </w:rPr>
      </w:pPr>
      <w:r>
        <w:rPr>
          <w:color w:val="000000" w:themeColor="text1"/>
          <w14:textFill>
            <w14:solidFill>
              <w14:schemeClr w14:val="tx1"/>
            </w14:solidFill>
          </w14:textFill>
        </w:rPr>
        <w:t>工程施工的生产活动扰动了局部原生地貌，破坏原有的地表植被，使局部生态环境遭受一定的影响。工程施工过程中的挖方、填方等施工活动，将会在短期内加大水土流失量。</w:t>
      </w:r>
      <w:r>
        <w:rPr>
          <w:rFonts w:hint="eastAsia"/>
          <w:color w:val="000000" w:themeColor="text1"/>
          <w14:textFill>
            <w14:solidFill>
              <w14:schemeClr w14:val="tx1"/>
            </w14:solidFill>
          </w14:textFill>
        </w:rPr>
        <w:t>本项目施工</w:t>
      </w:r>
      <w:r>
        <w:rPr>
          <w:color w:val="000000" w:themeColor="text1"/>
          <w14:textFill>
            <w14:solidFill>
              <w14:schemeClr w14:val="tx1"/>
            </w14:solidFill>
          </w14:textFill>
        </w:rPr>
        <w:t>过程中应严格将活动范围控制在本项目用地范围内，不占用其它土地。合理安排施工期，避免雨天施工，通过采取上述措施可将本项目施工期对土地的扰动降到最低。</w:t>
      </w:r>
    </w:p>
    <w:p w14:paraId="2C8E6FAC">
      <w:pPr>
        <w:pStyle w:val="5"/>
        <w:rPr>
          <w:snapToGrid w:val="0"/>
          <w:color w:val="000000" w:themeColor="text1"/>
          <w14:textFill>
            <w14:solidFill>
              <w14:schemeClr w14:val="tx1"/>
            </w14:solidFill>
          </w14:textFill>
        </w:rPr>
      </w:pPr>
      <w:bookmarkStart w:id="260" w:name="_Toc27304"/>
      <w:r>
        <w:rPr>
          <w:snapToGrid w:val="0"/>
          <w:color w:val="000000" w:themeColor="text1"/>
          <w14:textFill>
            <w14:solidFill>
              <w14:schemeClr w14:val="tx1"/>
            </w14:solidFill>
          </w14:textFill>
        </w:rPr>
        <w:t>5.2运营期环境影响预测评价</w:t>
      </w:r>
      <w:bookmarkEnd w:id="258"/>
      <w:bookmarkEnd w:id="259"/>
      <w:bookmarkEnd w:id="260"/>
    </w:p>
    <w:p w14:paraId="6F5ED2BA">
      <w:pPr>
        <w:pStyle w:val="6"/>
        <w:rPr>
          <w:snapToGrid w:val="0"/>
          <w:color w:val="000000" w:themeColor="text1"/>
          <w14:textFill>
            <w14:solidFill>
              <w14:schemeClr w14:val="tx1"/>
            </w14:solidFill>
          </w14:textFill>
        </w:rPr>
      </w:pPr>
      <w:bookmarkStart w:id="261" w:name="_Toc1806"/>
      <w:r>
        <w:rPr>
          <w:snapToGrid w:val="0"/>
          <w:color w:val="000000" w:themeColor="text1"/>
          <w14:textFill>
            <w14:solidFill>
              <w14:schemeClr w14:val="tx1"/>
            </w14:solidFill>
          </w14:textFill>
        </w:rPr>
        <w:t>5.2.1大气环境影响预测分析</w:t>
      </w:r>
      <w:bookmarkEnd w:id="261"/>
    </w:p>
    <w:p w14:paraId="6EF9BE7B">
      <w:pPr>
        <w:pStyle w:val="85"/>
        <w:rPr>
          <w:snapToGrid w:val="0"/>
          <w:color w:val="000000" w:themeColor="text1"/>
          <w14:textFill>
            <w14:solidFill>
              <w14:schemeClr w14:val="tx1"/>
            </w14:solidFill>
          </w14:textFill>
        </w:rPr>
      </w:pPr>
      <w:r>
        <w:rPr>
          <w:snapToGrid w:val="0"/>
          <w:color w:val="000000" w:themeColor="text1"/>
          <w:kern w:val="0"/>
          <w:szCs w:val="24"/>
          <w14:textFill>
            <w14:solidFill>
              <w14:schemeClr w14:val="tx1"/>
            </w14:solidFill>
          </w14:textFill>
        </w:rPr>
        <w:t>由估算模式计算结果可知，本项目排放污染物</w:t>
      </w:r>
      <w:r>
        <w:rPr>
          <w:rFonts w:hint="eastAsia" w:eastAsia="仿宋_GB2312"/>
          <w:color w:val="000000" w:themeColor="text1"/>
          <w:szCs w:val="24"/>
          <w:lang w:val="zh-CN"/>
          <w14:textFill>
            <w14:solidFill>
              <w14:schemeClr w14:val="tx1"/>
            </w14:solidFill>
          </w14:textFill>
        </w:rPr>
        <w:t>的</w:t>
      </w:r>
      <w:r>
        <w:rPr>
          <w:snapToGrid w:val="0"/>
          <w:color w:val="000000" w:themeColor="text1"/>
          <w:kern w:val="0"/>
          <w:szCs w:val="24"/>
          <w14:textFill>
            <w14:solidFill>
              <w14:schemeClr w14:val="tx1"/>
            </w14:solidFill>
          </w14:textFill>
        </w:rPr>
        <w:t>最大地面</w:t>
      </w:r>
      <w:r>
        <w:rPr>
          <w:rFonts w:hint="eastAsia"/>
          <w:snapToGrid w:val="0"/>
          <w:color w:val="000000" w:themeColor="text1"/>
          <w:kern w:val="0"/>
          <w:szCs w:val="24"/>
          <w14:textFill>
            <w14:solidFill>
              <w14:schemeClr w14:val="tx1"/>
            </w14:solidFill>
          </w14:textFill>
        </w:rPr>
        <w:t>空气质量</w:t>
      </w:r>
      <w:r>
        <w:rPr>
          <w:snapToGrid w:val="0"/>
          <w:color w:val="000000" w:themeColor="text1"/>
          <w:kern w:val="0"/>
          <w:szCs w:val="24"/>
          <w14:textFill>
            <w14:solidFill>
              <w14:schemeClr w14:val="tx1"/>
            </w14:solidFill>
          </w14:textFill>
        </w:rPr>
        <w:t>浓度占标率</w:t>
      </w:r>
      <w:r>
        <w:rPr>
          <w:snapToGrid w:val="0"/>
          <w:color w:val="000000" w:themeColor="text1"/>
          <w:kern w:val="0"/>
          <w:szCs w:val="24"/>
          <w:lang w:val="zh-CN" w:eastAsia="zh-CN"/>
          <w14:textFill>
            <w14:solidFill>
              <w14:schemeClr w14:val="tx1"/>
            </w14:solidFill>
          </w14:textFill>
        </w:rPr>
        <w:t>P</w:t>
      </w:r>
      <w:r>
        <w:rPr>
          <w:snapToGrid w:val="0"/>
          <w:color w:val="000000" w:themeColor="text1"/>
          <w:kern w:val="0"/>
          <w:szCs w:val="24"/>
          <w:vertAlign w:val="subscript"/>
          <w:lang w:val="zh-CN" w:eastAsia="zh-CN"/>
          <w14:textFill>
            <w14:solidFill>
              <w14:schemeClr w14:val="tx1"/>
            </w14:solidFill>
          </w14:textFill>
        </w:rPr>
        <w:t>max</w:t>
      </w:r>
      <w:r>
        <w:rPr>
          <w:rFonts w:hint="eastAsia"/>
          <w:snapToGrid w:val="0"/>
          <w:color w:val="000000" w:themeColor="text1"/>
          <w:kern w:val="0"/>
          <w:szCs w:val="24"/>
          <w:lang w:val="zh-CN"/>
          <w14:textFill>
            <w14:solidFill>
              <w14:schemeClr w14:val="tx1"/>
            </w14:solidFill>
          </w14:textFill>
        </w:rPr>
        <w:t>＜</w:t>
      </w:r>
      <w:r>
        <w:rPr>
          <w:snapToGrid w:val="0"/>
          <w:color w:val="000000" w:themeColor="text1"/>
          <w:kern w:val="0"/>
          <w:szCs w:val="24"/>
          <w:lang w:val="zh-CN" w:eastAsia="zh-CN"/>
          <w14:textFill>
            <w14:solidFill>
              <w14:schemeClr w14:val="tx1"/>
            </w14:solidFill>
          </w14:textFill>
        </w:rPr>
        <w:t>10%</w:t>
      </w:r>
      <w:r>
        <w:rPr>
          <w:rFonts w:hint="eastAsia"/>
          <w:snapToGrid w:val="0"/>
          <w:color w:val="000000" w:themeColor="text1"/>
          <w:kern w:val="0"/>
          <w:szCs w:val="24"/>
          <w:lang w:val="zh-CN"/>
          <w14:textFill>
            <w14:solidFill>
              <w14:schemeClr w14:val="tx1"/>
            </w14:solidFill>
          </w14:textFill>
        </w:rPr>
        <w:t>且≥</w:t>
      </w:r>
      <w:r>
        <w:rPr>
          <w:rFonts w:hint="eastAsia"/>
          <w:snapToGrid w:val="0"/>
          <w:color w:val="000000" w:themeColor="text1"/>
          <w:kern w:val="0"/>
          <w:szCs w:val="24"/>
          <w14:textFill>
            <w14:solidFill>
              <w14:schemeClr w14:val="tx1"/>
            </w14:solidFill>
          </w14:textFill>
        </w:rPr>
        <w:t>1%</w:t>
      </w:r>
      <w:r>
        <w:rPr>
          <w:snapToGrid w:val="0"/>
          <w:color w:val="000000" w:themeColor="text1"/>
          <w:kern w:val="0"/>
          <w:szCs w:val="24"/>
          <w14:textFill>
            <w14:solidFill>
              <w14:schemeClr w14:val="tx1"/>
            </w14:solidFill>
          </w14:textFill>
        </w:rPr>
        <w:t>。因此，本项目大气环境影响评价等级为</w:t>
      </w:r>
      <w:r>
        <w:rPr>
          <w:rFonts w:hint="eastAsia"/>
          <w:snapToGrid w:val="0"/>
          <w:color w:val="000000" w:themeColor="text1"/>
          <w14:textFill>
            <w14:solidFill>
              <w14:schemeClr w14:val="tx1"/>
            </w14:solidFill>
          </w14:textFill>
        </w:rPr>
        <w:t>二</w:t>
      </w:r>
      <w:r>
        <w:rPr>
          <w:snapToGrid w:val="0"/>
          <w:color w:val="000000" w:themeColor="text1"/>
          <w14:textFill>
            <w14:solidFill>
              <w14:schemeClr w14:val="tx1"/>
            </w14:solidFill>
          </w14:textFill>
        </w:rPr>
        <w:t>级。</w:t>
      </w:r>
      <w:r>
        <w:rPr>
          <w:rFonts w:hint="eastAsia"/>
          <w:snapToGrid w:val="0"/>
          <w:color w:val="000000" w:themeColor="text1"/>
          <w14:textFill>
            <w14:solidFill>
              <w14:schemeClr w14:val="tx1"/>
            </w14:solidFill>
          </w14:textFill>
        </w:rPr>
        <w:t>根据</w:t>
      </w:r>
      <w:r>
        <w:rPr>
          <w:snapToGrid w:val="0"/>
          <w:color w:val="000000" w:themeColor="text1"/>
          <w14:textFill>
            <w14:solidFill>
              <w14:schemeClr w14:val="tx1"/>
            </w14:solidFill>
          </w14:textFill>
        </w:rPr>
        <w:t>《环境影响评价技术导则 大气环境》（HJ2.2-2018）</w:t>
      </w:r>
      <w:r>
        <w:rPr>
          <w:rFonts w:hint="eastAsia"/>
          <w:snapToGrid w:val="0"/>
          <w:color w:val="000000" w:themeColor="text1"/>
          <w14:textFill>
            <w14:solidFill>
              <w14:schemeClr w14:val="tx1"/>
            </w14:solidFill>
          </w14:textFill>
        </w:rPr>
        <w:t>中要求，二级评价项目不进行进一步预测与评价，只对污染物排放量进行核算。</w:t>
      </w:r>
    </w:p>
    <w:p w14:paraId="55F4BA1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1、评价结论</w:t>
      </w:r>
    </w:p>
    <w:p w14:paraId="58228730">
      <w:pPr>
        <w:pStyle w:val="85"/>
        <w:rPr>
          <w:snapToGrid w:val="0"/>
          <w:color w:val="000000" w:themeColor="text1"/>
          <w14:textFill>
            <w14:solidFill>
              <w14:schemeClr w14:val="tx1"/>
            </w14:solidFill>
          </w14:textFill>
        </w:rPr>
      </w:pPr>
      <w:r>
        <w:rPr>
          <w:rFonts w:hint="eastAsia"/>
          <w:color w:val="000000" w:themeColor="text1"/>
          <w14:textFill>
            <w14:solidFill>
              <w14:schemeClr w14:val="tx1"/>
            </w14:solidFill>
          </w14:textFill>
        </w:rPr>
        <w:t>根据《环境影响评价技术导则 大气环境》（HJ2.2-2018）中</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评价等级判定及大气环境影响预测与评价</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的要求，以项目排放</w:t>
      </w:r>
      <w:r>
        <w:rPr>
          <w:rFonts w:cs="Times New Roman"/>
          <w:color w:val="000000" w:themeColor="text1"/>
          <w:szCs w:val="24"/>
          <w14:textFill>
            <w14:solidFill>
              <w14:schemeClr w14:val="tx1"/>
            </w14:solidFill>
          </w14:textFill>
        </w:rPr>
        <w:t>的</w:t>
      </w:r>
      <w:r>
        <w:rPr>
          <w:rFonts w:cs="Times New Roman"/>
          <w:color w:val="000000" w:themeColor="text1"/>
          <w:szCs w:val="24"/>
          <w:lang w:val="zh-CN" w:eastAsia="zh-CN"/>
          <w14:textFill>
            <w14:solidFill>
              <w14:schemeClr w14:val="tx1"/>
            </w14:solidFill>
          </w14:textFill>
        </w:rPr>
        <w:t>NH</w:t>
      </w:r>
      <w:r>
        <w:rPr>
          <w:rFonts w:cs="Times New Roman"/>
          <w:color w:val="000000" w:themeColor="text1"/>
          <w:szCs w:val="24"/>
          <w:vertAlign w:val="subscript"/>
          <w:lang w:val="zh-CN" w:eastAsia="zh-CN"/>
          <w14:textFill>
            <w14:solidFill>
              <w14:schemeClr w14:val="tx1"/>
            </w14:solidFill>
          </w14:textFill>
        </w:rPr>
        <w:t>3</w:t>
      </w:r>
      <w:r>
        <w:rPr>
          <w:rFonts w:cs="Times New Roman"/>
          <w:color w:val="000000" w:themeColor="text1"/>
          <w:szCs w:val="24"/>
          <w:lang w:val="zh-CN"/>
          <w14:textFill>
            <w14:solidFill>
              <w14:schemeClr w14:val="tx1"/>
            </w14:solidFill>
          </w14:textFill>
        </w:rPr>
        <w:t>、</w:t>
      </w:r>
      <w:r>
        <w:rPr>
          <w:rFonts w:cs="Times New Roman"/>
          <w:color w:val="000000" w:themeColor="text1"/>
          <w:szCs w:val="24"/>
          <w:lang w:val="zh-CN" w:eastAsia="zh-CN"/>
          <w14:textFill>
            <w14:solidFill>
              <w14:schemeClr w14:val="tx1"/>
            </w14:solidFill>
          </w14:textFill>
        </w:rPr>
        <w:t>H</w:t>
      </w:r>
      <w:r>
        <w:rPr>
          <w:rFonts w:cs="Times New Roman"/>
          <w:color w:val="000000" w:themeColor="text1"/>
          <w:szCs w:val="24"/>
          <w:vertAlign w:val="subscript"/>
          <w:lang w:val="zh-CN" w:eastAsia="zh-CN"/>
          <w14:textFill>
            <w14:solidFill>
              <w14:schemeClr w14:val="tx1"/>
            </w14:solidFill>
          </w14:textFill>
        </w:rPr>
        <w:t>2</w:t>
      </w:r>
      <w:r>
        <w:rPr>
          <w:rFonts w:cs="Times New Roman"/>
          <w:color w:val="000000" w:themeColor="text1"/>
          <w:szCs w:val="24"/>
          <w:lang w:val="zh-CN" w:eastAsia="zh-CN"/>
          <w14:textFill>
            <w14:solidFill>
              <w14:schemeClr w14:val="tx1"/>
            </w14:solidFill>
          </w14:textFill>
        </w:rPr>
        <w:t>S</w:t>
      </w:r>
      <w:r>
        <w:rPr>
          <w:rFonts w:hint="eastAsia" w:cs="Times New Roman"/>
          <w:color w:val="000000" w:themeColor="text1"/>
          <w:szCs w:val="24"/>
          <w:lang w:val="zh-CN"/>
          <w14:textFill>
            <w14:solidFill>
              <w14:schemeClr w14:val="tx1"/>
            </w14:solidFill>
          </w14:textFill>
        </w:rPr>
        <w:t>、P</w:t>
      </w:r>
      <w:r>
        <w:rPr>
          <w:rFonts w:cs="Times New Roman"/>
          <w:color w:val="000000" w:themeColor="text1"/>
          <w:szCs w:val="24"/>
          <w:lang w:val="zh-CN"/>
          <w14:textFill>
            <w14:solidFill>
              <w14:schemeClr w14:val="tx1"/>
            </w14:solidFill>
          </w14:textFill>
        </w:rPr>
        <w:t>M</w:t>
      </w:r>
      <w:r>
        <w:rPr>
          <w:rFonts w:cs="Times New Roman"/>
          <w:color w:val="000000" w:themeColor="text1"/>
          <w:szCs w:val="24"/>
          <w:vertAlign w:val="subscript"/>
          <w:lang w:val="zh-CN"/>
          <w14:textFill>
            <w14:solidFill>
              <w14:schemeClr w14:val="tx1"/>
            </w14:solidFill>
          </w14:textFill>
        </w:rPr>
        <w:t>10</w:t>
      </w:r>
      <w:r>
        <w:rPr>
          <w:rFonts w:hint="eastAsia" w:cs="Times New Roman"/>
          <w:color w:val="000000" w:themeColor="text1"/>
          <w:szCs w:val="24"/>
          <w:lang w:val="zh-CN"/>
          <w14:textFill>
            <w14:solidFill>
              <w14:schemeClr w14:val="tx1"/>
            </w14:solidFill>
          </w14:textFill>
        </w:rPr>
        <w:t>、S</w:t>
      </w:r>
      <w:r>
        <w:rPr>
          <w:rFonts w:cs="Times New Roman"/>
          <w:color w:val="000000" w:themeColor="text1"/>
          <w:szCs w:val="24"/>
          <w:lang w:val="zh-CN"/>
          <w14:textFill>
            <w14:solidFill>
              <w14:schemeClr w14:val="tx1"/>
            </w14:solidFill>
          </w14:textFill>
        </w:rPr>
        <w:t>O</w:t>
      </w:r>
      <w:r>
        <w:rPr>
          <w:rFonts w:cs="Times New Roman"/>
          <w:color w:val="000000" w:themeColor="text1"/>
          <w:szCs w:val="24"/>
          <w:vertAlign w:val="subscript"/>
          <w:lang w:val="zh-CN"/>
          <w14:textFill>
            <w14:solidFill>
              <w14:schemeClr w14:val="tx1"/>
            </w14:solidFill>
          </w14:textFill>
        </w:rPr>
        <w:t>2</w:t>
      </w:r>
      <w:r>
        <w:rPr>
          <w:rFonts w:hint="eastAsia" w:cs="Times New Roman"/>
          <w:color w:val="000000" w:themeColor="text1"/>
          <w:szCs w:val="24"/>
          <w:lang w:val="zh-CN"/>
          <w14:textFill>
            <w14:solidFill>
              <w14:schemeClr w14:val="tx1"/>
            </w14:solidFill>
          </w14:textFill>
        </w:rPr>
        <w:t>、</w:t>
      </w:r>
      <w:r>
        <w:rPr>
          <w:rFonts w:cs="Times New Roman"/>
          <w:color w:val="000000" w:themeColor="text1"/>
          <w:szCs w:val="24"/>
          <w:lang w:val="zh-CN"/>
          <w14:textFill>
            <w14:solidFill>
              <w14:schemeClr w14:val="tx1"/>
            </w14:solidFill>
          </w14:textFill>
        </w:rPr>
        <w:t>NO</w:t>
      </w:r>
      <w:r>
        <w:rPr>
          <w:rFonts w:cs="Times New Roman"/>
          <w:color w:val="000000" w:themeColor="text1"/>
          <w:szCs w:val="24"/>
          <w:vertAlign w:val="subscript"/>
          <w:lang w:val="zh-CN"/>
          <w14:textFill>
            <w14:solidFill>
              <w14:schemeClr w14:val="tx1"/>
            </w14:solidFill>
          </w14:textFill>
        </w:rPr>
        <w:t>X</w:t>
      </w:r>
      <w:r>
        <w:rPr>
          <w:rFonts w:hint="eastAsia" w:cs="Times New Roman"/>
          <w:color w:val="000000" w:themeColor="text1"/>
          <w:szCs w:val="24"/>
          <w:lang w:val="zh-CN"/>
          <w14:textFill>
            <w14:solidFill>
              <w14:schemeClr w14:val="tx1"/>
            </w14:solidFill>
          </w14:textFill>
        </w:rPr>
        <w:t>为</w:t>
      </w:r>
      <w:r>
        <w:rPr>
          <w:rFonts w:hint="eastAsia"/>
          <w:color w:val="000000" w:themeColor="text1"/>
          <w14:textFill>
            <w14:solidFill>
              <w14:schemeClr w14:val="tx1"/>
            </w14:solidFill>
          </w14:textFill>
        </w:rPr>
        <w:t>污染源，经估算模型计算，本项目新增</w:t>
      </w:r>
      <w:r>
        <w:rPr>
          <w:snapToGrid w:val="0"/>
          <w:color w:val="000000" w:themeColor="text1"/>
          <w:kern w:val="0"/>
          <w:szCs w:val="24"/>
          <w14:textFill>
            <w14:solidFill>
              <w14:schemeClr w14:val="tx1"/>
            </w14:solidFill>
          </w14:textFill>
        </w:rPr>
        <w:t>排放污染物</w:t>
      </w:r>
      <w:r>
        <w:rPr>
          <w:rFonts w:hint="eastAsia" w:eastAsia="仿宋_GB2312"/>
          <w:color w:val="000000" w:themeColor="text1"/>
          <w:szCs w:val="24"/>
          <w:lang w:val="zh-CN"/>
          <w14:textFill>
            <w14:solidFill>
              <w14:schemeClr w14:val="tx1"/>
            </w14:solidFill>
          </w14:textFill>
        </w:rPr>
        <w:t>的</w:t>
      </w:r>
      <w:r>
        <w:rPr>
          <w:snapToGrid w:val="0"/>
          <w:color w:val="000000" w:themeColor="text1"/>
          <w:kern w:val="0"/>
          <w:szCs w:val="24"/>
          <w14:textFill>
            <w14:solidFill>
              <w14:schemeClr w14:val="tx1"/>
            </w14:solidFill>
          </w14:textFill>
        </w:rPr>
        <w:t>最大地面</w:t>
      </w:r>
      <w:r>
        <w:rPr>
          <w:rFonts w:hint="eastAsia"/>
          <w:snapToGrid w:val="0"/>
          <w:color w:val="000000" w:themeColor="text1"/>
          <w:kern w:val="0"/>
          <w:szCs w:val="24"/>
          <w14:textFill>
            <w14:solidFill>
              <w14:schemeClr w14:val="tx1"/>
            </w14:solidFill>
          </w14:textFill>
        </w:rPr>
        <w:t>空气质量</w:t>
      </w:r>
      <w:r>
        <w:rPr>
          <w:snapToGrid w:val="0"/>
          <w:color w:val="000000" w:themeColor="text1"/>
          <w:kern w:val="0"/>
          <w:szCs w:val="24"/>
          <w14:textFill>
            <w14:solidFill>
              <w14:schemeClr w14:val="tx1"/>
            </w14:solidFill>
          </w14:textFill>
        </w:rPr>
        <w:t>浓度占标率</w:t>
      </w:r>
      <w:r>
        <w:rPr>
          <w:snapToGrid w:val="0"/>
          <w:color w:val="000000" w:themeColor="text1"/>
          <w:kern w:val="0"/>
          <w:szCs w:val="24"/>
          <w:lang w:val="zh-CN" w:eastAsia="zh-CN"/>
          <w14:textFill>
            <w14:solidFill>
              <w14:schemeClr w14:val="tx1"/>
            </w14:solidFill>
          </w14:textFill>
        </w:rPr>
        <w:t>P</w:t>
      </w:r>
      <w:r>
        <w:rPr>
          <w:snapToGrid w:val="0"/>
          <w:color w:val="000000" w:themeColor="text1"/>
          <w:kern w:val="0"/>
          <w:szCs w:val="24"/>
          <w:vertAlign w:val="subscript"/>
          <w:lang w:val="zh-CN" w:eastAsia="zh-CN"/>
          <w14:textFill>
            <w14:solidFill>
              <w14:schemeClr w14:val="tx1"/>
            </w14:solidFill>
          </w14:textFill>
        </w:rPr>
        <w:t>max</w:t>
      </w:r>
      <w:r>
        <w:rPr>
          <w:rFonts w:hint="eastAsia"/>
          <w:snapToGrid w:val="0"/>
          <w:color w:val="000000" w:themeColor="text1"/>
          <w:kern w:val="0"/>
          <w:szCs w:val="24"/>
          <w:lang w:val="zh-CN"/>
          <w14:textFill>
            <w14:solidFill>
              <w14:schemeClr w14:val="tx1"/>
            </w14:solidFill>
          </w14:textFill>
        </w:rPr>
        <w:t>＜</w:t>
      </w:r>
      <w:r>
        <w:rPr>
          <w:snapToGrid w:val="0"/>
          <w:color w:val="000000" w:themeColor="text1"/>
          <w:kern w:val="0"/>
          <w:szCs w:val="24"/>
          <w:lang w:val="zh-CN" w:eastAsia="zh-CN"/>
          <w14:textFill>
            <w14:solidFill>
              <w14:schemeClr w14:val="tx1"/>
            </w14:solidFill>
          </w14:textFill>
        </w:rPr>
        <w:t>10%</w:t>
      </w:r>
      <w:r>
        <w:rPr>
          <w:rFonts w:hint="eastAsia"/>
          <w:snapToGrid w:val="0"/>
          <w:color w:val="000000" w:themeColor="text1"/>
          <w:kern w:val="0"/>
          <w:szCs w:val="24"/>
          <w:lang w:val="zh-CN"/>
          <w14:textFill>
            <w14:solidFill>
              <w14:schemeClr w14:val="tx1"/>
            </w14:solidFill>
          </w14:textFill>
        </w:rPr>
        <w:t>且≥1%</w:t>
      </w:r>
      <w:r>
        <w:rPr>
          <w:rFonts w:hint="eastAsia"/>
          <w:snapToGrid w:val="0"/>
          <w:color w:val="000000" w:themeColor="text1"/>
          <w:kern w:val="0"/>
          <w:szCs w:val="24"/>
          <w14:textFill>
            <w14:solidFill>
              <w14:schemeClr w14:val="tx1"/>
            </w14:solidFill>
          </w14:textFill>
        </w:rPr>
        <w:t>，因此，本项目所排放大气污染物对周边环境影响较小。</w:t>
      </w:r>
    </w:p>
    <w:p w14:paraId="532CE3B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、大气环境防护距离</w:t>
      </w:r>
    </w:p>
    <w:p w14:paraId="260285EC">
      <w:pPr>
        <w:pStyle w:val="85"/>
        <w:rPr>
          <w:snapToGrid w:val="0"/>
          <w:color w:val="000000" w:themeColor="text1"/>
          <w14:textFill>
            <w14:solidFill>
              <w14:schemeClr w14:val="tx1"/>
            </w14:solidFill>
          </w14:textFill>
        </w:rPr>
      </w:pPr>
      <w:r>
        <w:rPr>
          <w:rFonts w:hint="eastAsia" w:cs="Times New Roman"/>
          <w:color w:val="000000" w:themeColor="text1"/>
          <w:lang w:val="zh-CN"/>
          <w14:textFill>
            <w14:solidFill>
              <w14:schemeClr w14:val="tx1"/>
            </w14:solidFill>
          </w14:textFill>
        </w:rPr>
        <w:t>根据《环境影响评价技术导则 大气环境》（HJ2.2-2018）中“评价等级判定及大气环境影响预测与评价”的要求，以项目排放的</w:t>
      </w:r>
      <w:r>
        <w:rPr>
          <w:rFonts w:cs="Times New Roman"/>
          <w:color w:val="000000" w:themeColor="text1"/>
          <w:lang w:val="zh-CN"/>
          <w14:textFill>
            <w14:solidFill>
              <w14:schemeClr w14:val="tx1"/>
            </w14:solidFill>
          </w14:textFill>
        </w:rPr>
        <w:t>NH</w:t>
      </w:r>
      <w:r>
        <w:rPr>
          <w:rFonts w:cs="Times New Roman"/>
          <w:color w:val="000000" w:themeColor="text1"/>
          <w:vertAlign w:val="subscript"/>
          <w:lang w:val="zh-CN"/>
          <w14:textFill>
            <w14:solidFill>
              <w14:schemeClr w14:val="tx1"/>
            </w14:solidFill>
          </w14:textFill>
        </w:rPr>
        <w:t>3</w:t>
      </w:r>
      <w:r>
        <w:rPr>
          <w:rFonts w:cs="Times New Roman"/>
          <w:color w:val="000000" w:themeColor="text1"/>
          <w:lang w:val="zh-CN"/>
          <w14:textFill>
            <w14:solidFill>
              <w14:schemeClr w14:val="tx1"/>
            </w14:solidFill>
          </w14:textFill>
        </w:rPr>
        <w:t>、H</w:t>
      </w:r>
      <w:r>
        <w:rPr>
          <w:rFonts w:cs="Times New Roman"/>
          <w:color w:val="000000" w:themeColor="text1"/>
          <w:vertAlign w:val="subscript"/>
          <w:lang w:val="zh-CN"/>
          <w14:textFill>
            <w14:solidFill>
              <w14:schemeClr w14:val="tx1"/>
            </w14:solidFill>
          </w14:textFill>
        </w:rPr>
        <w:t>2</w:t>
      </w:r>
      <w:r>
        <w:rPr>
          <w:rFonts w:cs="Times New Roman"/>
          <w:color w:val="000000" w:themeColor="text1"/>
          <w:lang w:val="zh-CN"/>
          <w14:textFill>
            <w14:solidFill>
              <w14:schemeClr w14:val="tx1"/>
            </w14:solidFill>
          </w14:textFill>
        </w:rPr>
        <w:t>S</w:t>
      </w:r>
      <w:r>
        <w:rPr>
          <w:rFonts w:hint="eastAsia" w:cs="Times New Roman"/>
          <w:color w:val="000000" w:themeColor="text1"/>
          <w:lang w:val="zh-CN"/>
          <w14:textFill>
            <w14:solidFill>
              <w14:schemeClr w14:val="tx1"/>
            </w14:solidFill>
          </w14:textFill>
        </w:rPr>
        <w:t>、P</w:t>
      </w:r>
      <w:r>
        <w:rPr>
          <w:rFonts w:cs="Times New Roman"/>
          <w:color w:val="000000" w:themeColor="text1"/>
          <w:lang w:val="zh-CN"/>
          <w14:textFill>
            <w14:solidFill>
              <w14:schemeClr w14:val="tx1"/>
            </w14:solidFill>
          </w14:textFill>
        </w:rPr>
        <w:t>M</w:t>
      </w:r>
      <w:r>
        <w:rPr>
          <w:rFonts w:cs="Times New Roman"/>
          <w:color w:val="000000" w:themeColor="text1"/>
          <w:vertAlign w:val="subscript"/>
          <w:lang w:val="zh-CN"/>
          <w14:textFill>
            <w14:solidFill>
              <w14:schemeClr w14:val="tx1"/>
            </w14:solidFill>
          </w14:textFill>
        </w:rPr>
        <w:t>10</w:t>
      </w:r>
      <w:r>
        <w:rPr>
          <w:rFonts w:hint="eastAsia" w:cs="Times New Roman"/>
          <w:color w:val="000000" w:themeColor="text1"/>
          <w:lang w:val="zh-CN"/>
          <w14:textFill>
            <w14:solidFill>
              <w14:schemeClr w14:val="tx1"/>
            </w14:solidFill>
          </w14:textFill>
        </w:rPr>
        <w:t>、S</w:t>
      </w:r>
      <w:r>
        <w:rPr>
          <w:rFonts w:cs="Times New Roman"/>
          <w:color w:val="000000" w:themeColor="text1"/>
          <w:lang w:val="zh-CN"/>
          <w14:textFill>
            <w14:solidFill>
              <w14:schemeClr w14:val="tx1"/>
            </w14:solidFill>
          </w14:textFill>
        </w:rPr>
        <w:t>O</w:t>
      </w:r>
      <w:r>
        <w:rPr>
          <w:rFonts w:cs="Times New Roman"/>
          <w:color w:val="000000" w:themeColor="text1"/>
          <w:vertAlign w:val="subscript"/>
          <w:lang w:val="zh-CN"/>
          <w14:textFill>
            <w14:solidFill>
              <w14:schemeClr w14:val="tx1"/>
            </w14:solidFill>
          </w14:textFill>
        </w:rPr>
        <w:t>2</w:t>
      </w:r>
      <w:r>
        <w:rPr>
          <w:rFonts w:hint="eastAsia" w:cs="Times New Roman"/>
          <w:color w:val="000000" w:themeColor="text1"/>
          <w:lang w:val="zh-CN"/>
          <w14:textFill>
            <w14:solidFill>
              <w14:schemeClr w14:val="tx1"/>
            </w14:solidFill>
          </w14:textFill>
        </w:rPr>
        <w:t>、</w:t>
      </w:r>
      <w:r>
        <w:rPr>
          <w:rFonts w:cs="Times New Roman"/>
          <w:color w:val="000000" w:themeColor="text1"/>
          <w:lang w:val="zh-CN"/>
          <w14:textFill>
            <w14:solidFill>
              <w14:schemeClr w14:val="tx1"/>
            </w14:solidFill>
          </w14:textFill>
        </w:rPr>
        <w:t>NO</w:t>
      </w:r>
      <w:r>
        <w:rPr>
          <w:rFonts w:cs="Times New Roman"/>
          <w:color w:val="000000" w:themeColor="text1"/>
          <w:vertAlign w:val="subscript"/>
          <w:lang w:val="zh-CN"/>
          <w14:textFill>
            <w14:solidFill>
              <w14:schemeClr w14:val="tx1"/>
            </w14:solidFill>
          </w14:textFill>
        </w:rPr>
        <w:t>X</w:t>
      </w:r>
      <w:r>
        <w:rPr>
          <w:rFonts w:hint="eastAsia" w:cs="Times New Roman"/>
          <w:color w:val="000000" w:themeColor="text1"/>
          <w:lang w:val="zh-CN"/>
          <w14:textFill>
            <w14:solidFill>
              <w14:schemeClr w14:val="tx1"/>
            </w14:solidFill>
          </w14:textFill>
        </w:rPr>
        <w:t>为污染源，经估算模型计算结果，项目厂界外污染物NH</w:t>
      </w:r>
      <w:r>
        <w:rPr>
          <w:rFonts w:hint="eastAsia" w:cs="Times New Roman"/>
          <w:color w:val="000000" w:themeColor="text1"/>
          <w:vertAlign w:val="subscript"/>
          <w:lang w:val="zh-CN"/>
          <w14:textFill>
            <w14:solidFill>
              <w14:schemeClr w14:val="tx1"/>
            </w14:solidFill>
          </w14:textFill>
        </w:rPr>
        <w:t>3</w:t>
      </w:r>
      <w:r>
        <w:rPr>
          <w:rFonts w:hint="eastAsia" w:cs="Times New Roman"/>
          <w:color w:val="000000" w:themeColor="text1"/>
          <w:lang w:val="zh-CN"/>
          <w14:textFill>
            <w14:solidFill>
              <w14:schemeClr w14:val="tx1"/>
            </w14:solidFill>
          </w14:textFill>
        </w:rPr>
        <w:t>、H</w:t>
      </w:r>
      <w:r>
        <w:rPr>
          <w:rFonts w:hint="eastAsia" w:cs="Times New Roman"/>
          <w:color w:val="000000" w:themeColor="text1"/>
          <w:vertAlign w:val="subscript"/>
          <w:lang w:val="zh-CN"/>
          <w14:textFill>
            <w14:solidFill>
              <w14:schemeClr w14:val="tx1"/>
            </w14:solidFill>
          </w14:textFill>
        </w:rPr>
        <w:t>2</w:t>
      </w:r>
      <w:r>
        <w:rPr>
          <w:rFonts w:hint="eastAsia" w:cs="Times New Roman"/>
          <w:color w:val="000000" w:themeColor="text1"/>
          <w:lang w:val="zh-CN"/>
          <w14:textFill>
            <w14:solidFill>
              <w14:schemeClr w14:val="tx1"/>
            </w14:solidFill>
          </w14:textFill>
        </w:rPr>
        <w:t>S</w:t>
      </w:r>
      <w:r>
        <w:rPr>
          <w:rFonts w:hint="eastAsia" w:cs="Times New Roman"/>
          <w:color w:val="000000" w:themeColor="text1"/>
          <w:lang w:val="en-US" w:eastAsia="zh-CN"/>
          <w14:textFill>
            <w14:solidFill>
              <w14:schemeClr w14:val="tx1"/>
            </w14:solidFill>
          </w14:textFill>
        </w:rPr>
        <w:t xml:space="preserve"> </w:t>
      </w:r>
      <w:r>
        <w:rPr>
          <w:rFonts w:hint="eastAsia" w:cs="Times New Roman"/>
          <w:color w:val="000000" w:themeColor="text1"/>
          <w:lang w:val="zh-CN"/>
          <w14:textFill>
            <w14:solidFill>
              <w14:schemeClr w14:val="tx1"/>
            </w14:solidFill>
          </w14:textFill>
        </w:rPr>
        <w:t>1小时落地浓度满足《环境影响评价技术导则 大气环境》（HJ2.2-2018）中附录D表D.1其他污染物空气质量浓度参考限值要求，颗粒物、S</w:t>
      </w:r>
      <w:r>
        <w:rPr>
          <w:rFonts w:cs="Times New Roman"/>
          <w:color w:val="000000" w:themeColor="text1"/>
          <w:lang w:val="zh-CN"/>
          <w14:textFill>
            <w14:solidFill>
              <w14:schemeClr w14:val="tx1"/>
            </w14:solidFill>
          </w14:textFill>
        </w:rPr>
        <w:t>O</w:t>
      </w:r>
      <w:r>
        <w:rPr>
          <w:rFonts w:cs="Times New Roman"/>
          <w:color w:val="000000" w:themeColor="text1"/>
          <w:vertAlign w:val="subscript"/>
          <w:lang w:val="zh-CN"/>
          <w14:textFill>
            <w14:solidFill>
              <w14:schemeClr w14:val="tx1"/>
            </w14:solidFill>
          </w14:textFill>
        </w:rPr>
        <w:t>2</w:t>
      </w:r>
      <w:r>
        <w:rPr>
          <w:rFonts w:cs="Times New Roman"/>
          <w:color w:val="000000" w:themeColor="text1"/>
          <w:lang w:val="zh-CN"/>
          <w14:textFill>
            <w14:solidFill>
              <w14:schemeClr w14:val="tx1"/>
            </w14:solidFill>
          </w14:textFill>
        </w:rPr>
        <w:t>、NO</w:t>
      </w:r>
      <w:r>
        <w:rPr>
          <w:rFonts w:cs="Times New Roman"/>
          <w:color w:val="000000" w:themeColor="text1"/>
          <w:vertAlign w:val="subscript"/>
          <w:lang w:val="zh-CN"/>
          <w14:textFill>
            <w14:solidFill>
              <w14:schemeClr w14:val="tx1"/>
            </w14:solidFill>
          </w14:textFill>
        </w:rPr>
        <w:t>X</w:t>
      </w:r>
      <w:r>
        <w:rPr>
          <w:rFonts w:hint="eastAsia" w:cs="Times New Roman"/>
          <w:color w:val="000000" w:themeColor="text1"/>
          <w:vertAlign w:val="subscript"/>
          <w:lang w:val="en-US" w:eastAsia="zh-CN"/>
          <w14:textFill>
            <w14:solidFill>
              <w14:schemeClr w14:val="tx1"/>
            </w14:solidFill>
          </w14:textFill>
        </w:rPr>
        <w:t xml:space="preserve"> </w:t>
      </w:r>
      <w:r>
        <w:rPr>
          <w:rFonts w:hint="eastAsia" w:cs="Times New Roman"/>
          <w:color w:val="000000" w:themeColor="text1"/>
          <w:lang w:val="zh-CN"/>
          <w14:textFill>
            <w14:solidFill>
              <w14:schemeClr w14:val="tx1"/>
            </w14:solidFill>
          </w14:textFill>
        </w:rPr>
        <w:t>1小时落地浓度满足《环境空气质量标准》（GB3095-2026）</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r>
        <w:rPr>
          <w:rFonts w:hint="eastAsia"/>
          <w:snapToGrid w:val="0"/>
          <w:color w:val="000000" w:themeColor="text1"/>
          <w:lang w:eastAsia="zh-CN"/>
          <w14:textFill>
            <w14:solidFill>
              <w14:schemeClr w14:val="tx1"/>
            </w14:solidFill>
          </w14:textFill>
        </w:rPr>
        <w:t>，</w:t>
      </w:r>
      <w:r>
        <w:rPr>
          <w:rFonts w:hint="eastAsia" w:cs="Times New Roman"/>
          <w:color w:val="000000" w:themeColor="text1"/>
          <w:lang w:val="zh-CN"/>
          <w14:textFill>
            <w14:solidFill>
              <w14:schemeClr w14:val="tx1"/>
            </w14:solidFill>
          </w14:textFill>
        </w:rPr>
        <w:t>故本项目不设置大气环境防护距离。</w:t>
      </w:r>
    </w:p>
    <w:p w14:paraId="2F5E6CD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、污染物排放量核算结果</w:t>
      </w:r>
    </w:p>
    <w:p w14:paraId="132145BA">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本项目大气污染物有组织排放量核算表见</w:t>
      </w:r>
      <w:r>
        <w:rPr>
          <w:snapToGrid w:val="0"/>
          <w:color w:val="000000" w:themeColor="text1"/>
          <w14:textFill>
            <w14:solidFill>
              <w14:schemeClr w14:val="tx1"/>
            </w14:solidFill>
          </w14:textFill>
        </w:rPr>
        <w:t>表5-2-1</w:t>
      </w:r>
      <w:r>
        <w:rPr>
          <w:rFonts w:hint="eastAsia"/>
          <w:snapToGrid w:val="0"/>
          <w:color w:val="000000" w:themeColor="text1"/>
          <w14:textFill>
            <w14:solidFill>
              <w14:schemeClr w14:val="tx1"/>
            </w14:solidFill>
          </w14:textFill>
        </w:rPr>
        <w:t>，无组织排放量核算表见</w:t>
      </w:r>
      <w:r>
        <w:rPr>
          <w:snapToGrid w:val="0"/>
          <w:color w:val="000000" w:themeColor="text1"/>
          <w14:textFill>
            <w14:solidFill>
              <w14:schemeClr w14:val="tx1"/>
            </w14:solidFill>
          </w14:textFill>
        </w:rPr>
        <w:t>表5-2-2</w:t>
      </w:r>
      <w:r>
        <w:rPr>
          <w:rFonts w:hint="eastAsia"/>
          <w:snapToGrid w:val="0"/>
          <w:color w:val="000000" w:themeColor="text1"/>
          <w14:textFill>
            <w14:solidFill>
              <w14:schemeClr w14:val="tx1"/>
            </w14:solidFill>
          </w14:textFill>
        </w:rPr>
        <w:t>，大气污染物年放量核算表见</w:t>
      </w:r>
      <w:r>
        <w:rPr>
          <w:snapToGrid w:val="0"/>
          <w:color w:val="000000" w:themeColor="text1"/>
          <w14:textFill>
            <w14:solidFill>
              <w14:schemeClr w14:val="tx1"/>
            </w14:solidFill>
          </w14:textFill>
        </w:rPr>
        <w:t>表5-2-3</w:t>
      </w:r>
      <w:r>
        <w:rPr>
          <w:rFonts w:hint="eastAsia"/>
          <w:snapToGrid w:val="0"/>
          <w:color w:val="000000" w:themeColor="text1"/>
          <w14:textFill>
            <w14:solidFill>
              <w14:schemeClr w14:val="tx1"/>
            </w14:solidFill>
          </w14:textFill>
        </w:rPr>
        <w:t>。</w:t>
      </w:r>
    </w:p>
    <w:p w14:paraId="32F3DA98">
      <w:pPr>
        <w:pStyle w:val="206"/>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表5-</w:t>
      </w:r>
      <w:r>
        <w:rPr>
          <w:snapToGrid w:val="0"/>
          <w:color w:val="000000" w:themeColor="text1"/>
          <w:lang w:val="en-US"/>
          <w14:textFill>
            <w14:solidFill>
              <w14:schemeClr w14:val="tx1"/>
            </w14:solidFill>
          </w14:textFill>
        </w:rPr>
        <w:t>2</w:t>
      </w:r>
      <w:r>
        <w:rPr>
          <w:rFonts w:hint="eastAsia"/>
          <w:snapToGrid w:val="0"/>
          <w:color w:val="000000" w:themeColor="text1"/>
          <w:lang w:val="en-US"/>
          <w14:textFill>
            <w14:solidFill>
              <w14:schemeClr w14:val="tx1"/>
            </w14:solidFill>
          </w14:textFill>
        </w:rPr>
        <w:t>-</w:t>
      </w:r>
      <w:r>
        <w:rPr>
          <w:snapToGrid w:val="0"/>
          <w:color w:val="000000" w:themeColor="text1"/>
          <w:lang w:val="en-US"/>
          <w14:textFill>
            <w14:solidFill>
              <w14:schemeClr w14:val="tx1"/>
            </w14:solidFill>
          </w14:textFill>
        </w:rPr>
        <w:t>1</w:t>
      </w:r>
      <w:r>
        <w:rPr>
          <w:rFonts w:hint="eastAsia"/>
          <w:snapToGrid w:val="0"/>
          <w:color w:val="000000" w:themeColor="text1"/>
          <w:lang w:val="en-US"/>
          <w14:textFill>
            <w14:solidFill>
              <w14:schemeClr w14:val="tx1"/>
            </w14:solidFill>
          </w14:textFill>
        </w:rPr>
        <w:t>大气污染物有组织排放量核算表</w:t>
      </w:r>
    </w:p>
    <w:tbl>
      <w:tblPr>
        <w:tblStyle w:val="49"/>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86"/>
        <w:gridCol w:w="1612"/>
        <w:gridCol w:w="1028"/>
        <w:gridCol w:w="1567"/>
        <w:gridCol w:w="1607"/>
        <w:gridCol w:w="1507"/>
      </w:tblGrid>
      <w:tr w14:paraId="127C51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shd w:val="clear" w:color="auto" w:fill="auto"/>
            <w:vAlign w:val="center"/>
          </w:tcPr>
          <w:p w14:paraId="23B30D59">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序号</w:t>
            </w:r>
          </w:p>
        </w:tc>
        <w:tc>
          <w:tcPr>
            <w:tcW w:w="970" w:type="pct"/>
            <w:shd w:val="clear" w:color="auto" w:fill="auto"/>
            <w:vAlign w:val="center"/>
          </w:tcPr>
          <w:p w14:paraId="2713D5C4">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排放口编号</w:t>
            </w:r>
          </w:p>
        </w:tc>
        <w:tc>
          <w:tcPr>
            <w:tcW w:w="619" w:type="pct"/>
            <w:shd w:val="clear" w:color="auto" w:fill="auto"/>
            <w:vAlign w:val="center"/>
          </w:tcPr>
          <w:p w14:paraId="3EFC9027">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污染物</w:t>
            </w:r>
          </w:p>
        </w:tc>
        <w:tc>
          <w:tcPr>
            <w:tcW w:w="943" w:type="pct"/>
            <w:shd w:val="clear" w:color="auto" w:fill="auto"/>
            <w:vAlign w:val="center"/>
          </w:tcPr>
          <w:p w14:paraId="7A32FAB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核算排放浓度/</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μg/m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w:t>
            </w:r>
          </w:p>
        </w:tc>
        <w:tc>
          <w:tcPr>
            <w:tcW w:w="965" w:type="pct"/>
            <w:shd w:val="clear" w:color="auto" w:fill="auto"/>
            <w:vAlign w:val="center"/>
          </w:tcPr>
          <w:p w14:paraId="10CA04F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核算排放速率/（kg/h）</w:t>
            </w:r>
          </w:p>
        </w:tc>
        <w:tc>
          <w:tcPr>
            <w:tcW w:w="906" w:type="pct"/>
            <w:shd w:val="clear" w:color="auto" w:fill="auto"/>
            <w:vAlign w:val="center"/>
          </w:tcPr>
          <w:p w14:paraId="312C7B2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核算年排放量/（t/a）</w:t>
            </w:r>
          </w:p>
        </w:tc>
      </w:tr>
      <w:tr w14:paraId="67F73F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000" w:type="pct"/>
            <w:gridSpan w:val="6"/>
            <w:shd w:val="clear" w:color="auto" w:fill="auto"/>
            <w:vAlign w:val="center"/>
          </w:tcPr>
          <w:p w14:paraId="465C8F6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一般排放口</w:t>
            </w:r>
          </w:p>
        </w:tc>
      </w:tr>
      <w:tr w14:paraId="6C9B85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shd w:val="clear" w:color="auto" w:fill="auto"/>
            <w:vAlign w:val="center"/>
          </w:tcPr>
          <w:p w14:paraId="7EA5DF15">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1</w:t>
            </w:r>
          </w:p>
        </w:tc>
        <w:tc>
          <w:tcPr>
            <w:tcW w:w="970" w:type="pct"/>
            <w:vMerge w:val="restart"/>
            <w:shd w:val="clear" w:color="auto" w:fill="auto"/>
            <w:vAlign w:val="center"/>
          </w:tcPr>
          <w:p w14:paraId="3C6C32B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14:textFill>
                  <w14:solidFill>
                    <w14:schemeClr w14:val="tx1"/>
                  </w14:solidFill>
                </w14:textFill>
              </w:rPr>
              <w:t>污水处理站排气筒</w:t>
            </w:r>
            <w:r>
              <w:rPr>
                <w:rFonts w:hint="eastAsia"/>
                <w:snapToGrid w:val="0"/>
                <w:color w:val="000000" w:themeColor="text1"/>
                <w:lang w:val="en-US" w:eastAsia="zh-CN"/>
                <w14:textFill>
                  <w14:solidFill>
                    <w14:schemeClr w14:val="tx1"/>
                  </w14:solidFill>
                </w14:textFill>
              </w:rPr>
              <w:t>D</w:t>
            </w:r>
            <w:r>
              <w:rPr>
                <w:snapToGrid w:val="0"/>
                <w:color w:val="000000" w:themeColor="text1"/>
                <w:lang w:val="en-US" w:eastAsia="zh-CN"/>
                <w14:textFill>
                  <w14:solidFill>
                    <w14:schemeClr w14:val="tx1"/>
                  </w14:solidFill>
                </w14:textFill>
              </w:rPr>
              <w:t>A00</w:t>
            </w:r>
            <w:r>
              <w:rPr>
                <w:rFonts w:hint="eastAsia"/>
                <w:snapToGrid w:val="0"/>
                <w:color w:val="000000" w:themeColor="text1"/>
                <w:lang w:val="en-US" w:eastAsia="zh-CN"/>
                <w14:textFill>
                  <w14:solidFill>
                    <w14:schemeClr w14:val="tx1"/>
                  </w14:solidFill>
                </w14:textFill>
              </w:rPr>
              <w:t>1</w:t>
            </w:r>
          </w:p>
        </w:tc>
        <w:tc>
          <w:tcPr>
            <w:tcW w:w="619" w:type="pct"/>
            <w:shd w:val="clear" w:color="auto" w:fill="auto"/>
            <w:vAlign w:val="center"/>
          </w:tcPr>
          <w:p w14:paraId="1DE2B40F">
            <w:pPr>
              <w:pStyle w:val="143"/>
              <w:rPr>
                <w:snapToGrid w:val="0"/>
                <w:color w:val="000000" w:themeColor="text1"/>
                <w:lang w:eastAsia="zh-CN"/>
                <w14:textFill>
                  <w14:solidFill>
                    <w14:schemeClr w14:val="tx1"/>
                  </w14:solidFill>
                </w14:textFill>
              </w:rPr>
            </w:pPr>
            <w:r>
              <w:rPr>
                <w:bCs/>
                <w:snapToGrid w:val="0"/>
                <w:color w:val="000000" w:themeColor="text1"/>
                <w:lang w:val="en-US"/>
                <w14:textFill>
                  <w14:solidFill>
                    <w14:schemeClr w14:val="tx1"/>
                  </w14:solidFill>
                </w14:textFill>
              </w:rPr>
              <w:t>NH</w:t>
            </w:r>
            <w:r>
              <w:rPr>
                <w:bCs/>
                <w:snapToGrid w:val="0"/>
                <w:color w:val="000000" w:themeColor="text1"/>
                <w:vertAlign w:val="subscript"/>
                <w:lang w:val="en-US"/>
                <w14:textFill>
                  <w14:solidFill>
                    <w14:schemeClr w14:val="tx1"/>
                  </w14:solidFill>
                </w14:textFill>
              </w:rPr>
              <w:t>3</w:t>
            </w:r>
          </w:p>
        </w:tc>
        <w:tc>
          <w:tcPr>
            <w:tcW w:w="943" w:type="pct"/>
            <w:shd w:val="clear" w:color="auto" w:fill="auto"/>
            <w:vAlign w:val="center"/>
          </w:tcPr>
          <w:p w14:paraId="1D22568E">
            <w:pPr>
              <w:pStyle w:val="143"/>
              <w:rPr>
                <w:rFonts w:hint="default" w:eastAsia="宋体"/>
                <w:snapToGrid w:val="0"/>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470</w:t>
            </w:r>
          </w:p>
        </w:tc>
        <w:tc>
          <w:tcPr>
            <w:tcW w:w="965" w:type="pct"/>
            <w:shd w:val="clear" w:color="auto" w:fill="auto"/>
            <w:vAlign w:val="center"/>
          </w:tcPr>
          <w:p w14:paraId="495F346A">
            <w:pPr>
              <w:pStyle w:val="143"/>
              <w:rPr>
                <w:rFonts w:hint="default" w:eastAsia="宋体"/>
                <w:snapToGrid w:val="0"/>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3.8</w:t>
            </w:r>
            <w:r>
              <w:rPr>
                <w:rFonts w:hint="eastAsia"/>
                <w:snapToGrid w:val="0"/>
                <w:color w:val="000000" w:themeColor="text1"/>
                <w:lang w:val="en-US" w:eastAsia="zh-CN"/>
                <w14:textFill>
                  <w14:solidFill>
                    <w14:schemeClr w14:val="tx1"/>
                  </w14:solidFill>
                </w14:textFill>
              </w:rPr>
              <w:t>×10</w:t>
            </w:r>
            <w:r>
              <w:rPr>
                <w:rFonts w:hint="eastAsia"/>
                <w:snapToGrid w:val="0"/>
                <w:color w:val="000000" w:themeColor="text1"/>
                <w:vertAlign w:val="superscript"/>
                <w:lang w:val="en-US" w:eastAsia="zh-CN"/>
                <w14:textFill>
                  <w14:solidFill>
                    <w14:schemeClr w14:val="tx1"/>
                  </w14:solidFill>
                </w14:textFill>
              </w:rPr>
              <w:t>-3</w:t>
            </w:r>
          </w:p>
        </w:tc>
        <w:tc>
          <w:tcPr>
            <w:tcW w:w="906" w:type="pct"/>
            <w:shd w:val="clear" w:color="auto" w:fill="auto"/>
            <w:vAlign w:val="center"/>
          </w:tcPr>
          <w:p w14:paraId="646AB480">
            <w:pPr>
              <w:pStyle w:val="143"/>
              <w:rPr>
                <w:rFonts w:hint="default" w:eastAsia="宋体"/>
                <w:snapToGrid w:val="0"/>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0.03</w:t>
            </w:r>
          </w:p>
        </w:tc>
      </w:tr>
      <w:tr w14:paraId="60C7DC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shd w:val="clear" w:color="auto" w:fill="auto"/>
            <w:vAlign w:val="center"/>
          </w:tcPr>
          <w:p w14:paraId="4C7D8DE9">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2</w:t>
            </w:r>
          </w:p>
        </w:tc>
        <w:tc>
          <w:tcPr>
            <w:tcW w:w="970" w:type="pct"/>
            <w:vMerge w:val="continue"/>
            <w:shd w:val="clear" w:color="auto" w:fill="auto"/>
            <w:vAlign w:val="center"/>
          </w:tcPr>
          <w:p w14:paraId="07B9F34C">
            <w:pPr>
              <w:pStyle w:val="143"/>
              <w:rPr>
                <w:snapToGrid w:val="0"/>
                <w:color w:val="000000" w:themeColor="text1"/>
                <w14:textFill>
                  <w14:solidFill>
                    <w14:schemeClr w14:val="tx1"/>
                  </w14:solidFill>
                </w14:textFill>
              </w:rPr>
            </w:pPr>
          </w:p>
        </w:tc>
        <w:tc>
          <w:tcPr>
            <w:tcW w:w="619" w:type="pct"/>
            <w:shd w:val="clear" w:color="auto" w:fill="auto"/>
            <w:vAlign w:val="center"/>
          </w:tcPr>
          <w:p w14:paraId="03B76CC6">
            <w:pPr>
              <w:pStyle w:val="143"/>
              <w:rPr>
                <w:snapToGrid w:val="0"/>
                <w:color w:val="000000" w:themeColor="text1"/>
                <w:lang w:eastAsia="zh-CN"/>
                <w14:textFill>
                  <w14:solidFill>
                    <w14:schemeClr w14:val="tx1"/>
                  </w14:solidFill>
                </w14:textFill>
              </w:rPr>
            </w:pPr>
            <w:r>
              <w:rPr>
                <w:rFonts w:hint="eastAsia"/>
                <w:bCs/>
                <w:snapToGrid w:val="0"/>
                <w:color w:val="000000" w:themeColor="text1"/>
                <w:lang w:val="en-US"/>
                <w14:textFill>
                  <w14:solidFill>
                    <w14:schemeClr w14:val="tx1"/>
                  </w14:solidFill>
                </w14:textFill>
              </w:rPr>
              <w:t>H</w:t>
            </w:r>
            <w:r>
              <w:rPr>
                <w:rFonts w:hint="eastAsia"/>
                <w:bCs/>
                <w:snapToGrid w:val="0"/>
                <w:color w:val="000000" w:themeColor="text1"/>
                <w:vertAlign w:val="subscript"/>
                <w:lang w:val="en-US"/>
                <w14:textFill>
                  <w14:solidFill>
                    <w14:schemeClr w14:val="tx1"/>
                  </w14:solidFill>
                </w14:textFill>
              </w:rPr>
              <w:t>2</w:t>
            </w:r>
            <w:r>
              <w:rPr>
                <w:rFonts w:hint="eastAsia"/>
                <w:bCs/>
                <w:snapToGrid w:val="0"/>
                <w:color w:val="000000" w:themeColor="text1"/>
                <w:lang w:val="en-US"/>
                <w14:textFill>
                  <w14:solidFill>
                    <w14:schemeClr w14:val="tx1"/>
                  </w14:solidFill>
                </w14:textFill>
              </w:rPr>
              <w:t>S</w:t>
            </w:r>
          </w:p>
        </w:tc>
        <w:tc>
          <w:tcPr>
            <w:tcW w:w="943" w:type="pct"/>
            <w:shd w:val="clear" w:color="auto" w:fill="auto"/>
            <w:vAlign w:val="center"/>
          </w:tcPr>
          <w:p w14:paraId="2ED4AA51">
            <w:pPr>
              <w:pStyle w:val="143"/>
              <w:rPr>
                <w:rFonts w:hint="default" w:eastAsia="宋体"/>
                <w:snapToGrid w:val="0"/>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19</w:t>
            </w:r>
          </w:p>
        </w:tc>
        <w:tc>
          <w:tcPr>
            <w:tcW w:w="965" w:type="pct"/>
            <w:shd w:val="clear" w:color="auto" w:fill="auto"/>
            <w:vAlign w:val="center"/>
          </w:tcPr>
          <w:p w14:paraId="2F96BCB8">
            <w:pPr>
              <w:pStyle w:val="143"/>
              <w:rPr>
                <w:rFonts w:hint="default" w:eastAsia="宋体"/>
                <w:snapToGrid w:val="0"/>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1.5</w:t>
            </w:r>
            <w:r>
              <w:rPr>
                <w:rFonts w:hint="eastAsia"/>
                <w:snapToGrid w:val="0"/>
                <w:color w:val="000000" w:themeColor="text1"/>
                <w:lang w:val="en-US" w:eastAsia="zh-CN"/>
                <w14:textFill>
                  <w14:solidFill>
                    <w14:schemeClr w14:val="tx1"/>
                  </w14:solidFill>
                </w14:textFill>
              </w:rPr>
              <w:t>×10</w:t>
            </w:r>
            <w:r>
              <w:rPr>
                <w:rFonts w:hint="eastAsia"/>
                <w:snapToGrid w:val="0"/>
                <w:color w:val="000000" w:themeColor="text1"/>
                <w:vertAlign w:val="superscript"/>
                <w:lang w:val="en-US" w:eastAsia="zh-CN"/>
                <w14:textFill>
                  <w14:solidFill>
                    <w14:schemeClr w14:val="tx1"/>
                  </w14:solidFill>
                </w14:textFill>
              </w:rPr>
              <w:t>-4</w:t>
            </w:r>
          </w:p>
        </w:tc>
        <w:tc>
          <w:tcPr>
            <w:tcW w:w="906" w:type="pct"/>
            <w:shd w:val="clear" w:color="auto" w:fill="auto"/>
            <w:vAlign w:val="center"/>
          </w:tcPr>
          <w:p w14:paraId="44D2A9C6">
            <w:pPr>
              <w:pStyle w:val="143"/>
              <w:rPr>
                <w:rFonts w:hint="default" w:eastAsia="宋体"/>
                <w:snapToGrid w:val="0"/>
                <w:color w:val="000000" w:themeColor="text1"/>
                <w:vertAlign w:val="superscript"/>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1.17×10</w:t>
            </w:r>
            <w:r>
              <w:rPr>
                <w:rFonts w:hint="eastAsia"/>
                <w:snapToGrid w:val="0"/>
                <w:color w:val="000000" w:themeColor="text1"/>
                <w:vertAlign w:val="superscript"/>
                <w:lang w:val="en-US" w:eastAsia="zh-CN"/>
                <w14:textFill>
                  <w14:solidFill>
                    <w14:schemeClr w14:val="tx1"/>
                  </w14:solidFill>
                </w14:textFill>
              </w:rPr>
              <w:t>-3</w:t>
            </w:r>
          </w:p>
        </w:tc>
      </w:tr>
      <w:tr w14:paraId="2BC925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shd w:val="clear" w:color="auto" w:fill="auto"/>
            <w:vAlign w:val="center"/>
          </w:tcPr>
          <w:p w14:paraId="04CCBD1D">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3</w:t>
            </w:r>
          </w:p>
        </w:tc>
        <w:tc>
          <w:tcPr>
            <w:tcW w:w="970" w:type="pct"/>
            <w:vMerge w:val="restart"/>
            <w:shd w:val="clear" w:color="auto" w:fill="auto"/>
            <w:vAlign w:val="center"/>
          </w:tcPr>
          <w:p w14:paraId="3D7FB11D">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燃气锅炉</w:t>
            </w:r>
            <w:r>
              <w:rPr>
                <w:rFonts w:hint="eastAsia"/>
                <w:snapToGrid w:val="0"/>
                <w:color w:val="000000" w:themeColor="text1"/>
                <w14:textFill>
                  <w14:solidFill>
                    <w14:schemeClr w14:val="tx1"/>
                  </w14:solidFill>
                </w14:textFill>
              </w:rPr>
              <w:t>烟气</w:t>
            </w:r>
            <w:r>
              <w:rPr>
                <w:snapToGrid w:val="0"/>
                <w:color w:val="000000" w:themeColor="text1"/>
                <w14:textFill>
                  <w14:solidFill>
                    <w14:schemeClr w14:val="tx1"/>
                  </w14:solidFill>
                </w14:textFill>
              </w:rPr>
              <w:t>DA00</w:t>
            </w:r>
            <w:r>
              <w:rPr>
                <w:rFonts w:hint="eastAsia"/>
                <w:snapToGrid w:val="0"/>
                <w:color w:val="000000" w:themeColor="text1"/>
                <w:lang w:val="en-US" w:eastAsia="zh-CN"/>
                <w14:textFill>
                  <w14:solidFill>
                    <w14:schemeClr w14:val="tx1"/>
                  </w14:solidFill>
                </w14:textFill>
              </w:rPr>
              <w:t>2</w:t>
            </w:r>
          </w:p>
        </w:tc>
        <w:tc>
          <w:tcPr>
            <w:tcW w:w="619" w:type="pct"/>
            <w:shd w:val="clear" w:color="auto" w:fill="auto"/>
            <w:vAlign w:val="center"/>
          </w:tcPr>
          <w:p w14:paraId="66BA8C7C">
            <w:pPr>
              <w:pStyle w:val="143"/>
              <w:rPr>
                <w:snapToGrid w:val="0"/>
                <w:color w:val="000000" w:themeColor="text1"/>
                <w:vertAlign w:val="subscript"/>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w:t>
            </w:r>
          </w:p>
        </w:tc>
        <w:tc>
          <w:tcPr>
            <w:tcW w:w="943" w:type="pct"/>
            <w:shd w:val="clear" w:color="auto" w:fill="auto"/>
            <w:vAlign w:val="center"/>
          </w:tcPr>
          <w:p w14:paraId="1DAC60EB">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9950</w:t>
            </w:r>
          </w:p>
        </w:tc>
        <w:tc>
          <w:tcPr>
            <w:tcW w:w="965" w:type="pct"/>
            <w:shd w:val="clear" w:color="auto" w:fill="auto"/>
            <w:vAlign w:val="center"/>
          </w:tcPr>
          <w:p w14:paraId="790ED21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0.11</w:t>
            </w:r>
          </w:p>
        </w:tc>
        <w:tc>
          <w:tcPr>
            <w:tcW w:w="906" w:type="pct"/>
            <w:shd w:val="clear" w:color="auto" w:fill="auto"/>
            <w:vAlign w:val="center"/>
          </w:tcPr>
          <w:p w14:paraId="489F8BF6">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0.8015</w:t>
            </w:r>
          </w:p>
        </w:tc>
      </w:tr>
      <w:tr w14:paraId="1F391F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shd w:val="clear" w:color="auto" w:fill="auto"/>
            <w:vAlign w:val="center"/>
          </w:tcPr>
          <w:p w14:paraId="5EB8FD60">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4</w:t>
            </w:r>
          </w:p>
        </w:tc>
        <w:tc>
          <w:tcPr>
            <w:tcW w:w="970" w:type="pct"/>
            <w:vMerge w:val="continue"/>
            <w:shd w:val="clear" w:color="auto" w:fill="auto"/>
            <w:vAlign w:val="center"/>
          </w:tcPr>
          <w:p w14:paraId="79DD3D8A">
            <w:pPr>
              <w:pStyle w:val="143"/>
              <w:rPr>
                <w:snapToGrid w:val="0"/>
                <w:color w:val="000000" w:themeColor="text1"/>
                <w14:textFill>
                  <w14:solidFill>
                    <w14:schemeClr w14:val="tx1"/>
                  </w14:solidFill>
                </w14:textFill>
              </w:rPr>
            </w:pPr>
          </w:p>
        </w:tc>
        <w:tc>
          <w:tcPr>
            <w:tcW w:w="619" w:type="pct"/>
            <w:shd w:val="clear" w:color="auto" w:fill="auto"/>
            <w:vAlign w:val="center"/>
          </w:tcPr>
          <w:p w14:paraId="378EC607">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S</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2</w:t>
            </w:r>
          </w:p>
        </w:tc>
        <w:tc>
          <w:tcPr>
            <w:tcW w:w="943" w:type="pct"/>
            <w:shd w:val="clear" w:color="auto" w:fill="auto"/>
            <w:vAlign w:val="center"/>
          </w:tcPr>
          <w:p w14:paraId="7B4FCDC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19360</w:t>
            </w:r>
          </w:p>
        </w:tc>
        <w:tc>
          <w:tcPr>
            <w:tcW w:w="965" w:type="pct"/>
            <w:shd w:val="clear" w:color="auto" w:fill="auto"/>
            <w:vAlign w:val="center"/>
          </w:tcPr>
          <w:p w14:paraId="3F9690A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0.214</w:t>
            </w:r>
          </w:p>
        </w:tc>
        <w:tc>
          <w:tcPr>
            <w:tcW w:w="906" w:type="pct"/>
            <w:shd w:val="clear" w:color="auto" w:fill="auto"/>
            <w:vAlign w:val="center"/>
          </w:tcPr>
          <w:p w14:paraId="0E38419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1.54</w:t>
            </w:r>
          </w:p>
        </w:tc>
      </w:tr>
      <w:tr w14:paraId="163DA0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shd w:val="clear" w:color="auto" w:fill="auto"/>
            <w:vAlign w:val="center"/>
          </w:tcPr>
          <w:p w14:paraId="6D76EC03">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5</w:t>
            </w:r>
          </w:p>
        </w:tc>
        <w:tc>
          <w:tcPr>
            <w:tcW w:w="970" w:type="pct"/>
            <w:vMerge w:val="continue"/>
            <w:shd w:val="clear" w:color="auto" w:fill="auto"/>
            <w:vAlign w:val="center"/>
          </w:tcPr>
          <w:p w14:paraId="06492C60">
            <w:pPr>
              <w:pStyle w:val="143"/>
              <w:rPr>
                <w:snapToGrid w:val="0"/>
                <w:color w:val="000000" w:themeColor="text1"/>
                <w14:textFill>
                  <w14:solidFill>
                    <w14:schemeClr w14:val="tx1"/>
                  </w14:solidFill>
                </w14:textFill>
              </w:rPr>
            </w:pPr>
          </w:p>
        </w:tc>
        <w:tc>
          <w:tcPr>
            <w:tcW w:w="619" w:type="pct"/>
            <w:shd w:val="clear" w:color="auto" w:fill="auto"/>
            <w:vAlign w:val="center"/>
          </w:tcPr>
          <w:p w14:paraId="403806F6">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N</w:t>
            </w:r>
            <w:r>
              <w:rPr>
                <w:snapToGrid w:val="0"/>
                <w:color w:val="000000" w:themeColor="text1"/>
                <w14:textFill>
                  <w14:solidFill>
                    <w14:schemeClr w14:val="tx1"/>
                  </w14:solidFill>
                </w14:textFill>
              </w:rPr>
              <w:t>O</w:t>
            </w:r>
            <w:r>
              <w:rPr>
                <w:rFonts w:hint="eastAsia"/>
                <w:snapToGrid w:val="0"/>
                <w:color w:val="000000" w:themeColor="text1"/>
                <w14:textFill>
                  <w14:solidFill>
                    <w14:schemeClr w14:val="tx1"/>
                  </w14:solidFill>
                </w14:textFill>
              </w:rPr>
              <w:t>x</w:t>
            </w:r>
          </w:p>
        </w:tc>
        <w:tc>
          <w:tcPr>
            <w:tcW w:w="943" w:type="pct"/>
            <w:shd w:val="clear" w:color="auto" w:fill="auto"/>
            <w:vAlign w:val="center"/>
          </w:tcPr>
          <w:p w14:paraId="406FEC06">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126000</w:t>
            </w:r>
          </w:p>
        </w:tc>
        <w:tc>
          <w:tcPr>
            <w:tcW w:w="965" w:type="pct"/>
            <w:shd w:val="clear" w:color="auto" w:fill="auto"/>
            <w:vAlign w:val="center"/>
          </w:tcPr>
          <w:p w14:paraId="20BE8829">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1.39</w:t>
            </w:r>
          </w:p>
        </w:tc>
        <w:tc>
          <w:tcPr>
            <w:tcW w:w="906" w:type="pct"/>
            <w:shd w:val="clear" w:color="auto" w:fill="auto"/>
            <w:vAlign w:val="center"/>
          </w:tcPr>
          <w:p w14:paraId="487A488A">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9.93</w:t>
            </w:r>
          </w:p>
        </w:tc>
      </w:tr>
      <w:tr w14:paraId="705735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shd w:val="clear" w:color="auto" w:fill="auto"/>
            <w:vAlign w:val="center"/>
          </w:tcPr>
          <w:p w14:paraId="1D55B82B">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6</w:t>
            </w:r>
          </w:p>
        </w:tc>
        <w:tc>
          <w:tcPr>
            <w:tcW w:w="970" w:type="pct"/>
            <w:shd w:val="clear" w:color="auto" w:fill="auto"/>
            <w:vAlign w:val="center"/>
          </w:tcPr>
          <w:p w14:paraId="7C870363">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14:textFill>
                  <w14:solidFill>
                    <w14:schemeClr w14:val="tx1"/>
                  </w14:solidFill>
                </w14:textFill>
              </w:rPr>
              <w:t>原料</w:t>
            </w:r>
            <w:r>
              <w:rPr>
                <w:rFonts w:hint="eastAsia"/>
                <w:snapToGrid w:val="0"/>
                <w:color w:val="000000" w:themeColor="text1"/>
                <w:lang w:val="en-US" w:eastAsia="zh-CN"/>
                <w14:textFill>
                  <w14:solidFill>
                    <w14:schemeClr w14:val="tx1"/>
                  </w14:solidFill>
                </w14:textFill>
              </w:rPr>
              <w:t>处理</w:t>
            </w:r>
            <w:r>
              <w:rPr>
                <w:rFonts w:hint="eastAsia"/>
                <w:snapToGrid w:val="0"/>
                <w:color w:val="000000" w:themeColor="text1"/>
                <w:lang w:val="en-US"/>
                <w14:textFill>
                  <w14:solidFill>
                    <w14:schemeClr w14:val="tx1"/>
                  </w14:solidFill>
                </w14:textFill>
              </w:rPr>
              <w:t>间排气筒</w:t>
            </w:r>
            <w:r>
              <w:rPr>
                <w:rFonts w:hint="eastAsia"/>
                <w:snapToGrid w:val="0"/>
                <w:color w:val="000000" w:themeColor="text1"/>
                <w:lang w:val="en-US" w:eastAsia="zh-CN"/>
                <w14:textFill>
                  <w14:solidFill>
                    <w14:schemeClr w14:val="tx1"/>
                  </w14:solidFill>
                </w14:textFill>
              </w:rPr>
              <w:t>D</w:t>
            </w:r>
            <w:r>
              <w:rPr>
                <w:snapToGrid w:val="0"/>
                <w:color w:val="000000" w:themeColor="text1"/>
                <w:lang w:val="en-US" w:eastAsia="zh-CN"/>
                <w14:textFill>
                  <w14:solidFill>
                    <w14:schemeClr w14:val="tx1"/>
                  </w14:solidFill>
                </w14:textFill>
              </w:rPr>
              <w:t>A00</w:t>
            </w:r>
            <w:r>
              <w:rPr>
                <w:rFonts w:hint="eastAsia"/>
                <w:snapToGrid w:val="0"/>
                <w:color w:val="000000" w:themeColor="text1"/>
                <w:lang w:val="en-US" w:eastAsia="zh-CN"/>
                <w14:textFill>
                  <w14:solidFill>
                    <w14:schemeClr w14:val="tx1"/>
                  </w14:solidFill>
                </w14:textFill>
              </w:rPr>
              <w:t>3</w:t>
            </w:r>
          </w:p>
        </w:tc>
        <w:tc>
          <w:tcPr>
            <w:tcW w:w="619" w:type="pct"/>
            <w:shd w:val="clear" w:color="auto" w:fill="auto"/>
            <w:vAlign w:val="center"/>
          </w:tcPr>
          <w:p w14:paraId="6299EEE4">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w:t>
            </w:r>
          </w:p>
        </w:tc>
        <w:tc>
          <w:tcPr>
            <w:tcW w:w="943" w:type="pct"/>
            <w:shd w:val="clear" w:color="auto" w:fill="auto"/>
            <w:vAlign w:val="center"/>
          </w:tcPr>
          <w:p w14:paraId="466E7978">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580</w:t>
            </w:r>
          </w:p>
        </w:tc>
        <w:tc>
          <w:tcPr>
            <w:tcW w:w="965" w:type="pct"/>
            <w:shd w:val="clear" w:color="auto" w:fill="auto"/>
            <w:vAlign w:val="center"/>
          </w:tcPr>
          <w:p w14:paraId="1736C5D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0.0029</w:t>
            </w:r>
          </w:p>
        </w:tc>
        <w:tc>
          <w:tcPr>
            <w:tcW w:w="906" w:type="pct"/>
            <w:shd w:val="clear" w:color="auto" w:fill="auto"/>
            <w:vAlign w:val="center"/>
          </w:tcPr>
          <w:p w14:paraId="2B517DE3">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0.021</w:t>
            </w:r>
          </w:p>
        </w:tc>
      </w:tr>
      <w:tr w14:paraId="7017CC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restart"/>
            <w:shd w:val="clear" w:color="auto" w:fill="auto"/>
            <w:vAlign w:val="center"/>
          </w:tcPr>
          <w:p w14:paraId="36ADA23A">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一般排放口合计</w:t>
            </w:r>
          </w:p>
        </w:tc>
        <w:tc>
          <w:tcPr>
            <w:tcW w:w="3499" w:type="pct"/>
            <w:gridSpan w:val="4"/>
            <w:shd w:val="clear" w:color="auto" w:fill="auto"/>
            <w:vAlign w:val="center"/>
          </w:tcPr>
          <w:p w14:paraId="3E3564E9">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w:t>
            </w:r>
          </w:p>
        </w:tc>
        <w:tc>
          <w:tcPr>
            <w:tcW w:w="906" w:type="pct"/>
            <w:shd w:val="clear" w:color="auto" w:fill="auto"/>
            <w:vAlign w:val="center"/>
          </w:tcPr>
          <w:p w14:paraId="216D1052">
            <w:pPr>
              <w:pStyle w:val="143"/>
              <w:ind w:firstLine="0" w:firstLineChars="0"/>
              <w:rPr>
                <w:rFonts w:hint="default"/>
                <w:snapToGrid w:val="0"/>
                <w:color w:val="000000" w:themeColor="text1"/>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0.8225</w:t>
            </w:r>
          </w:p>
        </w:tc>
      </w:tr>
      <w:tr w14:paraId="3A1433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continue"/>
            <w:shd w:val="clear" w:color="auto" w:fill="auto"/>
            <w:vAlign w:val="center"/>
          </w:tcPr>
          <w:p w14:paraId="5C193C26">
            <w:pPr>
              <w:pStyle w:val="143"/>
              <w:rPr>
                <w:snapToGrid w:val="0"/>
                <w:color w:val="000000" w:themeColor="text1"/>
                <w14:textFill>
                  <w14:solidFill>
                    <w14:schemeClr w14:val="tx1"/>
                  </w14:solidFill>
                </w14:textFill>
              </w:rPr>
            </w:pPr>
          </w:p>
        </w:tc>
        <w:tc>
          <w:tcPr>
            <w:tcW w:w="3499" w:type="pct"/>
            <w:gridSpan w:val="4"/>
            <w:shd w:val="clear" w:color="auto" w:fill="auto"/>
            <w:vAlign w:val="center"/>
          </w:tcPr>
          <w:p w14:paraId="4F256FE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S</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2</w:t>
            </w:r>
          </w:p>
        </w:tc>
        <w:tc>
          <w:tcPr>
            <w:tcW w:w="906" w:type="pct"/>
            <w:shd w:val="clear" w:color="auto" w:fill="auto"/>
            <w:vAlign w:val="center"/>
          </w:tcPr>
          <w:p w14:paraId="6A437CB6">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1.54</w:t>
            </w:r>
          </w:p>
        </w:tc>
      </w:tr>
      <w:tr w14:paraId="08AAD9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continue"/>
            <w:shd w:val="clear" w:color="auto" w:fill="auto"/>
            <w:vAlign w:val="center"/>
          </w:tcPr>
          <w:p w14:paraId="33F55B85">
            <w:pPr>
              <w:pStyle w:val="143"/>
              <w:rPr>
                <w:snapToGrid w:val="0"/>
                <w:color w:val="000000" w:themeColor="text1"/>
                <w14:textFill>
                  <w14:solidFill>
                    <w14:schemeClr w14:val="tx1"/>
                  </w14:solidFill>
                </w14:textFill>
              </w:rPr>
            </w:pPr>
          </w:p>
        </w:tc>
        <w:tc>
          <w:tcPr>
            <w:tcW w:w="3499" w:type="pct"/>
            <w:gridSpan w:val="4"/>
            <w:shd w:val="clear" w:color="auto" w:fill="auto"/>
            <w:vAlign w:val="center"/>
          </w:tcPr>
          <w:p w14:paraId="66C4D2F5">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N</w:t>
            </w:r>
            <w:r>
              <w:rPr>
                <w:snapToGrid w:val="0"/>
                <w:color w:val="000000" w:themeColor="text1"/>
                <w14:textFill>
                  <w14:solidFill>
                    <w14:schemeClr w14:val="tx1"/>
                  </w14:solidFill>
                </w14:textFill>
              </w:rPr>
              <w:t>O</w:t>
            </w:r>
            <w:r>
              <w:rPr>
                <w:rFonts w:hint="eastAsia"/>
                <w:snapToGrid w:val="0"/>
                <w:color w:val="000000" w:themeColor="text1"/>
                <w14:textFill>
                  <w14:solidFill>
                    <w14:schemeClr w14:val="tx1"/>
                  </w14:solidFill>
                </w14:textFill>
              </w:rPr>
              <w:t>x</w:t>
            </w:r>
          </w:p>
        </w:tc>
        <w:tc>
          <w:tcPr>
            <w:tcW w:w="906" w:type="pct"/>
            <w:shd w:val="clear" w:color="auto" w:fill="auto"/>
            <w:vAlign w:val="center"/>
          </w:tcPr>
          <w:p w14:paraId="27DDF272">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9.93</w:t>
            </w:r>
          </w:p>
        </w:tc>
      </w:tr>
      <w:tr w14:paraId="2D60B8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continue"/>
            <w:shd w:val="clear" w:color="auto" w:fill="auto"/>
            <w:vAlign w:val="center"/>
          </w:tcPr>
          <w:p w14:paraId="171317BD">
            <w:pPr>
              <w:pStyle w:val="143"/>
              <w:rPr>
                <w:snapToGrid w:val="0"/>
                <w:color w:val="000000" w:themeColor="text1"/>
                <w14:textFill>
                  <w14:solidFill>
                    <w14:schemeClr w14:val="tx1"/>
                  </w14:solidFill>
                </w14:textFill>
              </w:rPr>
            </w:pPr>
          </w:p>
        </w:tc>
        <w:tc>
          <w:tcPr>
            <w:tcW w:w="3499" w:type="pct"/>
            <w:gridSpan w:val="4"/>
            <w:shd w:val="clear" w:color="auto" w:fill="auto"/>
            <w:vAlign w:val="center"/>
          </w:tcPr>
          <w:p w14:paraId="528263A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NH</w:t>
            </w:r>
            <w:r>
              <w:rPr>
                <w:rFonts w:hint="eastAsia"/>
                <w:snapToGrid w:val="0"/>
                <w:color w:val="000000" w:themeColor="text1"/>
                <w:vertAlign w:val="subscript"/>
                <w14:textFill>
                  <w14:solidFill>
                    <w14:schemeClr w14:val="tx1"/>
                  </w14:solidFill>
                </w14:textFill>
              </w:rPr>
              <w:t>3</w:t>
            </w:r>
          </w:p>
        </w:tc>
        <w:tc>
          <w:tcPr>
            <w:tcW w:w="906" w:type="pct"/>
            <w:shd w:val="clear" w:color="auto" w:fill="auto"/>
            <w:vAlign w:val="center"/>
          </w:tcPr>
          <w:p w14:paraId="6F3708FD">
            <w:pPr>
              <w:pStyle w:val="143"/>
              <w:ind w:firstLine="0" w:firstLineChars="0"/>
              <w:rPr>
                <w:snapToGrid w:val="0"/>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0.03</w:t>
            </w:r>
          </w:p>
        </w:tc>
      </w:tr>
      <w:tr w14:paraId="60BD89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continue"/>
            <w:shd w:val="clear" w:color="auto" w:fill="auto"/>
            <w:vAlign w:val="center"/>
          </w:tcPr>
          <w:p w14:paraId="72982040">
            <w:pPr>
              <w:pStyle w:val="143"/>
              <w:rPr>
                <w:snapToGrid w:val="0"/>
                <w:color w:val="000000" w:themeColor="text1"/>
                <w14:textFill>
                  <w14:solidFill>
                    <w14:schemeClr w14:val="tx1"/>
                  </w14:solidFill>
                </w14:textFill>
              </w:rPr>
            </w:pPr>
          </w:p>
        </w:tc>
        <w:tc>
          <w:tcPr>
            <w:tcW w:w="3499" w:type="pct"/>
            <w:gridSpan w:val="4"/>
            <w:shd w:val="clear" w:color="auto" w:fill="auto"/>
            <w:vAlign w:val="center"/>
          </w:tcPr>
          <w:p w14:paraId="511A2BB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p>
        </w:tc>
        <w:tc>
          <w:tcPr>
            <w:tcW w:w="906" w:type="pct"/>
            <w:shd w:val="clear" w:color="auto" w:fill="auto"/>
            <w:vAlign w:val="center"/>
          </w:tcPr>
          <w:p w14:paraId="740AE343">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1.17×10</w:t>
            </w:r>
            <w:r>
              <w:rPr>
                <w:rFonts w:hint="eastAsia"/>
                <w:snapToGrid w:val="0"/>
                <w:color w:val="000000" w:themeColor="text1"/>
                <w:vertAlign w:val="superscript"/>
                <w:lang w:val="en-US" w:eastAsia="zh-CN"/>
                <w14:textFill>
                  <w14:solidFill>
                    <w14:schemeClr w14:val="tx1"/>
                  </w14:solidFill>
                </w14:textFill>
              </w:rPr>
              <w:t>-3</w:t>
            </w:r>
          </w:p>
        </w:tc>
      </w:tr>
      <w:tr w14:paraId="23BB46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restart"/>
            <w:shd w:val="clear" w:color="auto" w:fill="auto"/>
            <w:vAlign w:val="center"/>
          </w:tcPr>
          <w:p w14:paraId="58D191E9">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有组织排放总计</w:t>
            </w:r>
          </w:p>
        </w:tc>
        <w:tc>
          <w:tcPr>
            <w:tcW w:w="3499" w:type="pct"/>
            <w:gridSpan w:val="4"/>
            <w:shd w:val="clear" w:color="auto" w:fill="auto"/>
            <w:vAlign w:val="center"/>
          </w:tcPr>
          <w:p w14:paraId="7AD78E7A">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颗粒物</w:t>
            </w:r>
          </w:p>
        </w:tc>
        <w:tc>
          <w:tcPr>
            <w:tcW w:w="906" w:type="pct"/>
            <w:shd w:val="clear" w:color="auto" w:fill="auto"/>
            <w:vAlign w:val="center"/>
          </w:tcPr>
          <w:p w14:paraId="3A81E1AC">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0.8225</w:t>
            </w:r>
          </w:p>
        </w:tc>
      </w:tr>
      <w:tr w14:paraId="137D30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continue"/>
            <w:shd w:val="clear" w:color="auto" w:fill="auto"/>
            <w:vAlign w:val="center"/>
          </w:tcPr>
          <w:p w14:paraId="629F715D">
            <w:pPr>
              <w:pStyle w:val="143"/>
              <w:rPr>
                <w:snapToGrid w:val="0"/>
                <w:color w:val="000000" w:themeColor="text1"/>
                <w14:textFill>
                  <w14:solidFill>
                    <w14:schemeClr w14:val="tx1"/>
                  </w14:solidFill>
                </w14:textFill>
              </w:rPr>
            </w:pPr>
          </w:p>
        </w:tc>
        <w:tc>
          <w:tcPr>
            <w:tcW w:w="3499" w:type="pct"/>
            <w:gridSpan w:val="4"/>
            <w:shd w:val="clear" w:color="auto" w:fill="auto"/>
            <w:vAlign w:val="center"/>
          </w:tcPr>
          <w:p w14:paraId="19CCD6A0">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S</w:t>
            </w:r>
            <w:r>
              <w:rPr>
                <w:snapToGrid w:val="0"/>
                <w:color w:val="000000" w:themeColor="text1"/>
                <w14:textFill>
                  <w14:solidFill>
                    <w14:schemeClr w14:val="tx1"/>
                  </w14:solidFill>
                </w14:textFill>
              </w:rPr>
              <w:t>O</w:t>
            </w:r>
            <w:r>
              <w:rPr>
                <w:snapToGrid w:val="0"/>
                <w:color w:val="000000" w:themeColor="text1"/>
                <w:vertAlign w:val="subscript"/>
                <w14:textFill>
                  <w14:solidFill>
                    <w14:schemeClr w14:val="tx1"/>
                  </w14:solidFill>
                </w14:textFill>
              </w:rPr>
              <w:t>2</w:t>
            </w:r>
          </w:p>
        </w:tc>
        <w:tc>
          <w:tcPr>
            <w:tcW w:w="906" w:type="pct"/>
            <w:shd w:val="clear" w:color="auto" w:fill="auto"/>
            <w:vAlign w:val="center"/>
          </w:tcPr>
          <w:p w14:paraId="625289CC">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1.54</w:t>
            </w:r>
          </w:p>
        </w:tc>
      </w:tr>
      <w:tr w14:paraId="2055FD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continue"/>
            <w:shd w:val="clear" w:color="auto" w:fill="auto"/>
            <w:vAlign w:val="center"/>
          </w:tcPr>
          <w:p w14:paraId="44BA6CBA">
            <w:pPr>
              <w:pStyle w:val="143"/>
              <w:rPr>
                <w:snapToGrid w:val="0"/>
                <w:color w:val="000000" w:themeColor="text1"/>
                <w14:textFill>
                  <w14:solidFill>
                    <w14:schemeClr w14:val="tx1"/>
                  </w14:solidFill>
                </w14:textFill>
              </w:rPr>
            </w:pPr>
          </w:p>
        </w:tc>
        <w:tc>
          <w:tcPr>
            <w:tcW w:w="3499" w:type="pct"/>
            <w:gridSpan w:val="4"/>
            <w:shd w:val="clear" w:color="auto" w:fill="auto"/>
            <w:vAlign w:val="center"/>
          </w:tcPr>
          <w:p w14:paraId="3EE9E753">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N</w:t>
            </w:r>
            <w:r>
              <w:rPr>
                <w:snapToGrid w:val="0"/>
                <w:color w:val="000000" w:themeColor="text1"/>
                <w14:textFill>
                  <w14:solidFill>
                    <w14:schemeClr w14:val="tx1"/>
                  </w14:solidFill>
                </w14:textFill>
              </w:rPr>
              <w:t>O</w:t>
            </w:r>
            <w:r>
              <w:rPr>
                <w:rFonts w:hint="eastAsia"/>
                <w:snapToGrid w:val="0"/>
                <w:color w:val="000000" w:themeColor="text1"/>
                <w14:textFill>
                  <w14:solidFill>
                    <w14:schemeClr w14:val="tx1"/>
                  </w14:solidFill>
                </w14:textFill>
              </w:rPr>
              <w:t>x</w:t>
            </w:r>
          </w:p>
        </w:tc>
        <w:tc>
          <w:tcPr>
            <w:tcW w:w="906" w:type="pct"/>
            <w:shd w:val="clear" w:color="auto" w:fill="auto"/>
            <w:vAlign w:val="center"/>
          </w:tcPr>
          <w:p w14:paraId="2E5C2722">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9.93</w:t>
            </w:r>
          </w:p>
        </w:tc>
      </w:tr>
      <w:tr w14:paraId="476FEF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continue"/>
            <w:shd w:val="clear" w:color="auto" w:fill="auto"/>
            <w:vAlign w:val="center"/>
          </w:tcPr>
          <w:p w14:paraId="1BDF7838">
            <w:pPr>
              <w:pStyle w:val="143"/>
              <w:rPr>
                <w:snapToGrid w:val="0"/>
                <w:color w:val="000000" w:themeColor="text1"/>
                <w14:textFill>
                  <w14:solidFill>
                    <w14:schemeClr w14:val="tx1"/>
                  </w14:solidFill>
                </w14:textFill>
              </w:rPr>
            </w:pPr>
          </w:p>
        </w:tc>
        <w:tc>
          <w:tcPr>
            <w:tcW w:w="3499" w:type="pct"/>
            <w:gridSpan w:val="4"/>
            <w:shd w:val="clear" w:color="auto" w:fill="auto"/>
            <w:vAlign w:val="center"/>
          </w:tcPr>
          <w:p w14:paraId="6713C53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NH</w:t>
            </w:r>
            <w:r>
              <w:rPr>
                <w:rFonts w:hint="eastAsia"/>
                <w:snapToGrid w:val="0"/>
                <w:color w:val="000000" w:themeColor="text1"/>
                <w:vertAlign w:val="subscript"/>
                <w14:textFill>
                  <w14:solidFill>
                    <w14:schemeClr w14:val="tx1"/>
                  </w14:solidFill>
                </w14:textFill>
              </w:rPr>
              <w:t>3</w:t>
            </w:r>
          </w:p>
        </w:tc>
        <w:tc>
          <w:tcPr>
            <w:tcW w:w="906" w:type="pct"/>
            <w:shd w:val="clear" w:color="auto" w:fill="auto"/>
            <w:vAlign w:val="center"/>
          </w:tcPr>
          <w:p w14:paraId="7C82F7F8">
            <w:pPr>
              <w:pStyle w:val="143"/>
              <w:ind w:firstLine="0" w:firstLineChars="0"/>
              <w:rPr>
                <w:snapToGrid w:val="0"/>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0.03</w:t>
            </w:r>
          </w:p>
        </w:tc>
      </w:tr>
      <w:tr w14:paraId="702ED0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94" w:type="pct"/>
            <w:vMerge w:val="continue"/>
            <w:shd w:val="clear" w:color="auto" w:fill="auto"/>
            <w:vAlign w:val="center"/>
          </w:tcPr>
          <w:p w14:paraId="2C4354C5">
            <w:pPr>
              <w:pStyle w:val="143"/>
              <w:rPr>
                <w:snapToGrid w:val="0"/>
                <w:color w:val="000000" w:themeColor="text1"/>
                <w14:textFill>
                  <w14:solidFill>
                    <w14:schemeClr w14:val="tx1"/>
                  </w14:solidFill>
                </w14:textFill>
              </w:rPr>
            </w:pPr>
          </w:p>
        </w:tc>
        <w:tc>
          <w:tcPr>
            <w:tcW w:w="3499" w:type="pct"/>
            <w:gridSpan w:val="4"/>
            <w:shd w:val="clear" w:color="auto" w:fill="auto"/>
            <w:vAlign w:val="center"/>
          </w:tcPr>
          <w:p w14:paraId="2E17D28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H</w:t>
            </w:r>
            <w:r>
              <w:rPr>
                <w:snapToGrid w:val="0"/>
                <w:color w:val="000000" w:themeColor="text1"/>
                <w:vertAlign w:val="subscript"/>
                <w14:textFill>
                  <w14:solidFill>
                    <w14:schemeClr w14:val="tx1"/>
                  </w14:solidFill>
                </w14:textFill>
              </w:rPr>
              <w:t>2</w:t>
            </w:r>
            <w:r>
              <w:rPr>
                <w:snapToGrid w:val="0"/>
                <w:color w:val="000000" w:themeColor="text1"/>
                <w14:textFill>
                  <w14:solidFill>
                    <w14:schemeClr w14:val="tx1"/>
                  </w14:solidFill>
                </w14:textFill>
              </w:rPr>
              <w:t>S</w:t>
            </w:r>
          </w:p>
        </w:tc>
        <w:tc>
          <w:tcPr>
            <w:tcW w:w="906" w:type="pct"/>
            <w:shd w:val="clear" w:color="auto" w:fill="auto"/>
            <w:vAlign w:val="center"/>
          </w:tcPr>
          <w:p w14:paraId="62F51B8D">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1.17×10</w:t>
            </w:r>
            <w:r>
              <w:rPr>
                <w:rFonts w:hint="eastAsia"/>
                <w:snapToGrid w:val="0"/>
                <w:color w:val="000000" w:themeColor="text1"/>
                <w:vertAlign w:val="superscript"/>
                <w:lang w:val="en-US" w:eastAsia="zh-CN"/>
                <w14:textFill>
                  <w14:solidFill>
                    <w14:schemeClr w14:val="tx1"/>
                  </w14:solidFill>
                </w14:textFill>
              </w:rPr>
              <w:t>-3</w:t>
            </w:r>
          </w:p>
        </w:tc>
      </w:tr>
    </w:tbl>
    <w:p w14:paraId="14D0CCAF">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 xml:space="preserve">表5-2-2 </w:t>
      </w:r>
      <w:r>
        <w:rPr>
          <w:rFonts w:hint="eastAsia"/>
          <w:snapToGrid w:val="0"/>
          <w:color w:val="000000" w:themeColor="text1"/>
          <w14:textFill>
            <w14:solidFill>
              <w14:schemeClr w14:val="tx1"/>
            </w14:solidFill>
          </w14:textFill>
        </w:rPr>
        <w:t>大气污染物无组织排放量核算表</w:t>
      </w:r>
    </w:p>
    <w:tbl>
      <w:tblPr>
        <w:tblStyle w:val="38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6"/>
        <w:gridCol w:w="849"/>
        <w:gridCol w:w="733"/>
        <w:gridCol w:w="1820"/>
        <w:gridCol w:w="2268"/>
        <w:gridCol w:w="1275"/>
        <w:gridCol w:w="941"/>
      </w:tblGrid>
      <w:tr w14:paraId="154A6E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426" w:type="dxa"/>
            <w:vMerge w:val="restart"/>
            <w:vAlign w:val="center"/>
          </w:tcPr>
          <w:p w14:paraId="294900A9">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序号</w:t>
            </w:r>
          </w:p>
        </w:tc>
        <w:tc>
          <w:tcPr>
            <w:tcW w:w="849" w:type="dxa"/>
            <w:vMerge w:val="restart"/>
            <w:vAlign w:val="center"/>
          </w:tcPr>
          <w:p w14:paraId="70AB17E0">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排污编号</w:t>
            </w:r>
          </w:p>
        </w:tc>
        <w:tc>
          <w:tcPr>
            <w:tcW w:w="733" w:type="dxa"/>
            <w:vMerge w:val="restart"/>
            <w:vAlign w:val="center"/>
          </w:tcPr>
          <w:p w14:paraId="6EBFED53">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污染物</w:t>
            </w:r>
          </w:p>
        </w:tc>
        <w:tc>
          <w:tcPr>
            <w:tcW w:w="1820" w:type="dxa"/>
            <w:vMerge w:val="restart"/>
            <w:vAlign w:val="center"/>
          </w:tcPr>
          <w:p w14:paraId="54007A3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主要污染</w:t>
            </w:r>
            <w:r>
              <w:rPr>
                <w:rFonts w:hint="eastAsia"/>
                <w:snapToGrid w:val="0"/>
                <w:color w:val="000000" w:themeColor="text1"/>
                <w:kern w:val="0"/>
                <w:lang w:eastAsia="zh-CN"/>
                <w14:textFill>
                  <w14:solidFill>
                    <w14:schemeClr w14:val="tx1"/>
                  </w14:solidFill>
                </w14:textFill>
              </w:rPr>
              <w:t>防治</w:t>
            </w:r>
            <w:r>
              <w:rPr>
                <w:rFonts w:hint="eastAsia"/>
                <w:snapToGrid w:val="0"/>
                <w:color w:val="000000" w:themeColor="text1"/>
                <w:kern w:val="0"/>
                <w14:textFill>
                  <w14:solidFill>
                    <w14:schemeClr w14:val="tx1"/>
                  </w14:solidFill>
                </w14:textFill>
              </w:rPr>
              <w:t>措施</w:t>
            </w:r>
          </w:p>
        </w:tc>
        <w:tc>
          <w:tcPr>
            <w:tcW w:w="3543" w:type="dxa"/>
            <w:gridSpan w:val="2"/>
            <w:vAlign w:val="center"/>
          </w:tcPr>
          <w:p w14:paraId="315D93EE">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国家或地方污染物排放标准</w:t>
            </w:r>
          </w:p>
        </w:tc>
        <w:tc>
          <w:tcPr>
            <w:tcW w:w="941" w:type="dxa"/>
            <w:vMerge w:val="restart"/>
            <w:vAlign w:val="center"/>
          </w:tcPr>
          <w:p w14:paraId="6E00E647">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年排</w:t>
            </w:r>
          </w:p>
          <w:p w14:paraId="338F234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放量</w:t>
            </w:r>
          </w:p>
        </w:tc>
      </w:tr>
      <w:tr w14:paraId="0E6858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426" w:type="dxa"/>
            <w:vMerge w:val="continue"/>
            <w:vAlign w:val="center"/>
          </w:tcPr>
          <w:p w14:paraId="6386DE63">
            <w:pPr>
              <w:pStyle w:val="143"/>
              <w:rPr>
                <w:snapToGrid w:val="0"/>
                <w:color w:val="000000" w:themeColor="text1"/>
                <w:kern w:val="0"/>
                <w14:textFill>
                  <w14:solidFill>
                    <w14:schemeClr w14:val="tx1"/>
                  </w14:solidFill>
                </w14:textFill>
              </w:rPr>
            </w:pPr>
          </w:p>
        </w:tc>
        <w:tc>
          <w:tcPr>
            <w:tcW w:w="849" w:type="dxa"/>
            <w:vMerge w:val="continue"/>
            <w:vAlign w:val="center"/>
          </w:tcPr>
          <w:p w14:paraId="480E6FBB">
            <w:pPr>
              <w:pStyle w:val="143"/>
              <w:rPr>
                <w:snapToGrid w:val="0"/>
                <w:color w:val="000000" w:themeColor="text1"/>
                <w:kern w:val="0"/>
                <w14:textFill>
                  <w14:solidFill>
                    <w14:schemeClr w14:val="tx1"/>
                  </w14:solidFill>
                </w14:textFill>
              </w:rPr>
            </w:pPr>
          </w:p>
        </w:tc>
        <w:tc>
          <w:tcPr>
            <w:tcW w:w="733" w:type="dxa"/>
            <w:vMerge w:val="continue"/>
            <w:vAlign w:val="center"/>
          </w:tcPr>
          <w:p w14:paraId="6CE124C2">
            <w:pPr>
              <w:pStyle w:val="143"/>
              <w:rPr>
                <w:snapToGrid w:val="0"/>
                <w:color w:val="000000" w:themeColor="text1"/>
                <w:kern w:val="0"/>
                <w14:textFill>
                  <w14:solidFill>
                    <w14:schemeClr w14:val="tx1"/>
                  </w14:solidFill>
                </w14:textFill>
              </w:rPr>
            </w:pPr>
          </w:p>
        </w:tc>
        <w:tc>
          <w:tcPr>
            <w:tcW w:w="1820" w:type="dxa"/>
            <w:vMerge w:val="continue"/>
            <w:vAlign w:val="center"/>
          </w:tcPr>
          <w:p w14:paraId="144C1FCA">
            <w:pPr>
              <w:pStyle w:val="143"/>
              <w:rPr>
                <w:snapToGrid w:val="0"/>
                <w:color w:val="000000" w:themeColor="text1"/>
                <w:kern w:val="0"/>
                <w14:textFill>
                  <w14:solidFill>
                    <w14:schemeClr w14:val="tx1"/>
                  </w14:solidFill>
                </w14:textFill>
              </w:rPr>
            </w:pPr>
          </w:p>
        </w:tc>
        <w:tc>
          <w:tcPr>
            <w:tcW w:w="2268" w:type="dxa"/>
            <w:vAlign w:val="center"/>
          </w:tcPr>
          <w:p w14:paraId="476C3EDB">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标准名称</w:t>
            </w:r>
          </w:p>
        </w:tc>
        <w:tc>
          <w:tcPr>
            <w:tcW w:w="1275" w:type="dxa"/>
            <w:vAlign w:val="center"/>
          </w:tcPr>
          <w:p w14:paraId="0225843D">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浓度限值</w:t>
            </w:r>
            <w:r>
              <w:rPr>
                <w:snapToGrid w:val="0"/>
                <w:color w:val="000000" w:themeColor="text1"/>
                <w:kern w:val="0"/>
                <w14:textFill>
                  <w14:solidFill>
                    <w14:schemeClr w14:val="tx1"/>
                  </w14:solidFill>
                </w14:textFill>
              </w:rPr>
              <w:t>（</w:t>
            </w:r>
            <w:r>
              <w:rPr>
                <w:rFonts w:eastAsia="Times New Roman"/>
                <w:snapToGrid w:val="0"/>
                <w:color w:val="000000" w:themeColor="text1"/>
                <w:kern w:val="0"/>
                <w14:textFill>
                  <w14:solidFill>
                    <w14:schemeClr w14:val="tx1"/>
                  </w14:solidFill>
                </w14:textFill>
              </w:rPr>
              <w:t>μg/m</w:t>
            </w:r>
            <w:r>
              <w:rPr>
                <w:rFonts w:eastAsia="Times New Roman"/>
                <w:snapToGrid w:val="0"/>
                <w:color w:val="000000" w:themeColor="text1"/>
                <w:kern w:val="0"/>
                <w:position w:val="6"/>
                <w:vertAlign w:val="superscript"/>
                <w14:textFill>
                  <w14:solidFill>
                    <w14:schemeClr w14:val="tx1"/>
                  </w14:solidFill>
                </w14:textFill>
              </w:rPr>
              <w:t>3</w:t>
            </w:r>
            <w:r>
              <w:rPr>
                <w:snapToGrid w:val="0"/>
                <w:color w:val="000000" w:themeColor="text1"/>
                <w:kern w:val="0"/>
                <w14:textFill>
                  <w14:solidFill>
                    <w14:schemeClr w14:val="tx1"/>
                  </w14:solidFill>
                </w14:textFill>
              </w:rPr>
              <w:t>）</w:t>
            </w:r>
          </w:p>
        </w:tc>
        <w:tc>
          <w:tcPr>
            <w:tcW w:w="941" w:type="dxa"/>
            <w:vMerge w:val="continue"/>
            <w:vAlign w:val="center"/>
          </w:tcPr>
          <w:p w14:paraId="744ECF01">
            <w:pPr>
              <w:pStyle w:val="143"/>
              <w:rPr>
                <w:snapToGrid w:val="0"/>
                <w:color w:val="000000" w:themeColor="text1"/>
                <w:kern w:val="0"/>
                <w14:textFill>
                  <w14:solidFill>
                    <w14:schemeClr w14:val="tx1"/>
                  </w14:solidFill>
                </w14:textFill>
              </w:rPr>
            </w:pPr>
          </w:p>
        </w:tc>
      </w:tr>
      <w:tr w14:paraId="1825AB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3" w:hRule="atLeast"/>
        </w:trPr>
        <w:tc>
          <w:tcPr>
            <w:tcW w:w="426" w:type="dxa"/>
            <w:vMerge w:val="restart"/>
            <w:vAlign w:val="center"/>
          </w:tcPr>
          <w:p w14:paraId="54077AF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849" w:type="dxa"/>
            <w:vMerge w:val="restart"/>
            <w:vAlign w:val="center"/>
          </w:tcPr>
          <w:p w14:paraId="3E041F35">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污水处理站恶臭气体</w:t>
            </w:r>
          </w:p>
        </w:tc>
        <w:tc>
          <w:tcPr>
            <w:tcW w:w="733" w:type="dxa"/>
            <w:vAlign w:val="center"/>
          </w:tcPr>
          <w:p w14:paraId="3F2DFBD0">
            <w:pPr>
              <w:pStyle w:val="143"/>
              <w:rPr>
                <w:rFonts w:eastAsia="仿宋_GB2312"/>
                <w:snapToGrid w:val="0"/>
                <w:color w:val="000000" w:themeColor="text1"/>
                <w:kern w:val="0"/>
                <w14:textFill>
                  <w14:solidFill>
                    <w14:schemeClr w14:val="tx1"/>
                  </w14:solidFill>
                </w14:textFill>
              </w:rPr>
            </w:pPr>
            <w:r>
              <w:rPr>
                <w:rFonts w:eastAsia="仿宋_GB2312"/>
                <w:snapToGrid w:val="0"/>
                <w:color w:val="000000" w:themeColor="text1"/>
                <w:kern w:val="0"/>
                <w14:textFill>
                  <w14:solidFill>
                    <w14:schemeClr w14:val="tx1"/>
                  </w14:solidFill>
                </w14:textFill>
              </w:rPr>
              <w:t>NH</w:t>
            </w:r>
            <w:r>
              <w:rPr>
                <w:rFonts w:eastAsia="仿宋_GB2312"/>
                <w:snapToGrid w:val="0"/>
                <w:color w:val="000000" w:themeColor="text1"/>
                <w:kern w:val="0"/>
                <w:vertAlign w:val="subscript"/>
                <w14:textFill>
                  <w14:solidFill>
                    <w14:schemeClr w14:val="tx1"/>
                  </w14:solidFill>
                </w14:textFill>
              </w:rPr>
              <w:t>3</w:t>
            </w:r>
          </w:p>
        </w:tc>
        <w:tc>
          <w:tcPr>
            <w:tcW w:w="1820" w:type="dxa"/>
            <w:vMerge w:val="restart"/>
            <w:vAlign w:val="center"/>
          </w:tcPr>
          <w:p w14:paraId="2621D099">
            <w:pPr>
              <w:pStyle w:val="143"/>
              <w:jc w:val="both"/>
              <w:rPr>
                <w:snapToGrid w:val="0"/>
                <w:color w:val="000000" w:themeColor="text1"/>
                <w:kern w:val="0"/>
                <w:lang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污水处理站建筑封闭，加强厂区绿化</w:t>
            </w:r>
          </w:p>
        </w:tc>
        <w:tc>
          <w:tcPr>
            <w:tcW w:w="2268" w:type="dxa"/>
            <w:vMerge w:val="restart"/>
            <w:vAlign w:val="center"/>
          </w:tcPr>
          <w:p w14:paraId="7A4C3241">
            <w:pPr>
              <w:pStyle w:val="143"/>
              <w:jc w:val="both"/>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《恶臭污染物排放标准》（GB14554-93）</w:t>
            </w:r>
            <w:r>
              <w:rPr>
                <w:rFonts w:hint="eastAsia"/>
                <w:snapToGrid w:val="0"/>
                <w:color w:val="000000" w:themeColor="text1"/>
                <w:kern w:val="0"/>
                <w:lang w:eastAsia="zh-CN"/>
                <w14:textFill>
                  <w14:solidFill>
                    <w14:schemeClr w14:val="tx1"/>
                  </w14:solidFill>
                </w14:textFill>
              </w:rPr>
              <w:t>表1中二级新扩改建标准</w:t>
            </w:r>
          </w:p>
        </w:tc>
        <w:tc>
          <w:tcPr>
            <w:tcW w:w="1275" w:type="dxa"/>
            <w:vAlign w:val="center"/>
          </w:tcPr>
          <w:p w14:paraId="5830DC0D">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1</w:t>
            </w:r>
            <w:r>
              <w:rPr>
                <w:snapToGrid w:val="0"/>
                <w:color w:val="000000" w:themeColor="text1"/>
                <w:kern w:val="0"/>
                <w:lang w:eastAsia="zh-CN"/>
                <w14:textFill>
                  <w14:solidFill>
                    <w14:schemeClr w14:val="tx1"/>
                  </w14:solidFill>
                </w14:textFill>
              </w:rPr>
              <w:t>500</w:t>
            </w:r>
          </w:p>
        </w:tc>
        <w:tc>
          <w:tcPr>
            <w:tcW w:w="941" w:type="dxa"/>
            <w:vAlign w:val="center"/>
          </w:tcPr>
          <w:p w14:paraId="6576C30D">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0.0169</w:t>
            </w:r>
          </w:p>
        </w:tc>
      </w:tr>
      <w:tr w14:paraId="3D0FC5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63" w:hRule="atLeast"/>
        </w:trPr>
        <w:tc>
          <w:tcPr>
            <w:tcW w:w="426" w:type="dxa"/>
            <w:vMerge w:val="continue"/>
            <w:vAlign w:val="center"/>
          </w:tcPr>
          <w:p w14:paraId="783FAEA0">
            <w:pPr>
              <w:pStyle w:val="143"/>
              <w:rPr>
                <w:snapToGrid w:val="0"/>
                <w:color w:val="000000" w:themeColor="text1"/>
                <w:kern w:val="0"/>
                <w14:textFill>
                  <w14:solidFill>
                    <w14:schemeClr w14:val="tx1"/>
                  </w14:solidFill>
                </w14:textFill>
              </w:rPr>
            </w:pPr>
          </w:p>
        </w:tc>
        <w:tc>
          <w:tcPr>
            <w:tcW w:w="849" w:type="dxa"/>
            <w:vMerge w:val="continue"/>
            <w:vAlign w:val="center"/>
          </w:tcPr>
          <w:p w14:paraId="3E1B32CD">
            <w:pPr>
              <w:pStyle w:val="143"/>
              <w:rPr>
                <w:snapToGrid w:val="0"/>
                <w:color w:val="000000" w:themeColor="text1"/>
                <w:kern w:val="0"/>
                <w14:textFill>
                  <w14:solidFill>
                    <w14:schemeClr w14:val="tx1"/>
                  </w14:solidFill>
                </w14:textFill>
              </w:rPr>
            </w:pPr>
          </w:p>
        </w:tc>
        <w:tc>
          <w:tcPr>
            <w:tcW w:w="733" w:type="dxa"/>
            <w:vAlign w:val="center"/>
          </w:tcPr>
          <w:p w14:paraId="3478B3EC">
            <w:pPr>
              <w:pStyle w:val="143"/>
              <w:rPr>
                <w:rFonts w:eastAsia="仿宋_GB2312"/>
                <w:snapToGrid w:val="0"/>
                <w:color w:val="000000" w:themeColor="text1"/>
                <w:kern w:val="0"/>
                <w14:textFill>
                  <w14:solidFill>
                    <w14:schemeClr w14:val="tx1"/>
                  </w14:solidFill>
                </w14:textFill>
              </w:rPr>
            </w:pPr>
            <w:r>
              <w:rPr>
                <w:rFonts w:eastAsia="仿宋_GB2312"/>
                <w:snapToGrid w:val="0"/>
                <w:color w:val="000000" w:themeColor="text1"/>
                <w:kern w:val="0"/>
                <w14:textFill>
                  <w14:solidFill>
                    <w14:schemeClr w14:val="tx1"/>
                  </w14:solidFill>
                </w14:textFill>
              </w:rPr>
              <w:t>H</w:t>
            </w:r>
            <w:r>
              <w:rPr>
                <w:rFonts w:eastAsia="仿宋_GB2312"/>
                <w:snapToGrid w:val="0"/>
                <w:color w:val="000000" w:themeColor="text1"/>
                <w:kern w:val="0"/>
                <w:vertAlign w:val="subscript"/>
                <w14:textFill>
                  <w14:solidFill>
                    <w14:schemeClr w14:val="tx1"/>
                  </w14:solidFill>
                </w14:textFill>
              </w:rPr>
              <w:t>2</w:t>
            </w:r>
            <w:r>
              <w:rPr>
                <w:rFonts w:eastAsia="仿宋_GB2312"/>
                <w:snapToGrid w:val="0"/>
                <w:color w:val="000000" w:themeColor="text1"/>
                <w:kern w:val="0"/>
                <w14:textFill>
                  <w14:solidFill>
                    <w14:schemeClr w14:val="tx1"/>
                  </w14:solidFill>
                </w14:textFill>
              </w:rPr>
              <w:t>S</w:t>
            </w:r>
          </w:p>
        </w:tc>
        <w:tc>
          <w:tcPr>
            <w:tcW w:w="1820" w:type="dxa"/>
            <w:vMerge w:val="continue"/>
            <w:vAlign w:val="center"/>
          </w:tcPr>
          <w:p w14:paraId="159B2939">
            <w:pPr>
              <w:pStyle w:val="143"/>
              <w:rPr>
                <w:snapToGrid w:val="0"/>
                <w:color w:val="000000" w:themeColor="text1"/>
                <w:kern w:val="0"/>
                <w14:textFill>
                  <w14:solidFill>
                    <w14:schemeClr w14:val="tx1"/>
                  </w14:solidFill>
                </w14:textFill>
              </w:rPr>
            </w:pPr>
          </w:p>
        </w:tc>
        <w:tc>
          <w:tcPr>
            <w:tcW w:w="2268" w:type="dxa"/>
            <w:vMerge w:val="continue"/>
            <w:vAlign w:val="center"/>
          </w:tcPr>
          <w:p w14:paraId="7C8923EE">
            <w:pPr>
              <w:pStyle w:val="143"/>
              <w:rPr>
                <w:snapToGrid w:val="0"/>
                <w:color w:val="000000" w:themeColor="text1"/>
                <w:kern w:val="0"/>
                <w14:textFill>
                  <w14:solidFill>
                    <w14:schemeClr w14:val="tx1"/>
                  </w14:solidFill>
                </w14:textFill>
              </w:rPr>
            </w:pPr>
          </w:p>
        </w:tc>
        <w:tc>
          <w:tcPr>
            <w:tcW w:w="1275" w:type="dxa"/>
            <w:vAlign w:val="center"/>
          </w:tcPr>
          <w:p w14:paraId="3434527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6</w:t>
            </w:r>
            <w:r>
              <w:rPr>
                <w:snapToGrid w:val="0"/>
                <w:color w:val="000000" w:themeColor="text1"/>
                <w:kern w:val="0"/>
                <w:lang w:eastAsia="zh-CN"/>
                <w14:textFill>
                  <w14:solidFill>
                    <w14:schemeClr w14:val="tx1"/>
                  </w14:solidFill>
                </w14:textFill>
              </w:rPr>
              <w:t>0</w:t>
            </w:r>
          </w:p>
        </w:tc>
        <w:tc>
          <w:tcPr>
            <w:tcW w:w="941" w:type="dxa"/>
            <w:vAlign w:val="center"/>
          </w:tcPr>
          <w:p w14:paraId="564C02AF">
            <w:pPr>
              <w:pStyle w:val="143"/>
              <w:rPr>
                <w:snapToGrid w:val="0"/>
                <w:color w:val="000000" w:themeColor="text1"/>
                <w:kern w:val="0"/>
                <w:lang w:eastAsia="zh-CN"/>
                <w14:textFill>
                  <w14:solidFill>
                    <w14:schemeClr w14:val="tx1"/>
                  </w14:solidFill>
                </w14:textFill>
              </w:rPr>
            </w:pPr>
            <w:r>
              <w:rPr>
                <w:rFonts w:hint="eastAsia" w:ascii="Times New Roman"/>
                <w:snapToGrid w:val="0"/>
                <w:color w:val="000000"/>
                <w:szCs w:val="24"/>
                <w:lang w:val="en-US" w:eastAsia="zh-CN"/>
              </w:rPr>
              <w:t>6.5×10</w:t>
            </w:r>
            <w:r>
              <w:rPr>
                <w:rFonts w:hint="eastAsia" w:ascii="Times New Roman"/>
                <w:snapToGrid w:val="0"/>
                <w:color w:val="000000"/>
                <w:szCs w:val="24"/>
                <w:vertAlign w:val="superscript"/>
                <w:lang w:val="en-US" w:eastAsia="zh-CN"/>
              </w:rPr>
              <w:t>-4</w:t>
            </w:r>
          </w:p>
        </w:tc>
      </w:tr>
      <w:tr w14:paraId="1DAD8B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426" w:type="dxa"/>
            <w:vMerge w:val="restart"/>
            <w:vAlign w:val="center"/>
          </w:tcPr>
          <w:p w14:paraId="7B5D0942">
            <w:pPr>
              <w:pStyle w:val="143"/>
              <w:rPr>
                <w:snapToGrid w:val="0"/>
                <w:color w:val="000000" w:themeColor="text1"/>
                <w:kern w:val="0"/>
                <w:lang w:eastAsia="zh-CN"/>
                <w14:textFill>
                  <w14:solidFill>
                    <w14:schemeClr w14:val="tx1"/>
                  </w14:solidFill>
                </w14:textFill>
              </w:rPr>
            </w:pPr>
            <w:r>
              <w:rPr>
                <w:snapToGrid w:val="0"/>
                <w:color w:val="000000" w:themeColor="text1"/>
                <w:kern w:val="0"/>
                <w:lang w:eastAsia="zh-CN"/>
                <w14:textFill>
                  <w14:solidFill>
                    <w14:schemeClr w14:val="tx1"/>
                  </w14:solidFill>
                </w14:textFill>
              </w:rPr>
              <w:t>2</w:t>
            </w:r>
          </w:p>
        </w:tc>
        <w:tc>
          <w:tcPr>
            <w:tcW w:w="849" w:type="dxa"/>
            <w:vMerge w:val="restart"/>
            <w:vAlign w:val="center"/>
          </w:tcPr>
          <w:p w14:paraId="3B3920B6">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沼气燃烧</w:t>
            </w:r>
          </w:p>
        </w:tc>
        <w:tc>
          <w:tcPr>
            <w:tcW w:w="733" w:type="dxa"/>
            <w:vAlign w:val="center"/>
          </w:tcPr>
          <w:p w14:paraId="19A8CA26">
            <w:pPr>
              <w:pStyle w:val="143"/>
              <w:rPr>
                <w:rFonts w:eastAsia="仿宋_GB2312"/>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颗粒物</w:t>
            </w:r>
          </w:p>
        </w:tc>
        <w:tc>
          <w:tcPr>
            <w:tcW w:w="1820" w:type="dxa"/>
            <w:vMerge w:val="restart"/>
            <w:vAlign w:val="center"/>
          </w:tcPr>
          <w:p w14:paraId="7B5FDA16">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szCs w:val="21"/>
                <w:lang w:val="en-US"/>
                <w14:textFill>
                  <w14:solidFill>
                    <w14:schemeClr w14:val="tx1"/>
                  </w14:solidFill>
                </w14:textFill>
              </w:rPr>
              <w:t>沼气自动燃烧器燃烧</w:t>
            </w:r>
          </w:p>
        </w:tc>
        <w:tc>
          <w:tcPr>
            <w:tcW w:w="2268" w:type="dxa"/>
            <w:vMerge w:val="restart"/>
            <w:vAlign w:val="center"/>
          </w:tcPr>
          <w:p w14:paraId="273E665F">
            <w:pPr>
              <w:pStyle w:val="143"/>
              <w:jc w:val="both"/>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《大气污染物综合排放标准》（GB16297-1996）表2中无组织排放浓度监控限值</w:t>
            </w:r>
          </w:p>
        </w:tc>
        <w:tc>
          <w:tcPr>
            <w:tcW w:w="1275" w:type="dxa"/>
            <w:vAlign w:val="center"/>
          </w:tcPr>
          <w:p w14:paraId="1FE9FF0A">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1</w:t>
            </w:r>
            <w:r>
              <w:rPr>
                <w:snapToGrid w:val="0"/>
                <w:color w:val="000000" w:themeColor="text1"/>
                <w:kern w:val="0"/>
                <w:lang w:eastAsia="zh-CN"/>
                <w14:textFill>
                  <w14:solidFill>
                    <w14:schemeClr w14:val="tx1"/>
                  </w14:solidFill>
                </w14:textFill>
              </w:rPr>
              <w:t>000</w:t>
            </w:r>
          </w:p>
        </w:tc>
        <w:tc>
          <w:tcPr>
            <w:tcW w:w="941" w:type="dxa"/>
            <w:vAlign w:val="center"/>
          </w:tcPr>
          <w:p w14:paraId="6EE9E2C5">
            <w:pPr>
              <w:pStyle w:val="143"/>
              <w:rPr>
                <w:rFonts w:hint="default" w:eastAsia="宋体"/>
                <w:snapToGrid w:val="0"/>
                <w:kern w:val="0"/>
                <w:lang w:val="en-US" w:eastAsia="zh-CN"/>
              </w:rPr>
            </w:pPr>
            <w:r>
              <w:rPr>
                <w:rFonts w:hint="eastAsia"/>
                <w:snapToGrid w:val="0"/>
                <w:kern w:val="0"/>
                <w:lang w:val="en-US" w:eastAsia="zh-CN"/>
              </w:rPr>
              <w:t>0.0073</w:t>
            </w:r>
          </w:p>
        </w:tc>
      </w:tr>
      <w:tr w14:paraId="3A86DE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426" w:type="dxa"/>
            <w:vMerge w:val="continue"/>
            <w:vAlign w:val="center"/>
          </w:tcPr>
          <w:p w14:paraId="60DC613F">
            <w:pPr>
              <w:pStyle w:val="143"/>
              <w:rPr>
                <w:snapToGrid w:val="0"/>
                <w:color w:val="000000" w:themeColor="text1"/>
                <w:kern w:val="0"/>
                <w:lang w:eastAsia="zh-CN"/>
                <w14:textFill>
                  <w14:solidFill>
                    <w14:schemeClr w14:val="tx1"/>
                  </w14:solidFill>
                </w14:textFill>
              </w:rPr>
            </w:pPr>
          </w:p>
        </w:tc>
        <w:tc>
          <w:tcPr>
            <w:tcW w:w="849" w:type="dxa"/>
            <w:vMerge w:val="continue"/>
            <w:vAlign w:val="center"/>
          </w:tcPr>
          <w:p w14:paraId="018BA986">
            <w:pPr>
              <w:pStyle w:val="143"/>
              <w:rPr>
                <w:snapToGrid w:val="0"/>
                <w:color w:val="000000" w:themeColor="text1"/>
                <w:kern w:val="0"/>
                <w:lang w:eastAsia="zh-CN"/>
                <w14:textFill>
                  <w14:solidFill>
                    <w14:schemeClr w14:val="tx1"/>
                  </w14:solidFill>
                </w14:textFill>
              </w:rPr>
            </w:pPr>
          </w:p>
        </w:tc>
        <w:tc>
          <w:tcPr>
            <w:tcW w:w="733" w:type="dxa"/>
            <w:vAlign w:val="center"/>
          </w:tcPr>
          <w:p w14:paraId="65F321EA">
            <w:pPr>
              <w:pStyle w:val="143"/>
              <w:rPr>
                <w:rFonts w:eastAsia="仿宋_GB2312"/>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S</w:t>
            </w:r>
            <w:r>
              <w:rPr>
                <w:snapToGrid w:val="0"/>
                <w:color w:val="000000" w:themeColor="text1"/>
                <w:kern w:val="0"/>
                <w14:textFill>
                  <w14:solidFill>
                    <w14:schemeClr w14:val="tx1"/>
                  </w14:solidFill>
                </w14:textFill>
              </w:rPr>
              <w:t>O</w:t>
            </w:r>
            <w:r>
              <w:rPr>
                <w:snapToGrid w:val="0"/>
                <w:color w:val="000000" w:themeColor="text1"/>
                <w:kern w:val="0"/>
                <w:vertAlign w:val="subscript"/>
                <w14:textFill>
                  <w14:solidFill>
                    <w14:schemeClr w14:val="tx1"/>
                  </w14:solidFill>
                </w14:textFill>
              </w:rPr>
              <w:t>2</w:t>
            </w:r>
          </w:p>
        </w:tc>
        <w:tc>
          <w:tcPr>
            <w:tcW w:w="1820" w:type="dxa"/>
            <w:vMerge w:val="continue"/>
            <w:vAlign w:val="center"/>
          </w:tcPr>
          <w:p w14:paraId="3B68FC9B">
            <w:pPr>
              <w:pStyle w:val="143"/>
              <w:rPr>
                <w:snapToGrid w:val="0"/>
                <w:color w:val="000000" w:themeColor="text1"/>
                <w:kern w:val="0"/>
                <w:szCs w:val="21"/>
                <w:lang w:val="en-US"/>
                <w14:textFill>
                  <w14:solidFill>
                    <w14:schemeClr w14:val="tx1"/>
                  </w14:solidFill>
                </w14:textFill>
              </w:rPr>
            </w:pPr>
          </w:p>
        </w:tc>
        <w:tc>
          <w:tcPr>
            <w:tcW w:w="2268" w:type="dxa"/>
            <w:vMerge w:val="continue"/>
            <w:vAlign w:val="center"/>
          </w:tcPr>
          <w:p w14:paraId="45AF8925">
            <w:pPr>
              <w:pStyle w:val="143"/>
              <w:jc w:val="both"/>
              <w:rPr>
                <w:snapToGrid w:val="0"/>
                <w:color w:val="000000" w:themeColor="text1"/>
                <w:kern w:val="0"/>
                <w14:textFill>
                  <w14:solidFill>
                    <w14:schemeClr w14:val="tx1"/>
                  </w14:solidFill>
                </w14:textFill>
              </w:rPr>
            </w:pPr>
          </w:p>
        </w:tc>
        <w:tc>
          <w:tcPr>
            <w:tcW w:w="1275" w:type="dxa"/>
            <w:vAlign w:val="center"/>
          </w:tcPr>
          <w:p w14:paraId="7A2D2B2D">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4</w:t>
            </w:r>
            <w:r>
              <w:rPr>
                <w:snapToGrid w:val="0"/>
                <w:color w:val="000000" w:themeColor="text1"/>
                <w:kern w:val="0"/>
                <w:lang w:eastAsia="zh-CN"/>
                <w14:textFill>
                  <w14:solidFill>
                    <w14:schemeClr w14:val="tx1"/>
                  </w14:solidFill>
                </w14:textFill>
              </w:rPr>
              <w:t>00</w:t>
            </w:r>
          </w:p>
        </w:tc>
        <w:tc>
          <w:tcPr>
            <w:tcW w:w="941" w:type="dxa"/>
            <w:vAlign w:val="center"/>
          </w:tcPr>
          <w:p w14:paraId="31DE5C47">
            <w:pPr>
              <w:pStyle w:val="143"/>
              <w:rPr>
                <w:rFonts w:hint="default" w:eastAsia="宋体"/>
                <w:snapToGrid w:val="0"/>
                <w:kern w:val="0"/>
                <w:lang w:val="en-US" w:eastAsia="zh-CN"/>
              </w:rPr>
            </w:pPr>
            <w:r>
              <w:rPr>
                <w:rFonts w:hint="eastAsia"/>
                <w:snapToGrid w:val="0"/>
                <w:kern w:val="0"/>
                <w:lang w:val="en-US" w:eastAsia="zh-CN"/>
              </w:rPr>
              <w:t>0.0012</w:t>
            </w:r>
          </w:p>
        </w:tc>
      </w:tr>
      <w:tr w14:paraId="6A76F6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426" w:type="dxa"/>
            <w:vMerge w:val="continue"/>
            <w:vAlign w:val="center"/>
          </w:tcPr>
          <w:p w14:paraId="41C9B793">
            <w:pPr>
              <w:pStyle w:val="143"/>
              <w:rPr>
                <w:snapToGrid w:val="0"/>
                <w:color w:val="000000" w:themeColor="text1"/>
                <w:kern w:val="0"/>
                <w:lang w:eastAsia="zh-CN"/>
                <w14:textFill>
                  <w14:solidFill>
                    <w14:schemeClr w14:val="tx1"/>
                  </w14:solidFill>
                </w14:textFill>
              </w:rPr>
            </w:pPr>
          </w:p>
        </w:tc>
        <w:tc>
          <w:tcPr>
            <w:tcW w:w="849" w:type="dxa"/>
            <w:vMerge w:val="continue"/>
            <w:vAlign w:val="center"/>
          </w:tcPr>
          <w:p w14:paraId="72946109">
            <w:pPr>
              <w:pStyle w:val="143"/>
              <w:rPr>
                <w:snapToGrid w:val="0"/>
                <w:color w:val="000000" w:themeColor="text1"/>
                <w:kern w:val="0"/>
                <w:lang w:eastAsia="zh-CN"/>
                <w14:textFill>
                  <w14:solidFill>
                    <w14:schemeClr w14:val="tx1"/>
                  </w14:solidFill>
                </w14:textFill>
              </w:rPr>
            </w:pPr>
          </w:p>
        </w:tc>
        <w:tc>
          <w:tcPr>
            <w:tcW w:w="733" w:type="dxa"/>
            <w:vAlign w:val="center"/>
          </w:tcPr>
          <w:p w14:paraId="415B7FEB">
            <w:pPr>
              <w:pStyle w:val="143"/>
              <w:rPr>
                <w:rFonts w:eastAsia="仿宋_GB2312"/>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N</w:t>
            </w:r>
            <w:r>
              <w:rPr>
                <w:snapToGrid w:val="0"/>
                <w:color w:val="000000" w:themeColor="text1"/>
                <w:kern w:val="0"/>
                <w14:textFill>
                  <w14:solidFill>
                    <w14:schemeClr w14:val="tx1"/>
                  </w14:solidFill>
                </w14:textFill>
              </w:rPr>
              <w:t>O</w:t>
            </w:r>
            <w:r>
              <w:rPr>
                <w:rFonts w:hint="eastAsia"/>
                <w:snapToGrid w:val="0"/>
                <w:color w:val="000000" w:themeColor="text1"/>
                <w:kern w:val="0"/>
                <w14:textFill>
                  <w14:solidFill>
                    <w14:schemeClr w14:val="tx1"/>
                  </w14:solidFill>
                </w14:textFill>
              </w:rPr>
              <w:t>x</w:t>
            </w:r>
          </w:p>
        </w:tc>
        <w:tc>
          <w:tcPr>
            <w:tcW w:w="1820" w:type="dxa"/>
            <w:vMerge w:val="continue"/>
            <w:vAlign w:val="center"/>
          </w:tcPr>
          <w:p w14:paraId="6E4738B4">
            <w:pPr>
              <w:pStyle w:val="143"/>
              <w:rPr>
                <w:snapToGrid w:val="0"/>
                <w:color w:val="000000" w:themeColor="text1"/>
                <w:kern w:val="0"/>
                <w:szCs w:val="21"/>
                <w:lang w:val="en-US"/>
                <w14:textFill>
                  <w14:solidFill>
                    <w14:schemeClr w14:val="tx1"/>
                  </w14:solidFill>
                </w14:textFill>
              </w:rPr>
            </w:pPr>
          </w:p>
        </w:tc>
        <w:tc>
          <w:tcPr>
            <w:tcW w:w="2268" w:type="dxa"/>
            <w:vMerge w:val="continue"/>
            <w:vAlign w:val="center"/>
          </w:tcPr>
          <w:p w14:paraId="3D574588">
            <w:pPr>
              <w:pStyle w:val="143"/>
              <w:jc w:val="both"/>
              <w:rPr>
                <w:snapToGrid w:val="0"/>
                <w:color w:val="000000" w:themeColor="text1"/>
                <w:kern w:val="0"/>
                <w14:textFill>
                  <w14:solidFill>
                    <w14:schemeClr w14:val="tx1"/>
                  </w14:solidFill>
                </w14:textFill>
              </w:rPr>
            </w:pPr>
          </w:p>
        </w:tc>
        <w:tc>
          <w:tcPr>
            <w:tcW w:w="1275" w:type="dxa"/>
            <w:vAlign w:val="center"/>
          </w:tcPr>
          <w:p w14:paraId="58133AD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1</w:t>
            </w:r>
            <w:r>
              <w:rPr>
                <w:snapToGrid w:val="0"/>
                <w:color w:val="000000" w:themeColor="text1"/>
                <w:kern w:val="0"/>
                <w:lang w:eastAsia="zh-CN"/>
                <w14:textFill>
                  <w14:solidFill>
                    <w14:schemeClr w14:val="tx1"/>
                  </w14:solidFill>
                </w14:textFill>
              </w:rPr>
              <w:t>20</w:t>
            </w:r>
          </w:p>
        </w:tc>
        <w:tc>
          <w:tcPr>
            <w:tcW w:w="941" w:type="dxa"/>
            <w:vAlign w:val="center"/>
          </w:tcPr>
          <w:p w14:paraId="74C5FC8F">
            <w:pPr>
              <w:pStyle w:val="143"/>
              <w:rPr>
                <w:rFonts w:hint="default" w:eastAsia="宋体"/>
                <w:snapToGrid w:val="0"/>
                <w:kern w:val="0"/>
                <w:lang w:val="en-US" w:eastAsia="zh-CN"/>
              </w:rPr>
            </w:pPr>
            <w:r>
              <w:rPr>
                <w:rFonts w:hint="eastAsia"/>
                <w:snapToGrid w:val="0"/>
                <w:kern w:val="0"/>
                <w:lang w:val="en-US" w:eastAsia="zh-CN"/>
              </w:rPr>
              <w:t>0.0482</w:t>
            </w:r>
          </w:p>
        </w:tc>
      </w:tr>
      <w:tr w14:paraId="513851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426" w:type="dxa"/>
            <w:vAlign w:val="center"/>
          </w:tcPr>
          <w:p w14:paraId="73A9DA3D">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3</w:t>
            </w:r>
          </w:p>
        </w:tc>
        <w:tc>
          <w:tcPr>
            <w:tcW w:w="849" w:type="dxa"/>
            <w:vAlign w:val="center"/>
          </w:tcPr>
          <w:p w14:paraId="7245764C">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原料处理粉尘</w:t>
            </w:r>
          </w:p>
        </w:tc>
        <w:tc>
          <w:tcPr>
            <w:tcW w:w="733" w:type="dxa"/>
            <w:vAlign w:val="center"/>
          </w:tcPr>
          <w:p w14:paraId="64A30F44">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颗粒物</w:t>
            </w:r>
          </w:p>
        </w:tc>
        <w:tc>
          <w:tcPr>
            <w:tcW w:w="1820" w:type="dxa"/>
            <w:vAlign w:val="center"/>
          </w:tcPr>
          <w:p w14:paraId="539C76E4">
            <w:pPr>
              <w:pStyle w:val="143"/>
              <w:rPr>
                <w:snapToGrid w:val="0"/>
                <w:color w:val="000000" w:themeColor="text1"/>
                <w:kern w:val="0"/>
                <w:szCs w:val="21"/>
                <w:lang w:val="en-US"/>
                <w14:textFill>
                  <w14:solidFill>
                    <w14:schemeClr w14:val="tx1"/>
                  </w14:solidFill>
                </w14:textFill>
              </w:rPr>
            </w:pPr>
            <w:r>
              <w:rPr>
                <w:rFonts w:hint="eastAsia"/>
                <w:snapToGrid w:val="0"/>
                <w:color w:val="000000" w:themeColor="text1"/>
                <w14:textFill>
                  <w14:solidFill>
                    <w14:schemeClr w14:val="tx1"/>
                  </w14:solidFill>
                </w14:textFill>
              </w:rPr>
              <w:t>原料处理间封闭</w:t>
            </w:r>
          </w:p>
        </w:tc>
        <w:tc>
          <w:tcPr>
            <w:tcW w:w="2268" w:type="dxa"/>
            <w:vAlign w:val="center"/>
          </w:tcPr>
          <w:p w14:paraId="06826A03">
            <w:pPr>
              <w:pStyle w:val="143"/>
              <w:jc w:val="both"/>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《大气污染物综合排放标准》（GB16297-1996）表2中无组织排放浓度监控限值</w:t>
            </w:r>
          </w:p>
        </w:tc>
        <w:tc>
          <w:tcPr>
            <w:tcW w:w="1275" w:type="dxa"/>
            <w:vAlign w:val="center"/>
          </w:tcPr>
          <w:p w14:paraId="1B463024">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1000</w:t>
            </w:r>
          </w:p>
        </w:tc>
        <w:tc>
          <w:tcPr>
            <w:tcW w:w="941" w:type="dxa"/>
            <w:vAlign w:val="center"/>
          </w:tcPr>
          <w:p w14:paraId="7931F9DF">
            <w:pPr>
              <w:pStyle w:val="143"/>
              <w:rPr>
                <w:rFonts w:hint="default"/>
                <w:snapToGrid w:val="0"/>
                <w:kern w:val="0"/>
                <w:lang w:val="en-US" w:eastAsia="zh-CN"/>
              </w:rPr>
            </w:pPr>
            <w:r>
              <w:rPr>
                <w:rFonts w:hint="eastAsia"/>
                <w:snapToGrid w:val="0"/>
                <w:kern w:val="0"/>
                <w:lang w:val="en-US" w:eastAsia="zh-CN"/>
              </w:rPr>
              <w:t>0.228</w:t>
            </w:r>
          </w:p>
        </w:tc>
      </w:tr>
      <w:tr w14:paraId="7641E4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8312" w:type="dxa"/>
            <w:gridSpan w:val="7"/>
            <w:vAlign w:val="center"/>
          </w:tcPr>
          <w:p w14:paraId="7613F24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无组织排放总计</w:t>
            </w:r>
          </w:p>
        </w:tc>
      </w:tr>
      <w:tr w14:paraId="200017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2008" w:type="dxa"/>
            <w:gridSpan w:val="3"/>
            <w:vMerge w:val="restart"/>
            <w:vAlign w:val="center"/>
          </w:tcPr>
          <w:p w14:paraId="58F68559">
            <w:pPr>
              <w:pStyle w:val="143"/>
              <w:rPr>
                <w:rFonts w:eastAsia="仿宋_GB2312" w:cs="Times New Roman"/>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无组织排放总计</w:t>
            </w:r>
          </w:p>
        </w:tc>
        <w:tc>
          <w:tcPr>
            <w:tcW w:w="4088" w:type="dxa"/>
            <w:gridSpan w:val="2"/>
            <w:vAlign w:val="center"/>
          </w:tcPr>
          <w:p w14:paraId="046679AF">
            <w:pPr>
              <w:pStyle w:val="143"/>
              <w:rPr>
                <w:rFonts w:cs="Times New Roman"/>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NH</w:t>
            </w:r>
            <w:r>
              <w:rPr>
                <w:rFonts w:cs="Times New Roman"/>
                <w:snapToGrid w:val="0"/>
                <w:color w:val="000000" w:themeColor="text1"/>
                <w:kern w:val="0"/>
                <w:vertAlign w:val="subscript"/>
                <w14:textFill>
                  <w14:solidFill>
                    <w14:schemeClr w14:val="tx1"/>
                  </w14:solidFill>
                </w14:textFill>
              </w:rPr>
              <w:t>3</w:t>
            </w:r>
          </w:p>
        </w:tc>
        <w:tc>
          <w:tcPr>
            <w:tcW w:w="2216" w:type="dxa"/>
            <w:gridSpan w:val="2"/>
            <w:vAlign w:val="center"/>
          </w:tcPr>
          <w:p w14:paraId="6A56D396">
            <w:pPr>
              <w:pStyle w:val="143"/>
              <w:ind w:firstLine="0" w:firstLineChars="0"/>
              <w:rPr>
                <w:rFonts w:cs="Times New Roman"/>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0.0169</w:t>
            </w:r>
          </w:p>
        </w:tc>
      </w:tr>
      <w:tr w14:paraId="7A8A56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2008" w:type="dxa"/>
            <w:gridSpan w:val="3"/>
            <w:vMerge w:val="continue"/>
            <w:vAlign w:val="center"/>
          </w:tcPr>
          <w:p w14:paraId="3E8CCD2F">
            <w:pPr>
              <w:pStyle w:val="143"/>
              <w:rPr>
                <w:rFonts w:eastAsia="仿宋_GB2312" w:cs="Times New Roman"/>
                <w:snapToGrid w:val="0"/>
                <w:color w:val="000000" w:themeColor="text1"/>
                <w:kern w:val="0"/>
                <w14:textFill>
                  <w14:solidFill>
                    <w14:schemeClr w14:val="tx1"/>
                  </w14:solidFill>
                </w14:textFill>
              </w:rPr>
            </w:pPr>
          </w:p>
        </w:tc>
        <w:tc>
          <w:tcPr>
            <w:tcW w:w="4088" w:type="dxa"/>
            <w:gridSpan w:val="2"/>
            <w:vAlign w:val="center"/>
          </w:tcPr>
          <w:p w14:paraId="3AA856B9">
            <w:pPr>
              <w:pStyle w:val="143"/>
              <w:rPr>
                <w:rFonts w:cs="Times New Roman"/>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H</w:t>
            </w:r>
            <w:r>
              <w:rPr>
                <w:rFonts w:cs="Times New Roman"/>
                <w:snapToGrid w:val="0"/>
                <w:color w:val="000000" w:themeColor="text1"/>
                <w:kern w:val="0"/>
                <w:vertAlign w:val="subscript"/>
                <w14:textFill>
                  <w14:solidFill>
                    <w14:schemeClr w14:val="tx1"/>
                  </w14:solidFill>
                </w14:textFill>
              </w:rPr>
              <w:t>2</w:t>
            </w:r>
            <w:r>
              <w:rPr>
                <w:rFonts w:cs="Times New Roman"/>
                <w:snapToGrid w:val="0"/>
                <w:color w:val="000000" w:themeColor="text1"/>
                <w:kern w:val="0"/>
                <w14:textFill>
                  <w14:solidFill>
                    <w14:schemeClr w14:val="tx1"/>
                  </w14:solidFill>
                </w14:textFill>
              </w:rPr>
              <w:t>S</w:t>
            </w:r>
          </w:p>
        </w:tc>
        <w:tc>
          <w:tcPr>
            <w:tcW w:w="2216" w:type="dxa"/>
            <w:gridSpan w:val="2"/>
            <w:vAlign w:val="center"/>
          </w:tcPr>
          <w:p w14:paraId="6713B818">
            <w:pPr>
              <w:pStyle w:val="143"/>
              <w:ind w:firstLine="0" w:firstLineChars="0"/>
              <w:rPr>
                <w:rFonts w:cs="Times New Roman"/>
                <w:snapToGrid w:val="0"/>
                <w:color w:val="000000" w:themeColor="text1"/>
                <w:kern w:val="0"/>
                <w:lang w:eastAsia="zh-CN"/>
                <w14:textFill>
                  <w14:solidFill>
                    <w14:schemeClr w14:val="tx1"/>
                  </w14:solidFill>
                </w14:textFill>
              </w:rPr>
            </w:pPr>
            <w:r>
              <w:rPr>
                <w:rFonts w:hint="eastAsia" w:ascii="Times New Roman"/>
                <w:snapToGrid w:val="0"/>
                <w:color w:val="000000"/>
                <w:szCs w:val="24"/>
                <w:lang w:val="en-US" w:eastAsia="zh-CN"/>
              </w:rPr>
              <w:t>6.5×10</w:t>
            </w:r>
            <w:r>
              <w:rPr>
                <w:rFonts w:hint="eastAsia" w:ascii="Times New Roman"/>
                <w:snapToGrid w:val="0"/>
                <w:color w:val="000000"/>
                <w:szCs w:val="24"/>
                <w:vertAlign w:val="superscript"/>
                <w:lang w:val="en-US" w:eastAsia="zh-CN"/>
              </w:rPr>
              <w:t>-4</w:t>
            </w:r>
          </w:p>
        </w:tc>
      </w:tr>
      <w:tr w14:paraId="095EC3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2008" w:type="dxa"/>
            <w:gridSpan w:val="3"/>
            <w:vMerge w:val="continue"/>
            <w:vAlign w:val="center"/>
          </w:tcPr>
          <w:p w14:paraId="1FA8B0A8">
            <w:pPr>
              <w:pStyle w:val="143"/>
              <w:rPr>
                <w:rFonts w:eastAsia="仿宋_GB2312" w:cs="Times New Roman"/>
                <w:snapToGrid w:val="0"/>
                <w:color w:val="000000" w:themeColor="text1"/>
                <w:kern w:val="0"/>
                <w14:textFill>
                  <w14:solidFill>
                    <w14:schemeClr w14:val="tx1"/>
                  </w14:solidFill>
                </w14:textFill>
              </w:rPr>
            </w:pPr>
          </w:p>
        </w:tc>
        <w:tc>
          <w:tcPr>
            <w:tcW w:w="4088" w:type="dxa"/>
            <w:gridSpan w:val="2"/>
            <w:vAlign w:val="center"/>
          </w:tcPr>
          <w:p w14:paraId="258DE7E4">
            <w:pPr>
              <w:pStyle w:val="143"/>
              <w:rPr>
                <w:rFonts w:cs="Times New Roman"/>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颗粒物</w:t>
            </w:r>
          </w:p>
        </w:tc>
        <w:tc>
          <w:tcPr>
            <w:tcW w:w="2216" w:type="dxa"/>
            <w:gridSpan w:val="2"/>
            <w:vAlign w:val="center"/>
          </w:tcPr>
          <w:p w14:paraId="5005CB8D">
            <w:pPr>
              <w:pStyle w:val="143"/>
              <w:ind w:firstLine="0" w:firstLineChars="0"/>
              <w:rPr>
                <w:rFonts w:hint="default"/>
                <w:snapToGrid w:val="0"/>
                <w:kern w:val="0"/>
                <w:lang w:val="en-US"/>
              </w:rPr>
            </w:pPr>
            <w:r>
              <w:rPr>
                <w:rFonts w:hint="eastAsia"/>
                <w:snapToGrid w:val="0"/>
                <w:kern w:val="0"/>
                <w:lang w:val="en-US" w:eastAsia="zh-CN"/>
              </w:rPr>
              <w:t>0.2353</w:t>
            </w:r>
          </w:p>
        </w:tc>
      </w:tr>
      <w:tr w14:paraId="38CE8B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2008" w:type="dxa"/>
            <w:gridSpan w:val="3"/>
            <w:vMerge w:val="continue"/>
            <w:vAlign w:val="center"/>
          </w:tcPr>
          <w:p w14:paraId="10E95589">
            <w:pPr>
              <w:pStyle w:val="143"/>
              <w:rPr>
                <w:rFonts w:eastAsia="仿宋_GB2312" w:cs="Times New Roman"/>
                <w:snapToGrid w:val="0"/>
                <w:color w:val="000000" w:themeColor="text1"/>
                <w:kern w:val="0"/>
                <w14:textFill>
                  <w14:solidFill>
                    <w14:schemeClr w14:val="tx1"/>
                  </w14:solidFill>
                </w14:textFill>
              </w:rPr>
            </w:pPr>
          </w:p>
        </w:tc>
        <w:tc>
          <w:tcPr>
            <w:tcW w:w="4088" w:type="dxa"/>
            <w:gridSpan w:val="2"/>
            <w:vAlign w:val="center"/>
          </w:tcPr>
          <w:p w14:paraId="62831F04">
            <w:pPr>
              <w:pStyle w:val="143"/>
              <w:rPr>
                <w:rFonts w:cs="Times New Roman"/>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S</w:t>
            </w:r>
            <w:r>
              <w:rPr>
                <w:snapToGrid w:val="0"/>
                <w:color w:val="000000" w:themeColor="text1"/>
                <w:kern w:val="0"/>
                <w14:textFill>
                  <w14:solidFill>
                    <w14:schemeClr w14:val="tx1"/>
                  </w14:solidFill>
                </w14:textFill>
              </w:rPr>
              <w:t>O</w:t>
            </w:r>
            <w:r>
              <w:rPr>
                <w:snapToGrid w:val="0"/>
                <w:color w:val="000000" w:themeColor="text1"/>
                <w:kern w:val="0"/>
                <w:vertAlign w:val="subscript"/>
                <w14:textFill>
                  <w14:solidFill>
                    <w14:schemeClr w14:val="tx1"/>
                  </w14:solidFill>
                </w14:textFill>
              </w:rPr>
              <w:t>2</w:t>
            </w:r>
          </w:p>
        </w:tc>
        <w:tc>
          <w:tcPr>
            <w:tcW w:w="2216" w:type="dxa"/>
            <w:gridSpan w:val="2"/>
            <w:vAlign w:val="center"/>
          </w:tcPr>
          <w:p w14:paraId="5B49C9C6">
            <w:pPr>
              <w:pStyle w:val="143"/>
              <w:ind w:firstLine="0" w:firstLineChars="0"/>
              <w:rPr>
                <w:snapToGrid w:val="0"/>
                <w:kern w:val="0"/>
              </w:rPr>
            </w:pPr>
            <w:r>
              <w:rPr>
                <w:rFonts w:hint="eastAsia"/>
                <w:snapToGrid w:val="0"/>
                <w:kern w:val="0"/>
                <w:lang w:val="en-US" w:eastAsia="zh-CN"/>
              </w:rPr>
              <w:t>0.0012</w:t>
            </w:r>
          </w:p>
        </w:tc>
      </w:tr>
      <w:tr w14:paraId="6C891C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2008" w:type="dxa"/>
            <w:gridSpan w:val="3"/>
            <w:vMerge w:val="continue"/>
            <w:vAlign w:val="center"/>
          </w:tcPr>
          <w:p w14:paraId="4F8C7168">
            <w:pPr>
              <w:pStyle w:val="143"/>
              <w:rPr>
                <w:rFonts w:eastAsia="仿宋_GB2312" w:cs="Times New Roman"/>
                <w:snapToGrid w:val="0"/>
                <w:color w:val="000000" w:themeColor="text1"/>
                <w:kern w:val="0"/>
                <w14:textFill>
                  <w14:solidFill>
                    <w14:schemeClr w14:val="tx1"/>
                  </w14:solidFill>
                </w14:textFill>
              </w:rPr>
            </w:pPr>
          </w:p>
        </w:tc>
        <w:tc>
          <w:tcPr>
            <w:tcW w:w="4088" w:type="dxa"/>
            <w:gridSpan w:val="2"/>
            <w:vAlign w:val="center"/>
          </w:tcPr>
          <w:p w14:paraId="59E7957F">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N</w:t>
            </w:r>
            <w:r>
              <w:rPr>
                <w:snapToGrid w:val="0"/>
                <w:color w:val="000000" w:themeColor="text1"/>
                <w:kern w:val="0"/>
                <w14:textFill>
                  <w14:solidFill>
                    <w14:schemeClr w14:val="tx1"/>
                  </w14:solidFill>
                </w14:textFill>
              </w:rPr>
              <w:t>O</w:t>
            </w:r>
            <w:r>
              <w:rPr>
                <w:rFonts w:hint="eastAsia"/>
                <w:snapToGrid w:val="0"/>
                <w:color w:val="000000" w:themeColor="text1"/>
                <w:kern w:val="0"/>
                <w14:textFill>
                  <w14:solidFill>
                    <w14:schemeClr w14:val="tx1"/>
                  </w14:solidFill>
                </w14:textFill>
              </w:rPr>
              <w:t>x</w:t>
            </w:r>
          </w:p>
        </w:tc>
        <w:tc>
          <w:tcPr>
            <w:tcW w:w="2216" w:type="dxa"/>
            <w:gridSpan w:val="2"/>
            <w:vAlign w:val="center"/>
          </w:tcPr>
          <w:p w14:paraId="245F0680">
            <w:pPr>
              <w:pStyle w:val="143"/>
              <w:ind w:firstLine="0" w:firstLineChars="0"/>
              <w:rPr>
                <w:snapToGrid w:val="0"/>
                <w:kern w:val="0"/>
              </w:rPr>
            </w:pPr>
            <w:r>
              <w:rPr>
                <w:rFonts w:hint="eastAsia"/>
                <w:snapToGrid w:val="0"/>
                <w:kern w:val="0"/>
                <w:lang w:val="en-US" w:eastAsia="zh-CN"/>
              </w:rPr>
              <w:t>0.0482</w:t>
            </w:r>
          </w:p>
        </w:tc>
      </w:tr>
    </w:tbl>
    <w:p w14:paraId="2815CDB5">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 xml:space="preserve">表5-2-3 </w:t>
      </w:r>
      <w:r>
        <w:rPr>
          <w:rFonts w:hint="eastAsia"/>
          <w:snapToGrid w:val="0"/>
          <w:color w:val="000000" w:themeColor="text1"/>
          <w14:textFill>
            <w14:solidFill>
              <w14:schemeClr w14:val="tx1"/>
            </w14:solidFill>
          </w14:textFill>
        </w:rPr>
        <w:t>大气污染物年放量核算表</w:t>
      </w:r>
    </w:p>
    <w:tbl>
      <w:tblPr>
        <w:tblStyle w:val="387"/>
        <w:tblW w:w="487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56"/>
        <w:gridCol w:w="3021"/>
        <w:gridCol w:w="3424"/>
      </w:tblGrid>
      <w:tr w14:paraId="67DA3E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2" w:type="pct"/>
            <w:vAlign w:val="center"/>
          </w:tcPr>
          <w:p w14:paraId="67815D50">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序号</w:t>
            </w:r>
          </w:p>
        </w:tc>
        <w:tc>
          <w:tcPr>
            <w:tcW w:w="1864" w:type="pct"/>
            <w:vAlign w:val="center"/>
          </w:tcPr>
          <w:p w14:paraId="68E5A79E">
            <w:pPr>
              <w:pStyle w:val="143"/>
              <w:rPr>
                <w:rFonts w:eastAsia="仿宋_GB2312"/>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污染物</w:t>
            </w:r>
          </w:p>
        </w:tc>
        <w:tc>
          <w:tcPr>
            <w:tcW w:w="2113" w:type="pct"/>
            <w:vAlign w:val="center"/>
          </w:tcPr>
          <w:p w14:paraId="4D5C4545">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年排放量（t</w:t>
            </w:r>
            <w:r>
              <w:rPr>
                <w:snapToGrid w:val="0"/>
                <w:color w:val="000000" w:themeColor="text1"/>
                <w:kern w:val="0"/>
                <w14:textFill>
                  <w14:solidFill>
                    <w14:schemeClr w14:val="tx1"/>
                  </w14:solidFill>
                </w14:textFill>
              </w:rPr>
              <w:t>/a</w:t>
            </w:r>
            <w:r>
              <w:rPr>
                <w:rFonts w:hint="eastAsia"/>
                <w:snapToGrid w:val="0"/>
                <w:color w:val="000000" w:themeColor="text1"/>
                <w:kern w:val="0"/>
                <w14:textFill>
                  <w14:solidFill>
                    <w14:schemeClr w14:val="tx1"/>
                  </w14:solidFill>
                </w14:textFill>
              </w:rPr>
              <w:t>）</w:t>
            </w:r>
          </w:p>
        </w:tc>
      </w:tr>
      <w:tr w14:paraId="2887A5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022" w:type="pct"/>
            <w:vAlign w:val="center"/>
          </w:tcPr>
          <w:p w14:paraId="3AAF17F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w:t>
            </w:r>
          </w:p>
        </w:tc>
        <w:tc>
          <w:tcPr>
            <w:tcW w:w="1864" w:type="pct"/>
            <w:vAlign w:val="center"/>
          </w:tcPr>
          <w:p w14:paraId="6A38724B">
            <w:pPr>
              <w:pStyle w:val="143"/>
              <w:rPr>
                <w:rFonts w:hint="eastAsia" w:eastAsia="宋体"/>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颗粒物</w:t>
            </w:r>
          </w:p>
        </w:tc>
        <w:tc>
          <w:tcPr>
            <w:tcW w:w="3513" w:type="dxa"/>
            <w:vAlign w:val="center"/>
          </w:tcPr>
          <w:p w14:paraId="12858D3A">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1.0578</w:t>
            </w:r>
          </w:p>
        </w:tc>
      </w:tr>
      <w:tr w14:paraId="3170B4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6" w:hRule="atLeast"/>
          <w:jc w:val="center"/>
        </w:trPr>
        <w:tc>
          <w:tcPr>
            <w:tcW w:w="1022" w:type="pct"/>
            <w:vAlign w:val="center"/>
          </w:tcPr>
          <w:p w14:paraId="76ED276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w:t>
            </w:r>
          </w:p>
        </w:tc>
        <w:tc>
          <w:tcPr>
            <w:tcW w:w="1864" w:type="pct"/>
            <w:vAlign w:val="center"/>
          </w:tcPr>
          <w:p w14:paraId="030EB1E2">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S</w:t>
            </w:r>
            <w:r>
              <w:rPr>
                <w:snapToGrid w:val="0"/>
                <w:color w:val="000000" w:themeColor="text1"/>
                <w:kern w:val="0"/>
                <w14:textFill>
                  <w14:solidFill>
                    <w14:schemeClr w14:val="tx1"/>
                  </w14:solidFill>
                </w14:textFill>
              </w:rPr>
              <w:t>O</w:t>
            </w:r>
            <w:r>
              <w:rPr>
                <w:snapToGrid w:val="0"/>
                <w:color w:val="000000" w:themeColor="text1"/>
                <w:kern w:val="0"/>
                <w:vertAlign w:val="subscript"/>
                <w14:textFill>
                  <w14:solidFill>
                    <w14:schemeClr w14:val="tx1"/>
                  </w14:solidFill>
                </w14:textFill>
              </w:rPr>
              <w:t>2</w:t>
            </w:r>
          </w:p>
        </w:tc>
        <w:tc>
          <w:tcPr>
            <w:tcW w:w="3513" w:type="dxa"/>
            <w:vAlign w:val="center"/>
          </w:tcPr>
          <w:p w14:paraId="65CAD595">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1.5412</w:t>
            </w:r>
          </w:p>
        </w:tc>
      </w:tr>
      <w:tr w14:paraId="700823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2" w:type="pct"/>
            <w:vAlign w:val="center"/>
          </w:tcPr>
          <w:p w14:paraId="4587388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w:t>
            </w:r>
          </w:p>
        </w:tc>
        <w:tc>
          <w:tcPr>
            <w:tcW w:w="1864" w:type="pct"/>
            <w:vAlign w:val="center"/>
          </w:tcPr>
          <w:p w14:paraId="6F9028F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w:t>
            </w:r>
            <w:r>
              <w:rPr>
                <w:snapToGrid w:val="0"/>
                <w:color w:val="000000" w:themeColor="text1"/>
                <w:kern w:val="0"/>
                <w14:textFill>
                  <w14:solidFill>
                    <w14:schemeClr w14:val="tx1"/>
                  </w14:solidFill>
                </w14:textFill>
              </w:rPr>
              <w:t>O</w:t>
            </w:r>
            <w:r>
              <w:rPr>
                <w:rFonts w:hint="eastAsia"/>
                <w:snapToGrid w:val="0"/>
                <w:color w:val="000000" w:themeColor="text1"/>
                <w:kern w:val="0"/>
                <w14:textFill>
                  <w14:solidFill>
                    <w14:schemeClr w14:val="tx1"/>
                  </w14:solidFill>
                </w14:textFill>
              </w:rPr>
              <w:t>x</w:t>
            </w:r>
          </w:p>
        </w:tc>
        <w:tc>
          <w:tcPr>
            <w:tcW w:w="3513" w:type="dxa"/>
            <w:vAlign w:val="center"/>
          </w:tcPr>
          <w:p w14:paraId="0881A0F2">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9.9782</w:t>
            </w:r>
          </w:p>
        </w:tc>
      </w:tr>
      <w:tr w14:paraId="3E4408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2" w:type="pct"/>
            <w:vAlign w:val="center"/>
          </w:tcPr>
          <w:p w14:paraId="09F47FF5">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w:t>
            </w:r>
          </w:p>
        </w:tc>
        <w:tc>
          <w:tcPr>
            <w:tcW w:w="1864" w:type="pct"/>
            <w:vAlign w:val="center"/>
          </w:tcPr>
          <w:p w14:paraId="03DD9BB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NH</w:t>
            </w:r>
            <w:r>
              <w:rPr>
                <w:rFonts w:hint="eastAsia"/>
                <w:snapToGrid w:val="0"/>
                <w:color w:val="000000" w:themeColor="text1"/>
                <w:kern w:val="0"/>
                <w:vertAlign w:val="subscript"/>
                <w14:textFill>
                  <w14:solidFill>
                    <w14:schemeClr w14:val="tx1"/>
                  </w14:solidFill>
                </w14:textFill>
              </w:rPr>
              <w:t>3</w:t>
            </w:r>
          </w:p>
        </w:tc>
        <w:tc>
          <w:tcPr>
            <w:tcW w:w="3513" w:type="dxa"/>
            <w:vAlign w:val="center"/>
          </w:tcPr>
          <w:p w14:paraId="67ABA0C8">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0.0469</w:t>
            </w:r>
          </w:p>
        </w:tc>
      </w:tr>
      <w:tr w14:paraId="3FBF6A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2" w:type="pct"/>
            <w:vAlign w:val="center"/>
          </w:tcPr>
          <w:p w14:paraId="4EB1618D">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5</w:t>
            </w:r>
          </w:p>
        </w:tc>
        <w:tc>
          <w:tcPr>
            <w:tcW w:w="1864" w:type="pct"/>
            <w:vAlign w:val="center"/>
          </w:tcPr>
          <w:p w14:paraId="05F8372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H</w:t>
            </w:r>
            <w:r>
              <w:rPr>
                <w:snapToGrid w:val="0"/>
                <w:color w:val="000000" w:themeColor="text1"/>
                <w:kern w:val="0"/>
                <w:vertAlign w:val="subscript"/>
                <w14:textFill>
                  <w14:solidFill>
                    <w14:schemeClr w14:val="tx1"/>
                  </w14:solidFill>
                </w14:textFill>
              </w:rPr>
              <w:t>2</w:t>
            </w:r>
            <w:r>
              <w:rPr>
                <w:snapToGrid w:val="0"/>
                <w:color w:val="000000" w:themeColor="text1"/>
                <w:kern w:val="0"/>
                <w14:textFill>
                  <w14:solidFill>
                    <w14:schemeClr w14:val="tx1"/>
                  </w14:solidFill>
                </w14:textFill>
              </w:rPr>
              <w:t>S</w:t>
            </w:r>
          </w:p>
        </w:tc>
        <w:tc>
          <w:tcPr>
            <w:tcW w:w="3513" w:type="dxa"/>
            <w:vAlign w:val="center"/>
          </w:tcPr>
          <w:p w14:paraId="1E69110A">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1.82×10</w:t>
            </w:r>
            <w:r>
              <w:rPr>
                <w:rFonts w:hint="eastAsia"/>
                <w:snapToGrid w:val="0"/>
                <w:color w:val="000000" w:themeColor="text1"/>
                <w:vertAlign w:val="superscript"/>
                <w:lang w:val="en-US" w:eastAsia="zh-CN"/>
                <w14:textFill>
                  <w14:solidFill>
                    <w14:schemeClr w14:val="tx1"/>
                  </w14:solidFill>
                </w14:textFill>
              </w:rPr>
              <w:t>-3</w:t>
            </w:r>
          </w:p>
        </w:tc>
      </w:tr>
    </w:tbl>
    <w:p w14:paraId="79D8BF5B">
      <w:pPr>
        <w:rPr>
          <w:color w:val="000000" w:themeColor="text1"/>
          <w14:textFill>
            <w14:solidFill>
              <w14:schemeClr w14:val="tx1"/>
            </w14:solidFill>
          </w14:textFill>
        </w:rPr>
      </w:pPr>
      <w:r>
        <w:rPr>
          <w:rFonts w:hint="eastAsia"/>
          <w:color w:val="000000" w:themeColor="text1"/>
          <w14:textFill>
            <w14:solidFill>
              <w14:schemeClr w14:val="tx1"/>
            </w14:solidFill>
          </w14:textFill>
        </w:rPr>
        <w:t>4、发酵车间异味影响分析</w:t>
      </w:r>
    </w:p>
    <w:p w14:paraId="07F3244C">
      <w:pPr>
        <w:rPr>
          <w:color w:val="000000" w:themeColor="text1"/>
          <w14:textFill>
            <w14:solidFill>
              <w14:schemeClr w14:val="tx1"/>
            </w14:solidFill>
          </w14:textFill>
        </w:rPr>
      </w:pPr>
      <w:r>
        <w:rPr>
          <w:rFonts w:hint="eastAsia"/>
          <w:color w:val="000000" w:themeColor="text1"/>
          <w14:textFill>
            <w14:solidFill>
              <w14:schemeClr w14:val="tx1"/>
            </w14:solidFill>
          </w14:textFill>
        </w:rPr>
        <w:t>项目在发酵过程中会产生发酵废气，其主要成分为CO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和异味（主要为臭气浓度）。</w:t>
      </w:r>
    </w:p>
    <w:p w14:paraId="4C0571FF">
      <w:pPr>
        <w:rPr>
          <w:color w:val="000000" w:themeColor="text1"/>
          <w14:textFill>
            <w14:solidFill>
              <w14:schemeClr w14:val="tx1"/>
            </w14:solidFill>
          </w14:textFill>
        </w:rPr>
      </w:pPr>
      <w:r>
        <w:rPr>
          <w:rFonts w:hint="eastAsia"/>
          <w:color w:val="000000" w:themeColor="text1"/>
          <w14:textFill>
            <w14:solidFill>
              <w14:schemeClr w14:val="tx1"/>
            </w14:solidFill>
          </w14:textFill>
        </w:rPr>
        <w:t>C</w:t>
      </w:r>
      <w:r>
        <w:rPr>
          <w:color w:val="000000" w:themeColor="text1"/>
          <w14:textFill>
            <w14:solidFill>
              <w14:schemeClr w14:val="tx1"/>
            </w14:solidFill>
          </w14:textFill>
        </w:rPr>
        <w:t>O</w:t>
      </w:r>
      <w:r>
        <w:rPr>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逸出夹带少量异味废气排出，其异味废气产生量极少，在二氧化碳回收系统采用活性炭吸附异味气体后排放量甚微，主要为无组织排放。</w:t>
      </w:r>
    </w:p>
    <w:p w14:paraId="7B4F0874">
      <w:pPr>
        <w:rPr>
          <w:color w:val="000000" w:themeColor="text1"/>
          <w14:textFill>
            <w14:solidFill>
              <w14:schemeClr w14:val="tx1"/>
            </w14:solidFill>
          </w14:textFill>
        </w:rPr>
      </w:pPr>
      <w:r>
        <w:rPr>
          <w:rFonts w:hint="eastAsia"/>
          <w:color w:val="000000" w:themeColor="text1"/>
          <w14:textFill>
            <w14:solidFill>
              <w14:schemeClr w14:val="tx1"/>
            </w14:solidFill>
          </w14:textFill>
        </w:rPr>
        <w:t>本项目大气环境影响评价自查表见附表1。</w:t>
      </w:r>
    </w:p>
    <w:p w14:paraId="501875F1">
      <w:pPr>
        <w:spacing w:line="500" w:lineRule="exact"/>
        <w:ind w:firstLine="0" w:firstLineChars="0"/>
        <w:jc w:val="center"/>
        <w:rPr>
          <w:rFonts w:eastAsia="黑体"/>
          <w:snapToGrid w:val="0"/>
          <w:color w:val="000000" w:themeColor="text1"/>
          <w:kern w:val="0"/>
          <w:lang w:eastAsia="zh-CN"/>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26F9A607">
      <w:pPr>
        <w:pStyle w:val="6"/>
        <w:rPr>
          <w:snapToGrid w:val="0"/>
          <w:color w:val="000000" w:themeColor="text1"/>
          <w14:textFill>
            <w14:solidFill>
              <w14:schemeClr w14:val="tx1"/>
            </w14:solidFill>
          </w14:textFill>
        </w:rPr>
      </w:pPr>
      <w:bookmarkStart w:id="262" w:name="_Toc18905"/>
      <w:bookmarkStart w:id="263" w:name="_Hlk483940658"/>
      <w:r>
        <w:rPr>
          <w:snapToGrid w:val="0"/>
          <w:color w:val="000000" w:themeColor="text1"/>
          <w14:textFill>
            <w14:solidFill>
              <w14:schemeClr w14:val="tx1"/>
            </w14:solidFill>
          </w14:textFill>
        </w:rPr>
        <w:t>5.2.2地表水环境影响预测分析</w:t>
      </w:r>
      <w:bookmarkEnd w:id="262"/>
    </w:p>
    <w:bookmarkEnd w:id="263"/>
    <w:p w14:paraId="59E56B48">
      <w:pPr>
        <w:spacing w:line="480" w:lineRule="exact"/>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 xml:space="preserve">根据《环境影响评价技术导则 </w:t>
      </w:r>
      <w:r>
        <w:rPr>
          <w:rFonts w:hint="eastAsia"/>
          <w:snapToGrid w:val="0"/>
          <w:color w:val="000000" w:themeColor="text1"/>
          <w:kern w:val="0"/>
          <w14:textFill>
            <w14:solidFill>
              <w14:schemeClr w14:val="tx1"/>
            </w14:solidFill>
          </w14:textFill>
        </w:rPr>
        <w:t>地表水环境</w:t>
      </w:r>
      <w:r>
        <w:rPr>
          <w:snapToGrid w:val="0"/>
          <w:color w:val="000000" w:themeColor="text1"/>
          <w:kern w:val="0"/>
          <w14:textFill>
            <w14:solidFill>
              <w14:schemeClr w14:val="tx1"/>
            </w14:solidFill>
          </w14:textFill>
        </w:rPr>
        <w:t>》（HJ2.3-2018）中</w:t>
      </w:r>
      <w:r>
        <w:rPr>
          <w:rFonts w:hint="eastAsia"/>
          <w:snapToGrid w:val="0"/>
          <w:color w:val="000000" w:themeColor="text1"/>
          <w:kern w:val="0"/>
          <w14:textFill>
            <w14:solidFill>
              <w14:schemeClr w14:val="tx1"/>
            </w14:solidFill>
          </w14:textFill>
        </w:rPr>
        <w:t>7</w:t>
      </w:r>
      <w:r>
        <w:rPr>
          <w:snapToGrid w:val="0"/>
          <w:color w:val="000000" w:themeColor="text1"/>
          <w:kern w:val="0"/>
          <w14:textFill>
            <w14:solidFill>
              <w14:schemeClr w14:val="tx1"/>
            </w14:solidFill>
          </w14:textFill>
        </w:rPr>
        <w:t>.1.2</w:t>
      </w:r>
      <w:r>
        <w:rPr>
          <w:rFonts w:hint="eastAsia"/>
          <w:snapToGrid w:val="0"/>
          <w:color w:val="000000" w:themeColor="text1"/>
          <w:kern w:val="0"/>
          <w14:textFill>
            <w14:solidFill>
              <w14:schemeClr w14:val="tx1"/>
            </w14:solidFill>
          </w14:textFill>
        </w:rPr>
        <w:t>，水污染影响型三级B评价可不进行水环境影响预测。</w:t>
      </w:r>
      <w:r>
        <w:rPr>
          <w:rFonts w:hint="eastAsia"/>
          <w:snapToGrid w:val="0"/>
          <w:color w:val="000000" w:themeColor="text1"/>
          <w14:textFill>
            <w14:solidFill>
              <w14:schemeClr w14:val="tx1"/>
            </w14:solidFill>
          </w14:textFill>
        </w:rPr>
        <w:t>本项目污水污染物产生量及排放量核算情况见下表5</w:t>
      </w:r>
      <w:r>
        <w:rPr>
          <w:snapToGrid w:val="0"/>
          <w:color w:val="000000" w:themeColor="text1"/>
          <w14:textFill>
            <w14:solidFill>
              <w14:schemeClr w14:val="tx1"/>
            </w14:solidFill>
          </w14:textFill>
        </w:rPr>
        <w:t>-2-4</w:t>
      </w:r>
      <w:r>
        <w:rPr>
          <w:rFonts w:hint="eastAsia"/>
          <w:snapToGrid w:val="0"/>
          <w:color w:val="000000" w:themeColor="text1"/>
          <w14:textFill>
            <w14:solidFill>
              <w14:schemeClr w14:val="tx1"/>
            </w14:solidFill>
          </w14:textFill>
        </w:rPr>
        <w:t>。</w:t>
      </w:r>
    </w:p>
    <w:p w14:paraId="0BF1DF9F">
      <w:pPr>
        <w:pStyle w:val="206"/>
        <w:rPr>
          <w:color w:val="000000" w:themeColor="text1"/>
          <w14:textFill>
            <w14:solidFill>
              <w14:schemeClr w14:val="tx1"/>
            </w14:solidFill>
          </w14:textFill>
        </w:rPr>
      </w:pPr>
      <w:r>
        <w:rPr>
          <w:color w:val="000000" w:themeColor="text1"/>
          <w14:textFill>
            <w14:solidFill>
              <w14:schemeClr w14:val="tx1"/>
            </w14:solidFill>
          </w14:textFill>
        </w:rPr>
        <w:t xml:space="preserve">表5-2-4 </w:t>
      </w:r>
      <w:r>
        <w:rPr>
          <w:rFonts w:hint="eastAsia"/>
          <w:color w:val="000000" w:themeColor="text1"/>
          <w14:textFill>
            <w14:solidFill>
              <w14:schemeClr w14:val="tx1"/>
            </w14:solidFill>
          </w14:textFill>
        </w:rPr>
        <w:t>本项目</w:t>
      </w:r>
      <w:r>
        <w:rPr>
          <w:color w:val="000000" w:themeColor="text1"/>
          <w14:textFill>
            <w14:solidFill>
              <w14:schemeClr w14:val="tx1"/>
            </w14:solidFill>
          </w14:textFill>
        </w:rPr>
        <w:t>污水污染物产生</w:t>
      </w:r>
      <w:r>
        <w:rPr>
          <w:rFonts w:hint="eastAsia"/>
          <w:color w:val="000000" w:themeColor="text1"/>
          <w14:textFill>
            <w14:solidFill>
              <w14:schemeClr w14:val="tx1"/>
            </w14:solidFill>
          </w14:textFill>
        </w:rPr>
        <w:t>及排放</w:t>
      </w:r>
      <w:r>
        <w:rPr>
          <w:color w:val="000000" w:themeColor="text1"/>
          <w14:textFill>
            <w14:solidFill>
              <w14:schemeClr w14:val="tx1"/>
            </w14:solidFill>
          </w14:textFill>
        </w:rPr>
        <w:t>情况一览表</w:t>
      </w:r>
    </w:p>
    <w:tbl>
      <w:tblPr>
        <w:tblStyle w:val="47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79"/>
        <w:gridCol w:w="464"/>
        <w:gridCol w:w="983"/>
        <w:gridCol w:w="573"/>
        <w:gridCol w:w="1869"/>
        <w:gridCol w:w="1469"/>
        <w:gridCol w:w="1156"/>
        <w:gridCol w:w="2028"/>
        <w:gridCol w:w="863"/>
        <w:gridCol w:w="1623"/>
        <w:gridCol w:w="1092"/>
        <w:gridCol w:w="1159"/>
      </w:tblGrid>
      <w:tr w14:paraId="5567AD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43" w:type="pct"/>
            <w:vMerge w:val="restart"/>
            <w:vAlign w:val="center"/>
          </w:tcPr>
          <w:p w14:paraId="29D759CC">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工序</w:t>
            </w:r>
            <w:r>
              <w:rPr>
                <w:rFonts w:cs="Times New Roman"/>
                <w:color w:val="000000" w:themeColor="text1"/>
                <w14:textFill>
                  <w14:solidFill>
                    <w14:schemeClr w14:val="tx1"/>
                  </w14:solidFill>
                </w14:textFill>
              </w:rPr>
              <w:t>/</w:t>
            </w:r>
            <w:r>
              <w:rPr>
                <w:rFonts w:hint="eastAsia" w:cs="Times New Roman"/>
                <w:color w:val="000000" w:themeColor="text1"/>
                <w14:textFill>
                  <w14:solidFill>
                    <w14:schemeClr w14:val="tx1"/>
                  </w14:solidFill>
                </w14:textFill>
              </w:rPr>
              <w:t>生产线</w:t>
            </w:r>
          </w:p>
        </w:tc>
        <w:tc>
          <w:tcPr>
            <w:tcW w:w="166" w:type="pct"/>
            <w:vMerge w:val="restart"/>
            <w:vAlign w:val="center"/>
          </w:tcPr>
          <w:p w14:paraId="459CB7F5">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污染源</w:t>
            </w:r>
          </w:p>
        </w:tc>
        <w:tc>
          <w:tcPr>
            <w:tcW w:w="352" w:type="pct"/>
            <w:vMerge w:val="restart"/>
            <w:vAlign w:val="center"/>
          </w:tcPr>
          <w:p w14:paraId="284A0B78">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污染物</w:t>
            </w:r>
          </w:p>
        </w:tc>
        <w:tc>
          <w:tcPr>
            <w:tcW w:w="1814" w:type="pct"/>
            <w:gridSpan w:val="4"/>
            <w:vAlign w:val="center"/>
          </w:tcPr>
          <w:p w14:paraId="3BA6CFCA">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污染物产生情况</w:t>
            </w:r>
          </w:p>
        </w:tc>
        <w:tc>
          <w:tcPr>
            <w:tcW w:w="1035" w:type="pct"/>
            <w:gridSpan w:val="2"/>
            <w:vAlign w:val="center"/>
          </w:tcPr>
          <w:p w14:paraId="097E4005">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治理措施</w:t>
            </w:r>
          </w:p>
        </w:tc>
        <w:tc>
          <w:tcPr>
            <w:tcW w:w="1387" w:type="pct"/>
            <w:gridSpan w:val="3"/>
            <w:vAlign w:val="center"/>
          </w:tcPr>
          <w:p w14:paraId="4B6AA5CE">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污染物排放</w:t>
            </w:r>
          </w:p>
        </w:tc>
      </w:tr>
      <w:tr w14:paraId="3D0F26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43" w:type="pct"/>
            <w:vMerge w:val="continue"/>
            <w:vAlign w:val="center"/>
          </w:tcPr>
          <w:p w14:paraId="056C3D72">
            <w:pPr>
              <w:pStyle w:val="143"/>
              <w:rPr>
                <w:rFonts w:cs="Times New Roman"/>
                <w:color w:val="000000" w:themeColor="text1"/>
                <w14:textFill>
                  <w14:solidFill>
                    <w14:schemeClr w14:val="tx1"/>
                  </w14:solidFill>
                </w14:textFill>
              </w:rPr>
            </w:pPr>
          </w:p>
        </w:tc>
        <w:tc>
          <w:tcPr>
            <w:tcW w:w="166" w:type="pct"/>
            <w:vMerge w:val="continue"/>
            <w:vAlign w:val="center"/>
          </w:tcPr>
          <w:p w14:paraId="247DEF92">
            <w:pPr>
              <w:pStyle w:val="143"/>
              <w:rPr>
                <w:rFonts w:cs="Times New Roman"/>
                <w:color w:val="000000" w:themeColor="text1"/>
                <w14:textFill>
                  <w14:solidFill>
                    <w14:schemeClr w14:val="tx1"/>
                  </w14:solidFill>
                </w14:textFill>
              </w:rPr>
            </w:pPr>
          </w:p>
        </w:tc>
        <w:tc>
          <w:tcPr>
            <w:tcW w:w="352" w:type="pct"/>
            <w:vMerge w:val="continue"/>
            <w:vAlign w:val="center"/>
          </w:tcPr>
          <w:p w14:paraId="0E5C6D83">
            <w:pPr>
              <w:pStyle w:val="143"/>
              <w:rPr>
                <w:rFonts w:cs="Times New Roman"/>
                <w:color w:val="000000" w:themeColor="text1"/>
                <w14:textFill>
                  <w14:solidFill>
                    <w14:schemeClr w14:val="tx1"/>
                  </w14:solidFill>
                </w14:textFill>
              </w:rPr>
            </w:pPr>
          </w:p>
        </w:tc>
        <w:tc>
          <w:tcPr>
            <w:tcW w:w="205" w:type="pct"/>
            <w:vAlign w:val="center"/>
          </w:tcPr>
          <w:p w14:paraId="0AE1FA48">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核算方法</w:t>
            </w:r>
          </w:p>
        </w:tc>
        <w:tc>
          <w:tcPr>
            <w:tcW w:w="669" w:type="pct"/>
            <w:vAlign w:val="center"/>
          </w:tcPr>
          <w:p w14:paraId="1A4B5EC5">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产生废水量（</w:t>
            </w:r>
            <w:r>
              <w:rPr>
                <w:rFonts w:cs="Times New Roman"/>
                <w:color w:val="000000" w:themeColor="text1"/>
                <w14:textFill>
                  <w14:solidFill>
                    <w14:schemeClr w14:val="tx1"/>
                  </w14:solidFill>
                </w14:textFill>
              </w:rPr>
              <w:t>t/a</w:t>
            </w:r>
            <w:r>
              <w:rPr>
                <w:rFonts w:hint="eastAsia" w:cs="Times New Roman"/>
                <w:color w:val="000000" w:themeColor="text1"/>
                <w14:textFill>
                  <w14:solidFill>
                    <w14:schemeClr w14:val="tx1"/>
                  </w14:solidFill>
                </w14:textFill>
              </w:rPr>
              <w:t>）</w:t>
            </w:r>
          </w:p>
        </w:tc>
        <w:tc>
          <w:tcPr>
            <w:tcW w:w="526" w:type="pct"/>
            <w:vAlign w:val="center"/>
          </w:tcPr>
          <w:p w14:paraId="587F7166">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产生浓度（</w:t>
            </w:r>
            <w:r>
              <w:rPr>
                <w:rFonts w:cs="Times New Roman"/>
                <w:color w:val="000000" w:themeColor="text1"/>
                <w14:textFill>
                  <w14:solidFill>
                    <w14:schemeClr w14:val="tx1"/>
                  </w14:solidFill>
                </w14:textFill>
              </w:rPr>
              <w:t>mg/L</w:t>
            </w:r>
            <w:r>
              <w:rPr>
                <w:rFonts w:hint="eastAsia" w:cs="Times New Roman"/>
                <w:color w:val="000000" w:themeColor="text1"/>
                <w14:textFill>
                  <w14:solidFill>
                    <w14:schemeClr w14:val="tx1"/>
                  </w14:solidFill>
                </w14:textFill>
              </w:rPr>
              <w:t>）</w:t>
            </w:r>
          </w:p>
        </w:tc>
        <w:tc>
          <w:tcPr>
            <w:tcW w:w="413" w:type="pct"/>
            <w:vAlign w:val="center"/>
          </w:tcPr>
          <w:p w14:paraId="2C2E3AFC">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产生量（</w:t>
            </w:r>
            <w:r>
              <w:rPr>
                <w:rFonts w:cs="Times New Roman"/>
                <w:color w:val="000000" w:themeColor="text1"/>
                <w14:textFill>
                  <w14:solidFill>
                    <w14:schemeClr w14:val="tx1"/>
                  </w14:solidFill>
                </w14:textFill>
              </w:rPr>
              <w:t>t/a</w:t>
            </w:r>
            <w:r>
              <w:rPr>
                <w:rFonts w:hint="eastAsia" w:cs="Times New Roman"/>
                <w:color w:val="000000" w:themeColor="text1"/>
                <w14:textFill>
                  <w14:solidFill>
                    <w14:schemeClr w14:val="tx1"/>
                  </w14:solidFill>
                </w14:textFill>
              </w:rPr>
              <w:t>）</w:t>
            </w:r>
          </w:p>
        </w:tc>
        <w:tc>
          <w:tcPr>
            <w:tcW w:w="726" w:type="pct"/>
            <w:vAlign w:val="center"/>
          </w:tcPr>
          <w:p w14:paraId="0499A2BA">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工艺</w:t>
            </w:r>
          </w:p>
        </w:tc>
        <w:tc>
          <w:tcPr>
            <w:tcW w:w="309" w:type="pct"/>
            <w:vAlign w:val="center"/>
          </w:tcPr>
          <w:p w14:paraId="1504707F">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效率</w:t>
            </w:r>
          </w:p>
        </w:tc>
        <w:tc>
          <w:tcPr>
            <w:tcW w:w="581" w:type="pct"/>
            <w:vAlign w:val="center"/>
          </w:tcPr>
          <w:p w14:paraId="09B918F6">
            <w:pPr>
              <w:pStyle w:val="143"/>
              <w:rPr>
                <w:rFonts w:cs="Times New Roman"/>
                <w:color w:val="000000" w:themeColor="text1"/>
                <w14:textFill>
                  <w14:solidFill>
                    <w14:schemeClr w14:val="tx1"/>
                  </w14:solidFill>
                </w14:textFill>
              </w:rPr>
            </w:pPr>
            <w:r>
              <w:rPr>
                <w:rFonts w:hint="eastAsia" w:cs="Times New Roman"/>
                <w:color w:val="000000" w:themeColor="text1"/>
                <w:lang w:eastAsia="zh-CN"/>
                <w14:textFill>
                  <w14:solidFill>
                    <w14:schemeClr w14:val="tx1"/>
                  </w14:solidFill>
                </w14:textFill>
              </w:rPr>
              <w:t>排放废水量</w:t>
            </w:r>
          </w:p>
        </w:tc>
        <w:tc>
          <w:tcPr>
            <w:tcW w:w="391" w:type="pct"/>
            <w:vAlign w:val="center"/>
          </w:tcPr>
          <w:p w14:paraId="665C7115">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排放浓度（</w:t>
            </w:r>
            <w:r>
              <w:rPr>
                <w:rFonts w:cs="Times New Roman"/>
                <w:color w:val="000000" w:themeColor="text1"/>
                <w14:textFill>
                  <w14:solidFill>
                    <w14:schemeClr w14:val="tx1"/>
                  </w14:solidFill>
                </w14:textFill>
              </w:rPr>
              <w:t>mg/L</w:t>
            </w:r>
            <w:r>
              <w:rPr>
                <w:rFonts w:hint="eastAsia" w:cs="Times New Roman"/>
                <w:color w:val="000000" w:themeColor="text1"/>
                <w14:textFill>
                  <w14:solidFill>
                    <w14:schemeClr w14:val="tx1"/>
                  </w14:solidFill>
                </w14:textFill>
              </w:rPr>
              <w:t>）</w:t>
            </w:r>
          </w:p>
        </w:tc>
        <w:tc>
          <w:tcPr>
            <w:tcW w:w="415" w:type="pct"/>
            <w:vAlign w:val="center"/>
          </w:tcPr>
          <w:p w14:paraId="036B0E45">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排放量（</w:t>
            </w:r>
            <w:r>
              <w:rPr>
                <w:rFonts w:cs="Times New Roman"/>
                <w:color w:val="000000" w:themeColor="text1"/>
                <w14:textFill>
                  <w14:solidFill>
                    <w14:schemeClr w14:val="tx1"/>
                  </w14:solidFill>
                </w14:textFill>
              </w:rPr>
              <w:t>t/a</w:t>
            </w:r>
            <w:r>
              <w:rPr>
                <w:rFonts w:hint="eastAsia" w:cs="Times New Roman"/>
                <w:color w:val="000000" w:themeColor="text1"/>
                <w14:textFill>
                  <w14:solidFill>
                    <w14:schemeClr w14:val="tx1"/>
                  </w14:solidFill>
                </w14:textFill>
              </w:rPr>
              <w:t>）</w:t>
            </w:r>
          </w:p>
        </w:tc>
      </w:tr>
      <w:tr w14:paraId="67CB19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43" w:type="pct"/>
            <w:vMerge w:val="restart"/>
            <w:vAlign w:val="center"/>
          </w:tcPr>
          <w:p w14:paraId="2725F1B1">
            <w:pPr>
              <w:pStyle w:val="143"/>
              <w:rPr>
                <w:rFonts w:cs="Times New Roman"/>
                <w:color w:val="000000" w:themeColor="text1"/>
                <w:lang w:eastAsia="zh-CN"/>
                <w14:textFill>
                  <w14:solidFill>
                    <w14:schemeClr w14:val="tx1"/>
                  </w14:solidFill>
                </w14:textFill>
              </w:rPr>
            </w:pPr>
            <w:r>
              <w:rPr>
                <w:rFonts w:hint="eastAsia" w:cs="Times New Roman"/>
                <w:color w:val="000000" w:themeColor="text1"/>
                <w:lang w:eastAsia="zh-CN"/>
                <w14:textFill>
                  <w14:solidFill>
                    <w14:schemeClr w14:val="tx1"/>
                  </w14:solidFill>
                </w14:textFill>
              </w:rPr>
              <w:t>综合废水/污水处理站</w:t>
            </w:r>
          </w:p>
        </w:tc>
        <w:tc>
          <w:tcPr>
            <w:tcW w:w="166" w:type="pct"/>
            <w:vMerge w:val="restart"/>
            <w:vAlign w:val="center"/>
          </w:tcPr>
          <w:p w14:paraId="75B5DDB4">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废水</w:t>
            </w:r>
          </w:p>
        </w:tc>
        <w:tc>
          <w:tcPr>
            <w:tcW w:w="352" w:type="pct"/>
            <w:vAlign w:val="center"/>
          </w:tcPr>
          <w:p w14:paraId="5D072A64">
            <w:pPr>
              <w:pStyle w:val="143"/>
              <w:rPr>
                <w:rFonts w:eastAsia="等线" w:cs="Times New Roman"/>
                <w:color w:val="000000" w:themeColor="text1"/>
                <w14:textFill>
                  <w14:solidFill>
                    <w14:schemeClr w14:val="tx1"/>
                  </w14:solidFill>
                </w14:textFill>
              </w:rPr>
            </w:pPr>
            <w:r>
              <w:rPr>
                <w:rFonts w:hint="eastAsia" w:cs="Times New Roman"/>
                <w:snapToGrid w:val="0"/>
                <w:color w:val="000000" w:themeColor="text1"/>
                <w:lang w:val="en-US"/>
                <w14:textFill>
                  <w14:solidFill>
                    <w14:schemeClr w14:val="tx1"/>
                  </w14:solidFill>
                </w14:textFill>
              </w:rPr>
              <w:t>pH值</w:t>
            </w:r>
          </w:p>
        </w:tc>
        <w:tc>
          <w:tcPr>
            <w:tcW w:w="205" w:type="pct"/>
            <w:vMerge w:val="restart"/>
            <w:vAlign w:val="center"/>
          </w:tcPr>
          <w:p w14:paraId="76F21CA9">
            <w:pPr>
              <w:pStyle w:val="143"/>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类比法</w:t>
            </w:r>
          </w:p>
        </w:tc>
        <w:tc>
          <w:tcPr>
            <w:tcW w:w="669" w:type="pct"/>
            <w:vMerge w:val="restart"/>
            <w:vAlign w:val="center"/>
          </w:tcPr>
          <w:p w14:paraId="41427389">
            <w:pPr>
              <w:pStyle w:val="143"/>
              <w:rPr>
                <w:rFonts w:eastAsia="等线" w:cs="Times New Roman"/>
                <w:color w:val="000000" w:themeColor="text1"/>
                <w14:textFill>
                  <w14:solidFill>
                    <w14:schemeClr w14:val="tx1"/>
                  </w14:solidFill>
                </w14:textFill>
              </w:rPr>
            </w:pPr>
            <w:r>
              <w:rPr>
                <w:rFonts w:hint="eastAsia" w:eastAsia="等线" w:cs="Times New Roman"/>
                <w:color w:val="000000" w:themeColor="text1"/>
                <w:lang w:eastAsia="zh-CN"/>
                <w14:textFill>
                  <w14:solidFill>
                    <w14:schemeClr w14:val="tx1"/>
                  </w14:solidFill>
                </w14:textFill>
              </w:rPr>
              <w:t>37067.84</w:t>
            </w:r>
            <w:r>
              <w:rPr>
                <w:rFonts w:eastAsia="等线" w:cs="Times New Roman"/>
                <w:color w:val="000000" w:themeColor="text1"/>
                <w14:textFill>
                  <w14:solidFill>
                    <w14:schemeClr w14:val="tx1"/>
                  </w14:solidFill>
                </w14:textFill>
              </w:rPr>
              <w:t>m</w:t>
            </w:r>
            <w:r>
              <w:rPr>
                <w:rFonts w:eastAsia="等线" w:cs="Times New Roman"/>
                <w:color w:val="000000" w:themeColor="text1"/>
                <w:vertAlign w:val="superscript"/>
                <w14:textFill>
                  <w14:solidFill>
                    <w14:schemeClr w14:val="tx1"/>
                  </w14:solidFill>
                </w14:textFill>
              </w:rPr>
              <w:t>3</w:t>
            </w:r>
            <w:r>
              <w:rPr>
                <w:rFonts w:eastAsia="等线" w:cs="Times New Roman"/>
                <w:color w:val="000000" w:themeColor="text1"/>
                <w14:textFill>
                  <w14:solidFill>
                    <w14:schemeClr w14:val="tx1"/>
                  </w14:solidFill>
                </w14:textFill>
              </w:rPr>
              <w:t>/a</w:t>
            </w:r>
          </w:p>
        </w:tc>
        <w:tc>
          <w:tcPr>
            <w:tcW w:w="939" w:type="pct"/>
            <w:gridSpan w:val="2"/>
            <w:vAlign w:val="center"/>
          </w:tcPr>
          <w:p w14:paraId="0122D85A">
            <w:pPr>
              <w:pStyle w:val="143"/>
              <w:rPr>
                <w:rFonts w:eastAsia="等线" w:cs="Times New Roman"/>
                <w:color w:val="000000" w:themeColor="text1"/>
                <w:lang w:eastAsia="zh-CN"/>
                <w14:textFill>
                  <w14:solidFill>
                    <w14:schemeClr w14:val="tx1"/>
                  </w14:solidFill>
                </w14:textFill>
              </w:rPr>
            </w:pPr>
            <w:r>
              <w:rPr>
                <w:rFonts w:hint="eastAsia" w:eastAsia="等线" w:cs="Times New Roman"/>
                <w:color w:val="000000" w:themeColor="text1"/>
                <w:lang w:eastAsia="zh-CN"/>
                <w14:textFill>
                  <w14:solidFill>
                    <w14:schemeClr w14:val="tx1"/>
                  </w14:solidFill>
                </w14:textFill>
              </w:rPr>
              <w:t>5</w:t>
            </w:r>
            <w:r>
              <w:rPr>
                <w:rFonts w:eastAsia="等线" w:cs="Times New Roman"/>
                <w:color w:val="000000" w:themeColor="text1"/>
                <w:lang w:eastAsia="zh-CN"/>
                <w14:textFill>
                  <w14:solidFill>
                    <w14:schemeClr w14:val="tx1"/>
                  </w14:solidFill>
                </w14:textFill>
              </w:rPr>
              <w:t>.5~11</w:t>
            </w:r>
          </w:p>
        </w:tc>
        <w:tc>
          <w:tcPr>
            <w:tcW w:w="726" w:type="pct"/>
            <w:vMerge w:val="restart"/>
            <w:vAlign w:val="center"/>
          </w:tcPr>
          <w:p w14:paraId="30D2A4BA">
            <w:pPr>
              <w:pStyle w:val="143"/>
              <w:rPr>
                <w:rFonts w:cs="Times New Roman"/>
                <w:color w:val="000000" w:themeColor="text1"/>
                <w14:textFill>
                  <w14:solidFill>
                    <w14:schemeClr w14:val="tx1"/>
                  </w14:solidFill>
                </w14:textFill>
              </w:rPr>
            </w:pPr>
            <w:r>
              <w:rPr>
                <w:rFonts w:hint="eastAsia" w:cs="Times New Roman"/>
                <w:color w:val="000000" w:themeColor="text1"/>
                <w:lang w:val="en-US"/>
                <w14:textFill>
                  <w14:solidFill>
                    <w14:schemeClr w14:val="tx1"/>
                  </w14:solidFill>
                </w14:textFill>
              </w:rPr>
              <w:t>初沉池+调节池+UASB+</w:t>
            </w:r>
            <w:r>
              <w:rPr>
                <w:rFonts w:hint="eastAsia" w:cs="Times New Roman"/>
                <w:color w:val="000000" w:themeColor="text1"/>
                <w:lang w:val="en-US" w:eastAsia="zh-CN"/>
                <w14:textFill>
                  <w14:solidFill>
                    <w14:schemeClr w14:val="tx1"/>
                  </w14:solidFill>
                </w14:textFill>
              </w:rPr>
              <w:t>A/O</w:t>
            </w:r>
            <w:r>
              <w:rPr>
                <w:rFonts w:hint="eastAsia" w:cs="Times New Roman"/>
                <w:color w:val="000000" w:themeColor="text1"/>
                <w:lang w:val="en-US"/>
                <w14:textFill>
                  <w14:solidFill>
                    <w14:schemeClr w14:val="tx1"/>
                  </w14:solidFill>
                </w14:textFill>
              </w:rPr>
              <w:t>+二沉池+污泥池</w:t>
            </w:r>
          </w:p>
        </w:tc>
        <w:tc>
          <w:tcPr>
            <w:tcW w:w="309" w:type="pct"/>
            <w:vAlign w:val="center"/>
          </w:tcPr>
          <w:p w14:paraId="1C06379C">
            <w:pPr>
              <w:pStyle w:val="143"/>
              <w:rPr>
                <w:rFonts w:eastAsia="等线" w:cs="Times New Roman"/>
                <w:color w:val="000000" w:themeColor="text1"/>
                <w:lang w:eastAsia="zh-CN"/>
                <w14:textFill>
                  <w14:solidFill>
                    <w14:schemeClr w14:val="tx1"/>
                  </w14:solidFill>
                </w14:textFill>
              </w:rPr>
            </w:pPr>
            <w:r>
              <w:rPr>
                <w:rFonts w:hint="eastAsia" w:eastAsia="等线" w:cs="Times New Roman"/>
                <w:color w:val="000000" w:themeColor="text1"/>
                <w:lang w:eastAsia="zh-CN"/>
                <w14:textFill>
                  <w14:solidFill>
                    <w14:schemeClr w14:val="tx1"/>
                  </w14:solidFill>
                </w14:textFill>
              </w:rPr>
              <w:t>/</w:t>
            </w:r>
          </w:p>
        </w:tc>
        <w:tc>
          <w:tcPr>
            <w:tcW w:w="581" w:type="pct"/>
            <w:vMerge w:val="restart"/>
            <w:vAlign w:val="center"/>
          </w:tcPr>
          <w:p w14:paraId="06640737">
            <w:pPr>
              <w:pStyle w:val="143"/>
              <w:rPr>
                <w:rFonts w:eastAsia="等线" w:cs="Times New Roman"/>
                <w:color w:val="000000" w:themeColor="text1"/>
                <w14:textFill>
                  <w14:solidFill>
                    <w14:schemeClr w14:val="tx1"/>
                  </w14:solidFill>
                </w14:textFill>
              </w:rPr>
            </w:pPr>
            <w:r>
              <w:rPr>
                <w:rFonts w:hint="eastAsia" w:eastAsia="等线" w:cs="Times New Roman"/>
                <w:color w:val="000000" w:themeColor="text1"/>
                <w:lang w:val="en-US" w:eastAsia="zh-CN"/>
                <w14:textFill>
                  <w14:solidFill>
                    <w14:schemeClr w14:val="tx1"/>
                  </w14:solidFill>
                </w14:textFill>
              </w:rPr>
              <w:t>37067.84</w:t>
            </w:r>
            <w:r>
              <w:rPr>
                <w:rFonts w:eastAsia="等线" w:cs="Times New Roman"/>
                <w:color w:val="000000" w:themeColor="text1"/>
                <w:lang w:val="en-US"/>
                <w14:textFill>
                  <w14:solidFill>
                    <w14:schemeClr w14:val="tx1"/>
                  </w14:solidFill>
                </w14:textFill>
              </w:rPr>
              <w:t>m</w:t>
            </w:r>
            <w:r>
              <w:rPr>
                <w:rFonts w:eastAsia="等线" w:cs="Times New Roman"/>
                <w:color w:val="000000" w:themeColor="text1"/>
                <w:vertAlign w:val="superscript"/>
                <w:lang w:val="en-US"/>
                <w14:textFill>
                  <w14:solidFill>
                    <w14:schemeClr w14:val="tx1"/>
                  </w14:solidFill>
                </w14:textFill>
              </w:rPr>
              <w:t>3</w:t>
            </w:r>
            <w:r>
              <w:rPr>
                <w:rFonts w:eastAsia="等线" w:cs="Times New Roman"/>
                <w:color w:val="000000" w:themeColor="text1"/>
                <w:lang w:val="en-US"/>
                <w14:textFill>
                  <w14:solidFill>
                    <w14:schemeClr w14:val="tx1"/>
                  </w14:solidFill>
                </w14:textFill>
              </w:rPr>
              <w:t>/a</w:t>
            </w:r>
          </w:p>
        </w:tc>
        <w:tc>
          <w:tcPr>
            <w:tcW w:w="806" w:type="pct"/>
            <w:gridSpan w:val="2"/>
            <w:vAlign w:val="center"/>
          </w:tcPr>
          <w:p w14:paraId="73F3B747">
            <w:pPr>
              <w:pStyle w:val="143"/>
              <w:rPr>
                <w:rFonts w:eastAsia="等线" w:cs="Times New Roman"/>
                <w:color w:val="000000" w:themeColor="text1"/>
                <w:lang w:eastAsia="zh-CN"/>
                <w14:textFill>
                  <w14:solidFill>
                    <w14:schemeClr w14:val="tx1"/>
                  </w14:solidFill>
                </w14:textFill>
              </w:rPr>
            </w:pPr>
            <w:r>
              <w:rPr>
                <w:rFonts w:hint="eastAsia" w:eastAsia="等线" w:cs="Times New Roman"/>
                <w:color w:val="000000" w:themeColor="text1"/>
                <w:lang w:eastAsia="zh-CN"/>
                <w14:textFill>
                  <w14:solidFill>
                    <w14:schemeClr w14:val="tx1"/>
                  </w14:solidFill>
                </w14:textFill>
              </w:rPr>
              <w:t>6</w:t>
            </w:r>
            <w:r>
              <w:rPr>
                <w:rFonts w:eastAsia="等线" w:cs="Times New Roman"/>
                <w:color w:val="000000" w:themeColor="text1"/>
                <w:lang w:eastAsia="zh-CN"/>
                <w14:textFill>
                  <w14:solidFill>
                    <w14:schemeClr w14:val="tx1"/>
                  </w14:solidFill>
                </w14:textFill>
              </w:rPr>
              <w:t>~9</w:t>
            </w:r>
          </w:p>
        </w:tc>
      </w:tr>
      <w:tr w14:paraId="405C47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43" w:type="pct"/>
            <w:vMerge w:val="continue"/>
            <w:vAlign w:val="center"/>
          </w:tcPr>
          <w:p w14:paraId="75AA9761">
            <w:pPr>
              <w:pStyle w:val="143"/>
              <w:rPr>
                <w:rFonts w:cs="Times New Roman"/>
                <w:color w:val="000000" w:themeColor="text1"/>
                <w14:textFill>
                  <w14:solidFill>
                    <w14:schemeClr w14:val="tx1"/>
                  </w14:solidFill>
                </w14:textFill>
              </w:rPr>
            </w:pPr>
          </w:p>
        </w:tc>
        <w:tc>
          <w:tcPr>
            <w:tcW w:w="166" w:type="pct"/>
            <w:vMerge w:val="continue"/>
            <w:vAlign w:val="center"/>
          </w:tcPr>
          <w:p w14:paraId="2C7E5B60">
            <w:pPr>
              <w:pStyle w:val="143"/>
              <w:rPr>
                <w:rFonts w:cs="Times New Roman"/>
                <w:color w:val="000000" w:themeColor="text1"/>
                <w14:textFill>
                  <w14:solidFill>
                    <w14:schemeClr w14:val="tx1"/>
                  </w14:solidFill>
                </w14:textFill>
              </w:rPr>
            </w:pPr>
          </w:p>
        </w:tc>
        <w:tc>
          <w:tcPr>
            <w:tcW w:w="352" w:type="pct"/>
            <w:vAlign w:val="center"/>
          </w:tcPr>
          <w:p w14:paraId="06844486">
            <w:pPr>
              <w:pStyle w:val="143"/>
              <w:rPr>
                <w:rFonts w:eastAsia="等线" w:cs="Times New Roman"/>
                <w:color w:val="000000" w:themeColor="text1"/>
                <w14:textFill>
                  <w14:solidFill>
                    <w14:schemeClr w14:val="tx1"/>
                  </w14:solidFill>
                </w14:textFill>
              </w:rPr>
            </w:pPr>
            <w:r>
              <w:rPr>
                <w:rFonts w:cs="Times New Roman"/>
                <w:snapToGrid w:val="0"/>
                <w:color w:val="000000" w:themeColor="text1"/>
                <w14:textFill>
                  <w14:solidFill>
                    <w14:schemeClr w14:val="tx1"/>
                  </w14:solidFill>
                </w14:textFill>
              </w:rPr>
              <w:t>COD</w:t>
            </w:r>
          </w:p>
        </w:tc>
        <w:tc>
          <w:tcPr>
            <w:tcW w:w="205" w:type="pct"/>
            <w:vMerge w:val="continue"/>
            <w:vAlign w:val="center"/>
          </w:tcPr>
          <w:p w14:paraId="1B458992">
            <w:pPr>
              <w:pStyle w:val="143"/>
              <w:rPr>
                <w:rFonts w:cs="Times New Roman"/>
                <w:color w:val="000000" w:themeColor="text1"/>
                <w14:textFill>
                  <w14:solidFill>
                    <w14:schemeClr w14:val="tx1"/>
                  </w14:solidFill>
                </w14:textFill>
              </w:rPr>
            </w:pPr>
          </w:p>
        </w:tc>
        <w:tc>
          <w:tcPr>
            <w:tcW w:w="669" w:type="pct"/>
            <w:vMerge w:val="continue"/>
            <w:vAlign w:val="center"/>
          </w:tcPr>
          <w:p w14:paraId="55BB650E">
            <w:pPr>
              <w:pStyle w:val="143"/>
              <w:rPr>
                <w:rFonts w:eastAsia="等线" w:cs="Times New Roman"/>
                <w:color w:val="000000" w:themeColor="text1"/>
                <w14:textFill>
                  <w14:solidFill>
                    <w14:schemeClr w14:val="tx1"/>
                  </w14:solidFill>
                </w14:textFill>
              </w:rPr>
            </w:pPr>
          </w:p>
        </w:tc>
        <w:tc>
          <w:tcPr>
            <w:tcW w:w="526" w:type="pct"/>
            <w:vAlign w:val="center"/>
          </w:tcPr>
          <w:p w14:paraId="11209AB6">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413" w:type="pct"/>
            <w:vAlign w:val="center"/>
          </w:tcPr>
          <w:p w14:paraId="2ADBFCAE">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92.67 </w:t>
            </w:r>
          </w:p>
        </w:tc>
        <w:tc>
          <w:tcPr>
            <w:tcW w:w="726" w:type="pct"/>
            <w:vMerge w:val="continue"/>
            <w:vAlign w:val="center"/>
          </w:tcPr>
          <w:p w14:paraId="54795A67">
            <w:pPr>
              <w:pStyle w:val="143"/>
              <w:rPr>
                <w:rFonts w:cs="Times New Roman"/>
                <w:color w:val="000000" w:themeColor="text1"/>
                <w14:textFill>
                  <w14:solidFill>
                    <w14:schemeClr w14:val="tx1"/>
                  </w14:solidFill>
                </w14:textFill>
              </w:rPr>
            </w:pPr>
          </w:p>
        </w:tc>
        <w:tc>
          <w:tcPr>
            <w:tcW w:w="864" w:type="dxa"/>
            <w:vAlign w:val="center"/>
          </w:tcPr>
          <w:p w14:paraId="4E8E0E4A">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95</w:t>
            </w:r>
            <w:r>
              <w:rPr>
                <w:rFonts w:cs="Times New Roman"/>
                <w:color w:val="000000" w:themeColor="text1"/>
                <w:szCs w:val="21"/>
                <w14:textFill>
                  <w14:solidFill>
                    <w14:schemeClr w14:val="tx1"/>
                  </w14:solidFill>
                </w14:textFill>
              </w:rPr>
              <w:t>%</w:t>
            </w:r>
          </w:p>
        </w:tc>
        <w:tc>
          <w:tcPr>
            <w:tcW w:w="581" w:type="pct"/>
            <w:vMerge w:val="continue"/>
            <w:vAlign w:val="center"/>
          </w:tcPr>
          <w:p w14:paraId="22A7B806">
            <w:pPr>
              <w:pStyle w:val="143"/>
              <w:rPr>
                <w:rFonts w:eastAsia="等线" w:cs="Times New Roman"/>
                <w:color w:val="000000" w:themeColor="text1"/>
                <w14:textFill>
                  <w14:solidFill>
                    <w14:schemeClr w14:val="tx1"/>
                  </w14:solidFill>
                </w14:textFill>
              </w:rPr>
            </w:pPr>
          </w:p>
        </w:tc>
        <w:tc>
          <w:tcPr>
            <w:tcW w:w="1092" w:type="dxa"/>
            <w:vAlign w:val="center"/>
          </w:tcPr>
          <w:p w14:paraId="1D55B52F">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125</w:t>
            </w:r>
          </w:p>
        </w:tc>
        <w:tc>
          <w:tcPr>
            <w:tcW w:w="1159" w:type="dxa"/>
            <w:vAlign w:val="center"/>
          </w:tcPr>
          <w:p w14:paraId="7FE99DEB">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4.63</w:t>
            </w:r>
          </w:p>
        </w:tc>
      </w:tr>
      <w:tr w14:paraId="0A248E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43" w:type="pct"/>
            <w:vMerge w:val="continue"/>
            <w:vAlign w:val="center"/>
          </w:tcPr>
          <w:p w14:paraId="2F2BAD75">
            <w:pPr>
              <w:pStyle w:val="143"/>
              <w:rPr>
                <w:rFonts w:cs="Times New Roman"/>
                <w:color w:val="000000" w:themeColor="text1"/>
                <w14:textFill>
                  <w14:solidFill>
                    <w14:schemeClr w14:val="tx1"/>
                  </w14:solidFill>
                </w14:textFill>
              </w:rPr>
            </w:pPr>
          </w:p>
        </w:tc>
        <w:tc>
          <w:tcPr>
            <w:tcW w:w="166" w:type="pct"/>
            <w:vMerge w:val="continue"/>
            <w:vAlign w:val="center"/>
          </w:tcPr>
          <w:p w14:paraId="39AA2B16">
            <w:pPr>
              <w:pStyle w:val="143"/>
              <w:rPr>
                <w:rFonts w:cs="Times New Roman"/>
                <w:color w:val="000000" w:themeColor="text1"/>
                <w14:textFill>
                  <w14:solidFill>
                    <w14:schemeClr w14:val="tx1"/>
                  </w14:solidFill>
                </w14:textFill>
              </w:rPr>
            </w:pPr>
          </w:p>
        </w:tc>
        <w:tc>
          <w:tcPr>
            <w:tcW w:w="352" w:type="pct"/>
            <w:vAlign w:val="center"/>
          </w:tcPr>
          <w:p w14:paraId="5043ACB4">
            <w:pPr>
              <w:pStyle w:val="143"/>
              <w:rPr>
                <w:rFonts w:eastAsia="等线" w:cs="Times New Roman"/>
                <w:color w:val="000000" w:themeColor="text1"/>
                <w14:textFill>
                  <w14:solidFill>
                    <w14:schemeClr w14:val="tx1"/>
                  </w14:solidFill>
                </w14:textFill>
              </w:rPr>
            </w:pPr>
            <w:r>
              <w:rPr>
                <w:rFonts w:hint="eastAsia" w:cs="Times New Roman"/>
                <w:snapToGrid w:val="0"/>
                <w:color w:val="000000" w:themeColor="text1"/>
                <w:lang w:eastAsia="zh-CN"/>
                <w14:textFill>
                  <w14:solidFill>
                    <w14:schemeClr w14:val="tx1"/>
                  </w14:solidFill>
                </w14:textFill>
              </w:rPr>
              <w:t>B</w:t>
            </w:r>
            <w:r>
              <w:rPr>
                <w:rFonts w:cs="Times New Roman"/>
                <w:snapToGrid w:val="0"/>
                <w:color w:val="000000" w:themeColor="text1"/>
                <w:lang w:eastAsia="zh-CN"/>
                <w14:textFill>
                  <w14:solidFill>
                    <w14:schemeClr w14:val="tx1"/>
                  </w14:solidFill>
                </w14:textFill>
              </w:rPr>
              <w:t>OD</w:t>
            </w:r>
            <w:r>
              <w:rPr>
                <w:rFonts w:cs="Times New Roman"/>
                <w:snapToGrid w:val="0"/>
                <w:color w:val="000000" w:themeColor="text1"/>
                <w:vertAlign w:val="subscript"/>
                <w:lang w:eastAsia="zh-CN"/>
                <w14:textFill>
                  <w14:solidFill>
                    <w14:schemeClr w14:val="tx1"/>
                  </w14:solidFill>
                </w14:textFill>
              </w:rPr>
              <w:t>5</w:t>
            </w:r>
          </w:p>
        </w:tc>
        <w:tc>
          <w:tcPr>
            <w:tcW w:w="205" w:type="pct"/>
            <w:vMerge w:val="continue"/>
            <w:vAlign w:val="center"/>
          </w:tcPr>
          <w:p w14:paraId="4F455AB1">
            <w:pPr>
              <w:pStyle w:val="143"/>
              <w:rPr>
                <w:rFonts w:cs="Times New Roman"/>
                <w:color w:val="000000" w:themeColor="text1"/>
                <w14:textFill>
                  <w14:solidFill>
                    <w14:schemeClr w14:val="tx1"/>
                  </w14:solidFill>
                </w14:textFill>
              </w:rPr>
            </w:pPr>
          </w:p>
        </w:tc>
        <w:tc>
          <w:tcPr>
            <w:tcW w:w="669" w:type="pct"/>
            <w:vMerge w:val="continue"/>
            <w:vAlign w:val="center"/>
          </w:tcPr>
          <w:p w14:paraId="32B52852">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6AD89A78">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1500</w:t>
            </w:r>
          </w:p>
        </w:tc>
        <w:tc>
          <w:tcPr>
            <w:tcW w:w="413" w:type="pct"/>
            <w:vAlign w:val="center"/>
          </w:tcPr>
          <w:p w14:paraId="12AACEC7">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55.60 </w:t>
            </w:r>
          </w:p>
        </w:tc>
        <w:tc>
          <w:tcPr>
            <w:tcW w:w="726" w:type="pct"/>
            <w:vMerge w:val="continue"/>
            <w:vAlign w:val="center"/>
          </w:tcPr>
          <w:p w14:paraId="3DCB7266">
            <w:pPr>
              <w:pStyle w:val="143"/>
              <w:rPr>
                <w:rFonts w:cs="Times New Roman"/>
                <w:color w:val="000000" w:themeColor="text1"/>
                <w14:textFill>
                  <w14:solidFill>
                    <w14:schemeClr w14:val="tx1"/>
                  </w14:solidFill>
                </w14:textFill>
              </w:rPr>
            </w:pPr>
          </w:p>
        </w:tc>
        <w:tc>
          <w:tcPr>
            <w:tcW w:w="864" w:type="dxa"/>
            <w:vAlign w:val="center"/>
          </w:tcPr>
          <w:p w14:paraId="40F07F2F">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98</w:t>
            </w:r>
            <w:r>
              <w:rPr>
                <w:rFonts w:cs="Times New Roman"/>
                <w:color w:val="000000" w:themeColor="text1"/>
                <w:szCs w:val="21"/>
                <w14:textFill>
                  <w14:solidFill>
                    <w14:schemeClr w14:val="tx1"/>
                  </w14:solidFill>
                </w14:textFill>
              </w:rPr>
              <w:t>%</w:t>
            </w:r>
          </w:p>
        </w:tc>
        <w:tc>
          <w:tcPr>
            <w:tcW w:w="581" w:type="pct"/>
            <w:vMerge w:val="continue"/>
            <w:vAlign w:val="center"/>
          </w:tcPr>
          <w:p w14:paraId="48FFD5E7">
            <w:pPr>
              <w:pStyle w:val="143"/>
              <w:rPr>
                <w:rFonts w:eastAsia="等线" w:cs="Times New Roman"/>
                <w:color w:val="000000" w:themeColor="text1"/>
                <w14:textFill>
                  <w14:solidFill>
                    <w14:schemeClr w14:val="tx1"/>
                  </w14:solidFill>
                </w14:textFill>
              </w:rPr>
            </w:pPr>
          </w:p>
        </w:tc>
        <w:tc>
          <w:tcPr>
            <w:tcW w:w="1092" w:type="dxa"/>
            <w:vAlign w:val="center"/>
          </w:tcPr>
          <w:p w14:paraId="4048E749">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30</w:t>
            </w:r>
          </w:p>
        </w:tc>
        <w:tc>
          <w:tcPr>
            <w:tcW w:w="1159" w:type="dxa"/>
            <w:vAlign w:val="center"/>
          </w:tcPr>
          <w:p w14:paraId="2E3D8BAF">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1.11</w:t>
            </w:r>
          </w:p>
        </w:tc>
      </w:tr>
      <w:tr w14:paraId="6211B0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378D8421">
            <w:pPr>
              <w:pStyle w:val="143"/>
              <w:rPr>
                <w:rFonts w:cs="Times New Roman"/>
                <w:color w:val="000000" w:themeColor="text1"/>
                <w14:textFill>
                  <w14:solidFill>
                    <w14:schemeClr w14:val="tx1"/>
                  </w14:solidFill>
                </w14:textFill>
              </w:rPr>
            </w:pPr>
          </w:p>
        </w:tc>
        <w:tc>
          <w:tcPr>
            <w:tcW w:w="166" w:type="pct"/>
            <w:vMerge w:val="continue"/>
            <w:vAlign w:val="center"/>
          </w:tcPr>
          <w:p w14:paraId="4B12BD21">
            <w:pPr>
              <w:pStyle w:val="143"/>
              <w:rPr>
                <w:rFonts w:cs="Times New Roman"/>
                <w:color w:val="000000" w:themeColor="text1"/>
                <w14:textFill>
                  <w14:solidFill>
                    <w14:schemeClr w14:val="tx1"/>
                  </w14:solidFill>
                </w14:textFill>
              </w:rPr>
            </w:pPr>
          </w:p>
        </w:tc>
        <w:tc>
          <w:tcPr>
            <w:tcW w:w="352" w:type="pct"/>
            <w:vAlign w:val="center"/>
          </w:tcPr>
          <w:p w14:paraId="28EE7E58">
            <w:pPr>
              <w:pStyle w:val="143"/>
              <w:rPr>
                <w:rFonts w:eastAsia="等线" w:cs="Times New Roman"/>
                <w:color w:val="000000" w:themeColor="text1"/>
                <w14:textFill>
                  <w14:solidFill>
                    <w14:schemeClr w14:val="tx1"/>
                  </w14:solidFill>
                </w14:textFill>
              </w:rPr>
            </w:pPr>
            <w:r>
              <w:rPr>
                <w:rFonts w:hint="eastAsia" w:cs="Times New Roman"/>
                <w:snapToGrid w:val="0"/>
                <w:color w:val="000000" w:themeColor="text1"/>
                <w:lang w:eastAsia="zh-CN"/>
                <w14:textFill>
                  <w14:solidFill>
                    <w14:schemeClr w14:val="tx1"/>
                  </w14:solidFill>
                </w14:textFill>
              </w:rPr>
              <w:t>S</w:t>
            </w:r>
            <w:r>
              <w:rPr>
                <w:rFonts w:cs="Times New Roman"/>
                <w:snapToGrid w:val="0"/>
                <w:color w:val="000000" w:themeColor="text1"/>
                <w:lang w:eastAsia="zh-CN"/>
                <w14:textFill>
                  <w14:solidFill>
                    <w14:schemeClr w14:val="tx1"/>
                  </w14:solidFill>
                </w14:textFill>
              </w:rPr>
              <w:t>S</w:t>
            </w:r>
          </w:p>
        </w:tc>
        <w:tc>
          <w:tcPr>
            <w:tcW w:w="205" w:type="pct"/>
            <w:vMerge w:val="continue"/>
            <w:vAlign w:val="center"/>
          </w:tcPr>
          <w:p w14:paraId="6071CA43">
            <w:pPr>
              <w:pStyle w:val="143"/>
              <w:rPr>
                <w:rFonts w:cs="Times New Roman"/>
                <w:color w:val="000000" w:themeColor="text1"/>
                <w14:textFill>
                  <w14:solidFill>
                    <w14:schemeClr w14:val="tx1"/>
                  </w14:solidFill>
                </w14:textFill>
              </w:rPr>
            </w:pPr>
          </w:p>
        </w:tc>
        <w:tc>
          <w:tcPr>
            <w:tcW w:w="669" w:type="pct"/>
            <w:vMerge w:val="continue"/>
            <w:vAlign w:val="center"/>
          </w:tcPr>
          <w:p w14:paraId="08695372">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4BB2ED7E">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7</w:t>
            </w:r>
            <w:r>
              <w:rPr>
                <w:color w:val="000000" w:themeColor="text1"/>
                <w:lang w:val="en-US" w:eastAsia="zh-CN"/>
                <w14:textFill>
                  <w14:solidFill>
                    <w14:schemeClr w14:val="tx1"/>
                  </w14:solidFill>
                </w14:textFill>
              </w:rPr>
              <w:t>00</w:t>
            </w:r>
          </w:p>
        </w:tc>
        <w:tc>
          <w:tcPr>
            <w:tcW w:w="413" w:type="pct"/>
            <w:vAlign w:val="center"/>
          </w:tcPr>
          <w:p w14:paraId="2A4DD3A4">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25.95 </w:t>
            </w:r>
          </w:p>
        </w:tc>
        <w:tc>
          <w:tcPr>
            <w:tcW w:w="726" w:type="pct"/>
            <w:vMerge w:val="continue"/>
            <w:vAlign w:val="center"/>
          </w:tcPr>
          <w:p w14:paraId="06BCFE64">
            <w:pPr>
              <w:pStyle w:val="143"/>
              <w:rPr>
                <w:rFonts w:cs="Times New Roman"/>
                <w:color w:val="000000" w:themeColor="text1"/>
                <w14:textFill>
                  <w14:solidFill>
                    <w14:schemeClr w14:val="tx1"/>
                  </w14:solidFill>
                </w14:textFill>
              </w:rPr>
            </w:pPr>
          </w:p>
        </w:tc>
        <w:tc>
          <w:tcPr>
            <w:tcW w:w="864" w:type="dxa"/>
            <w:vAlign w:val="center"/>
          </w:tcPr>
          <w:p w14:paraId="1B780491">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97</w:t>
            </w:r>
            <w:r>
              <w:rPr>
                <w:rFonts w:cs="Times New Roman"/>
                <w:color w:val="000000" w:themeColor="text1"/>
                <w:szCs w:val="21"/>
                <w14:textFill>
                  <w14:solidFill>
                    <w14:schemeClr w14:val="tx1"/>
                  </w14:solidFill>
                </w14:textFill>
              </w:rPr>
              <w:t>%</w:t>
            </w:r>
          </w:p>
        </w:tc>
        <w:tc>
          <w:tcPr>
            <w:tcW w:w="581" w:type="pct"/>
            <w:vMerge w:val="continue"/>
            <w:vAlign w:val="center"/>
          </w:tcPr>
          <w:p w14:paraId="24EC083C">
            <w:pPr>
              <w:pStyle w:val="143"/>
              <w:rPr>
                <w:rFonts w:eastAsia="等线" w:cs="Times New Roman"/>
                <w:color w:val="000000" w:themeColor="text1"/>
                <w14:textFill>
                  <w14:solidFill>
                    <w14:schemeClr w14:val="tx1"/>
                  </w14:solidFill>
                </w14:textFill>
              </w:rPr>
            </w:pPr>
          </w:p>
        </w:tc>
        <w:tc>
          <w:tcPr>
            <w:tcW w:w="1092" w:type="dxa"/>
            <w:vAlign w:val="center"/>
          </w:tcPr>
          <w:p w14:paraId="12736D28">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21</w:t>
            </w:r>
          </w:p>
        </w:tc>
        <w:tc>
          <w:tcPr>
            <w:tcW w:w="1159" w:type="dxa"/>
            <w:vAlign w:val="center"/>
          </w:tcPr>
          <w:p w14:paraId="3E5F1E14">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0.78</w:t>
            </w:r>
          </w:p>
        </w:tc>
      </w:tr>
      <w:tr w14:paraId="2A1CD4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5BAF9991">
            <w:pPr>
              <w:pStyle w:val="143"/>
              <w:rPr>
                <w:rFonts w:cs="Times New Roman"/>
                <w:color w:val="000000" w:themeColor="text1"/>
                <w14:textFill>
                  <w14:solidFill>
                    <w14:schemeClr w14:val="tx1"/>
                  </w14:solidFill>
                </w14:textFill>
              </w:rPr>
            </w:pPr>
          </w:p>
        </w:tc>
        <w:tc>
          <w:tcPr>
            <w:tcW w:w="166" w:type="pct"/>
            <w:vMerge w:val="continue"/>
            <w:vAlign w:val="center"/>
          </w:tcPr>
          <w:p w14:paraId="7AA34948">
            <w:pPr>
              <w:pStyle w:val="143"/>
              <w:rPr>
                <w:rFonts w:cs="Times New Roman"/>
                <w:color w:val="000000" w:themeColor="text1"/>
                <w14:textFill>
                  <w14:solidFill>
                    <w14:schemeClr w14:val="tx1"/>
                  </w14:solidFill>
                </w14:textFill>
              </w:rPr>
            </w:pPr>
          </w:p>
        </w:tc>
        <w:tc>
          <w:tcPr>
            <w:tcW w:w="352" w:type="pct"/>
            <w:vAlign w:val="center"/>
          </w:tcPr>
          <w:p w14:paraId="653F47CA">
            <w:pPr>
              <w:pStyle w:val="143"/>
              <w:rPr>
                <w:rFonts w:eastAsia="等线" w:cs="Times New Roman"/>
                <w:color w:val="000000" w:themeColor="text1"/>
                <w14:textFill>
                  <w14:solidFill>
                    <w14:schemeClr w14:val="tx1"/>
                  </w14:solidFill>
                </w14:textFill>
              </w:rPr>
            </w:pPr>
            <w:r>
              <w:rPr>
                <w:rFonts w:cs="Times New Roman"/>
                <w:snapToGrid w:val="0"/>
                <w:color w:val="000000" w:themeColor="text1"/>
                <w:lang w:val="en-US" w:eastAsia="zh-CN"/>
                <w14:textFill>
                  <w14:solidFill>
                    <w14:schemeClr w14:val="tx1"/>
                  </w14:solidFill>
                </w14:textFill>
              </w:rPr>
              <w:t>NH</w:t>
            </w:r>
            <w:r>
              <w:rPr>
                <w:rFonts w:cs="Times New Roman"/>
                <w:snapToGrid w:val="0"/>
                <w:color w:val="000000" w:themeColor="text1"/>
                <w:vertAlign w:val="subscript"/>
                <w:lang w:val="en-US" w:eastAsia="zh-CN"/>
                <w14:textFill>
                  <w14:solidFill>
                    <w14:schemeClr w14:val="tx1"/>
                  </w14:solidFill>
                </w14:textFill>
              </w:rPr>
              <w:t>3</w:t>
            </w:r>
            <w:r>
              <w:rPr>
                <w:rFonts w:cs="Times New Roman"/>
                <w:snapToGrid w:val="0"/>
                <w:color w:val="000000" w:themeColor="text1"/>
                <w:lang w:val="en-US" w:eastAsia="zh-CN"/>
                <w14:textFill>
                  <w14:solidFill>
                    <w14:schemeClr w14:val="tx1"/>
                  </w14:solidFill>
                </w14:textFill>
              </w:rPr>
              <w:t>-N</w:t>
            </w:r>
          </w:p>
        </w:tc>
        <w:tc>
          <w:tcPr>
            <w:tcW w:w="205" w:type="pct"/>
            <w:vMerge w:val="continue"/>
            <w:vAlign w:val="center"/>
          </w:tcPr>
          <w:p w14:paraId="47B1FB4E">
            <w:pPr>
              <w:pStyle w:val="143"/>
              <w:rPr>
                <w:rFonts w:cs="Times New Roman"/>
                <w:color w:val="000000" w:themeColor="text1"/>
                <w14:textFill>
                  <w14:solidFill>
                    <w14:schemeClr w14:val="tx1"/>
                  </w14:solidFill>
                </w14:textFill>
              </w:rPr>
            </w:pPr>
          </w:p>
        </w:tc>
        <w:tc>
          <w:tcPr>
            <w:tcW w:w="669" w:type="pct"/>
            <w:vMerge w:val="continue"/>
            <w:vAlign w:val="center"/>
          </w:tcPr>
          <w:p w14:paraId="1202C0E5">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0EAED7B4">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90</w:t>
            </w:r>
          </w:p>
        </w:tc>
        <w:tc>
          <w:tcPr>
            <w:tcW w:w="413" w:type="pct"/>
            <w:vAlign w:val="center"/>
          </w:tcPr>
          <w:p w14:paraId="6495C4F1">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3.34 </w:t>
            </w:r>
          </w:p>
        </w:tc>
        <w:tc>
          <w:tcPr>
            <w:tcW w:w="726" w:type="pct"/>
            <w:vMerge w:val="continue"/>
            <w:vAlign w:val="center"/>
          </w:tcPr>
          <w:p w14:paraId="60B1465D">
            <w:pPr>
              <w:pStyle w:val="143"/>
              <w:rPr>
                <w:rFonts w:cs="Times New Roman"/>
                <w:color w:val="000000" w:themeColor="text1"/>
                <w14:textFill>
                  <w14:solidFill>
                    <w14:schemeClr w14:val="tx1"/>
                  </w14:solidFill>
                </w14:textFill>
              </w:rPr>
            </w:pPr>
          </w:p>
        </w:tc>
        <w:tc>
          <w:tcPr>
            <w:tcW w:w="864" w:type="dxa"/>
            <w:vAlign w:val="center"/>
          </w:tcPr>
          <w:p w14:paraId="0BE53E72">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85</w:t>
            </w:r>
            <w:r>
              <w:rPr>
                <w:rFonts w:cs="Times New Roman"/>
                <w:color w:val="000000" w:themeColor="text1"/>
                <w:szCs w:val="21"/>
                <w14:textFill>
                  <w14:solidFill>
                    <w14:schemeClr w14:val="tx1"/>
                  </w14:solidFill>
                </w14:textFill>
              </w:rPr>
              <w:t>%</w:t>
            </w:r>
          </w:p>
        </w:tc>
        <w:tc>
          <w:tcPr>
            <w:tcW w:w="581" w:type="pct"/>
            <w:vMerge w:val="continue"/>
            <w:vAlign w:val="center"/>
          </w:tcPr>
          <w:p w14:paraId="6408469D">
            <w:pPr>
              <w:pStyle w:val="143"/>
              <w:rPr>
                <w:rFonts w:eastAsia="等线" w:cs="Times New Roman"/>
                <w:color w:val="000000" w:themeColor="text1"/>
                <w14:textFill>
                  <w14:solidFill>
                    <w14:schemeClr w14:val="tx1"/>
                  </w14:solidFill>
                </w14:textFill>
              </w:rPr>
            </w:pPr>
          </w:p>
        </w:tc>
        <w:tc>
          <w:tcPr>
            <w:tcW w:w="1092" w:type="dxa"/>
            <w:vAlign w:val="center"/>
          </w:tcPr>
          <w:p w14:paraId="24D59A20">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13.5</w:t>
            </w:r>
          </w:p>
        </w:tc>
        <w:tc>
          <w:tcPr>
            <w:tcW w:w="1159" w:type="dxa"/>
            <w:vAlign w:val="center"/>
          </w:tcPr>
          <w:p w14:paraId="3A45FD8D">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0.50</w:t>
            </w:r>
          </w:p>
        </w:tc>
      </w:tr>
      <w:tr w14:paraId="721E22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2F04A6E7">
            <w:pPr>
              <w:pStyle w:val="143"/>
              <w:rPr>
                <w:rFonts w:cs="Times New Roman"/>
                <w:color w:val="000000" w:themeColor="text1"/>
                <w14:textFill>
                  <w14:solidFill>
                    <w14:schemeClr w14:val="tx1"/>
                  </w14:solidFill>
                </w14:textFill>
              </w:rPr>
            </w:pPr>
          </w:p>
        </w:tc>
        <w:tc>
          <w:tcPr>
            <w:tcW w:w="166" w:type="pct"/>
            <w:vMerge w:val="continue"/>
            <w:vAlign w:val="center"/>
          </w:tcPr>
          <w:p w14:paraId="6083BC9D">
            <w:pPr>
              <w:pStyle w:val="143"/>
              <w:rPr>
                <w:rFonts w:cs="Times New Roman"/>
                <w:color w:val="000000" w:themeColor="text1"/>
                <w14:textFill>
                  <w14:solidFill>
                    <w14:schemeClr w14:val="tx1"/>
                  </w14:solidFill>
                </w14:textFill>
              </w:rPr>
            </w:pPr>
          </w:p>
        </w:tc>
        <w:tc>
          <w:tcPr>
            <w:tcW w:w="352" w:type="pct"/>
            <w:vAlign w:val="center"/>
          </w:tcPr>
          <w:p w14:paraId="38E7C4ED">
            <w:pPr>
              <w:pStyle w:val="143"/>
              <w:rPr>
                <w:rFonts w:eastAsia="等线" w:cs="Times New Roman"/>
                <w:color w:val="000000" w:themeColor="text1"/>
                <w14:textFill>
                  <w14:solidFill>
                    <w14:schemeClr w14:val="tx1"/>
                  </w14:solidFill>
                </w14:textFill>
              </w:rPr>
            </w:pPr>
            <w:r>
              <w:rPr>
                <w:rFonts w:hint="eastAsia" w:cs="Times New Roman"/>
                <w:snapToGrid w:val="0"/>
                <w:color w:val="000000" w:themeColor="text1"/>
                <w14:textFill>
                  <w14:solidFill>
                    <w14:schemeClr w14:val="tx1"/>
                  </w14:solidFill>
                </w14:textFill>
              </w:rPr>
              <w:t>T</w:t>
            </w:r>
            <w:r>
              <w:rPr>
                <w:rFonts w:cs="Times New Roman"/>
                <w:snapToGrid w:val="0"/>
                <w:color w:val="000000" w:themeColor="text1"/>
                <w14:textFill>
                  <w14:solidFill>
                    <w14:schemeClr w14:val="tx1"/>
                  </w14:solidFill>
                </w14:textFill>
              </w:rPr>
              <w:t>P</w:t>
            </w:r>
          </w:p>
        </w:tc>
        <w:tc>
          <w:tcPr>
            <w:tcW w:w="205" w:type="pct"/>
            <w:vMerge w:val="continue"/>
            <w:vAlign w:val="center"/>
          </w:tcPr>
          <w:p w14:paraId="2E7A9589">
            <w:pPr>
              <w:pStyle w:val="143"/>
              <w:rPr>
                <w:rFonts w:cs="Times New Roman"/>
                <w:color w:val="000000" w:themeColor="text1"/>
                <w14:textFill>
                  <w14:solidFill>
                    <w14:schemeClr w14:val="tx1"/>
                  </w14:solidFill>
                </w14:textFill>
              </w:rPr>
            </w:pPr>
          </w:p>
        </w:tc>
        <w:tc>
          <w:tcPr>
            <w:tcW w:w="669" w:type="pct"/>
            <w:vMerge w:val="continue"/>
            <w:vAlign w:val="center"/>
          </w:tcPr>
          <w:p w14:paraId="2FC76FA7">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11132D11">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413" w:type="pct"/>
            <w:vAlign w:val="center"/>
          </w:tcPr>
          <w:p w14:paraId="27B49F06">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0.37 </w:t>
            </w:r>
          </w:p>
        </w:tc>
        <w:tc>
          <w:tcPr>
            <w:tcW w:w="726" w:type="pct"/>
            <w:vMerge w:val="continue"/>
            <w:vAlign w:val="center"/>
          </w:tcPr>
          <w:p w14:paraId="57456559">
            <w:pPr>
              <w:pStyle w:val="143"/>
              <w:rPr>
                <w:rFonts w:cs="Times New Roman"/>
                <w:color w:val="000000" w:themeColor="text1"/>
                <w14:textFill>
                  <w14:solidFill>
                    <w14:schemeClr w14:val="tx1"/>
                  </w14:solidFill>
                </w14:textFill>
              </w:rPr>
            </w:pPr>
          </w:p>
        </w:tc>
        <w:tc>
          <w:tcPr>
            <w:tcW w:w="864" w:type="dxa"/>
            <w:vAlign w:val="center"/>
          </w:tcPr>
          <w:p w14:paraId="1C4DDBB4">
            <w:pPr>
              <w:pStyle w:val="143"/>
              <w:ind w:firstLine="0" w:firstLineChars="0"/>
              <w:rPr>
                <w:rFonts w:eastAsia="等线" w:cs="Times New Roman"/>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75</w:t>
            </w:r>
            <w:r>
              <w:rPr>
                <w:rFonts w:cs="Times New Roman"/>
                <w:color w:val="000000" w:themeColor="text1"/>
                <w:szCs w:val="21"/>
                <w14:textFill>
                  <w14:solidFill>
                    <w14:schemeClr w14:val="tx1"/>
                  </w14:solidFill>
                </w14:textFill>
              </w:rPr>
              <w:t>%</w:t>
            </w:r>
          </w:p>
        </w:tc>
        <w:tc>
          <w:tcPr>
            <w:tcW w:w="581" w:type="pct"/>
            <w:vMerge w:val="continue"/>
            <w:vAlign w:val="center"/>
          </w:tcPr>
          <w:p w14:paraId="40AC5833">
            <w:pPr>
              <w:pStyle w:val="143"/>
              <w:rPr>
                <w:rFonts w:eastAsia="等线" w:cs="Times New Roman"/>
                <w:color w:val="000000" w:themeColor="text1"/>
                <w14:textFill>
                  <w14:solidFill>
                    <w14:schemeClr w14:val="tx1"/>
                  </w14:solidFill>
                </w14:textFill>
              </w:rPr>
            </w:pPr>
          </w:p>
        </w:tc>
        <w:tc>
          <w:tcPr>
            <w:tcW w:w="1092" w:type="dxa"/>
            <w:vAlign w:val="center"/>
          </w:tcPr>
          <w:p w14:paraId="62A7D6A7">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1159" w:type="dxa"/>
            <w:vAlign w:val="center"/>
          </w:tcPr>
          <w:p w14:paraId="77F7A266">
            <w:pPr>
              <w:pStyle w:val="143"/>
              <w:ind w:firstLine="0" w:firstLineChars="0"/>
              <w:rPr>
                <w:rFonts w:eastAsia="等线" w:cs="Times New Roman"/>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r>
      <w:tr w14:paraId="1B4674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48C2CEBB">
            <w:pPr>
              <w:pStyle w:val="143"/>
              <w:rPr>
                <w:rFonts w:cs="Times New Roman"/>
                <w:color w:val="000000" w:themeColor="text1"/>
                <w14:textFill>
                  <w14:solidFill>
                    <w14:schemeClr w14:val="tx1"/>
                  </w14:solidFill>
                </w14:textFill>
              </w:rPr>
            </w:pPr>
          </w:p>
        </w:tc>
        <w:tc>
          <w:tcPr>
            <w:tcW w:w="166" w:type="pct"/>
            <w:vMerge w:val="continue"/>
            <w:vAlign w:val="center"/>
          </w:tcPr>
          <w:p w14:paraId="1ECB5934">
            <w:pPr>
              <w:pStyle w:val="143"/>
              <w:rPr>
                <w:rFonts w:cs="Times New Roman"/>
                <w:color w:val="000000" w:themeColor="text1"/>
                <w14:textFill>
                  <w14:solidFill>
                    <w14:schemeClr w14:val="tx1"/>
                  </w14:solidFill>
                </w14:textFill>
              </w:rPr>
            </w:pPr>
          </w:p>
        </w:tc>
        <w:tc>
          <w:tcPr>
            <w:tcW w:w="352" w:type="pct"/>
            <w:vAlign w:val="center"/>
          </w:tcPr>
          <w:p w14:paraId="4F0908F5">
            <w:pPr>
              <w:pStyle w:val="143"/>
              <w:rPr>
                <w:rFonts w:hint="default" w:eastAsia="宋体" w:cs="Times New Roman"/>
                <w:snapToGrid w:val="0"/>
                <w:color w:val="000000" w:themeColor="text1"/>
                <w:lang w:val="en-US" w:eastAsia="zh-CN"/>
                <w14:textFill>
                  <w14:solidFill>
                    <w14:schemeClr w14:val="tx1"/>
                  </w14:solidFill>
                </w14:textFill>
              </w:rPr>
            </w:pPr>
            <w:r>
              <w:rPr>
                <w:rFonts w:hint="eastAsia" w:cs="Times New Roman"/>
                <w:snapToGrid w:val="0"/>
                <w:color w:val="000000" w:themeColor="text1"/>
                <w:lang w:val="en-US" w:eastAsia="zh-CN"/>
                <w14:textFill>
                  <w14:solidFill>
                    <w14:schemeClr w14:val="tx1"/>
                  </w14:solidFill>
                </w14:textFill>
              </w:rPr>
              <w:t>TN</w:t>
            </w:r>
          </w:p>
        </w:tc>
        <w:tc>
          <w:tcPr>
            <w:tcW w:w="205" w:type="pct"/>
            <w:vMerge w:val="continue"/>
            <w:vAlign w:val="center"/>
          </w:tcPr>
          <w:p w14:paraId="7F0E0079">
            <w:pPr>
              <w:pStyle w:val="143"/>
              <w:rPr>
                <w:rFonts w:cs="Times New Roman"/>
                <w:color w:val="000000" w:themeColor="text1"/>
                <w14:textFill>
                  <w14:solidFill>
                    <w14:schemeClr w14:val="tx1"/>
                  </w14:solidFill>
                </w14:textFill>
              </w:rPr>
            </w:pPr>
          </w:p>
        </w:tc>
        <w:tc>
          <w:tcPr>
            <w:tcW w:w="669" w:type="pct"/>
            <w:vMerge w:val="continue"/>
            <w:vAlign w:val="center"/>
          </w:tcPr>
          <w:p w14:paraId="7D036F1B">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4E7AF059">
            <w:pPr>
              <w:pStyle w:val="143"/>
              <w:ind w:firstLine="0" w:firstLineChars="0"/>
              <w:rPr>
                <w:rFonts w:eastAsia="等线" w:cs="Times New Roman"/>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w:t>
            </w:r>
          </w:p>
        </w:tc>
        <w:tc>
          <w:tcPr>
            <w:tcW w:w="413" w:type="pct"/>
            <w:vAlign w:val="center"/>
          </w:tcPr>
          <w:p w14:paraId="4B33A2DB">
            <w:pPr>
              <w:pStyle w:val="143"/>
              <w:ind w:firstLine="0" w:firstLineChars="0"/>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 xml:space="preserve">9.27 </w:t>
            </w:r>
          </w:p>
        </w:tc>
        <w:tc>
          <w:tcPr>
            <w:tcW w:w="726" w:type="pct"/>
            <w:vMerge w:val="continue"/>
            <w:vAlign w:val="center"/>
          </w:tcPr>
          <w:p w14:paraId="526B93E2">
            <w:pPr>
              <w:pStyle w:val="143"/>
              <w:rPr>
                <w:rFonts w:cs="Times New Roman"/>
                <w:color w:val="000000" w:themeColor="text1"/>
                <w14:textFill>
                  <w14:solidFill>
                    <w14:schemeClr w14:val="tx1"/>
                  </w14:solidFill>
                </w14:textFill>
              </w:rPr>
            </w:pPr>
          </w:p>
        </w:tc>
        <w:tc>
          <w:tcPr>
            <w:tcW w:w="864" w:type="dxa"/>
            <w:vAlign w:val="center"/>
          </w:tcPr>
          <w:p w14:paraId="558C6715">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85%</w:t>
            </w:r>
          </w:p>
        </w:tc>
        <w:tc>
          <w:tcPr>
            <w:tcW w:w="581" w:type="pct"/>
            <w:vMerge w:val="continue"/>
            <w:vAlign w:val="center"/>
          </w:tcPr>
          <w:p w14:paraId="79A5D8D8">
            <w:pPr>
              <w:pStyle w:val="143"/>
              <w:rPr>
                <w:rFonts w:eastAsia="等线" w:cs="Times New Roman"/>
                <w:color w:val="000000" w:themeColor="text1"/>
                <w14:textFill>
                  <w14:solidFill>
                    <w14:schemeClr w14:val="tx1"/>
                  </w14:solidFill>
                </w14:textFill>
              </w:rPr>
            </w:pPr>
          </w:p>
        </w:tc>
        <w:tc>
          <w:tcPr>
            <w:tcW w:w="1092" w:type="dxa"/>
            <w:vAlign w:val="center"/>
          </w:tcPr>
          <w:p w14:paraId="663BC13F">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37.5</w:t>
            </w:r>
          </w:p>
        </w:tc>
        <w:tc>
          <w:tcPr>
            <w:tcW w:w="1159" w:type="dxa"/>
            <w:vAlign w:val="center"/>
          </w:tcPr>
          <w:p w14:paraId="6CED1853">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1.39</w:t>
            </w:r>
          </w:p>
        </w:tc>
      </w:tr>
      <w:tr w14:paraId="6F71A2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43" w:type="pct"/>
            <w:vMerge w:val="continue"/>
            <w:vAlign w:val="center"/>
          </w:tcPr>
          <w:p w14:paraId="1CE5A512">
            <w:pPr>
              <w:pStyle w:val="143"/>
              <w:rPr>
                <w:rFonts w:cs="Times New Roman"/>
                <w:color w:val="000000" w:themeColor="text1"/>
                <w14:textFill>
                  <w14:solidFill>
                    <w14:schemeClr w14:val="tx1"/>
                  </w14:solidFill>
                </w14:textFill>
              </w:rPr>
            </w:pPr>
          </w:p>
        </w:tc>
        <w:tc>
          <w:tcPr>
            <w:tcW w:w="166" w:type="pct"/>
            <w:vMerge w:val="continue"/>
            <w:vAlign w:val="center"/>
          </w:tcPr>
          <w:p w14:paraId="19ED63F5">
            <w:pPr>
              <w:pStyle w:val="143"/>
              <w:rPr>
                <w:rFonts w:cs="Times New Roman"/>
                <w:color w:val="000000" w:themeColor="text1"/>
                <w14:textFill>
                  <w14:solidFill>
                    <w14:schemeClr w14:val="tx1"/>
                  </w14:solidFill>
                </w14:textFill>
              </w:rPr>
            </w:pPr>
          </w:p>
        </w:tc>
        <w:tc>
          <w:tcPr>
            <w:tcW w:w="352" w:type="pct"/>
            <w:vAlign w:val="center"/>
          </w:tcPr>
          <w:p w14:paraId="0327FB05">
            <w:pPr>
              <w:pStyle w:val="143"/>
              <w:rPr>
                <w:rFonts w:hint="eastAsia" w:eastAsia="宋体" w:cs="Times New Roman"/>
                <w:snapToGrid w:val="0"/>
                <w:color w:val="000000" w:themeColor="text1"/>
                <w:lang w:val="en-US" w:eastAsia="zh-CN"/>
                <w14:textFill>
                  <w14:solidFill>
                    <w14:schemeClr w14:val="tx1"/>
                  </w14:solidFill>
                </w14:textFill>
              </w:rPr>
            </w:pPr>
            <w:r>
              <w:rPr>
                <w:rFonts w:hint="eastAsia" w:cs="Times New Roman"/>
                <w:snapToGrid w:val="0"/>
                <w:color w:val="000000" w:themeColor="text1"/>
                <w:lang w:val="en-US" w:eastAsia="zh-CN"/>
                <w14:textFill>
                  <w14:solidFill>
                    <w14:schemeClr w14:val="tx1"/>
                  </w14:solidFill>
                </w14:textFill>
              </w:rPr>
              <w:t>动植物油</w:t>
            </w:r>
          </w:p>
        </w:tc>
        <w:tc>
          <w:tcPr>
            <w:tcW w:w="205" w:type="pct"/>
            <w:vMerge w:val="continue"/>
            <w:vAlign w:val="center"/>
          </w:tcPr>
          <w:p w14:paraId="6166A9E6">
            <w:pPr>
              <w:pStyle w:val="143"/>
              <w:rPr>
                <w:rFonts w:cs="Times New Roman"/>
                <w:color w:val="000000" w:themeColor="text1"/>
                <w14:textFill>
                  <w14:solidFill>
                    <w14:schemeClr w14:val="tx1"/>
                  </w14:solidFill>
                </w14:textFill>
              </w:rPr>
            </w:pPr>
          </w:p>
        </w:tc>
        <w:tc>
          <w:tcPr>
            <w:tcW w:w="669" w:type="pct"/>
            <w:vMerge w:val="continue"/>
            <w:vAlign w:val="center"/>
          </w:tcPr>
          <w:p w14:paraId="6D7145A4">
            <w:pPr>
              <w:pStyle w:val="143"/>
              <w:rPr>
                <w:rFonts w:ascii="等线" w:hAnsi="等线" w:eastAsia="等线" w:cs="Times New Roman"/>
                <w:color w:val="000000" w:themeColor="text1"/>
                <w:sz w:val="22"/>
                <w14:textFill>
                  <w14:solidFill>
                    <w14:schemeClr w14:val="tx1"/>
                  </w14:solidFill>
                </w14:textFill>
              </w:rPr>
            </w:pPr>
          </w:p>
        </w:tc>
        <w:tc>
          <w:tcPr>
            <w:tcW w:w="526" w:type="pct"/>
            <w:vAlign w:val="center"/>
          </w:tcPr>
          <w:p w14:paraId="034F6B6B">
            <w:pPr>
              <w:pStyle w:val="143"/>
              <w:ind w:firstLine="0" w:firstLineChars="0"/>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80</w:t>
            </w:r>
          </w:p>
        </w:tc>
        <w:tc>
          <w:tcPr>
            <w:tcW w:w="413" w:type="pct"/>
            <w:vAlign w:val="center"/>
          </w:tcPr>
          <w:p w14:paraId="10BF0B7A">
            <w:pPr>
              <w:pStyle w:val="143"/>
              <w:ind w:firstLine="0" w:firstLineChars="0"/>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2.97</w:t>
            </w:r>
          </w:p>
        </w:tc>
        <w:tc>
          <w:tcPr>
            <w:tcW w:w="726" w:type="pct"/>
            <w:vAlign w:val="center"/>
          </w:tcPr>
          <w:p w14:paraId="1CAF2169">
            <w:pPr>
              <w:pStyle w:val="143"/>
              <w:rPr>
                <w:rFonts w:hint="eastAsia" w:eastAsia="宋体" w:cs="Times New Roman"/>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隔油池</w:t>
            </w:r>
          </w:p>
        </w:tc>
        <w:tc>
          <w:tcPr>
            <w:tcW w:w="309" w:type="pct"/>
            <w:vAlign w:val="center"/>
          </w:tcPr>
          <w:p w14:paraId="5AECFF10">
            <w:pPr>
              <w:pStyle w:val="143"/>
              <w:rPr>
                <w:rFonts w:hint="default"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50%</w:t>
            </w:r>
          </w:p>
        </w:tc>
        <w:tc>
          <w:tcPr>
            <w:tcW w:w="581" w:type="pct"/>
            <w:vMerge w:val="continue"/>
            <w:vAlign w:val="center"/>
          </w:tcPr>
          <w:p w14:paraId="136F651B">
            <w:pPr>
              <w:pStyle w:val="143"/>
              <w:rPr>
                <w:rFonts w:eastAsia="等线" w:cs="Times New Roman"/>
                <w:color w:val="000000" w:themeColor="text1"/>
                <w14:textFill>
                  <w14:solidFill>
                    <w14:schemeClr w14:val="tx1"/>
                  </w14:solidFill>
                </w14:textFill>
              </w:rPr>
            </w:pPr>
          </w:p>
        </w:tc>
        <w:tc>
          <w:tcPr>
            <w:tcW w:w="1092" w:type="dxa"/>
            <w:vAlign w:val="center"/>
          </w:tcPr>
          <w:p w14:paraId="04F5B5F7">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40</w:t>
            </w:r>
          </w:p>
        </w:tc>
        <w:tc>
          <w:tcPr>
            <w:tcW w:w="1159" w:type="dxa"/>
            <w:vAlign w:val="center"/>
          </w:tcPr>
          <w:p w14:paraId="615934A1">
            <w:pPr>
              <w:pStyle w:val="143"/>
              <w:ind w:firstLine="0" w:firstLineChars="0"/>
              <w:rPr>
                <w:rFonts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1.48</w:t>
            </w:r>
          </w:p>
        </w:tc>
      </w:tr>
    </w:tbl>
    <w:p w14:paraId="2E5DD500">
      <w:pPr>
        <w:pStyle w:val="206"/>
        <w:rPr>
          <w:snapToGrid w:val="0"/>
          <w:color w:val="000000" w:themeColor="text1"/>
          <w:highlight w:val="none"/>
          <w14:textFill>
            <w14:solidFill>
              <w14:schemeClr w14:val="tx1"/>
            </w14:solidFill>
          </w14:textFill>
        </w:rPr>
      </w:pPr>
      <w:r>
        <w:rPr>
          <w:snapToGrid w:val="0"/>
          <w:color w:val="000000" w:themeColor="text1"/>
          <w:highlight w:val="none"/>
          <w14:textFill>
            <w14:solidFill>
              <w14:schemeClr w14:val="tx1"/>
            </w14:solidFill>
          </w14:textFill>
        </w:rPr>
        <w:t>表5-2-5  废水类别、污染物及治理设施信息表</w:t>
      </w:r>
    </w:p>
    <w:tbl>
      <w:tblPr>
        <w:tblStyle w:val="418"/>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86"/>
        <w:gridCol w:w="1329"/>
        <w:gridCol w:w="1336"/>
        <w:gridCol w:w="1023"/>
        <w:gridCol w:w="1249"/>
        <w:gridCol w:w="1107"/>
        <w:gridCol w:w="1109"/>
        <w:gridCol w:w="1494"/>
        <w:gridCol w:w="881"/>
        <w:gridCol w:w="1107"/>
        <w:gridCol w:w="2729"/>
      </w:tblGrid>
      <w:tr w14:paraId="534FBB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2" w:type="pct"/>
            <w:vMerge w:val="restart"/>
            <w:vAlign w:val="center"/>
          </w:tcPr>
          <w:p w14:paraId="60C1303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序号</w:t>
            </w:r>
          </w:p>
        </w:tc>
        <w:tc>
          <w:tcPr>
            <w:tcW w:w="478" w:type="pct"/>
            <w:vMerge w:val="restart"/>
            <w:vAlign w:val="center"/>
          </w:tcPr>
          <w:p w14:paraId="6E62EE2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废水类别</w:t>
            </w:r>
          </w:p>
        </w:tc>
        <w:tc>
          <w:tcPr>
            <w:tcW w:w="480" w:type="pct"/>
            <w:vMerge w:val="restart"/>
            <w:vAlign w:val="center"/>
          </w:tcPr>
          <w:p w14:paraId="6456BE3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污染物种类</w:t>
            </w:r>
          </w:p>
        </w:tc>
        <w:tc>
          <w:tcPr>
            <w:tcW w:w="368" w:type="pct"/>
            <w:vMerge w:val="restart"/>
            <w:vAlign w:val="center"/>
          </w:tcPr>
          <w:p w14:paraId="6ECBDD1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排放去向</w:t>
            </w:r>
          </w:p>
        </w:tc>
        <w:tc>
          <w:tcPr>
            <w:tcW w:w="449" w:type="pct"/>
            <w:vMerge w:val="restart"/>
            <w:vAlign w:val="center"/>
          </w:tcPr>
          <w:p w14:paraId="1DED42B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排放规律</w:t>
            </w:r>
          </w:p>
        </w:tc>
        <w:tc>
          <w:tcPr>
            <w:tcW w:w="1316" w:type="pct"/>
            <w:gridSpan w:val="3"/>
            <w:vAlign w:val="center"/>
          </w:tcPr>
          <w:p w14:paraId="32249F6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污染治理设施</w:t>
            </w:r>
          </w:p>
        </w:tc>
        <w:tc>
          <w:tcPr>
            <w:tcW w:w="315" w:type="pct"/>
            <w:vMerge w:val="restart"/>
            <w:vAlign w:val="center"/>
          </w:tcPr>
          <w:p w14:paraId="4202F14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排放口编号</w:t>
            </w:r>
          </w:p>
        </w:tc>
        <w:tc>
          <w:tcPr>
            <w:tcW w:w="398" w:type="pct"/>
            <w:vMerge w:val="restart"/>
            <w:vAlign w:val="center"/>
          </w:tcPr>
          <w:p w14:paraId="05EE1A1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排放口设置是否符合要求</w:t>
            </w:r>
          </w:p>
        </w:tc>
        <w:tc>
          <w:tcPr>
            <w:tcW w:w="979" w:type="pct"/>
            <w:vMerge w:val="restart"/>
            <w:vAlign w:val="center"/>
          </w:tcPr>
          <w:p w14:paraId="1A6C99A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排放口类型</w:t>
            </w:r>
          </w:p>
        </w:tc>
      </w:tr>
      <w:tr w14:paraId="41AB3B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2" w:type="pct"/>
            <w:vMerge w:val="continue"/>
            <w:vAlign w:val="center"/>
          </w:tcPr>
          <w:p w14:paraId="34C755E3">
            <w:pPr>
              <w:pStyle w:val="143"/>
              <w:rPr>
                <w:snapToGrid w:val="0"/>
                <w:color w:val="000000" w:themeColor="text1"/>
                <w:kern w:val="0"/>
                <w14:textFill>
                  <w14:solidFill>
                    <w14:schemeClr w14:val="tx1"/>
                  </w14:solidFill>
                </w14:textFill>
              </w:rPr>
            </w:pPr>
          </w:p>
        </w:tc>
        <w:tc>
          <w:tcPr>
            <w:tcW w:w="478" w:type="pct"/>
            <w:vMerge w:val="continue"/>
            <w:vAlign w:val="center"/>
          </w:tcPr>
          <w:p w14:paraId="5E36A47A">
            <w:pPr>
              <w:pStyle w:val="143"/>
              <w:rPr>
                <w:snapToGrid w:val="0"/>
                <w:color w:val="000000" w:themeColor="text1"/>
                <w:kern w:val="0"/>
                <w14:textFill>
                  <w14:solidFill>
                    <w14:schemeClr w14:val="tx1"/>
                  </w14:solidFill>
                </w14:textFill>
              </w:rPr>
            </w:pPr>
          </w:p>
        </w:tc>
        <w:tc>
          <w:tcPr>
            <w:tcW w:w="480" w:type="pct"/>
            <w:vMerge w:val="continue"/>
            <w:vAlign w:val="center"/>
          </w:tcPr>
          <w:p w14:paraId="7150D34E">
            <w:pPr>
              <w:pStyle w:val="143"/>
              <w:rPr>
                <w:snapToGrid w:val="0"/>
                <w:color w:val="000000" w:themeColor="text1"/>
                <w:kern w:val="0"/>
                <w14:textFill>
                  <w14:solidFill>
                    <w14:schemeClr w14:val="tx1"/>
                  </w14:solidFill>
                </w14:textFill>
              </w:rPr>
            </w:pPr>
          </w:p>
        </w:tc>
        <w:tc>
          <w:tcPr>
            <w:tcW w:w="368" w:type="pct"/>
            <w:vMerge w:val="continue"/>
            <w:vAlign w:val="center"/>
          </w:tcPr>
          <w:p w14:paraId="44C74242">
            <w:pPr>
              <w:pStyle w:val="143"/>
              <w:rPr>
                <w:snapToGrid w:val="0"/>
                <w:color w:val="000000" w:themeColor="text1"/>
                <w:kern w:val="0"/>
                <w14:textFill>
                  <w14:solidFill>
                    <w14:schemeClr w14:val="tx1"/>
                  </w14:solidFill>
                </w14:textFill>
              </w:rPr>
            </w:pPr>
          </w:p>
        </w:tc>
        <w:tc>
          <w:tcPr>
            <w:tcW w:w="449" w:type="pct"/>
            <w:vMerge w:val="continue"/>
            <w:vAlign w:val="center"/>
          </w:tcPr>
          <w:p w14:paraId="2B45BF9C">
            <w:pPr>
              <w:pStyle w:val="143"/>
              <w:rPr>
                <w:snapToGrid w:val="0"/>
                <w:color w:val="000000" w:themeColor="text1"/>
                <w:kern w:val="0"/>
                <w14:textFill>
                  <w14:solidFill>
                    <w14:schemeClr w14:val="tx1"/>
                  </w14:solidFill>
                </w14:textFill>
              </w:rPr>
            </w:pPr>
          </w:p>
        </w:tc>
        <w:tc>
          <w:tcPr>
            <w:tcW w:w="398" w:type="pct"/>
            <w:vAlign w:val="center"/>
          </w:tcPr>
          <w:p w14:paraId="2DD4912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污染治理</w:t>
            </w:r>
          </w:p>
          <w:p w14:paraId="4ED1319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设施编号</w:t>
            </w:r>
          </w:p>
        </w:tc>
        <w:tc>
          <w:tcPr>
            <w:tcW w:w="399" w:type="pct"/>
            <w:vAlign w:val="center"/>
          </w:tcPr>
          <w:p w14:paraId="2D2BF5B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污染治理设施名称</w:t>
            </w:r>
          </w:p>
        </w:tc>
        <w:tc>
          <w:tcPr>
            <w:tcW w:w="518" w:type="pct"/>
            <w:vAlign w:val="center"/>
          </w:tcPr>
          <w:p w14:paraId="0A7DCBC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污染治理</w:t>
            </w:r>
          </w:p>
          <w:p w14:paraId="16FEDBB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设施工艺</w:t>
            </w:r>
          </w:p>
        </w:tc>
        <w:tc>
          <w:tcPr>
            <w:tcW w:w="315" w:type="pct"/>
            <w:vMerge w:val="continue"/>
            <w:vAlign w:val="center"/>
          </w:tcPr>
          <w:p w14:paraId="4A40008E">
            <w:pPr>
              <w:pStyle w:val="143"/>
              <w:rPr>
                <w:snapToGrid w:val="0"/>
                <w:color w:val="000000" w:themeColor="text1"/>
                <w:kern w:val="0"/>
                <w14:textFill>
                  <w14:solidFill>
                    <w14:schemeClr w14:val="tx1"/>
                  </w14:solidFill>
                </w14:textFill>
              </w:rPr>
            </w:pPr>
          </w:p>
        </w:tc>
        <w:tc>
          <w:tcPr>
            <w:tcW w:w="398" w:type="pct"/>
            <w:vMerge w:val="continue"/>
            <w:vAlign w:val="center"/>
          </w:tcPr>
          <w:p w14:paraId="146211D8">
            <w:pPr>
              <w:pStyle w:val="143"/>
              <w:rPr>
                <w:snapToGrid w:val="0"/>
                <w:color w:val="000000" w:themeColor="text1"/>
                <w:kern w:val="0"/>
                <w14:textFill>
                  <w14:solidFill>
                    <w14:schemeClr w14:val="tx1"/>
                  </w14:solidFill>
                </w14:textFill>
              </w:rPr>
            </w:pPr>
          </w:p>
        </w:tc>
        <w:tc>
          <w:tcPr>
            <w:tcW w:w="979" w:type="pct"/>
            <w:vMerge w:val="continue"/>
            <w:vAlign w:val="center"/>
          </w:tcPr>
          <w:p w14:paraId="11533F2C">
            <w:pPr>
              <w:pStyle w:val="143"/>
              <w:rPr>
                <w:snapToGrid w:val="0"/>
                <w:color w:val="000000" w:themeColor="text1"/>
                <w:kern w:val="0"/>
                <w14:textFill>
                  <w14:solidFill>
                    <w14:schemeClr w14:val="tx1"/>
                  </w14:solidFill>
                </w14:textFill>
              </w:rPr>
            </w:pPr>
          </w:p>
        </w:tc>
      </w:tr>
      <w:tr w14:paraId="662590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2" w:type="pct"/>
            <w:vAlign w:val="center"/>
          </w:tcPr>
          <w:p w14:paraId="610AE08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478" w:type="pct"/>
            <w:vMerge w:val="restart"/>
            <w:vAlign w:val="center"/>
          </w:tcPr>
          <w:p w14:paraId="795576E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综合废水</w:t>
            </w:r>
          </w:p>
        </w:tc>
        <w:tc>
          <w:tcPr>
            <w:tcW w:w="480" w:type="pct"/>
            <w:vAlign w:val="center"/>
          </w:tcPr>
          <w:p w14:paraId="5EC09660">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p</w:t>
            </w:r>
            <w:r>
              <w:rPr>
                <w:snapToGrid w:val="0"/>
                <w:color w:val="000000" w:themeColor="text1"/>
                <w:kern w:val="0"/>
                <w14:textFill>
                  <w14:solidFill>
                    <w14:schemeClr w14:val="tx1"/>
                  </w14:solidFill>
                </w14:textFill>
              </w:rPr>
              <w:t>H</w:t>
            </w:r>
            <w:r>
              <w:rPr>
                <w:rFonts w:hint="eastAsia"/>
                <w:snapToGrid w:val="0"/>
                <w:color w:val="000000" w:themeColor="text1"/>
                <w:kern w:val="0"/>
                <w:lang w:eastAsia="zh-CN"/>
                <w14:textFill>
                  <w14:solidFill>
                    <w14:schemeClr w14:val="tx1"/>
                  </w14:solidFill>
                </w14:textFill>
              </w:rPr>
              <w:t>值、</w:t>
            </w:r>
            <w:r>
              <w:rPr>
                <w:snapToGrid w:val="0"/>
                <w:color w:val="000000" w:themeColor="text1"/>
                <w:kern w:val="0"/>
                <w14:textFill>
                  <w14:solidFill>
                    <w14:schemeClr w14:val="tx1"/>
                  </w14:solidFill>
                </w14:textFill>
              </w:rPr>
              <w:t>COD、BOD</w:t>
            </w:r>
            <w:r>
              <w:rPr>
                <w:snapToGrid w:val="0"/>
                <w:color w:val="000000" w:themeColor="text1"/>
                <w:kern w:val="0"/>
                <w:vertAlign w:val="subscript"/>
                <w14:textFill>
                  <w14:solidFill>
                    <w14:schemeClr w14:val="tx1"/>
                  </w14:solidFill>
                </w14:textFill>
              </w:rPr>
              <w:t>5</w:t>
            </w:r>
            <w:r>
              <w:rPr>
                <w:snapToGrid w:val="0"/>
                <w:color w:val="000000" w:themeColor="text1"/>
                <w:kern w:val="0"/>
                <w14:textFill>
                  <w14:solidFill>
                    <w14:schemeClr w14:val="tx1"/>
                  </w14:solidFill>
                </w14:textFill>
              </w:rPr>
              <w:t>、SS、氨氮</w:t>
            </w:r>
            <w:r>
              <w:rPr>
                <w:rFonts w:hint="eastAsia"/>
                <w:snapToGrid w:val="0"/>
                <w:color w:val="000000" w:themeColor="text1"/>
                <w:kern w:val="0"/>
                <w:lang w:eastAsia="zh-CN"/>
                <w14:textFill>
                  <w14:solidFill>
                    <w14:schemeClr w14:val="tx1"/>
                  </w14:solidFill>
                </w14:textFill>
              </w:rPr>
              <w:t>、T</w:t>
            </w:r>
            <w:r>
              <w:rPr>
                <w:snapToGrid w:val="0"/>
                <w:color w:val="000000" w:themeColor="text1"/>
                <w:kern w:val="0"/>
                <w:lang w:eastAsia="zh-CN"/>
                <w14:textFill>
                  <w14:solidFill>
                    <w14:schemeClr w14:val="tx1"/>
                  </w14:solidFill>
                </w14:textFill>
              </w:rPr>
              <w:t>P</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TN</w:t>
            </w:r>
          </w:p>
        </w:tc>
        <w:tc>
          <w:tcPr>
            <w:tcW w:w="368" w:type="pct"/>
            <w:vMerge w:val="restart"/>
            <w:vAlign w:val="center"/>
          </w:tcPr>
          <w:p w14:paraId="1D55BBE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进入城市污水处理厂</w:t>
            </w:r>
          </w:p>
        </w:tc>
        <w:tc>
          <w:tcPr>
            <w:tcW w:w="449" w:type="pct"/>
            <w:vMerge w:val="restart"/>
            <w:vAlign w:val="center"/>
          </w:tcPr>
          <w:p w14:paraId="7D16CE1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连续排放，流量不稳定</w:t>
            </w:r>
          </w:p>
        </w:tc>
        <w:tc>
          <w:tcPr>
            <w:tcW w:w="398" w:type="pct"/>
            <w:vAlign w:val="center"/>
          </w:tcPr>
          <w:p w14:paraId="6EECDFC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399" w:type="pct"/>
            <w:vAlign w:val="center"/>
          </w:tcPr>
          <w:p w14:paraId="1052DC7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污水处理站</w:t>
            </w:r>
          </w:p>
        </w:tc>
        <w:tc>
          <w:tcPr>
            <w:tcW w:w="518" w:type="pct"/>
            <w:vAlign w:val="center"/>
          </w:tcPr>
          <w:p w14:paraId="55E1B4F3">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隔油池+</w:t>
            </w:r>
            <w:r>
              <w:rPr>
                <w:rFonts w:hint="eastAsia"/>
                <w:snapToGrid w:val="0"/>
                <w:color w:val="000000" w:themeColor="text1"/>
                <w:kern w:val="0"/>
                <w:lang w:val="en-US"/>
                <w14:textFill>
                  <w14:solidFill>
                    <w14:schemeClr w14:val="tx1"/>
                  </w14:solidFill>
                </w14:textFill>
              </w:rPr>
              <w:t>初沉池+调节池+UASB+</w:t>
            </w:r>
            <w:r>
              <w:rPr>
                <w:rFonts w:hint="eastAsia"/>
                <w:snapToGrid w:val="0"/>
                <w:color w:val="000000" w:themeColor="text1"/>
                <w:kern w:val="0"/>
                <w:lang w:val="en-US" w:eastAsia="zh-CN"/>
                <w14:textFill>
                  <w14:solidFill>
                    <w14:schemeClr w14:val="tx1"/>
                  </w14:solidFill>
                </w14:textFill>
              </w:rPr>
              <w:t>A/O</w:t>
            </w:r>
            <w:r>
              <w:rPr>
                <w:rFonts w:hint="eastAsia"/>
                <w:snapToGrid w:val="0"/>
                <w:color w:val="000000" w:themeColor="text1"/>
                <w:kern w:val="0"/>
                <w:lang w:val="en-US"/>
                <w14:textFill>
                  <w14:solidFill>
                    <w14:schemeClr w14:val="tx1"/>
                  </w14:solidFill>
                </w14:textFill>
              </w:rPr>
              <w:t>+二沉池+污泥池</w:t>
            </w:r>
          </w:p>
        </w:tc>
        <w:tc>
          <w:tcPr>
            <w:tcW w:w="315" w:type="pct"/>
            <w:vMerge w:val="restart"/>
            <w:vAlign w:val="center"/>
          </w:tcPr>
          <w:p w14:paraId="4EE7ACB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DW001</w:t>
            </w:r>
          </w:p>
        </w:tc>
        <w:tc>
          <w:tcPr>
            <w:tcW w:w="398" w:type="pct"/>
            <w:vMerge w:val="restart"/>
            <w:vAlign w:val="center"/>
          </w:tcPr>
          <w:p w14:paraId="28D8B0AF">
            <w:pPr>
              <w:pStyle w:val="143"/>
              <w:rPr>
                <w:snapToGrid w:val="0"/>
                <w:color w:val="000000" w:themeColor="text1"/>
                <w:kern w:val="0"/>
                <w14:textFill>
                  <w14:solidFill>
                    <w14:schemeClr w14:val="tx1"/>
                  </w14:solidFill>
                </w14:textFill>
              </w:rPr>
            </w:pPr>
            <w:bookmarkStart w:id="264" w:name="_Hlk205208716"/>
            <w:r>
              <w:rPr>
                <w:snapToGrid w:val="0"/>
                <w:color w:val="000000" w:themeColor="text1"/>
                <w:kern w:val="0"/>
                <w14:textFill>
                  <w14:solidFill>
                    <w14:schemeClr w14:val="tx1"/>
                  </w14:solidFill>
                </w14:textFill>
              </w:rPr>
              <w:sym w:font="Wingdings 2" w:char="0052"/>
            </w:r>
            <w:bookmarkEnd w:id="264"/>
            <w:r>
              <w:rPr>
                <w:snapToGrid w:val="0"/>
                <w:color w:val="000000" w:themeColor="text1"/>
                <w:kern w:val="0"/>
                <w14:textFill>
                  <w14:solidFill>
                    <w14:schemeClr w14:val="tx1"/>
                  </w14:solidFill>
                </w14:textFill>
              </w:rPr>
              <w:t>是</w:t>
            </w:r>
          </w:p>
          <w:p w14:paraId="1BFEEDC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□否</w:t>
            </w:r>
          </w:p>
        </w:tc>
        <w:tc>
          <w:tcPr>
            <w:tcW w:w="979" w:type="pct"/>
            <w:vMerge w:val="restart"/>
            <w:vAlign w:val="center"/>
          </w:tcPr>
          <w:p w14:paraId="1DF4108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sym w:font="Wingdings 2" w:char="0052"/>
            </w:r>
            <w:r>
              <w:rPr>
                <w:snapToGrid w:val="0"/>
                <w:color w:val="000000" w:themeColor="text1"/>
                <w:kern w:val="0"/>
                <w14:textFill>
                  <w14:solidFill>
                    <w14:schemeClr w14:val="tx1"/>
                  </w14:solidFill>
                </w14:textFill>
              </w:rPr>
              <w:t>企业排口</w:t>
            </w:r>
          </w:p>
          <w:p w14:paraId="372BF2B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□雨水排放</w:t>
            </w:r>
          </w:p>
          <w:p w14:paraId="2C0A921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□清净下水排放</w:t>
            </w:r>
          </w:p>
          <w:p w14:paraId="2C929C9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□温排水排放</w:t>
            </w:r>
          </w:p>
          <w:p w14:paraId="0F8E6E2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□车间或车间处理设施排放口</w:t>
            </w:r>
          </w:p>
        </w:tc>
      </w:tr>
      <w:tr w14:paraId="278C14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2" w:type="pct"/>
            <w:vAlign w:val="center"/>
          </w:tcPr>
          <w:p w14:paraId="25B34B9F">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w:t>
            </w:r>
          </w:p>
        </w:tc>
        <w:tc>
          <w:tcPr>
            <w:tcW w:w="478" w:type="pct"/>
            <w:vMerge w:val="continue"/>
            <w:vAlign w:val="center"/>
          </w:tcPr>
          <w:p w14:paraId="27AC1FD9">
            <w:pPr>
              <w:pStyle w:val="143"/>
              <w:rPr>
                <w:snapToGrid w:val="0"/>
                <w:color w:val="000000" w:themeColor="text1"/>
                <w:kern w:val="0"/>
                <w14:textFill>
                  <w14:solidFill>
                    <w14:schemeClr w14:val="tx1"/>
                  </w14:solidFill>
                </w14:textFill>
              </w:rPr>
            </w:pPr>
          </w:p>
        </w:tc>
        <w:tc>
          <w:tcPr>
            <w:tcW w:w="480" w:type="pct"/>
            <w:vAlign w:val="center"/>
          </w:tcPr>
          <w:p w14:paraId="14D61E52">
            <w:pPr>
              <w:pStyle w:val="143"/>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动植物油</w:t>
            </w:r>
          </w:p>
        </w:tc>
        <w:tc>
          <w:tcPr>
            <w:tcW w:w="368" w:type="pct"/>
            <w:vMerge w:val="continue"/>
            <w:vAlign w:val="center"/>
          </w:tcPr>
          <w:p w14:paraId="4281E80B">
            <w:pPr>
              <w:pStyle w:val="143"/>
              <w:rPr>
                <w:snapToGrid w:val="0"/>
                <w:color w:val="000000" w:themeColor="text1"/>
                <w:kern w:val="0"/>
                <w14:textFill>
                  <w14:solidFill>
                    <w14:schemeClr w14:val="tx1"/>
                  </w14:solidFill>
                </w14:textFill>
              </w:rPr>
            </w:pPr>
          </w:p>
        </w:tc>
        <w:tc>
          <w:tcPr>
            <w:tcW w:w="449" w:type="pct"/>
            <w:vMerge w:val="continue"/>
            <w:vAlign w:val="center"/>
          </w:tcPr>
          <w:p w14:paraId="3D761D1B">
            <w:pPr>
              <w:pStyle w:val="143"/>
              <w:rPr>
                <w:snapToGrid w:val="0"/>
                <w:color w:val="000000" w:themeColor="text1"/>
                <w:kern w:val="0"/>
                <w14:textFill>
                  <w14:solidFill>
                    <w14:schemeClr w14:val="tx1"/>
                  </w14:solidFill>
                </w14:textFill>
              </w:rPr>
            </w:pPr>
          </w:p>
        </w:tc>
        <w:tc>
          <w:tcPr>
            <w:tcW w:w="398" w:type="pct"/>
            <w:vAlign w:val="center"/>
          </w:tcPr>
          <w:p w14:paraId="2B39C7DB">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w:t>
            </w:r>
          </w:p>
        </w:tc>
        <w:tc>
          <w:tcPr>
            <w:tcW w:w="399" w:type="pct"/>
            <w:vAlign w:val="center"/>
          </w:tcPr>
          <w:p w14:paraId="06087B3D">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隔油池</w:t>
            </w:r>
          </w:p>
        </w:tc>
        <w:tc>
          <w:tcPr>
            <w:tcW w:w="518" w:type="pct"/>
            <w:vAlign w:val="center"/>
          </w:tcPr>
          <w:p w14:paraId="06DA0E1F">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隔油</w:t>
            </w:r>
          </w:p>
        </w:tc>
        <w:tc>
          <w:tcPr>
            <w:tcW w:w="315" w:type="pct"/>
            <w:vMerge w:val="continue"/>
            <w:vAlign w:val="center"/>
          </w:tcPr>
          <w:p w14:paraId="62338F44">
            <w:pPr>
              <w:pStyle w:val="143"/>
              <w:rPr>
                <w:snapToGrid w:val="0"/>
                <w:color w:val="000000" w:themeColor="text1"/>
                <w:kern w:val="0"/>
                <w14:textFill>
                  <w14:solidFill>
                    <w14:schemeClr w14:val="tx1"/>
                  </w14:solidFill>
                </w14:textFill>
              </w:rPr>
            </w:pPr>
          </w:p>
        </w:tc>
        <w:tc>
          <w:tcPr>
            <w:tcW w:w="398" w:type="pct"/>
            <w:vMerge w:val="continue"/>
            <w:vAlign w:val="center"/>
          </w:tcPr>
          <w:p w14:paraId="5A42BD73">
            <w:pPr>
              <w:pStyle w:val="143"/>
              <w:rPr>
                <w:snapToGrid w:val="0"/>
                <w:color w:val="000000" w:themeColor="text1"/>
                <w:kern w:val="0"/>
                <w14:textFill>
                  <w14:solidFill>
                    <w14:schemeClr w14:val="tx1"/>
                  </w14:solidFill>
                </w14:textFill>
              </w:rPr>
            </w:pPr>
          </w:p>
        </w:tc>
        <w:tc>
          <w:tcPr>
            <w:tcW w:w="979" w:type="pct"/>
            <w:vMerge w:val="continue"/>
            <w:vAlign w:val="center"/>
          </w:tcPr>
          <w:p w14:paraId="122CA34F">
            <w:pPr>
              <w:pStyle w:val="143"/>
              <w:rPr>
                <w:snapToGrid w:val="0"/>
                <w:color w:val="000000" w:themeColor="text1"/>
                <w:kern w:val="0"/>
                <w14:textFill>
                  <w14:solidFill>
                    <w14:schemeClr w14:val="tx1"/>
                  </w14:solidFill>
                </w14:textFill>
              </w:rPr>
            </w:pPr>
          </w:p>
        </w:tc>
      </w:tr>
    </w:tbl>
    <w:p w14:paraId="4A36F453">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 5-2-6 废水间接排放口基本情况表</w:t>
      </w:r>
    </w:p>
    <w:tbl>
      <w:tblPr>
        <w:tblStyle w:val="418"/>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28"/>
        <w:gridCol w:w="881"/>
        <w:gridCol w:w="1424"/>
        <w:gridCol w:w="1319"/>
        <w:gridCol w:w="1193"/>
        <w:gridCol w:w="1623"/>
        <w:gridCol w:w="1062"/>
        <w:gridCol w:w="786"/>
        <w:gridCol w:w="1609"/>
        <w:gridCol w:w="1079"/>
        <w:gridCol w:w="2446"/>
      </w:tblGrid>
      <w:tr w14:paraId="53A59D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0" w:type="pct"/>
            <w:vMerge w:val="restart"/>
            <w:vAlign w:val="center"/>
          </w:tcPr>
          <w:p w14:paraId="3947EE8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序号</w:t>
            </w:r>
          </w:p>
        </w:tc>
        <w:tc>
          <w:tcPr>
            <w:tcW w:w="315" w:type="pct"/>
            <w:vMerge w:val="restart"/>
            <w:vAlign w:val="center"/>
          </w:tcPr>
          <w:p w14:paraId="17961A0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排放口编号</w:t>
            </w:r>
          </w:p>
        </w:tc>
        <w:tc>
          <w:tcPr>
            <w:tcW w:w="821" w:type="pct"/>
            <w:gridSpan w:val="2"/>
            <w:vAlign w:val="center"/>
          </w:tcPr>
          <w:p w14:paraId="7471D48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排放口地理坐标</w:t>
            </w:r>
          </w:p>
        </w:tc>
        <w:tc>
          <w:tcPr>
            <w:tcW w:w="448" w:type="pct"/>
            <w:vMerge w:val="restart"/>
            <w:vAlign w:val="center"/>
          </w:tcPr>
          <w:p w14:paraId="4DF382F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废水排放量</w:t>
            </w:r>
          </w:p>
          <w:p w14:paraId="11F4B0B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（m³/d）</w:t>
            </w:r>
          </w:p>
        </w:tc>
        <w:tc>
          <w:tcPr>
            <w:tcW w:w="602" w:type="pct"/>
            <w:vMerge w:val="restart"/>
            <w:vAlign w:val="center"/>
          </w:tcPr>
          <w:p w14:paraId="732C855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排放去向</w:t>
            </w:r>
          </w:p>
        </w:tc>
        <w:tc>
          <w:tcPr>
            <w:tcW w:w="401" w:type="pct"/>
            <w:vMerge w:val="restart"/>
            <w:vAlign w:val="center"/>
          </w:tcPr>
          <w:p w14:paraId="0E05510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排放规律</w:t>
            </w:r>
          </w:p>
        </w:tc>
        <w:tc>
          <w:tcPr>
            <w:tcW w:w="302" w:type="pct"/>
            <w:vMerge w:val="restart"/>
            <w:vAlign w:val="center"/>
          </w:tcPr>
          <w:p w14:paraId="7D021FF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间歇排放时段</w:t>
            </w:r>
          </w:p>
        </w:tc>
        <w:tc>
          <w:tcPr>
            <w:tcW w:w="1898" w:type="pct"/>
            <w:gridSpan w:val="3"/>
            <w:vAlign w:val="center"/>
          </w:tcPr>
          <w:p w14:paraId="5591C0F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受纳污水处理厂信息</w:t>
            </w:r>
          </w:p>
        </w:tc>
      </w:tr>
      <w:tr w14:paraId="27D0C3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0" w:type="pct"/>
            <w:vMerge w:val="continue"/>
            <w:vAlign w:val="center"/>
          </w:tcPr>
          <w:p w14:paraId="13A4816B">
            <w:pPr>
              <w:pStyle w:val="143"/>
              <w:rPr>
                <w:snapToGrid w:val="0"/>
                <w:color w:val="000000" w:themeColor="text1"/>
                <w:kern w:val="0"/>
                <w14:textFill>
                  <w14:solidFill>
                    <w14:schemeClr w14:val="tx1"/>
                  </w14:solidFill>
                </w14:textFill>
              </w:rPr>
            </w:pPr>
          </w:p>
        </w:tc>
        <w:tc>
          <w:tcPr>
            <w:tcW w:w="315" w:type="pct"/>
            <w:vMerge w:val="continue"/>
            <w:vAlign w:val="center"/>
          </w:tcPr>
          <w:p w14:paraId="2905B094">
            <w:pPr>
              <w:pStyle w:val="143"/>
              <w:rPr>
                <w:snapToGrid w:val="0"/>
                <w:color w:val="000000" w:themeColor="text1"/>
                <w:kern w:val="0"/>
                <w14:textFill>
                  <w14:solidFill>
                    <w14:schemeClr w14:val="tx1"/>
                  </w14:solidFill>
                </w14:textFill>
              </w:rPr>
            </w:pPr>
          </w:p>
        </w:tc>
        <w:tc>
          <w:tcPr>
            <w:tcW w:w="389" w:type="pct"/>
            <w:vAlign w:val="center"/>
          </w:tcPr>
          <w:p w14:paraId="5A53D4E9">
            <w:pPr>
              <w:pStyle w:val="143"/>
              <w:rPr>
                <w:rFonts w:cs="Times New Roman"/>
                <w:snapToGrid w:val="0"/>
                <w:color w:val="000000" w:themeColor="text1"/>
                <w:kern w:val="0"/>
                <w:lang w:eastAsia="zh-CN"/>
                <w14:textFill>
                  <w14:solidFill>
                    <w14:schemeClr w14:val="tx1"/>
                  </w14:solidFill>
                </w14:textFill>
              </w:rPr>
            </w:pPr>
            <w:r>
              <w:rPr>
                <w:rFonts w:cs="Times New Roman"/>
                <w:snapToGrid w:val="0"/>
                <w:color w:val="000000" w:themeColor="text1"/>
                <w:kern w:val="0"/>
                <w14:textFill>
                  <w14:solidFill>
                    <w14:schemeClr w14:val="tx1"/>
                  </w14:solidFill>
                </w14:textFill>
              </w:rPr>
              <w:t>经度</w:t>
            </w:r>
            <w:r>
              <w:rPr>
                <w:rFonts w:cs="Times New Roman"/>
                <w:snapToGrid w:val="0"/>
                <w:color w:val="000000" w:themeColor="text1"/>
                <w:kern w:val="0"/>
                <w:lang w:eastAsia="zh-CN"/>
                <w14:textFill>
                  <w14:solidFill>
                    <w14:schemeClr w14:val="tx1"/>
                  </w14:solidFill>
                </w14:textFill>
              </w:rPr>
              <w:t>/°</w:t>
            </w:r>
          </w:p>
        </w:tc>
        <w:tc>
          <w:tcPr>
            <w:tcW w:w="431" w:type="pct"/>
            <w:vAlign w:val="center"/>
          </w:tcPr>
          <w:p w14:paraId="5D1BE2DB">
            <w:pPr>
              <w:pStyle w:val="143"/>
              <w:rPr>
                <w:rFonts w:cs="Times New Roman"/>
                <w:snapToGrid w:val="0"/>
                <w:color w:val="000000" w:themeColor="text1"/>
                <w:kern w:val="0"/>
                <w14:textFill>
                  <w14:solidFill>
                    <w14:schemeClr w14:val="tx1"/>
                  </w14:solidFill>
                </w14:textFill>
              </w:rPr>
            </w:pPr>
            <w:r>
              <w:rPr>
                <w:rFonts w:cs="Times New Roman"/>
                <w:snapToGrid w:val="0"/>
                <w:color w:val="000000" w:themeColor="text1"/>
                <w:kern w:val="0"/>
                <w14:textFill>
                  <w14:solidFill>
                    <w14:schemeClr w14:val="tx1"/>
                  </w14:solidFill>
                </w14:textFill>
              </w:rPr>
              <w:t>纬度</w:t>
            </w:r>
            <w:r>
              <w:rPr>
                <w:rFonts w:cs="Times New Roman"/>
                <w:snapToGrid w:val="0"/>
                <w:color w:val="000000" w:themeColor="text1"/>
                <w:kern w:val="0"/>
                <w:lang w:val="en-US"/>
                <w14:textFill>
                  <w14:solidFill>
                    <w14:schemeClr w14:val="tx1"/>
                  </w14:solidFill>
                </w14:textFill>
              </w:rPr>
              <w:t>/°</w:t>
            </w:r>
          </w:p>
        </w:tc>
        <w:tc>
          <w:tcPr>
            <w:tcW w:w="448" w:type="pct"/>
            <w:vMerge w:val="continue"/>
            <w:vAlign w:val="center"/>
          </w:tcPr>
          <w:p w14:paraId="11DAE133">
            <w:pPr>
              <w:pStyle w:val="143"/>
              <w:rPr>
                <w:snapToGrid w:val="0"/>
                <w:color w:val="000000" w:themeColor="text1"/>
                <w:kern w:val="0"/>
                <w14:textFill>
                  <w14:solidFill>
                    <w14:schemeClr w14:val="tx1"/>
                  </w14:solidFill>
                </w14:textFill>
              </w:rPr>
            </w:pPr>
          </w:p>
        </w:tc>
        <w:tc>
          <w:tcPr>
            <w:tcW w:w="602" w:type="pct"/>
            <w:vMerge w:val="continue"/>
            <w:vAlign w:val="center"/>
          </w:tcPr>
          <w:p w14:paraId="14FE1BC0">
            <w:pPr>
              <w:pStyle w:val="143"/>
              <w:rPr>
                <w:snapToGrid w:val="0"/>
                <w:color w:val="000000" w:themeColor="text1"/>
                <w:kern w:val="0"/>
                <w14:textFill>
                  <w14:solidFill>
                    <w14:schemeClr w14:val="tx1"/>
                  </w14:solidFill>
                </w14:textFill>
              </w:rPr>
            </w:pPr>
          </w:p>
        </w:tc>
        <w:tc>
          <w:tcPr>
            <w:tcW w:w="401" w:type="pct"/>
            <w:vMerge w:val="continue"/>
            <w:vAlign w:val="center"/>
          </w:tcPr>
          <w:p w14:paraId="737B4D65">
            <w:pPr>
              <w:pStyle w:val="143"/>
              <w:rPr>
                <w:snapToGrid w:val="0"/>
                <w:color w:val="000000" w:themeColor="text1"/>
                <w:kern w:val="0"/>
                <w14:textFill>
                  <w14:solidFill>
                    <w14:schemeClr w14:val="tx1"/>
                  </w14:solidFill>
                </w14:textFill>
              </w:rPr>
            </w:pPr>
          </w:p>
        </w:tc>
        <w:tc>
          <w:tcPr>
            <w:tcW w:w="302" w:type="pct"/>
            <w:vMerge w:val="continue"/>
            <w:vAlign w:val="center"/>
          </w:tcPr>
          <w:p w14:paraId="5C5501D1">
            <w:pPr>
              <w:pStyle w:val="143"/>
              <w:rPr>
                <w:snapToGrid w:val="0"/>
                <w:color w:val="000000" w:themeColor="text1"/>
                <w:kern w:val="0"/>
                <w14:textFill>
                  <w14:solidFill>
                    <w14:schemeClr w14:val="tx1"/>
                  </w14:solidFill>
                </w14:textFill>
              </w:rPr>
            </w:pPr>
          </w:p>
        </w:tc>
        <w:tc>
          <w:tcPr>
            <w:tcW w:w="597" w:type="pct"/>
            <w:vAlign w:val="center"/>
          </w:tcPr>
          <w:p w14:paraId="44339EF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名称</w:t>
            </w:r>
          </w:p>
        </w:tc>
        <w:tc>
          <w:tcPr>
            <w:tcW w:w="407" w:type="pct"/>
            <w:vAlign w:val="center"/>
          </w:tcPr>
          <w:p w14:paraId="0B65729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污染物种类</w:t>
            </w:r>
          </w:p>
        </w:tc>
        <w:tc>
          <w:tcPr>
            <w:tcW w:w="893" w:type="pct"/>
            <w:vAlign w:val="center"/>
          </w:tcPr>
          <w:p w14:paraId="4DEA126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国家或地方污染物排放标准浓度/（mg/L）</w:t>
            </w:r>
          </w:p>
        </w:tc>
      </w:tr>
      <w:tr w14:paraId="369C34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0" w:type="pct"/>
            <w:vMerge w:val="restart"/>
            <w:vAlign w:val="center"/>
          </w:tcPr>
          <w:p w14:paraId="0EE6D7F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315" w:type="pct"/>
            <w:vMerge w:val="restart"/>
            <w:vAlign w:val="center"/>
          </w:tcPr>
          <w:p w14:paraId="48F6DEC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DW001</w:t>
            </w:r>
          </w:p>
        </w:tc>
        <w:tc>
          <w:tcPr>
            <w:tcW w:w="389" w:type="pct"/>
            <w:vMerge w:val="restart"/>
            <w:vAlign w:val="center"/>
          </w:tcPr>
          <w:p w14:paraId="41CCD11B">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130.57757822</w:t>
            </w:r>
          </w:p>
        </w:tc>
        <w:tc>
          <w:tcPr>
            <w:tcW w:w="431" w:type="pct"/>
            <w:vMerge w:val="restart"/>
            <w:vAlign w:val="center"/>
          </w:tcPr>
          <w:p w14:paraId="697ED2B8">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46.26915029</w:t>
            </w:r>
          </w:p>
        </w:tc>
        <w:tc>
          <w:tcPr>
            <w:tcW w:w="448" w:type="pct"/>
            <w:vMerge w:val="restart"/>
            <w:vAlign w:val="center"/>
          </w:tcPr>
          <w:p w14:paraId="4166DBD9">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123.56</w:t>
            </w:r>
          </w:p>
        </w:tc>
        <w:tc>
          <w:tcPr>
            <w:tcW w:w="602" w:type="pct"/>
            <w:vMerge w:val="restart"/>
            <w:vAlign w:val="center"/>
          </w:tcPr>
          <w:p w14:paraId="220CE91A">
            <w:pPr>
              <w:pStyle w:val="143"/>
              <w:rPr>
                <w:rFonts w:hint="eastAsia" w:eastAsia="宋体"/>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桦南县城镇污水处理厂</w:t>
            </w:r>
          </w:p>
        </w:tc>
        <w:tc>
          <w:tcPr>
            <w:tcW w:w="401" w:type="pct"/>
            <w:vMerge w:val="restart"/>
            <w:vAlign w:val="center"/>
          </w:tcPr>
          <w:p w14:paraId="6457590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连续稳定</w:t>
            </w:r>
          </w:p>
        </w:tc>
        <w:tc>
          <w:tcPr>
            <w:tcW w:w="302" w:type="pct"/>
            <w:vMerge w:val="restart"/>
            <w:vAlign w:val="center"/>
          </w:tcPr>
          <w:p w14:paraId="05FFE99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全天</w:t>
            </w:r>
          </w:p>
        </w:tc>
        <w:tc>
          <w:tcPr>
            <w:tcW w:w="597" w:type="pct"/>
            <w:vMerge w:val="restart"/>
            <w:vAlign w:val="center"/>
          </w:tcPr>
          <w:p w14:paraId="45B12397">
            <w:pPr>
              <w:pStyle w:val="143"/>
              <w:rPr>
                <w:rFonts w:hint="eastAsia" w:eastAsia="宋体"/>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桦南县城镇污水处理厂</w:t>
            </w:r>
          </w:p>
        </w:tc>
        <w:tc>
          <w:tcPr>
            <w:tcW w:w="407" w:type="pct"/>
            <w:vAlign w:val="center"/>
          </w:tcPr>
          <w:p w14:paraId="37AF3A9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COD</w:t>
            </w:r>
          </w:p>
        </w:tc>
        <w:tc>
          <w:tcPr>
            <w:tcW w:w="893" w:type="pct"/>
            <w:vAlign w:val="center"/>
          </w:tcPr>
          <w:p w14:paraId="58685BF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50</w:t>
            </w:r>
          </w:p>
        </w:tc>
      </w:tr>
      <w:tr w14:paraId="2F0FA5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0" w:type="pct"/>
            <w:vMerge w:val="continue"/>
            <w:vAlign w:val="center"/>
          </w:tcPr>
          <w:p w14:paraId="219B8C35">
            <w:pPr>
              <w:pStyle w:val="143"/>
              <w:rPr>
                <w:snapToGrid w:val="0"/>
                <w:color w:val="000000" w:themeColor="text1"/>
                <w:kern w:val="0"/>
                <w14:textFill>
                  <w14:solidFill>
                    <w14:schemeClr w14:val="tx1"/>
                  </w14:solidFill>
                </w14:textFill>
              </w:rPr>
            </w:pPr>
          </w:p>
        </w:tc>
        <w:tc>
          <w:tcPr>
            <w:tcW w:w="315" w:type="pct"/>
            <w:vMerge w:val="continue"/>
            <w:vAlign w:val="center"/>
          </w:tcPr>
          <w:p w14:paraId="675E9BED">
            <w:pPr>
              <w:pStyle w:val="143"/>
              <w:rPr>
                <w:snapToGrid w:val="0"/>
                <w:color w:val="000000" w:themeColor="text1"/>
                <w:kern w:val="0"/>
                <w14:textFill>
                  <w14:solidFill>
                    <w14:schemeClr w14:val="tx1"/>
                  </w14:solidFill>
                </w14:textFill>
              </w:rPr>
            </w:pPr>
          </w:p>
        </w:tc>
        <w:tc>
          <w:tcPr>
            <w:tcW w:w="389" w:type="pct"/>
            <w:vMerge w:val="continue"/>
            <w:vAlign w:val="center"/>
          </w:tcPr>
          <w:p w14:paraId="3390C8A9">
            <w:pPr>
              <w:pStyle w:val="143"/>
              <w:rPr>
                <w:snapToGrid w:val="0"/>
                <w:color w:val="000000" w:themeColor="text1"/>
                <w:kern w:val="0"/>
                <w14:textFill>
                  <w14:solidFill>
                    <w14:schemeClr w14:val="tx1"/>
                  </w14:solidFill>
                </w14:textFill>
              </w:rPr>
            </w:pPr>
          </w:p>
        </w:tc>
        <w:tc>
          <w:tcPr>
            <w:tcW w:w="431" w:type="pct"/>
            <w:vMerge w:val="continue"/>
            <w:vAlign w:val="center"/>
          </w:tcPr>
          <w:p w14:paraId="546ED502">
            <w:pPr>
              <w:pStyle w:val="143"/>
              <w:rPr>
                <w:snapToGrid w:val="0"/>
                <w:color w:val="000000" w:themeColor="text1"/>
                <w:kern w:val="0"/>
                <w14:textFill>
                  <w14:solidFill>
                    <w14:schemeClr w14:val="tx1"/>
                  </w14:solidFill>
                </w14:textFill>
              </w:rPr>
            </w:pPr>
          </w:p>
        </w:tc>
        <w:tc>
          <w:tcPr>
            <w:tcW w:w="448" w:type="pct"/>
            <w:vMerge w:val="continue"/>
            <w:vAlign w:val="center"/>
          </w:tcPr>
          <w:p w14:paraId="3AEE90DB">
            <w:pPr>
              <w:pStyle w:val="143"/>
              <w:rPr>
                <w:snapToGrid w:val="0"/>
                <w:color w:val="000000" w:themeColor="text1"/>
                <w:kern w:val="0"/>
                <w14:textFill>
                  <w14:solidFill>
                    <w14:schemeClr w14:val="tx1"/>
                  </w14:solidFill>
                </w14:textFill>
              </w:rPr>
            </w:pPr>
          </w:p>
        </w:tc>
        <w:tc>
          <w:tcPr>
            <w:tcW w:w="602" w:type="pct"/>
            <w:vMerge w:val="continue"/>
            <w:vAlign w:val="center"/>
          </w:tcPr>
          <w:p w14:paraId="6D38074F">
            <w:pPr>
              <w:pStyle w:val="143"/>
              <w:rPr>
                <w:snapToGrid w:val="0"/>
                <w:color w:val="000000" w:themeColor="text1"/>
                <w:kern w:val="0"/>
                <w14:textFill>
                  <w14:solidFill>
                    <w14:schemeClr w14:val="tx1"/>
                  </w14:solidFill>
                </w14:textFill>
              </w:rPr>
            </w:pPr>
          </w:p>
        </w:tc>
        <w:tc>
          <w:tcPr>
            <w:tcW w:w="401" w:type="pct"/>
            <w:vMerge w:val="continue"/>
            <w:vAlign w:val="center"/>
          </w:tcPr>
          <w:p w14:paraId="197D552B">
            <w:pPr>
              <w:pStyle w:val="143"/>
              <w:rPr>
                <w:snapToGrid w:val="0"/>
                <w:color w:val="000000" w:themeColor="text1"/>
                <w:kern w:val="0"/>
                <w14:textFill>
                  <w14:solidFill>
                    <w14:schemeClr w14:val="tx1"/>
                  </w14:solidFill>
                </w14:textFill>
              </w:rPr>
            </w:pPr>
          </w:p>
        </w:tc>
        <w:tc>
          <w:tcPr>
            <w:tcW w:w="302" w:type="pct"/>
            <w:vMerge w:val="continue"/>
            <w:vAlign w:val="center"/>
          </w:tcPr>
          <w:p w14:paraId="783902A6">
            <w:pPr>
              <w:pStyle w:val="143"/>
              <w:rPr>
                <w:snapToGrid w:val="0"/>
                <w:color w:val="000000" w:themeColor="text1"/>
                <w:kern w:val="0"/>
                <w14:textFill>
                  <w14:solidFill>
                    <w14:schemeClr w14:val="tx1"/>
                  </w14:solidFill>
                </w14:textFill>
              </w:rPr>
            </w:pPr>
          </w:p>
        </w:tc>
        <w:tc>
          <w:tcPr>
            <w:tcW w:w="597" w:type="pct"/>
            <w:vMerge w:val="continue"/>
            <w:vAlign w:val="center"/>
          </w:tcPr>
          <w:p w14:paraId="3E2784B4">
            <w:pPr>
              <w:pStyle w:val="143"/>
              <w:rPr>
                <w:snapToGrid w:val="0"/>
                <w:color w:val="000000" w:themeColor="text1"/>
                <w:kern w:val="0"/>
                <w14:textFill>
                  <w14:solidFill>
                    <w14:schemeClr w14:val="tx1"/>
                  </w14:solidFill>
                </w14:textFill>
              </w:rPr>
            </w:pPr>
          </w:p>
        </w:tc>
        <w:tc>
          <w:tcPr>
            <w:tcW w:w="407" w:type="pct"/>
            <w:vAlign w:val="center"/>
          </w:tcPr>
          <w:p w14:paraId="0D1AC48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BOD</w:t>
            </w:r>
            <w:r>
              <w:rPr>
                <w:snapToGrid w:val="0"/>
                <w:color w:val="000000" w:themeColor="text1"/>
                <w:kern w:val="0"/>
                <w:vertAlign w:val="subscript"/>
                <w14:textFill>
                  <w14:solidFill>
                    <w14:schemeClr w14:val="tx1"/>
                  </w14:solidFill>
                </w14:textFill>
              </w:rPr>
              <w:t>5</w:t>
            </w:r>
          </w:p>
        </w:tc>
        <w:tc>
          <w:tcPr>
            <w:tcW w:w="893" w:type="pct"/>
            <w:vAlign w:val="center"/>
          </w:tcPr>
          <w:p w14:paraId="56F278C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10</w:t>
            </w:r>
          </w:p>
        </w:tc>
      </w:tr>
      <w:tr w14:paraId="567EB5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0" w:type="pct"/>
            <w:vMerge w:val="continue"/>
            <w:vAlign w:val="center"/>
          </w:tcPr>
          <w:p w14:paraId="063EF075">
            <w:pPr>
              <w:pStyle w:val="143"/>
              <w:rPr>
                <w:snapToGrid w:val="0"/>
                <w:color w:val="000000" w:themeColor="text1"/>
                <w:kern w:val="0"/>
                <w14:textFill>
                  <w14:solidFill>
                    <w14:schemeClr w14:val="tx1"/>
                  </w14:solidFill>
                </w14:textFill>
              </w:rPr>
            </w:pPr>
          </w:p>
        </w:tc>
        <w:tc>
          <w:tcPr>
            <w:tcW w:w="315" w:type="pct"/>
            <w:vMerge w:val="continue"/>
            <w:vAlign w:val="center"/>
          </w:tcPr>
          <w:p w14:paraId="379B6995">
            <w:pPr>
              <w:pStyle w:val="143"/>
              <w:rPr>
                <w:snapToGrid w:val="0"/>
                <w:color w:val="000000" w:themeColor="text1"/>
                <w:kern w:val="0"/>
                <w14:textFill>
                  <w14:solidFill>
                    <w14:schemeClr w14:val="tx1"/>
                  </w14:solidFill>
                </w14:textFill>
              </w:rPr>
            </w:pPr>
          </w:p>
        </w:tc>
        <w:tc>
          <w:tcPr>
            <w:tcW w:w="389" w:type="pct"/>
            <w:vMerge w:val="continue"/>
            <w:vAlign w:val="center"/>
          </w:tcPr>
          <w:p w14:paraId="602E51FE">
            <w:pPr>
              <w:pStyle w:val="143"/>
              <w:rPr>
                <w:snapToGrid w:val="0"/>
                <w:color w:val="000000" w:themeColor="text1"/>
                <w:kern w:val="0"/>
                <w14:textFill>
                  <w14:solidFill>
                    <w14:schemeClr w14:val="tx1"/>
                  </w14:solidFill>
                </w14:textFill>
              </w:rPr>
            </w:pPr>
          </w:p>
        </w:tc>
        <w:tc>
          <w:tcPr>
            <w:tcW w:w="431" w:type="pct"/>
            <w:vMerge w:val="continue"/>
            <w:vAlign w:val="center"/>
          </w:tcPr>
          <w:p w14:paraId="6C0C6772">
            <w:pPr>
              <w:pStyle w:val="143"/>
              <w:rPr>
                <w:snapToGrid w:val="0"/>
                <w:color w:val="000000" w:themeColor="text1"/>
                <w:kern w:val="0"/>
                <w14:textFill>
                  <w14:solidFill>
                    <w14:schemeClr w14:val="tx1"/>
                  </w14:solidFill>
                </w14:textFill>
              </w:rPr>
            </w:pPr>
          </w:p>
        </w:tc>
        <w:tc>
          <w:tcPr>
            <w:tcW w:w="448" w:type="pct"/>
            <w:vMerge w:val="continue"/>
            <w:vAlign w:val="center"/>
          </w:tcPr>
          <w:p w14:paraId="32E96904">
            <w:pPr>
              <w:pStyle w:val="143"/>
              <w:rPr>
                <w:snapToGrid w:val="0"/>
                <w:color w:val="000000" w:themeColor="text1"/>
                <w:kern w:val="0"/>
                <w14:textFill>
                  <w14:solidFill>
                    <w14:schemeClr w14:val="tx1"/>
                  </w14:solidFill>
                </w14:textFill>
              </w:rPr>
            </w:pPr>
          </w:p>
        </w:tc>
        <w:tc>
          <w:tcPr>
            <w:tcW w:w="602" w:type="pct"/>
            <w:vMerge w:val="continue"/>
            <w:vAlign w:val="center"/>
          </w:tcPr>
          <w:p w14:paraId="3F6E87CF">
            <w:pPr>
              <w:pStyle w:val="143"/>
              <w:rPr>
                <w:snapToGrid w:val="0"/>
                <w:color w:val="000000" w:themeColor="text1"/>
                <w:kern w:val="0"/>
                <w14:textFill>
                  <w14:solidFill>
                    <w14:schemeClr w14:val="tx1"/>
                  </w14:solidFill>
                </w14:textFill>
              </w:rPr>
            </w:pPr>
          </w:p>
        </w:tc>
        <w:tc>
          <w:tcPr>
            <w:tcW w:w="401" w:type="pct"/>
            <w:vMerge w:val="continue"/>
            <w:vAlign w:val="center"/>
          </w:tcPr>
          <w:p w14:paraId="0E5CE35F">
            <w:pPr>
              <w:pStyle w:val="143"/>
              <w:rPr>
                <w:snapToGrid w:val="0"/>
                <w:color w:val="000000" w:themeColor="text1"/>
                <w:kern w:val="0"/>
                <w14:textFill>
                  <w14:solidFill>
                    <w14:schemeClr w14:val="tx1"/>
                  </w14:solidFill>
                </w14:textFill>
              </w:rPr>
            </w:pPr>
          </w:p>
        </w:tc>
        <w:tc>
          <w:tcPr>
            <w:tcW w:w="302" w:type="pct"/>
            <w:vMerge w:val="continue"/>
            <w:vAlign w:val="center"/>
          </w:tcPr>
          <w:p w14:paraId="1C8B7ED1">
            <w:pPr>
              <w:pStyle w:val="143"/>
              <w:rPr>
                <w:snapToGrid w:val="0"/>
                <w:color w:val="000000" w:themeColor="text1"/>
                <w:kern w:val="0"/>
                <w14:textFill>
                  <w14:solidFill>
                    <w14:schemeClr w14:val="tx1"/>
                  </w14:solidFill>
                </w14:textFill>
              </w:rPr>
            </w:pPr>
          </w:p>
        </w:tc>
        <w:tc>
          <w:tcPr>
            <w:tcW w:w="597" w:type="pct"/>
            <w:vMerge w:val="continue"/>
            <w:vAlign w:val="center"/>
          </w:tcPr>
          <w:p w14:paraId="2E8CE075">
            <w:pPr>
              <w:pStyle w:val="143"/>
              <w:rPr>
                <w:snapToGrid w:val="0"/>
                <w:color w:val="000000" w:themeColor="text1"/>
                <w:kern w:val="0"/>
                <w14:textFill>
                  <w14:solidFill>
                    <w14:schemeClr w14:val="tx1"/>
                  </w14:solidFill>
                </w14:textFill>
              </w:rPr>
            </w:pPr>
          </w:p>
        </w:tc>
        <w:tc>
          <w:tcPr>
            <w:tcW w:w="407" w:type="pct"/>
            <w:vAlign w:val="center"/>
          </w:tcPr>
          <w:p w14:paraId="6D8BBBB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SS</w:t>
            </w:r>
          </w:p>
        </w:tc>
        <w:tc>
          <w:tcPr>
            <w:tcW w:w="893" w:type="pct"/>
            <w:vAlign w:val="center"/>
          </w:tcPr>
          <w:p w14:paraId="24AE870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10</w:t>
            </w:r>
          </w:p>
        </w:tc>
      </w:tr>
      <w:tr w14:paraId="66B3BB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0" w:type="pct"/>
            <w:vMerge w:val="continue"/>
            <w:vAlign w:val="center"/>
          </w:tcPr>
          <w:p w14:paraId="560EF537">
            <w:pPr>
              <w:pStyle w:val="143"/>
              <w:rPr>
                <w:snapToGrid w:val="0"/>
                <w:color w:val="000000" w:themeColor="text1"/>
                <w:kern w:val="0"/>
                <w14:textFill>
                  <w14:solidFill>
                    <w14:schemeClr w14:val="tx1"/>
                  </w14:solidFill>
                </w14:textFill>
              </w:rPr>
            </w:pPr>
          </w:p>
        </w:tc>
        <w:tc>
          <w:tcPr>
            <w:tcW w:w="315" w:type="pct"/>
            <w:vMerge w:val="continue"/>
            <w:vAlign w:val="center"/>
          </w:tcPr>
          <w:p w14:paraId="16E22BDB">
            <w:pPr>
              <w:pStyle w:val="143"/>
              <w:rPr>
                <w:snapToGrid w:val="0"/>
                <w:color w:val="000000" w:themeColor="text1"/>
                <w:kern w:val="0"/>
                <w14:textFill>
                  <w14:solidFill>
                    <w14:schemeClr w14:val="tx1"/>
                  </w14:solidFill>
                </w14:textFill>
              </w:rPr>
            </w:pPr>
          </w:p>
        </w:tc>
        <w:tc>
          <w:tcPr>
            <w:tcW w:w="389" w:type="pct"/>
            <w:vMerge w:val="continue"/>
            <w:vAlign w:val="center"/>
          </w:tcPr>
          <w:p w14:paraId="7DB9211C">
            <w:pPr>
              <w:pStyle w:val="143"/>
              <w:rPr>
                <w:snapToGrid w:val="0"/>
                <w:color w:val="000000" w:themeColor="text1"/>
                <w:kern w:val="0"/>
                <w14:textFill>
                  <w14:solidFill>
                    <w14:schemeClr w14:val="tx1"/>
                  </w14:solidFill>
                </w14:textFill>
              </w:rPr>
            </w:pPr>
          </w:p>
        </w:tc>
        <w:tc>
          <w:tcPr>
            <w:tcW w:w="431" w:type="pct"/>
            <w:vMerge w:val="continue"/>
            <w:vAlign w:val="center"/>
          </w:tcPr>
          <w:p w14:paraId="423823FC">
            <w:pPr>
              <w:pStyle w:val="143"/>
              <w:rPr>
                <w:snapToGrid w:val="0"/>
                <w:color w:val="000000" w:themeColor="text1"/>
                <w:kern w:val="0"/>
                <w14:textFill>
                  <w14:solidFill>
                    <w14:schemeClr w14:val="tx1"/>
                  </w14:solidFill>
                </w14:textFill>
              </w:rPr>
            </w:pPr>
          </w:p>
        </w:tc>
        <w:tc>
          <w:tcPr>
            <w:tcW w:w="448" w:type="pct"/>
            <w:vMerge w:val="continue"/>
            <w:vAlign w:val="center"/>
          </w:tcPr>
          <w:p w14:paraId="7EC95B47">
            <w:pPr>
              <w:pStyle w:val="143"/>
              <w:rPr>
                <w:snapToGrid w:val="0"/>
                <w:color w:val="000000" w:themeColor="text1"/>
                <w:kern w:val="0"/>
                <w14:textFill>
                  <w14:solidFill>
                    <w14:schemeClr w14:val="tx1"/>
                  </w14:solidFill>
                </w14:textFill>
              </w:rPr>
            </w:pPr>
          </w:p>
        </w:tc>
        <w:tc>
          <w:tcPr>
            <w:tcW w:w="602" w:type="pct"/>
            <w:vMerge w:val="continue"/>
            <w:vAlign w:val="center"/>
          </w:tcPr>
          <w:p w14:paraId="0DBF9FBE">
            <w:pPr>
              <w:pStyle w:val="143"/>
              <w:rPr>
                <w:snapToGrid w:val="0"/>
                <w:color w:val="000000" w:themeColor="text1"/>
                <w:kern w:val="0"/>
                <w14:textFill>
                  <w14:solidFill>
                    <w14:schemeClr w14:val="tx1"/>
                  </w14:solidFill>
                </w14:textFill>
              </w:rPr>
            </w:pPr>
          </w:p>
        </w:tc>
        <w:tc>
          <w:tcPr>
            <w:tcW w:w="401" w:type="pct"/>
            <w:vMerge w:val="continue"/>
            <w:vAlign w:val="center"/>
          </w:tcPr>
          <w:p w14:paraId="0B5FF3B3">
            <w:pPr>
              <w:pStyle w:val="143"/>
              <w:rPr>
                <w:snapToGrid w:val="0"/>
                <w:color w:val="000000" w:themeColor="text1"/>
                <w:kern w:val="0"/>
                <w14:textFill>
                  <w14:solidFill>
                    <w14:schemeClr w14:val="tx1"/>
                  </w14:solidFill>
                </w14:textFill>
              </w:rPr>
            </w:pPr>
          </w:p>
        </w:tc>
        <w:tc>
          <w:tcPr>
            <w:tcW w:w="302" w:type="pct"/>
            <w:vMerge w:val="continue"/>
            <w:vAlign w:val="center"/>
          </w:tcPr>
          <w:p w14:paraId="7B14CBED">
            <w:pPr>
              <w:pStyle w:val="143"/>
              <w:rPr>
                <w:snapToGrid w:val="0"/>
                <w:color w:val="000000" w:themeColor="text1"/>
                <w:kern w:val="0"/>
                <w14:textFill>
                  <w14:solidFill>
                    <w14:schemeClr w14:val="tx1"/>
                  </w14:solidFill>
                </w14:textFill>
              </w:rPr>
            </w:pPr>
          </w:p>
        </w:tc>
        <w:tc>
          <w:tcPr>
            <w:tcW w:w="597" w:type="pct"/>
            <w:vMerge w:val="continue"/>
            <w:vAlign w:val="center"/>
          </w:tcPr>
          <w:p w14:paraId="67E04240">
            <w:pPr>
              <w:pStyle w:val="143"/>
              <w:rPr>
                <w:snapToGrid w:val="0"/>
                <w:color w:val="000000" w:themeColor="text1"/>
                <w:kern w:val="0"/>
                <w14:textFill>
                  <w14:solidFill>
                    <w14:schemeClr w14:val="tx1"/>
                  </w14:solidFill>
                </w14:textFill>
              </w:rPr>
            </w:pPr>
          </w:p>
        </w:tc>
        <w:tc>
          <w:tcPr>
            <w:tcW w:w="407" w:type="pct"/>
            <w:vAlign w:val="center"/>
          </w:tcPr>
          <w:p w14:paraId="215A748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氨氮</w:t>
            </w:r>
          </w:p>
        </w:tc>
        <w:tc>
          <w:tcPr>
            <w:tcW w:w="893" w:type="pct"/>
            <w:vAlign w:val="center"/>
          </w:tcPr>
          <w:p w14:paraId="263552B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5（8）</w:t>
            </w:r>
          </w:p>
        </w:tc>
      </w:tr>
      <w:tr w14:paraId="2613B9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0" w:type="pct"/>
            <w:vMerge w:val="continue"/>
            <w:vAlign w:val="center"/>
          </w:tcPr>
          <w:p w14:paraId="696E6B3F">
            <w:pPr>
              <w:pStyle w:val="143"/>
              <w:rPr>
                <w:snapToGrid w:val="0"/>
                <w:color w:val="000000" w:themeColor="text1"/>
                <w:kern w:val="0"/>
                <w14:textFill>
                  <w14:solidFill>
                    <w14:schemeClr w14:val="tx1"/>
                  </w14:solidFill>
                </w14:textFill>
              </w:rPr>
            </w:pPr>
          </w:p>
        </w:tc>
        <w:tc>
          <w:tcPr>
            <w:tcW w:w="315" w:type="pct"/>
            <w:vMerge w:val="continue"/>
            <w:vAlign w:val="center"/>
          </w:tcPr>
          <w:p w14:paraId="4C153710">
            <w:pPr>
              <w:pStyle w:val="143"/>
              <w:rPr>
                <w:snapToGrid w:val="0"/>
                <w:color w:val="000000" w:themeColor="text1"/>
                <w:kern w:val="0"/>
                <w14:textFill>
                  <w14:solidFill>
                    <w14:schemeClr w14:val="tx1"/>
                  </w14:solidFill>
                </w14:textFill>
              </w:rPr>
            </w:pPr>
          </w:p>
        </w:tc>
        <w:tc>
          <w:tcPr>
            <w:tcW w:w="389" w:type="pct"/>
            <w:vMerge w:val="continue"/>
            <w:vAlign w:val="center"/>
          </w:tcPr>
          <w:p w14:paraId="64EE3F38">
            <w:pPr>
              <w:pStyle w:val="143"/>
              <w:rPr>
                <w:snapToGrid w:val="0"/>
                <w:color w:val="000000" w:themeColor="text1"/>
                <w:kern w:val="0"/>
                <w14:textFill>
                  <w14:solidFill>
                    <w14:schemeClr w14:val="tx1"/>
                  </w14:solidFill>
                </w14:textFill>
              </w:rPr>
            </w:pPr>
          </w:p>
        </w:tc>
        <w:tc>
          <w:tcPr>
            <w:tcW w:w="431" w:type="pct"/>
            <w:vMerge w:val="continue"/>
            <w:vAlign w:val="center"/>
          </w:tcPr>
          <w:p w14:paraId="22FC4274">
            <w:pPr>
              <w:pStyle w:val="143"/>
              <w:rPr>
                <w:snapToGrid w:val="0"/>
                <w:color w:val="000000" w:themeColor="text1"/>
                <w:kern w:val="0"/>
                <w14:textFill>
                  <w14:solidFill>
                    <w14:schemeClr w14:val="tx1"/>
                  </w14:solidFill>
                </w14:textFill>
              </w:rPr>
            </w:pPr>
          </w:p>
        </w:tc>
        <w:tc>
          <w:tcPr>
            <w:tcW w:w="448" w:type="pct"/>
            <w:vMerge w:val="continue"/>
            <w:vAlign w:val="center"/>
          </w:tcPr>
          <w:p w14:paraId="428E2053">
            <w:pPr>
              <w:pStyle w:val="143"/>
              <w:rPr>
                <w:snapToGrid w:val="0"/>
                <w:color w:val="000000" w:themeColor="text1"/>
                <w:kern w:val="0"/>
                <w14:textFill>
                  <w14:solidFill>
                    <w14:schemeClr w14:val="tx1"/>
                  </w14:solidFill>
                </w14:textFill>
              </w:rPr>
            </w:pPr>
          </w:p>
        </w:tc>
        <w:tc>
          <w:tcPr>
            <w:tcW w:w="602" w:type="pct"/>
            <w:vMerge w:val="continue"/>
            <w:vAlign w:val="center"/>
          </w:tcPr>
          <w:p w14:paraId="617AF53B">
            <w:pPr>
              <w:pStyle w:val="143"/>
              <w:rPr>
                <w:snapToGrid w:val="0"/>
                <w:color w:val="000000" w:themeColor="text1"/>
                <w:kern w:val="0"/>
                <w14:textFill>
                  <w14:solidFill>
                    <w14:schemeClr w14:val="tx1"/>
                  </w14:solidFill>
                </w14:textFill>
              </w:rPr>
            </w:pPr>
          </w:p>
        </w:tc>
        <w:tc>
          <w:tcPr>
            <w:tcW w:w="401" w:type="pct"/>
            <w:vMerge w:val="continue"/>
            <w:vAlign w:val="center"/>
          </w:tcPr>
          <w:p w14:paraId="451EB38C">
            <w:pPr>
              <w:pStyle w:val="143"/>
              <w:rPr>
                <w:snapToGrid w:val="0"/>
                <w:color w:val="000000" w:themeColor="text1"/>
                <w:kern w:val="0"/>
                <w14:textFill>
                  <w14:solidFill>
                    <w14:schemeClr w14:val="tx1"/>
                  </w14:solidFill>
                </w14:textFill>
              </w:rPr>
            </w:pPr>
          </w:p>
        </w:tc>
        <w:tc>
          <w:tcPr>
            <w:tcW w:w="302" w:type="pct"/>
            <w:vMerge w:val="continue"/>
            <w:vAlign w:val="center"/>
          </w:tcPr>
          <w:p w14:paraId="45DAD6E7">
            <w:pPr>
              <w:pStyle w:val="143"/>
              <w:rPr>
                <w:snapToGrid w:val="0"/>
                <w:color w:val="000000" w:themeColor="text1"/>
                <w:kern w:val="0"/>
                <w14:textFill>
                  <w14:solidFill>
                    <w14:schemeClr w14:val="tx1"/>
                  </w14:solidFill>
                </w14:textFill>
              </w:rPr>
            </w:pPr>
          </w:p>
        </w:tc>
        <w:tc>
          <w:tcPr>
            <w:tcW w:w="597" w:type="pct"/>
            <w:vMerge w:val="continue"/>
            <w:vAlign w:val="center"/>
          </w:tcPr>
          <w:p w14:paraId="77733BF9">
            <w:pPr>
              <w:pStyle w:val="143"/>
              <w:rPr>
                <w:snapToGrid w:val="0"/>
                <w:color w:val="000000" w:themeColor="text1"/>
                <w:kern w:val="0"/>
                <w14:textFill>
                  <w14:solidFill>
                    <w14:schemeClr w14:val="tx1"/>
                  </w14:solidFill>
                </w14:textFill>
              </w:rPr>
            </w:pPr>
          </w:p>
        </w:tc>
        <w:tc>
          <w:tcPr>
            <w:tcW w:w="407" w:type="pct"/>
            <w:vAlign w:val="center"/>
          </w:tcPr>
          <w:p w14:paraId="1AD0BA6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T</w:t>
            </w:r>
            <w:r>
              <w:rPr>
                <w:snapToGrid w:val="0"/>
                <w:color w:val="000000" w:themeColor="text1"/>
                <w:kern w:val="0"/>
                <w:lang w:eastAsia="zh-CN"/>
                <w14:textFill>
                  <w14:solidFill>
                    <w14:schemeClr w14:val="tx1"/>
                  </w14:solidFill>
                </w14:textFill>
              </w:rPr>
              <w:t>P</w:t>
            </w:r>
          </w:p>
        </w:tc>
        <w:tc>
          <w:tcPr>
            <w:tcW w:w="893" w:type="pct"/>
            <w:vAlign w:val="center"/>
          </w:tcPr>
          <w:p w14:paraId="548C5131">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0</w:t>
            </w:r>
            <w:r>
              <w:rPr>
                <w:snapToGrid w:val="0"/>
                <w:color w:val="000000" w:themeColor="text1"/>
                <w:kern w:val="0"/>
                <w:lang w:eastAsia="zh-CN"/>
                <w14:textFill>
                  <w14:solidFill>
                    <w14:schemeClr w14:val="tx1"/>
                  </w14:solidFill>
                </w14:textFill>
              </w:rPr>
              <w:t>.5</w:t>
            </w:r>
          </w:p>
        </w:tc>
      </w:tr>
      <w:tr w14:paraId="271889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3" w:hRule="atLeast"/>
        </w:trPr>
        <w:tc>
          <w:tcPr>
            <w:tcW w:w="210" w:type="pct"/>
            <w:vMerge w:val="continue"/>
            <w:vAlign w:val="center"/>
          </w:tcPr>
          <w:p w14:paraId="5643B8F1">
            <w:pPr>
              <w:pStyle w:val="143"/>
              <w:rPr>
                <w:snapToGrid w:val="0"/>
                <w:color w:val="000000" w:themeColor="text1"/>
                <w:kern w:val="0"/>
                <w14:textFill>
                  <w14:solidFill>
                    <w14:schemeClr w14:val="tx1"/>
                  </w14:solidFill>
                </w14:textFill>
              </w:rPr>
            </w:pPr>
          </w:p>
        </w:tc>
        <w:tc>
          <w:tcPr>
            <w:tcW w:w="315" w:type="pct"/>
            <w:vMerge w:val="continue"/>
            <w:vAlign w:val="center"/>
          </w:tcPr>
          <w:p w14:paraId="7DB8D4FF">
            <w:pPr>
              <w:pStyle w:val="143"/>
              <w:rPr>
                <w:snapToGrid w:val="0"/>
                <w:color w:val="000000" w:themeColor="text1"/>
                <w:kern w:val="0"/>
                <w14:textFill>
                  <w14:solidFill>
                    <w14:schemeClr w14:val="tx1"/>
                  </w14:solidFill>
                </w14:textFill>
              </w:rPr>
            </w:pPr>
          </w:p>
        </w:tc>
        <w:tc>
          <w:tcPr>
            <w:tcW w:w="389" w:type="pct"/>
            <w:vMerge w:val="continue"/>
            <w:vAlign w:val="center"/>
          </w:tcPr>
          <w:p w14:paraId="516C9139">
            <w:pPr>
              <w:pStyle w:val="143"/>
              <w:rPr>
                <w:snapToGrid w:val="0"/>
                <w:color w:val="000000" w:themeColor="text1"/>
                <w:kern w:val="0"/>
                <w14:textFill>
                  <w14:solidFill>
                    <w14:schemeClr w14:val="tx1"/>
                  </w14:solidFill>
                </w14:textFill>
              </w:rPr>
            </w:pPr>
          </w:p>
        </w:tc>
        <w:tc>
          <w:tcPr>
            <w:tcW w:w="431" w:type="pct"/>
            <w:vMerge w:val="continue"/>
            <w:vAlign w:val="center"/>
          </w:tcPr>
          <w:p w14:paraId="2030FC44">
            <w:pPr>
              <w:pStyle w:val="143"/>
              <w:rPr>
                <w:snapToGrid w:val="0"/>
                <w:color w:val="000000" w:themeColor="text1"/>
                <w:kern w:val="0"/>
                <w14:textFill>
                  <w14:solidFill>
                    <w14:schemeClr w14:val="tx1"/>
                  </w14:solidFill>
                </w14:textFill>
              </w:rPr>
            </w:pPr>
          </w:p>
        </w:tc>
        <w:tc>
          <w:tcPr>
            <w:tcW w:w="448" w:type="pct"/>
            <w:vMerge w:val="continue"/>
            <w:vAlign w:val="center"/>
          </w:tcPr>
          <w:p w14:paraId="767C44AC">
            <w:pPr>
              <w:pStyle w:val="143"/>
              <w:rPr>
                <w:snapToGrid w:val="0"/>
                <w:color w:val="000000" w:themeColor="text1"/>
                <w:kern w:val="0"/>
                <w14:textFill>
                  <w14:solidFill>
                    <w14:schemeClr w14:val="tx1"/>
                  </w14:solidFill>
                </w14:textFill>
              </w:rPr>
            </w:pPr>
          </w:p>
        </w:tc>
        <w:tc>
          <w:tcPr>
            <w:tcW w:w="602" w:type="pct"/>
            <w:vMerge w:val="continue"/>
            <w:vAlign w:val="center"/>
          </w:tcPr>
          <w:p w14:paraId="31852208">
            <w:pPr>
              <w:pStyle w:val="143"/>
              <w:rPr>
                <w:snapToGrid w:val="0"/>
                <w:color w:val="000000" w:themeColor="text1"/>
                <w:kern w:val="0"/>
                <w14:textFill>
                  <w14:solidFill>
                    <w14:schemeClr w14:val="tx1"/>
                  </w14:solidFill>
                </w14:textFill>
              </w:rPr>
            </w:pPr>
          </w:p>
        </w:tc>
        <w:tc>
          <w:tcPr>
            <w:tcW w:w="401" w:type="pct"/>
            <w:vMerge w:val="continue"/>
            <w:vAlign w:val="center"/>
          </w:tcPr>
          <w:p w14:paraId="417BFF61">
            <w:pPr>
              <w:pStyle w:val="143"/>
              <w:rPr>
                <w:snapToGrid w:val="0"/>
                <w:color w:val="000000" w:themeColor="text1"/>
                <w:kern w:val="0"/>
                <w14:textFill>
                  <w14:solidFill>
                    <w14:schemeClr w14:val="tx1"/>
                  </w14:solidFill>
                </w14:textFill>
              </w:rPr>
            </w:pPr>
          </w:p>
        </w:tc>
        <w:tc>
          <w:tcPr>
            <w:tcW w:w="302" w:type="pct"/>
            <w:vMerge w:val="continue"/>
            <w:vAlign w:val="center"/>
          </w:tcPr>
          <w:p w14:paraId="22ABE144">
            <w:pPr>
              <w:pStyle w:val="143"/>
              <w:rPr>
                <w:snapToGrid w:val="0"/>
                <w:color w:val="000000" w:themeColor="text1"/>
                <w:kern w:val="0"/>
                <w14:textFill>
                  <w14:solidFill>
                    <w14:schemeClr w14:val="tx1"/>
                  </w14:solidFill>
                </w14:textFill>
              </w:rPr>
            </w:pPr>
          </w:p>
        </w:tc>
        <w:tc>
          <w:tcPr>
            <w:tcW w:w="597" w:type="pct"/>
            <w:vMerge w:val="continue"/>
            <w:vAlign w:val="center"/>
          </w:tcPr>
          <w:p w14:paraId="43635F08">
            <w:pPr>
              <w:pStyle w:val="143"/>
              <w:rPr>
                <w:snapToGrid w:val="0"/>
                <w:color w:val="000000" w:themeColor="text1"/>
                <w:kern w:val="0"/>
                <w14:textFill>
                  <w14:solidFill>
                    <w14:schemeClr w14:val="tx1"/>
                  </w14:solidFill>
                </w14:textFill>
              </w:rPr>
            </w:pPr>
          </w:p>
        </w:tc>
        <w:tc>
          <w:tcPr>
            <w:tcW w:w="407" w:type="pct"/>
            <w:vAlign w:val="center"/>
          </w:tcPr>
          <w:p w14:paraId="2B92D203">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TN</w:t>
            </w:r>
          </w:p>
        </w:tc>
        <w:tc>
          <w:tcPr>
            <w:tcW w:w="893" w:type="pct"/>
            <w:vAlign w:val="center"/>
          </w:tcPr>
          <w:p w14:paraId="3886FC0C">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15</w:t>
            </w:r>
          </w:p>
        </w:tc>
      </w:tr>
      <w:tr w14:paraId="177056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0" w:type="pct"/>
            <w:vMerge w:val="continue"/>
            <w:vAlign w:val="center"/>
          </w:tcPr>
          <w:p w14:paraId="01EAACD7">
            <w:pPr>
              <w:pStyle w:val="143"/>
              <w:rPr>
                <w:snapToGrid w:val="0"/>
                <w:color w:val="000000" w:themeColor="text1"/>
                <w:kern w:val="0"/>
                <w14:textFill>
                  <w14:solidFill>
                    <w14:schemeClr w14:val="tx1"/>
                  </w14:solidFill>
                </w14:textFill>
              </w:rPr>
            </w:pPr>
          </w:p>
        </w:tc>
        <w:tc>
          <w:tcPr>
            <w:tcW w:w="315" w:type="pct"/>
            <w:vMerge w:val="continue"/>
            <w:vAlign w:val="center"/>
          </w:tcPr>
          <w:p w14:paraId="508AF211">
            <w:pPr>
              <w:pStyle w:val="143"/>
              <w:rPr>
                <w:snapToGrid w:val="0"/>
                <w:color w:val="000000" w:themeColor="text1"/>
                <w:kern w:val="0"/>
                <w14:textFill>
                  <w14:solidFill>
                    <w14:schemeClr w14:val="tx1"/>
                  </w14:solidFill>
                </w14:textFill>
              </w:rPr>
            </w:pPr>
          </w:p>
        </w:tc>
        <w:tc>
          <w:tcPr>
            <w:tcW w:w="389" w:type="pct"/>
            <w:vMerge w:val="continue"/>
            <w:vAlign w:val="center"/>
          </w:tcPr>
          <w:p w14:paraId="7DD4A323">
            <w:pPr>
              <w:pStyle w:val="143"/>
              <w:rPr>
                <w:snapToGrid w:val="0"/>
                <w:color w:val="000000" w:themeColor="text1"/>
                <w:kern w:val="0"/>
                <w14:textFill>
                  <w14:solidFill>
                    <w14:schemeClr w14:val="tx1"/>
                  </w14:solidFill>
                </w14:textFill>
              </w:rPr>
            </w:pPr>
          </w:p>
        </w:tc>
        <w:tc>
          <w:tcPr>
            <w:tcW w:w="431" w:type="pct"/>
            <w:vMerge w:val="continue"/>
            <w:vAlign w:val="center"/>
          </w:tcPr>
          <w:p w14:paraId="69F2B8E8">
            <w:pPr>
              <w:pStyle w:val="143"/>
              <w:rPr>
                <w:snapToGrid w:val="0"/>
                <w:color w:val="000000" w:themeColor="text1"/>
                <w:kern w:val="0"/>
                <w14:textFill>
                  <w14:solidFill>
                    <w14:schemeClr w14:val="tx1"/>
                  </w14:solidFill>
                </w14:textFill>
              </w:rPr>
            </w:pPr>
          </w:p>
        </w:tc>
        <w:tc>
          <w:tcPr>
            <w:tcW w:w="448" w:type="pct"/>
            <w:vMerge w:val="continue"/>
            <w:vAlign w:val="center"/>
          </w:tcPr>
          <w:p w14:paraId="2FA469A6">
            <w:pPr>
              <w:pStyle w:val="143"/>
              <w:rPr>
                <w:snapToGrid w:val="0"/>
                <w:color w:val="000000" w:themeColor="text1"/>
                <w:kern w:val="0"/>
                <w14:textFill>
                  <w14:solidFill>
                    <w14:schemeClr w14:val="tx1"/>
                  </w14:solidFill>
                </w14:textFill>
              </w:rPr>
            </w:pPr>
          </w:p>
        </w:tc>
        <w:tc>
          <w:tcPr>
            <w:tcW w:w="602" w:type="pct"/>
            <w:vMerge w:val="continue"/>
            <w:vAlign w:val="center"/>
          </w:tcPr>
          <w:p w14:paraId="21CF4018">
            <w:pPr>
              <w:pStyle w:val="143"/>
              <w:rPr>
                <w:snapToGrid w:val="0"/>
                <w:color w:val="000000" w:themeColor="text1"/>
                <w:kern w:val="0"/>
                <w14:textFill>
                  <w14:solidFill>
                    <w14:schemeClr w14:val="tx1"/>
                  </w14:solidFill>
                </w14:textFill>
              </w:rPr>
            </w:pPr>
          </w:p>
        </w:tc>
        <w:tc>
          <w:tcPr>
            <w:tcW w:w="401" w:type="pct"/>
            <w:vMerge w:val="continue"/>
            <w:vAlign w:val="center"/>
          </w:tcPr>
          <w:p w14:paraId="16222AC6">
            <w:pPr>
              <w:pStyle w:val="143"/>
              <w:rPr>
                <w:snapToGrid w:val="0"/>
                <w:color w:val="000000" w:themeColor="text1"/>
                <w:kern w:val="0"/>
                <w14:textFill>
                  <w14:solidFill>
                    <w14:schemeClr w14:val="tx1"/>
                  </w14:solidFill>
                </w14:textFill>
              </w:rPr>
            </w:pPr>
          </w:p>
        </w:tc>
        <w:tc>
          <w:tcPr>
            <w:tcW w:w="302" w:type="pct"/>
            <w:vMerge w:val="continue"/>
            <w:vAlign w:val="center"/>
          </w:tcPr>
          <w:p w14:paraId="21C02E4E">
            <w:pPr>
              <w:pStyle w:val="143"/>
              <w:rPr>
                <w:snapToGrid w:val="0"/>
                <w:color w:val="000000" w:themeColor="text1"/>
                <w:kern w:val="0"/>
                <w14:textFill>
                  <w14:solidFill>
                    <w14:schemeClr w14:val="tx1"/>
                  </w14:solidFill>
                </w14:textFill>
              </w:rPr>
            </w:pPr>
          </w:p>
        </w:tc>
        <w:tc>
          <w:tcPr>
            <w:tcW w:w="597" w:type="pct"/>
            <w:vMerge w:val="continue"/>
            <w:vAlign w:val="center"/>
          </w:tcPr>
          <w:p w14:paraId="55F055BC">
            <w:pPr>
              <w:pStyle w:val="143"/>
              <w:rPr>
                <w:snapToGrid w:val="0"/>
                <w:color w:val="000000" w:themeColor="text1"/>
                <w:kern w:val="0"/>
                <w14:textFill>
                  <w14:solidFill>
                    <w14:schemeClr w14:val="tx1"/>
                  </w14:solidFill>
                </w14:textFill>
              </w:rPr>
            </w:pPr>
          </w:p>
        </w:tc>
        <w:tc>
          <w:tcPr>
            <w:tcW w:w="407" w:type="pct"/>
            <w:vAlign w:val="center"/>
          </w:tcPr>
          <w:p w14:paraId="54B73303">
            <w:pPr>
              <w:pStyle w:val="143"/>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动植物油</w:t>
            </w:r>
          </w:p>
        </w:tc>
        <w:tc>
          <w:tcPr>
            <w:tcW w:w="893" w:type="pct"/>
            <w:vAlign w:val="center"/>
          </w:tcPr>
          <w:p w14:paraId="3479FF51">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w:t>
            </w:r>
          </w:p>
        </w:tc>
      </w:tr>
      <w:tr w14:paraId="15C5FD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11"/>
            <w:vAlign w:val="center"/>
          </w:tcPr>
          <w:p w14:paraId="181FC49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注：括号外数值为水温＞12℃时的控制指标，括号内数值为水温≤12℃时的控制指标。</w:t>
            </w:r>
          </w:p>
        </w:tc>
      </w:tr>
    </w:tbl>
    <w:p w14:paraId="67ACEB82">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表5-2-7 废水污染物排放信息表</w:t>
      </w:r>
    </w:p>
    <w:tbl>
      <w:tblPr>
        <w:tblStyle w:val="418"/>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05"/>
        <w:gridCol w:w="2313"/>
        <w:gridCol w:w="2308"/>
        <w:gridCol w:w="2308"/>
        <w:gridCol w:w="2319"/>
        <w:gridCol w:w="2397"/>
      </w:tblGrid>
      <w:tr w14:paraId="71D537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826" w:type="pct"/>
            <w:vAlign w:val="center"/>
          </w:tcPr>
          <w:p w14:paraId="6FD3C0F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序号</w:t>
            </w:r>
          </w:p>
        </w:tc>
        <w:tc>
          <w:tcPr>
            <w:tcW w:w="829" w:type="pct"/>
            <w:vAlign w:val="center"/>
          </w:tcPr>
          <w:p w14:paraId="299E2B9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排放口编号</w:t>
            </w:r>
          </w:p>
        </w:tc>
        <w:tc>
          <w:tcPr>
            <w:tcW w:w="827" w:type="pct"/>
            <w:vAlign w:val="center"/>
          </w:tcPr>
          <w:p w14:paraId="33FBA09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污染物种类</w:t>
            </w:r>
          </w:p>
        </w:tc>
        <w:tc>
          <w:tcPr>
            <w:tcW w:w="827" w:type="pct"/>
            <w:vAlign w:val="center"/>
          </w:tcPr>
          <w:p w14:paraId="574BAA8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排放浓度/（mg/L）</w:t>
            </w:r>
          </w:p>
        </w:tc>
        <w:tc>
          <w:tcPr>
            <w:tcW w:w="831" w:type="pct"/>
            <w:vAlign w:val="center"/>
          </w:tcPr>
          <w:p w14:paraId="0CDAAED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日排放量/（t/d）</w:t>
            </w:r>
          </w:p>
        </w:tc>
        <w:tc>
          <w:tcPr>
            <w:tcW w:w="859" w:type="pct"/>
            <w:vAlign w:val="center"/>
          </w:tcPr>
          <w:p w14:paraId="3C71B90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年排放量/（t/a）</w:t>
            </w:r>
          </w:p>
        </w:tc>
      </w:tr>
      <w:tr w14:paraId="4488E8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826" w:type="pct"/>
            <w:vMerge w:val="restart"/>
            <w:vAlign w:val="center"/>
          </w:tcPr>
          <w:p w14:paraId="1BB3E66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829" w:type="pct"/>
            <w:vMerge w:val="restart"/>
            <w:vAlign w:val="center"/>
          </w:tcPr>
          <w:p w14:paraId="5F9A40C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DW001</w:t>
            </w:r>
          </w:p>
        </w:tc>
        <w:tc>
          <w:tcPr>
            <w:tcW w:w="827" w:type="pct"/>
            <w:vAlign w:val="center"/>
          </w:tcPr>
          <w:p w14:paraId="3BB4D45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COD</w:t>
            </w:r>
          </w:p>
        </w:tc>
        <w:tc>
          <w:tcPr>
            <w:tcW w:w="827" w:type="pct"/>
            <w:vAlign w:val="center"/>
          </w:tcPr>
          <w:p w14:paraId="2342B53F">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125</w:t>
            </w:r>
          </w:p>
        </w:tc>
        <w:tc>
          <w:tcPr>
            <w:tcW w:w="2319" w:type="dxa"/>
            <w:vAlign w:val="center"/>
          </w:tcPr>
          <w:p w14:paraId="512FE8BC">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0.0154</w:t>
            </w:r>
          </w:p>
        </w:tc>
        <w:tc>
          <w:tcPr>
            <w:tcW w:w="859" w:type="pct"/>
            <w:vAlign w:val="center"/>
          </w:tcPr>
          <w:p w14:paraId="36004CA3">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4.63</w:t>
            </w:r>
          </w:p>
        </w:tc>
      </w:tr>
      <w:tr w14:paraId="02A230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826" w:type="pct"/>
            <w:vMerge w:val="continue"/>
            <w:vAlign w:val="center"/>
          </w:tcPr>
          <w:p w14:paraId="535E778A">
            <w:pPr>
              <w:pStyle w:val="143"/>
              <w:rPr>
                <w:snapToGrid w:val="0"/>
                <w:color w:val="000000" w:themeColor="text1"/>
                <w:kern w:val="0"/>
                <w14:textFill>
                  <w14:solidFill>
                    <w14:schemeClr w14:val="tx1"/>
                  </w14:solidFill>
                </w14:textFill>
              </w:rPr>
            </w:pPr>
          </w:p>
        </w:tc>
        <w:tc>
          <w:tcPr>
            <w:tcW w:w="829" w:type="pct"/>
            <w:vMerge w:val="continue"/>
            <w:vAlign w:val="center"/>
          </w:tcPr>
          <w:p w14:paraId="6A1CD63A">
            <w:pPr>
              <w:pStyle w:val="143"/>
              <w:rPr>
                <w:snapToGrid w:val="0"/>
                <w:color w:val="000000" w:themeColor="text1"/>
                <w:kern w:val="0"/>
                <w14:textFill>
                  <w14:solidFill>
                    <w14:schemeClr w14:val="tx1"/>
                  </w14:solidFill>
                </w14:textFill>
              </w:rPr>
            </w:pPr>
          </w:p>
        </w:tc>
        <w:tc>
          <w:tcPr>
            <w:tcW w:w="827" w:type="pct"/>
            <w:vAlign w:val="center"/>
          </w:tcPr>
          <w:p w14:paraId="6F535AE4">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B</w:t>
            </w:r>
            <w:r>
              <w:rPr>
                <w:snapToGrid w:val="0"/>
                <w:color w:val="000000" w:themeColor="text1"/>
                <w:kern w:val="0"/>
                <w:lang w:eastAsia="zh-CN"/>
                <w14:textFill>
                  <w14:solidFill>
                    <w14:schemeClr w14:val="tx1"/>
                  </w14:solidFill>
                </w14:textFill>
              </w:rPr>
              <w:t>OD</w:t>
            </w:r>
            <w:r>
              <w:rPr>
                <w:snapToGrid w:val="0"/>
                <w:color w:val="000000" w:themeColor="text1"/>
                <w:kern w:val="0"/>
                <w:vertAlign w:val="subscript"/>
                <w:lang w:eastAsia="zh-CN"/>
                <w14:textFill>
                  <w14:solidFill>
                    <w14:schemeClr w14:val="tx1"/>
                  </w14:solidFill>
                </w14:textFill>
              </w:rPr>
              <w:t>5</w:t>
            </w:r>
          </w:p>
        </w:tc>
        <w:tc>
          <w:tcPr>
            <w:tcW w:w="827" w:type="pct"/>
            <w:vAlign w:val="center"/>
          </w:tcPr>
          <w:p w14:paraId="6BD2C547">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30</w:t>
            </w:r>
          </w:p>
        </w:tc>
        <w:tc>
          <w:tcPr>
            <w:tcW w:w="2319" w:type="dxa"/>
            <w:vAlign w:val="center"/>
          </w:tcPr>
          <w:p w14:paraId="0FE716BA">
            <w:pPr>
              <w:pStyle w:val="143"/>
              <w:ind w:firstLine="0" w:firstLineChars="0"/>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0.0037</w:t>
            </w:r>
          </w:p>
        </w:tc>
        <w:tc>
          <w:tcPr>
            <w:tcW w:w="859" w:type="pct"/>
            <w:vAlign w:val="center"/>
          </w:tcPr>
          <w:p w14:paraId="2F5FA0A2">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1.11</w:t>
            </w:r>
          </w:p>
        </w:tc>
      </w:tr>
      <w:tr w14:paraId="695683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826" w:type="pct"/>
            <w:vMerge w:val="continue"/>
            <w:vAlign w:val="center"/>
          </w:tcPr>
          <w:p w14:paraId="231D548E">
            <w:pPr>
              <w:pStyle w:val="143"/>
              <w:rPr>
                <w:snapToGrid w:val="0"/>
                <w:color w:val="000000" w:themeColor="text1"/>
                <w:kern w:val="0"/>
                <w14:textFill>
                  <w14:solidFill>
                    <w14:schemeClr w14:val="tx1"/>
                  </w14:solidFill>
                </w14:textFill>
              </w:rPr>
            </w:pPr>
          </w:p>
        </w:tc>
        <w:tc>
          <w:tcPr>
            <w:tcW w:w="829" w:type="pct"/>
            <w:vMerge w:val="continue"/>
            <w:vAlign w:val="center"/>
          </w:tcPr>
          <w:p w14:paraId="37419B03">
            <w:pPr>
              <w:pStyle w:val="143"/>
              <w:rPr>
                <w:snapToGrid w:val="0"/>
                <w:color w:val="000000" w:themeColor="text1"/>
                <w:kern w:val="0"/>
                <w14:textFill>
                  <w14:solidFill>
                    <w14:schemeClr w14:val="tx1"/>
                  </w14:solidFill>
                </w14:textFill>
              </w:rPr>
            </w:pPr>
          </w:p>
        </w:tc>
        <w:tc>
          <w:tcPr>
            <w:tcW w:w="827" w:type="pct"/>
            <w:vAlign w:val="center"/>
          </w:tcPr>
          <w:p w14:paraId="6AE4A13F">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S</w:t>
            </w:r>
            <w:r>
              <w:rPr>
                <w:snapToGrid w:val="0"/>
                <w:color w:val="000000" w:themeColor="text1"/>
                <w:kern w:val="0"/>
                <w:lang w:eastAsia="zh-CN"/>
                <w14:textFill>
                  <w14:solidFill>
                    <w14:schemeClr w14:val="tx1"/>
                  </w14:solidFill>
                </w14:textFill>
              </w:rPr>
              <w:t>S</w:t>
            </w:r>
          </w:p>
        </w:tc>
        <w:tc>
          <w:tcPr>
            <w:tcW w:w="827" w:type="pct"/>
            <w:vAlign w:val="center"/>
          </w:tcPr>
          <w:p w14:paraId="600AE1F3">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21</w:t>
            </w:r>
          </w:p>
        </w:tc>
        <w:tc>
          <w:tcPr>
            <w:tcW w:w="2319" w:type="dxa"/>
            <w:vAlign w:val="center"/>
          </w:tcPr>
          <w:p w14:paraId="1C8B0F0E">
            <w:pPr>
              <w:pStyle w:val="143"/>
              <w:ind w:firstLine="0" w:firstLineChars="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0.0026</w:t>
            </w:r>
          </w:p>
        </w:tc>
        <w:tc>
          <w:tcPr>
            <w:tcW w:w="859" w:type="pct"/>
            <w:vAlign w:val="center"/>
          </w:tcPr>
          <w:p w14:paraId="1DCD5585">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0.78</w:t>
            </w:r>
          </w:p>
        </w:tc>
      </w:tr>
      <w:tr w14:paraId="452440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826" w:type="pct"/>
            <w:vMerge w:val="continue"/>
            <w:vAlign w:val="center"/>
          </w:tcPr>
          <w:p w14:paraId="36EFF6E7">
            <w:pPr>
              <w:pStyle w:val="143"/>
              <w:rPr>
                <w:snapToGrid w:val="0"/>
                <w:color w:val="000000" w:themeColor="text1"/>
                <w:kern w:val="0"/>
                <w14:textFill>
                  <w14:solidFill>
                    <w14:schemeClr w14:val="tx1"/>
                  </w14:solidFill>
                </w14:textFill>
              </w:rPr>
            </w:pPr>
          </w:p>
        </w:tc>
        <w:tc>
          <w:tcPr>
            <w:tcW w:w="829" w:type="pct"/>
            <w:vMerge w:val="continue"/>
            <w:vAlign w:val="center"/>
          </w:tcPr>
          <w:p w14:paraId="2EDFC4D3">
            <w:pPr>
              <w:pStyle w:val="143"/>
              <w:rPr>
                <w:snapToGrid w:val="0"/>
                <w:color w:val="000000" w:themeColor="text1"/>
                <w:kern w:val="0"/>
                <w14:textFill>
                  <w14:solidFill>
                    <w14:schemeClr w14:val="tx1"/>
                  </w14:solidFill>
                </w14:textFill>
              </w:rPr>
            </w:pPr>
          </w:p>
        </w:tc>
        <w:tc>
          <w:tcPr>
            <w:tcW w:w="827" w:type="pct"/>
            <w:vAlign w:val="center"/>
          </w:tcPr>
          <w:p w14:paraId="598EA260">
            <w:pPr>
              <w:pStyle w:val="143"/>
              <w:rPr>
                <w:snapToGrid w:val="0"/>
                <w:color w:val="000000" w:themeColor="text1"/>
                <w:kern w:val="0"/>
                <w14:textFill>
                  <w14:solidFill>
                    <w14:schemeClr w14:val="tx1"/>
                  </w14:solidFill>
                </w14:textFill>
              </w:rPr>
            </w:pPr>
            <w:r>
              <w:rPr>
                <w:snapToGrid w:val="0"/>
                <w:color w:val="000000" w:themeColor="text1"/>
                <w:kern w:val="0"/>
                <w:lang w:eastAsia="zh-CN"/>
                <w14:textFill>
                  <w14:solidFill>
                    <w14:schemeClr w14:val="tx1"/>
                  </w14:solidFill>
                </w14:textFill>
              </w:rPr>
              <w:t>NH</w:t>
            </w:r>
            <w:r>
              <w:rPr>
                <w:snapToGrid w:val="0"/>
                <w:color w:val="000000" w:themeColor="text1"/>
                <w:kern w:val="0"/>
                <w:vertAlign w:val="subscript"/>
                <w:lang w:eastAsia="zh-CN"/>
                <w14:textFill>
                  <w14:solidFill>
                    <w14:schemeClr w14:val="tx1"/>
                  </w14:solidFill>
                </w14:textFill>
              </w:rPr>
              <w:t>3</w:t>
            </w:r>
            <w:r>
              <w:rPr>
                <w:snapToGrid w:val="0"/>
                <w:color w:val="000000" w:themeColor="text1"/>
                <w:kern w:val="0"/>
                <w:lang w:eastAsia="zh-CN"/>
                <w14:textFill>
                  <w14:solidFill>
                    <w14:schemeClr w14:val="tx1"/>
                  </w14:solidFill>
                </w14:textFill>
              </w:rPr>
              <w:t>-N</w:t>
            </w:r>
          </w:p>
        </w:tc>
        <w:tc>
          <w:tcPr>
            <w:tcW w:w="827" w:type="pct"/>
            <w:vAlign w:val="center"/>
          </w:tcPr>
          <w:p w14:paraId="4FF820E7">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13.5</w:t>
            </w:r>
          </w:p>
        </w:tc>
        <w:tc>
          <w:tcPr>
            <w:tcW w:w="2319" w:type="dxa"/>
            <w:vAlign w:val="center"/>
          </w:tcPr>
          <w:p w14:paraId="7D132A90">
            <w:pPr>
              <w:pStyle w:val="143"/>
              <w:ind w:firstLine="0" w:firstLineChars="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0.0017</w:t>
            </w:r>
          </w:p>
        </w:tc>
        <w:tc>
          <w:tcPr>
            <w:tcW w:w="859" w:type="pct"/>
            <w:vAlign w:val="center"/>
          </w:tcPr>
          <w:p w14:paraId="6354BEB0">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0.50</w:t>
            </w:r>
          </w:p>
        </w:tc>
      </w:tr>
      <w:tr w14:paraId="3F701F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826" w:type="pct"/>
            <w:vMerge w:val="continue"/>
            <w:vAlign w:val="center"/>
          </w:tcPr>
          <w:p w14:paraId="2F5DDE8B">
            <w:pPr>
              <w:pStyle w:val="143"/>
              <w:rPr>
                <w:snapToGrid w:val="0"/>
                <w:color w:val="000000" w:themeColor="text1"/>
                <w:kern w:val="0"/>
                <w14:textFill>
                  <w14:solidFill>
                    <w14:schemeClr w14:val="tx1"/>
                  </w14:solidFill>
                </w14:textFill>
              </w:rPr>
            </w:pPr>
          </w:p>
        </w:tc>
        <w:tc>
          <w:tcPr>
            <w:tcW w:w="829" w:type="pct"/>
            <w:vMerge w:val="continue"/>
            <w:vAlign w:val="center"/>
          </w:tcPr>
          <w:p w14:paraId="3F2F49FF">
            <w:pPr>
              <w:pStyle w:val="143"/>
              <w:rPr>
                <w:snapToGrid w:val="0"/>
                <w:color w:val="000000" w:themeColor="text1"/>
                <w:kern w:val="0"/>
                <w14:textFill>
                  <w14:solidFill>
                    <w14:schemeClr w14:val="tx1"/>
                  </w14:solidFill>
                </w14:textFill>
              </w:rPr>
            </w:pPr>
          </w:p>
        </w:tc>
        <w:tc>
          <w:tcPr>
            <w:tcW w:w="827" w:type="pct"/>
            <w:vAlign w:val="center"/>
          </w:tcPr>
          <w:p w14:paraId="14368AC4">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T</w:t>
            </w:r>
            <w:r>
              <w:rPr>
                <w:snapToGrid w:val="0"/>
                <w:color w:val="000000" w:themeColor="text1"/>
                <w:kern w:val="0"/>
                <w14:textFill>
                  <w14:solidFill>
                    <w14:schemeClr w14:val="tx1"/>
                  </w14:solidFill>
                </w14:textFill>
              </w:rPr>
              <w:t>P</w:t>
            </w:r>
          </w:p>
        </w:tc>
        <w:tc>
          <w:tcPr>
            <w:tcW w:w="827" w:type="pct"/>
            <w:vAlign w:val="center"/>
          </w:tcPr>
          <w:p w14:paraId="0B762D7D">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2319" w:type="dxa"/>
            <w:vAlign w:val="center"/>
          </w:tcPr>
          <w:p w14:paraId="4FBBD54C">
            <w:pPr>
              <w:pStyle w:val="143"/>
              <w:ind w:firstLine="0" w:firstLineChars="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0.0003</w:t>
            </w:r>
          </w:p>
        </w:tc>
        <w:tc>
          <w:tcPr>
            <w:tcW w:w="859" w:type="pct"/>
            <w:vAlign w:val="center"/>
          </w:tcPr>
          <w:p w14:paraId="73F2A9FC">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r>
      <w:tr w14:paraId="108E7C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826" w:type="pct"/>
            <w:vMerge w:val="continue"/>
            <w:vAlign w:val="center"/>
          </w:tcPr>
          <w:p w14:paraId="55A0C42B">
            <w:pPr>
              <w:pStyle w:val="143"/>
              <w:rPr>
                <w:snapToGrid w:val="0"/>
                <w:color w:val="000000" w:themeColor="text1"/>
                <w:kern w:val="0"/>
                <w14:textFill>
                  <w14:solidFill>
                    <w14:schemeClr w14:val="tx1"/>
                  </w14:solidFill>
                </w14:textFill>
              </w:rPr>
            </w:pPr>
          </w:p>
        </w:tc>
        <w:tc>
          <w:tcPr>
            <w:tcW w:w="829" w:type="pct"/>
            <w:vMerge w:val="continue"/>
            <w:vAlign w:val="center"/>
          </w:tcPr>
          <w:p w14:paraId="4D82411B">
            <w:pPr>
              <w:pStyle w:val="143"/>
              <w:rPr>
                <w:snapToGrid w:val="0"/>
                <w:color w:val="000000" w:themeColor="text1"/>
                <w:kern w:val="0"/>
                <w14:textFill>
                  <w14:solidFill>
                    <w14:schemeClr w14:val="tx1"/>
                  </w14:solidFill>
                </w14:textFill>
              </w:rPr>
            </w:pPr>
          </w:p>
        </w:tc>
        <w:tc>
          <w:tcPr>
            <w:tcW w:w="827" w:type="pct"/>
            <w:vAlign w:val="center"/>
          </w:tcPr>
          <w:p w14:paraId="3A19B72E">
            <w:pPr>
              <w:pStyle w:val="143"/>
              <w:ind w:firstLine="0" w:firstLineChars="0"/>
              <w:rPr>
                <w:rFonts w:hint="eastAsia"/>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TN</w:t>
            </w:r>
          </w:p>
        </w:tc>
        <w:tc>
          <w:tcPr>
            <w:tcW w:w="827" w:type="pct"/>
            <w:vAlign w:val="center"/>
          </w:tcPr>
          <w:p w14:paraId="29EBE249">
            <w:pPr>
              <w:pStyle w:val="143"/>
              <w:ind w:firstLine="0" w:firstLineChars="0"/>
              <w:rPr>
                <w:rFonts w:hint="default" w:cs="Times New Roman"/>
                <w:snapToGrid w:val="0"/>
                <w:color w:val="000000" w:themeColor="text1"/>
                <w:kern w:val="0"/>
                <w:szCs w:val="21"/>
                <w:lang w:val="en-US"/>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37.5</w:t>
            </w:r>
          </w:p>
        </w:tc>
        <w:tc>
          <w:tcPr>
            <w:tcW w:w="2319" w:type="dxa"/>
            <w:vAlign w:val="center"/>
          </w:tcPr>
          <w:p w14:paraId="4B4741D8">
            <w:pPr>
              <w:pStyle w:val="143"/>
              <w:ind w:firstLine="0" w:firstLineChars="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0.0077</w:t>
            </w:r>
          </w:p>
        </w:tc>
        <w:tc>
          <w:tcPr>
            <w:tcW w:w="859" w:type="pct"/>
            <w:vAlign w:val="center"/>
          </w:tcPr>
          <w:p w14:paraId="730BB381">
            <w:pPr>
              <w:pStyle w:val="143"/>
              <w:ind w:firstLine="0" w:firstLineChars="0"/>
              <w:rPr>
                <w:rFonts w:hint="default" w:cs="Times New Roman"/>
                <w:snapToGrid w:val="0"/>
                <w:color w:val="000000" w:themeColor="text1"/>
                <w:kern w:val="0"/>
                <w:szCs w:val="21"/>
                <w:lang w:val="en-US"/>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1.39</w:t>
            </w:r>
          </w:p>
        </w:tc>
      </w:tr>
      <w:tr w14:paraId="311790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826" w:type="pct"/>
            <w:vMerge w:val="continue"/>
            <w:vAlign w:val="center"/>
          </w:tcPr>
          <w:p w14:paraId="62B6E926">
            <w:pPr>
              <w:pStyle w:val="143"/>
              <w:rPr>
                <w:snapToGrid w:val="0"/>
                <w:color w:val="000000" w:themeColor="text1"/>
                <w:kern w:val="0"/>
                <w14:textFill>
                  <w14:solidFill>
                    <w14:schemeClr w14:val="tx1"/>
                  </w14:solidFill>
                </w14:textFill>
              </w:rPr>
            </w:pPr>
          </w:p>
        </w:tc>
        <w:tc>
          <w:tcPr>
            <w:tcW w:w="829" w:type="pct"/>
            <w:vMerge w:val="continue"/>
            <w:vAlign w:val="center"/>
          </w:tcPr>
          <w:p w14:paraId="565312AA">
            <w:pPr>
              <w:pStyle w:val="143"/>
              <w:rPr>
                <w:snapToGrid w:val="0"/>
                <w:color w:val="000000" w:themeColor="text1"/>
                <w:kern w:val="0"/>
                <w14:textFill>
                  <w14:solidFill>
                    <w14:schemeClr w14:val="tx1"/>
                  </w14:solidFill>
                </w14:textFill>
              </w:rPr>
            </w:pPr>
          </w:p>
        </w:tc>
        <w:tc>
          <w:tcPr>
            <w:tcW w:w="827" w:type="pct"/>
            <w:vAlign w:val="center"/>
          </w:tcPr>
          <w:p w14:paraId="70BB8BA1">
            <w:pPr>
              <w:pStyle w:val="143"/>
              <w:ind w:firstLine="0" w:firstLineChars="0"/>
              <w:rPr>
                <w:rFonts w:hint="eastAsia"/>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动植物油</w:t>
            </w:r>
          </w:p>
        </w:tc>
        <w:tc>
          <w:tcPr>
            <w:tcW w:w="827" w:type="pct"/>
            <w:vAlign w:val="center"/>
          </w:tcPr>
          <w:p w14:paraId="3C10DA22">
            <w:pPr>
              <w:pStyle w:val="143"/>
              <w:ind w:firstLine="0" w:firstLineChars="0"/>
              <w:rPr>
                <w:rFonts w:cs="Times New Roman"/>
                <w:snapToGrid w:val="0"/>
                <w:color w:val="000000" w:themeColor="text1"/>
                <w:kern w:val="0"/>
                <w:szCs w:val="21"/>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40</w:t>
            </w:r>
          </w:p>
        </w:tc>
        <w:tc>
          <w:tcPr>
            <w:tcW w:w="2319" w:type="dxa"/>
            <w:vAlign w:val="center"/>
          </w:tcPr>
          <w:p w14:paraId="0FBC6697">
            <w:pPr>
              <w:pStyle w:val="143"/>
              <w:ind w:firstLine="0" w:firstLineChars="0"/>
              <w:rPr>
                <w:rFonts w:hint="eastAsia"/>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0.0046</w:t>
            </w:r>
          </w:p>
        </w:tc>
        <w:tc>
          <w:tcPr>
            <w:tcW w:w="859" w:type="pct"/>
            <w:vAlign w:val="center"/>
          </w:tcPr>
          <w:p w14:paraId="350D2C67">
            <w:pPr>
              <w:pStyle w:val="143"/>
              <w:ind w:firstLine="0" w:firstLineChars="0"/>
              <w:rPr>
                <w:rFonts w:cs="Times New Roman"/>
                <w:snapToGrid w:val="0"/>
                <w:color w:val="000000" w:themeColor="text1"/>
                <w:kern w:val="0"/>
                <w:szCs w:val="21"/>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1.48</w:t>
            </w:r>
          </w:p>
        </w:tc>
      </w:tr>
      <w:tr w14:paraId="09C138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1655" w:type="pct"/>
            <w:gridSpan w:val="2"/>
            <w:vMerge w:val="restart"/>
            <w:vAlign w:val="center"/>
          </w:tcPr>
          <w:p w14:paraId="1AD7C52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全厂排放口合计</w:t>
            </w:r>
          </w:p>
        </w:tc>
        <w:tc>
          <w:tcPr>
            <w:tcW w:w="2485" w:type="pct"/>
            <w:gridSpan w:val="3"/>
            <w:vAlign w:val="center"/>
          </w:tcPr>
          <w:p w14:paraId="62B3559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COD</w:t>
            </w:r>
          </w:p>
        </w:tc>
        <w:tc>
          <w:tcPr>
            <w:tcW w:w="859" w:type="pct"/>
            <w:vAlign w:val="center"/>
          </w:tcPr>
          <w:p w14:paraId="14E75554">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4.63</w:t>
            </w:r>
          </w:p>
        </w:tc>
      </w:tr>
      <w:tr w14:paraId="19EA59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1655" w:type="pct"/>
            <w:gridSpan w:val="2"/>
            <w:vMerge w:val="continue"/>
            <w:vAlign w:val="center"/>
          </w:tcPr>
          <w:p w14:paraId="549ACCED">
            <w:pPr>
              <w:pStyle w:val="143"/>
              <w:rPr>
                <w:snapToGrid w:val="0"/>
                <w:color w:val="000000" w:themeColor="text1"/>
                <w:kern w:val="0"/>
                <w14:textFill>
                  <w14:solidFill>
                    <w14:schemeClr w14:val="tx1"/>
                  </w14:solidFill>
                </w14:textFill>
              </w:rPr>
            </w:pPr>
          </w:p>
        </w:tc>
        <w:tc>
          <w:tcPr>
            <w:tcW w:w="2485" w:type="pct"/>
            <w:gridSpan w:val="3"/>
            <w:vAlign w:val="center"/>
          </w:tcPr>
          <w:p w14:paraId="51B474D7">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B</w:t>
            </w:r>
            <w:r>
              <w:rPr>
                <w:snapToGrid w:val="0"/>
                <w:color w:val="000000" w:themeColor="text1"/>
                <w:kern w:val="0"/>
                <w:lang w:eastAsia="zh-CN"/>
                <w14:textFill>
                  <w14:solidFill>
                    <w14:schemeClr w14:val="tx1"/>
                  </w14:solidFill>
                </w14:textFill>
              </w:rPr>
              <w:t>OD</w:t>
            </w:r>
            <w:r>
              <w:rPr>
                <w:snapToGrid w:val="0"/>
                <w:color w:val="000000" w:themeColor="text1"/>
                <w:kern w:val="0"/>
                <w:vertAlign w:val="subscript"/>
                <w:lang w:eastAsia="zh-CN"/>
                <w14:textFill>
                  <w14:solidFill>
                    <w14:schemeClr w14:val="tx1"/>
                  </w14:solidFill>
                </w14:textFill>
              </w:rPr>
              <w:t>5</w:t>
            </w:r>
          </w:p>
        </w:tc>
        <w:tc>
          <w:tcPr>
            <w:tcW w:w="859" w:type="pct"/>
            <w:vAlign w:val="center"/>
          </w:tcPr>
          <w:p w14:paraId="12F346A8">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1.11</w:t>
            </w:r>
          </w:p>
        </w:tc>
      </w:tr>
      <w:tr w14:paraId="31B2E6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1655" w:type="pct"/>
            <w:gridSpan w:val="2"/>
            <w:vMerge w:val="continue"/>
            <w:vAlign w:val="center"/>
          </w:tcPr>
          <w:p w14:paraId="4E81CF80">
            <w:pPr>
              <w:pStyle w:val="143"/>
              <w:rPr>
                <w:snapToGrid w:val="0"/>
                <w:color w:val="000000" w:themeColor="text1"/>
                <w:kern w:val="0"/>
                <w14:textFill>
                  <w14:solidFill>
                    <w14:schemeClr w14:val="tx1"/>
                  </w14:solidFill>
                </w14:textFill>
              </w:rPr>
            </w:pPr>
          </w:p>
        </w:tc>
        <w:tc>
          <w:tcPr>
            <w:tcW w:w="2485" w:type="pct"/>
            <w:gridSpan w:val="3"/>
            <w:vAlign w:val="center"/>
          </w:tcPr>
          <w:p w14:paraId="6502368B">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S</w:t>
            </w:r>
            <w:r>
              <w:rPr>
                <w:snapToGrid w:val="0"/>
                <w:color w:val="000000" w:themeColor="text1"/>
                <w:kern w:val="0"/>
                <w:lang w:eastAsia="zh-CN"/>
                <w14:textFill>
                  <w14:solidFill>
                    <w14:schemeClr w14:val="tx1"/>
                  </w14:solidFill>
                </w14:textFill>
              </w:rPr>
              <w:t>S</w:t>
            </w:r>
          </w:p>
        </w:tc>
        <w:tc>
          <w:tcPr>
            <w:tcW w:w="859" w:type="pct"/>
            <w:vAlign w:val="center"/>
          </w:tcPr>
          <w:p w14:paraId="20F3528E">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0.78</w:t>
            </w:r>
          </w:p>
        </w:tc>
      </w:tr>
      <w:tr w14:paraId="3C4479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1655" w:type="pct"/>
            <w:gridSpan w:val="2"/>
            <w:vMerge w:val="continue"/>
            <w:vAlign w:val="center"/>
          </w:tcPr>
          <w:p w14:paraId="37354F53">
            <w:pPr>
              <w:pStyle w:val="143"/>
              <w:rPr>
                <w:snapToGrid w:val="0"/>
                <w:color w:val="000000" w:themeColor="text1"/>
                <w:kern w:val="0"/>
                <w14:textFill>
                  <w14:solidFill>
                    <w14:schemeClr w14:val="tx1"/>
                  </w14:solidFill>
                </w14:textFill>
              </w:rPr>
            </w:pPr>
          </w:p>
        </w:tc>
        <w:tc>
          <w:tcPr>
            <w:tcW w:w="2485" w:type="pct"/>
            <w:gridSpan w:val="3"/>
            <w:vAlign w:val="center"/>
          </w:tcPr>
          <w:p w14:paraId="1330EA1D">
            <w:pPr>
              <w:pStyle w:val="143"/>
              <w:rPr>
                <w:snapToGrid w:val="0"/>
                <w:color w:val="000000" w:themeColor="text1"/>
                <w:kern w:val="0"/>
                <w14:textFill>
                  <w14:solidFill>
                    <w14:schemeClr w14:val="tx1"/>
                  </w14:solidFill>
                </w14:textFill>
              </w:rPr>
            </w:pPr>
            <w:r>
              <w:rPr>
                <w:snapToGrid w:val="0"/>
                <w:color w:val="000000" w:themeColor="text1"/>
                <w:kern w:val="0"/>
                <w:lang w:eastAsia="zh-CN"/>
                <w14:textFill>
                  <w14:solidFill>
                    <w14:schemeClr w14:val="tx1"/>
                  </w14:solidFill>
                </w14:textFill>
              </w:rPr>
              <w:t>NH</w:t>
            </w:r>
            <w:r>
              <w:rPr>
                <w:snapToGrid w:val="0"/>
                <w:color w:val="000000" w:themeColor="text1"/>
                <w:kern w:val="0"/>
                <w:vertAlign w:val="subscript"/>
                <w:lang w:eastAsia="zh-CN"/>
                <w14:textFill>
                  <w14:solidFill>
                    <w14:schemeClr w14:val="tx1"/>
                  </w14:solidFill>
                </w14:textFill>
              </w:rPr>
              <w:t>3</w:t>
            </w:r>
            <w:r>
              <w:rPr>
                <w:snapToGrid w:val="0"/>
                <w:color w:val="000000" w:themeColor="text1"/>
                <w:kern w:val="0"/>
                <w:lang w:eastAsia="zh-CN"/>
                <w14:textFill>
                  <w14:solidFill>
                    <w14:schemeClr w14:val="tx1"/>
                  </w14:solidFill>
                </w14:textFill>
              </w:rPr>
              <w:t>-N</w:t>
            </w:r>
          </w:p>
        </w:tc>
        <w:tc>
          <w:tcPr>
            <w:tcW w:w="859" w:type="pct"/>
            <w:vAlign w:val="center"/>
          </w:tcPr>
          <w:p w14:paraId="56920E89">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0.50</w:t>
            </w:r>
          </w:p>
        </w:tc>
      </w:tr>
      <w:tr w14:paraId="3A2EAF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1655" w:type="pct"/>
            <w:gridSpan w:val="2"/>
            <w:vMerge w:val="continue"/>
            <w:vAlign w:val="center"/>
          </w:tcPr>
          <w:p w14:paraId="5403590F">
            <w:pPr>
              <w:pStyle w:val="143"/>
              <w:rPr>
                <w:snapToGrid w:val="0"/>
                <w:color w:val="000000" w:themeColor="text1"/>
                <w:kern w:val="0"/>
                <w14:textFill>
                  <w14:solidFill>
                    <w14:schemeClr w14:val="tx1"/>
                  </w14:solidFill>
                </w14:textFill>
              </w:rPr>
            </w:pPr>
          </w:p>
        </w:tc>
        <w:tc>
          <w:tcPr>
            <w:tcW w:w="2485" w:type="pct"/>
            <w:gridSpan w:val="3"/>
            <w:vAlign w:val="center"/>
          </w:tcPr>
          <w:p w14:paraId="1F7C8944">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T</w:t>
            </w:r>
            <w:r>
              <w:rPr>
                <w:snapToGrid w:val="0"/>
                <w:color w:val="000000" w:themeColor="text1"/>
                <w:kern w:val="0"/>
                <w14:textFill>
                  <w14:solidFill>
                    <w14:schemeClr w14:val="tx1"/>
                  </w14:solidFill>
                </w14:textFill>
              </w:rPr>
              <w:t>P</w:t>
            </w:r>
          </w:p>
        </w:tc>
        <w:tc>
          <w:tcPr>
            <w:tcW w:w="859" w:type="pct"/>
            <w:vAlign w:val="center"/>
          </w:tcPr>
          <w:p w14:paraId="07AAB000">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r>
      <w:tr w14:paraId="732C9B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1655" w:type="pct"/>
            <w:gridSpan w:val="2"/>
            <w:vMerge w:val="continue"/>
            <w:vAlign w:val="center"/>
          </w:tcPr>
          <w:p w14:paraId="6A76A95A">
            <w:pPr>
              <w:pStyle w:val="143"/>
              <w:rPr>
                <w:snapToGrid w:val="0"/>
                <w:color w:val="000000" w:themeColor="text1"/>
                <w:kern w:val="0"/>
                <w14:textFill>
                  <w14:solidFill>
                    <w14:schemeClr w14:val="tx1"/>
                  </w14:solidFill>
                </w14:textFill>
              </w:rPr>
            </w:pPr>
          </w:p>
        </w:tc>
        <w:tc>
          <w:tcPr>
            <w:tcW w:w="2485" w:type="pct"/>
            <w:gridSpan w:val="3"/>
            <w:vAlign w:val="center"/>
          </w:tcPr>
          <w:p w14:paraId="14A5DD99">
            <w:pPr>
              <w:pStyle w:val="143"/>
              <w:ind w:firstLine="0" w:firstLineChars="0"/>
              <w:rPr>
                <w:rFonts w:hint="eastAsia"/>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TN</w:t>
            </w:r>
          </w:p>
        </w:tc>
        <w:tc>
          <w:tcPr>
            <w:tcW w:w="859" w:type="pct"/>
            <w:vAlign w:val="center"/>
          </w:tcPr>
          <w:p w14:paraId="3B0DA4E6">
            <w:pPr>
              <w:pStyle w:val="143"/>
              <w:ind w:firstLine="0" w:firstLineChars="0"/>
              <w:rPr>
                <w:rFonts w:hint="default"/>
                <w:snapToGrid w:val="0"/>
                <w:color w:val="000000" w:themeColor="text1"/>
                <w:kern w:val="0"/>
                <w:lang w:val="en-US"/>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1.39</w:t>
            </w:r>
          </w:p>
        </w:tc>
      </w:tr>
      <w:tr w14:paraId="4ED868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1655" w:type="pct"/>
            <w:gridSpan w:val="2"/>
            <w:vMerge w:val="continue"/>
            <w:vAlign w:val="center"/>
          </w:tcPr>
          <w:p w14:paraId="412F0843">
            <w:pPr>
              <w:pStyle w:val="143"/>
              <w:rPr>
                <w:snapToGrid w:val="0"/>
                <w:color w:val="000000" w:themeColor="text1"/>
                <w:kern w:val="0"/>
                <w14:textFill>
                  <w14:solidFill>
                    <w14:schemeClr w14:val="tx1"/>
                  </w14:solidFill>
                </w14:textFill>
              </w:rPr>
            </w:pPr>
          </w:p>
        </w:tc>
        <w:tc>
          <w:tcPr>
            <w:tcW w:w="2485" w:type="pct"/>
            <w:gridSpan w:val="3"/>
            <w:vAlign w:val="center"/>
          </w:tcPr>
          <w:p w14:paraId="6BB25AF2">
            <w:pPr>
              <w:pStyle w:val="143"/>
              <w:ind w:firstLine="0" w:firstLineChars="0"/>
              <w:rPr>
                <w:rFonts w:hint="eastAsia"/>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动植物油</w:t>
            </w:r>
          </w:p>
        </w:tc>
        <w:tc>
          <w:tcPr>
            <w:tcW w:w="859" w:type="pct"/>
            <w:vAlign w:val="center"/>
          </w:tcPr>
          <w:p w14:paraId="61AF8C8C">
            <w:pPr>
              <w:pStyle w:val="143"/>
              <w:ind w:firstLine="0" w:firstLineChars="0"/>
              <w:rPr>
                <w:snapToGrid w:val="0"/>
                <w:color w:val="000000" w:themeColor="text1"/>
                <w:kern w:val="0"/>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1.48</w:t>
            </w:r>
          </w:p>
        </w:tc>
      </w:tr>
    </w:tbl>
    <w:p w14:paraId="36444EDD">
      <w:pPr>
        <w:pStyle w:val="143"/>
        <w:rPr>
          <w:snapToGrid w:val="0"/>
          <w:color w:val="000000" w:themeColor="text1"/>
          <w14:textFill>
            <w14:solidFill>
              <w14:schemeClr w14:val="tx1"/>
            </w14:solidFill>
          </w14:textFill>
        </w:rPr>
      </w:pPr>
    </w:p>
    <w:p w14:paraId="6AD91DEA">
      <w:pPr>
        <w:pStyle w:val="85"/>
        <w:rPr>
          <w:snapToGrid w:val="0"/>
          <w:color w:val="000000" w:themeColor="text1"/>
          <w14:textFill>
            <w14:solidFill>
              <w14:schemeClr w14:val="tx1"/>
            </w14:solidFill>
          </w14:textFill>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pPr>
    </w:p>
    <w:p w14:paraId="07513C8F">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w:t>
      </w:r>
      <w:r>
        <w:rPr>
          <w:rFonts w:hint="eastAsia"/>
          <w:color w:val="000000" w:themeColor="text1"/>
          <w14:textFill>
            <w14:solidFill>
              <w14:schemeClr w14:val="tx1"/>
            </w14:solidFill>
          </w14:textFill>
        </w:rPr>
        <w:t>工程</w:t>
      </w:r>
      <w:r>
        <w:rPr>
          <w:rFonts w:hint="eastAsia"/>
          <w:color w:val="000000" w:themeColor="text1"/>
          <w:lang w:val="en-US" w:eastAsia="zh-CN"/>
          <w14:textFill>
            <w14:solidFill>
              <w14:schemeClr w14:val="tx1"/>
            </w14:solidFill>
          </w14:textFill>
        </w:rPr>
        <w:t>设置</w:t>
      </w:r>
      <w:r>
        <w:rPr>
          <w:rFonts w:hint="eastAsia"/>
          <w:color w:val="000000" w:themeColor="text1"/>
          <w14:textFill>
            <w14:solidFill>
              <w14:schemeClr w14:val="tx1"/>
            </w14:solidFill>
          </w14:textFill>
        </w:rPr>
        <w:t>雨水排放口，排水系统采取雨污分流方式。本项目全厂</w:t>
      </w:r>
      <w:r>
        <w:rPr>
          <w:color w:val="000000" w:themeColor="text1"/>
          <w14:textFill>
            <w14:solidFill>
              <w14:schemeClr w14:val="tx1"/>
            </w14:solidFill>
          </w14:textFill>
        </w:rPr>
        <w:t>废水排放总量为</w:t>
      </w:r>
      <w:r>
        <w:rPr>
          <w:rFonts w:hint="eastAsia"/>
          <w:snapToGrid w:val="0"/>
          <w:color w:val="000000" w:themeColor="text1"/>
          <w:lang w:val="en-US" w:eastAsia="zh-CN"/>
          <w14:textFill>
            <w14:solidFill>
              <w14:schemeClr w14:val="tx1"/>
            </w14:solidFill>
          </w14:textFill>
        </w:rPr>
        <w:t>123.56</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r>
        <w:rPr>
          <w:rFonts w:hint="eastAsia"/>
          <w:color w:val="000000" w:themeColor="text1"/>
          <w:lang w:eastAsia="zh-CN"/>
          <w14:textFill>
            <w14:solidFill>
              <w14:schemeClr w14:val="tx1"/>
            </w14:solidFill>
          </w14:textFill>
        </w:rPr>
        <w:t>37067.84</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/a。本项目废水由新建</w:t>
      </w:r>
      <w:r>
        <w:rPr>
          <w:rFonts w:hint="eastAsia"/>
          <w:color w:val="000000" w:themeColor="text1"/>
          <w14:textFill>
            <w14:solidFill>
              <w14:schemeClr w14:val="tx1"/>
            </w14:solidFill>
          </w14:textFill>
        </w:rPr>
        <w:t>的处理能力为</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污水处理站处理满足《</w:t>
      </w:r>
      <w:r>
        <w:rPr>
          <w:rFonts w:hint="eastAsia"/>
          <w:color w:val="000000" w:themeColor="text1"/>
          <w:lang w:eastAsia="zh-CN"/>
          <w14:textFill>
            <w14:solidFill>
              <w14:schemeClr w14:val="tx1"/>
            </w14:solidFill>
          </w14:textFill>
        </w:rPr>
        <w:t>酒类制造业水污染物排放标准</w:t>
      </w:r>
      <w:r>
        <w:rPr>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GB19821-2025</w:t>
      </w:r>
      <w:r>
        <w:rPr>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color w:val="000000" w:themeColor="text1"/>
          <w14:textFill>
            <w14:solidFill>
              <w14:schemeClr w14:val="tx1"/>
            </w14:solidFill>
          </w14:textFill>
        </w:rPr>
        <w:t>及</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进水指标后进入市政污水管网，排入</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统一处理，废水</w:t>
      </w:r>
      <w:r>
        <w:rPr>
          <w:rFonts w:hint="eastAsia"/>
          <w:color w:val="000000" w:themeColor="text1"/>
          <w14:textFill>
            <w14:solidFill>
              <w14:schemeClr w14:val="tx1"/>
            </w14:solidFill>
          </w14:textFill>
        </w:rPr>
        <w:t>达到《城镇污水处理厂污染物排放标准》（GB 18918-2002）及修改单中的一级A标准排入</w:t>
      </w:r>
      <w:r>
        <w:rPr>
          <w:rFonts w:hint="default" w:eastAsia="宋体"/>
          <w:lang w:val="en-US" w:eastAsia="zh-CN"/>
        </w:rPr>
        <w:t>八虎力河，最终汇入倭肯河</w:t>
      </w:r>
      <w:r>
        <w:rPr>
          <w:rFonts w:hint="eastAsia"/>
          <w:color w:val="000000" w:themeColor="text1"/>
          <w14:textFill>
            <w14:solidFill>
              <w14:schemeClr w14:val="tx1"/>
            </w14:solidFill>
          </w14:textFill>
        </w:rPr>
        <w:t>，综上所述，本项目外排废水对水环境影响较小。</w:t>
      </w:r>
    </w:p>
    <w:p w14:paraId="38B97797">
      <w:pPr>
        <w:pStyle w:val="6"/>
        <w:rPr>
          <w:snapToGrid w:val="0"/>
          <w:color w:val="000000" w:themeColor="text1"/>
          <w14:textFill>
            <w14:solidFill>
              <w14:schemeClr w14:val="tx1"/>
            </w14:solidFill>
          </w14:textFill>
        </w:rPr>
      </w:pPr>
      <w:bookmarkStart w:id="265" w:name="_Toc3954"/>
      <w:r>
        <w:rPr>
          <w:snapToGrid w:val="0"/>
          <w:color w:val="000000" w:themeColor="text1"/>
          <w14:textFill>
            <w14:solidFill>
              <w14:schemeClr w14:val="tx1"/>
            </w14:solidFill>
          </w14:textFill>
        </w:rPr>
        <w:t>5.2.3地下水环境影响预测分析</w:t>
      </w:r>
      <w:bookmarkEnd w:id="265"/>
    </w:p>
    <w:p w14:paraId="01498740">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5.2.3.1</w:t>
      </w:r>
      <w:r>
        <w:rPr>
          <w:rFonts w:hint="eastAsia"/>
          <w:snapToGrid w:val="0"/>
          <w:color w:val="000000" w:themeColor="text1"/>
          <w14:textFill>
            <w14:solidFill>
              <w14:schemeClr w14:val="tx1"/>
            </w14:solidFill>
          </w14:textFill>
        </w:rPr>
        <w:t>预测原则</w:t>
      </w:r>
    </w:p>
    <w:p w14:paraId="59BB22A7">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项目地下水环境影响预测原则为：</w:t>
      </w:r>
    </w:p>
    <w:p w14:paraId="557C1826">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（1）考虑到地下水环境污染的隐蔽性和难恢复性，遵循环境安全性原则，为评价各方案的环境安全和环境保护措施的合理性提供依据。</w:t>
      </w:r>
    </w:p>
    <w:p w14:paraId="1F46A314">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（2）预测的范围、时段、内容和方法根据评价工作等级、工程特征与环境特征，结合当地环境功能和环保要求确定，以建设项目对地下水水质的影响为重点。</w:t>
      </w:r>
    </w:p>
    <w:p w14:paraId="57CDA54F">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5.2.3.2</w:t>
      </w:r>
      <w:r>
        <w:rPr>
          <w:rFonts w:hint="eastAsia"/>
          <w:snapToGrid w:val="0"/>
          <w:color w:val="000000" w:themeColor="text1"/>
          <w14:textFill>
            <w14:solidFill>
              <w14:schemeClr w14:val="tx1"/>
            </w14:solidFill>
          </w14:textFill>
        </w:rPr>
        <w:t>预测范围及时段</w:t>
      </w:r>
    </w:p>
    <w:p w14:paraId="531E4C3A">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1、预测范围</w:t>
      </w:r>
    </w:p>
    <w:p w14:paraId="3E248F17">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本项目预测范围同评价范围。</w:t>
      </w:r>
    </w:p>
    <w:p w14:paraId="2A46D706">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2、预测时段</w:t>
      </w:r>
    </w:p>
    <w:p w14:paraId="56863C34">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正常状况下本项目污染物不会泄漏，不会对地下水环境产生影响，所采取的防渗措施达到相关污染控制标准要求。根据《环境影响评价技术导则  地下水环境》（HJ610-2016）第9.4.2规定，已根据相关规范设计的地下水污染防渗措施的建设项目，可不进行正常状况情景下的预测，本次环评仅针对非正常状况下，污染物的泄漏进行预测分析。</w:t>
      </w:r>
    </w:p>
    <w:p w14:paraId="06FB0FCB">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本次预测时段主要为：项目运行期非正常状况下预测100d、3</w:t>
      </w:r>
      <w:r>
        <w:rPr>
          <w:snapToGrid w:val="0"/>
          <w:color w:val="000000" w:themeColor="text1"/>
          <w:kern w:val="0"/>
          <w14:textFill>
            <w14:solidFill>
              <w14:schemeClr w14:val="tx1"/>
            </w14:solidFill>
          </w14:textFill>
        </w:rPr>
        <w:t>65</w:t>
      </w:r>
      <w:r>
        <w:rPr>
          <w:rFonts w:hint="eastAsia"/>
          <w:snapToGrid w:val="0"/>
          <w:color w:val="000000" w:themeColor="text1"/>
          <w:kern w:val="0"/>
          <w14:textFill>
            <w14:solidFill>
              <w14:schemeClr w14:val="tx1"/>
            </w14:solidFill>
          </w14:textFill>
        </w:rPr>
        <w:t>d、1000d、</w:t>
      </w:r>
      <w:r>
        <w:rPr>
          <w:snapToGrid w:val="0"/>
          <w:color w:val="000000" w:themeColor="text1"/>
          <w:kern w:val="0"/>
          <w14:textFill>
            <w14:solidFill>
              <w14:schemeClr w14:val="tx1"/>
            </w14:solidFill>
          </w14:textFill>
        </w:rPr>
        <w:t>1</w:t>
      </w:r>
      <w:r>
        <w:rPr>
          <w:rFonts w:hint="eastAsia"/>
          <w:snapToGrid w:val="0"/>
          <w:color w:val="000000" w:themeColor="text1"/>
          <w:kern w:val="0"/>
          <w14:textFill>
            <w14:solidFill>
              <w14:schemeClr w14:val="tx1"/>
            </w14:solidFill>
          </w14:textFill>
        </w:rPr>
        <w:t>0a的地下水环境影响。</w:t>
      </w:r>
    </w:p>
    <w:p w14:paraId="507E2F22">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5.2.3.3</w:t>
      </w:r>
      <w:r>
        <w:rPr>
          <w:rFonts w:hint="eastAsia"/>
          <w:snapToGrid w:val="0"/>
          <w:color w:val="000000" w:themeColor="text1"/>
          <w14:textFill>
            <w14:solidFill>
              <w14:schemeClr w14:val="tx1"/>
            </w14:solidFill>
          </w14:textFill>
        </w:rPr>
        <w:t>预测因子</w:t>
      </w:r>
    </w:p>
    <w:p w14:paraId="609120B5">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污染物在地下水系统中的迁移转化过程十分复杂，它包括挥发、溶解、吸附、沉淀、生物吸收、化学和生物降解等作用。本次评价本着风险最大原则，在模拟污染物运移扩散时不考虑吸附作用、化学反应等因素，重点考虑对流弥散作用。</w:t>
      </w:r>
    </w:p>
    <w:p w14:paraId="1872211A">
      <w:pPr>
        <w:adjustRightInd w:val="0"/>
        <w:snapToGrid w:val="0"/>
        <w:spacing w:line="500" w:lineRule="exact"/>
        <w:ind w:firstLine="480" w:firstLineChars="200"/>
        <w:rPr>
          <w:rFonts w:hint="eastAsia" w:ascii="Times New Roman"/>
          <w:color w:val="000000"/>
        </w:rPr>
      </w:pPr>
      <w:r>
        <w:rPr>
          <w:rFonts w:hint="eastAsia"/>
          <w:snapToGrid w:val="0"/>
          <w:color w:val="000000" w:themeColor="text1"/>
          <w:kern w:val="0"/>
          <w14:textFill>
            <w14:solidFill>
              <w14:schemeClr w14:val="tx1"/>
            </w14:solidFill>
          </w14:textFill>
        </w:rPr>
        <w:t>根据各污染风险源在非正常工况情景下对项目周边地下水污染的权重关系。本项目以污水处理站非正常工况下泄漏为预测情景，</w:t>
      </w:r>
      <w:r>
        <w:rPr>
          <w:rFonts w:hint="eastAsia" w:ascii="Times New Roman"/>
          <w:color w:val="000000"/>
        </w:rPr>
        <w:t>污染因子标准指数排序见</w:t>
      </w:r>
      <w:r>
        <w:rPr>
          <w:rFonts w:hint="eastAsia" w:ascii="Times New Roman"/>
          <w:color w:val="000000"/>
          <w:lang w:val="en-US" w:eastAsia="zh-CN"/>
        </w:rPr>
        <w:t>下</w:t>
      </w:r>
      <w:r>
        <w:rPr>
          <w:rFonts w:hint="eastAsia" w:ascii="Times New Roman"/>
          <w:color w:val="000000"/>
        </w:rPr>
        <w:t>表。</w:t>
      </w:r>
    </w:p>
    <w:p w14:paraId="5065D3E2">
      <w:pPr>
        <w:adjustRightInd/>
        <w:snapToGrid/>
        <w:spacing w:line="360" w:lineRule="auto"/>
        <w:ind w:firstLine="0" w:firstLineChars="0"/>
        <w:jc w:val="center"/>
        <w:rPr>
          <w:rFonts w:hint="eastAsia" w:ascii="Times New Roman" w:hAnsi="Times New Roman" w:eastAsia="黑体" w:cs="Times New Roman"/>
          <w:color w:val="000000"/>
          <w:kern w:val="0"/>
          <w:szCs w:val="20"/>
        </w:rPr>
      </w:pPr>
      <w:r>
        <w:rPr>
          <w:rFonts w:hint="eastAsia" w:ascii="Times New Roman" w:hAnsi="Times New Roman" w:eastAsia="黑体" w:cs="Times New Roman"/>
          <w:color w:val="000000"/>
          <w:kern w:val="0"/>
          <w:szCs w:val="20"/>
        </w:rPr>
        <w:t>表5-2-</w:t>
      </w:r>
      <w:r>
        <w:rPr>
          <w:rFonts w:hint="eastAsia" w:eastAsia="黑体" w:cs="Times New Roman"/>
          <w:color w:val="000000"/>
          <w:kern w:val="0"/>
          <w:szCs w:val="20"/>
          <w:lang w:val="en-US" w:eastAsia="zh-CN"/>
        </w:rPr>
        <w:t>8</w:t>
      </w:r>
      <w:r>
        <w:rPr>
          <w:rFonts w:hint="eastAsia" w:ascii="Times New Roman" w:hAnsi="Times New Roman" w:eastAsia="黑体" w:cs="Times New Roman"/>
          <w:color w:val="000000"/>
          <w:kern w:val="0"/>
          <w:szCs w:val="20"/>
        </w:rPr>
        <w:t xml:space="preserve">  污染因子排序表</w:t>
      </w:r>
    </w:p>
    <w:tbl>
      <w:tblPr>
        <w:tblStyle w:val="49"/>
        <w:tblW w:w="8521"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
      <w:tblGrid>
        <w:gridCol w:w="1715"/>
        <w:gridCol w:w="1392"/>
        <w:gridCol w:w="1186"/>
        <w:gridCol w:w="1168"/>
        <w:gridCol w:w="1110"/>
        <w:gridCol w:w="1950"/>
      </w:tblGrid>
      <w:tr w14:paraId="283D5190">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PrEx>
        <w:trPr>
          <w:trHeight w:val="397" w:hRule="atLeast"/>
          <w:jc w:val="center"/>
        </w:trPr>
        <w:tc>
          <w:tcPr>
            <w:tcW w:w="1715" w:type="dxa"/>
            <w:noWrap w:val="0"/>
            <w:vAlign w:val="center"/>
          </w:tcPr>
          <w:p w14:paraId="6EC9EEE4">
            <w:pPr>
              <w:widowControl/>
              <w:adjustRightInd/>
              <w:snapToGrid/>
              <w:spacing w:line="240" w:lineRule="exact"/>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污染因子</w:t>
            </w:r>
          </w:p>
        </w:tc>
        <w:tc>
          <w:tcPr>
            <w:tcW w:w="1392" w:type="dxa"/>
            <w:noWrap w:val="0"/>
            <w:vAlign w:val="center"/>
          </w:tcPr>
          <w:p w14:paraId="7489E36F">
            <w:pPr>
              <w:widowControl/>
              <w:adjustRightInd/>
              <w:snapToGrid/>
              <w:spacing w:line="240" w:lineRule="exact"/>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污水浓度（mg/L）</w:t>
            </w:r>
          </w:p>
        </w:tc>
        <w:tc>
          <w:tcPr>
            <w:tcW w:w="1186" w:type="dxa"/>
            <w:noWrap w:val="0"/>
            <w:vAlign w:val="center"/>
          </w:tcPr>
          <w:p w14:paraId="7448F2E7">
            <w:pPr>
              <w:widowControl/>
              <w:adjustRightInd/>
              <w:snapToGrid/>
              <w:spacing w:line="240" w:lineRule="exact"/>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环境标准</w:t>
            </w:r>
            <w:r>
              <w:rPr>
                <w:rFonts w:hint="eastAsia" w:ascii="Times New Roman" w:hAnsi="Times New Roman" w:eastAsia="宋体" w:cs="Times New Roman"/>
                <w:color w:val="000000"/>
                <w:kern w:val="0"/>
                <w:sz w:val="21"/>
                <w:szCs w:val="21"/>
              </w:rPr>
              <w:t>（mg/L）</w:t>
            </w:r>
          </w:p>
        </w:tc>
        <w:tc>
          <w:tcPr>
            <w:tcW w:w="1168" w:type="dxa"/>
            <w:noWrap w:val="0"/>
            <w:vAlign w:val="center"/>
          </w:tcPr>
          <w:p w14:paraId="7C69645E">
            <w:pPr>
              <w:widowControl/>
              <w:adjustRightInd/>
              <w:snapToGrid/>
              <w:spacing w:line="240" w:lineRule="exact"/>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标准指数</w:t>
            </w:r>
          </w:p>
        </w:tc>
        <w:tc>
          <w:tcPr>
            <w:tcW w:w="1110" w:type="dxa"/>
            <w:noWrap w:val="0"/>
            <w:vAlign w:val="center"/>
          </w:tcPr>
          <w:p w14:paraId="068C6CCB">
            <w:pPr>
              <w:widowControl/>
              <w:adjustRightInd/>
              <w:snapToGrid/>
              <w:spacing w:line="240" w:lineRule="exact"/>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排序</w:t>
            </w:r>
          </w:p>
        </w:tc>
        <w:tc>
          <w:tcPr>
            <w:tcW w:w="1950" w:type="dxa"/>
            <w:noWrap w:val="0"/>
            <w:vAlign w:val="center"/>
          </w:tcPr>
          <w:p w14:paraId="00865DC3">
            <w:pPr>
              <w:widowControl/>
              <w:adjustRightInd/>
              <w:snapToGrid/>
              <w:spacing w:line="240" w:lineRule="exact"/>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备注</w:t>
            </w:r>
          </w:p>
        </w:tc>
      </w:tr>
      <w:tr w14:paraId="6FCACB8A">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15" w:type="dxa"/>
            <w:left w:w="15" w:type="dxa"/>
            <w:bottom w:w="15" w:type="dxa"/>
            <w:right w:w="15" w:type="dxa"/>
          </w:tblCellMar>
        </w:tblPrEx>
        <w:trPr>
          <w:trHeight w:val="397" w:hRule="atLeast"/>
          <w:jc w:val="center"/>
        </w:trPr>
        <w:tc>
          <w:tcPr>
            <w:tcW w:w="1715" w:type="dxa"/>
            <w:noWrap w:val="0"/>
            <w:vAlign w:val="center"/>
          </w:tcPr>
          <w:p w14:paraId="02A028E8">
            <w:pPr>
              <w:pStyle w:val="143"/>
              <w:ind w:firstLine="0" w:firstLineChars="0"/>
              <w:rPr>
                <w:rFonts w:ascii="Times New Roman" w:hAnsi="Times New Roman" w:eastAsia="宋体" w:cs="Times New Roman"/>
                <w:color w:val="000000"/>
                <w:kern w:val="0"/>
                <w:sz w:val="21"/>
                <w:szCs w:val="21"/>
              </w:rPr>
            </w:pPr>
            <w:r>
              <w:rPr>
                <w:snapToGrid w:val="0"/>
                <w:color w:val="000000" w:themeColor="text1"/>
                <w14:textFill>
                  <w14:solidFill>
                    <w14:schemeClr w14:val="tx1"/>
                  </w14:solidFill>
                </w14:textFill>
              </w:rPr>
              <w:t>COD</w:t>
            </w:r>
          </w:p>
        </w:tc>
        <w:tc>
          <w:tcPr>
            <w:tcW w:w="1392" w:type="dxa"/>
            <w:noWrap w:val="0"/>
            <w:vAlign w:val="center"/>
          </w:tcPr>
          <w:p w14:paraId="3DE4EC79">
            <w:pPr>
              <w:pStyle w:val="143"/>
              <w:ind w:firstLine="0" w:firstLineChars="0"/>
              <w:rPr>
                <w:rFonts w:hint="eastAsia" w:ascii="Times New Roman" w:hAnsi="Times New Roman" w:eastAsia="宋体" w:cs="Times New Roman"/>
                <w:color w:val="000000"/>
                <w:kern w:val="0"/>
                <w:sz w:val="21"/>
                <w:szCs w:val="21"/>
              </w:rPr>
            </w:pPr>
            <w:r>
              <w:rPr>
                <w:rFonts w:hint="eastAsia"/>
                <w:color w:val="000000" w:themeColor="text1"/>
                <w:lang w:val="en-US" w:eastAsia="zh-CN"/>
                <w14:textFill>
                  <w14:solidFill>
                    <w14:schemeClr w14:val="tx1"/>
                  </w14:solidFill>
                </w14:textFill>
              </w:rPr>
              <w:t>2500</w:t>
            </w:r>
          </w:p>
        </w:tc>
        <w:tc>
          <w:tcPr>
            <w:tcW w:w="1186" w:type="dxa"/>
            <w:noWrap w:val="0"/>
            <w:vAlign w:val="center"/>
          </w:tcPr>
          <w:p w14:paraId="1B698292">
            <w:pPr>
              <w:widowControl/>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20</w:t>
            </w:r>
          </w:p>
        </w:tc>
        <w:tc>
          <w:tcPr>
            <w:tcW w:w="1168" w:type="dxa"/>
            <w:noWrap w:val="0"/>
            <w:vAlign w:val="center"/>
          </w:tcPr>
          <w:p w14:paraId="51F3FEFF">
            <w:pPr>
              <w:widowControl/>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125</w:t>
            </w:r>
          </w:p>
        </w:tc>
        <w:tc>
          <w:tcPr>
            <w:tcW w:w="1110" w:type="dxa"/>
            <w:noWrap w:val="0"/>
            <w:vAlign w:val="center"/>
          </w:tcPr>
          <w:p w14:paraId="2D250506">
            <w:pPr>
              <w:widowControl/>
              <w:adjustRightInd/>
              <w:snapToGrid/>
              <w:spacing w:line="240" w:lineRule="auto"/>
              <w:ind w:firstLine="0" w:firstLineChars="0"/>
              <w:jc w:val="center"/>
              <w:textAlignment w:val="center"/>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2</w:t>
            </w:r>
          </w:p>
        </w:tc>
        <w:tc>
          <w:tcPr>
            <w:tcW w:w="1950" w:type="dxa"/>
            <w:noWrap w:val="0"/>
            <w:vAlign w:val="center"/>
          </w:tcPr>
          <w:p w14:paraId="0DD95935">
            <w:pPr>
              <w:widowControl/>
              <w:adjustRightInd/>
              <w:snapToGrid/>
              <w:spacing w:line="240" w:lineRule="exact"/>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非持久性常规指标</w:t>
            </w:r>
          </w:p>
        </w:tc>
      </w:tr>
      <w:tr w14:paraId="1C96750D">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15" w:type="dxa"/>
            <w:left w:w="15" w:type="dxa"/>
            <w:bottom w:w="15" w:type="dxa"/>
            <w:right w:w="15" w:type="dxa"/>
          </w:tblCellMar>
        </w:tblPrEx>
        <w:trPr>
          <w:trHeight w:val="90" w:hRule="atLeast"/>
          <w:jc w:val="center"/>
        </w:trPr>
        <w:tc>
          <w:tcPr>
            <w:tcW w:w="1715" w:type="dxa"/>
            <w:noWrap w:val="0"/>
            <w:vAlign w:val="center"/>
          </w:tcPr>
          <w:p w14:paraId="1AF84A7E">
            <w:pPr>
              <w:pStyle w:val="143"/>
              <w:ind w:firstLine="0" w:firstLineChars="0"/>
              <w:rPr>
                <w:rFonts w:ascii="Times New Roman" w:hAnsi="Times New Roman" w:eastAsia="宋体" w:cs="Times New Roman"/>
                <w:color w:val="000000"/>
                <w:kern w:val="0"/>
                <w:sz w:val="21"/>
                <w:szCs w:val="21"/>
              </w:rPr>
            </w:pPr>
            <w:r>
              <w:rPr>
                <w:snapToGrid w:val="0"/>
                <w:color w:val="000000" w:themeColor="text1"/>
                <w:lang w:val="en-US" w:eastAsia="zh-CN"/>
                <w14:textFill>
                  <w14:solidFill>
                    <w14:schemeClr w14:val="tx1"/>
                  </w14:solidFill>
                </w14:textFill>
              </w:rPr>
              <w:t>NH</w:t>
            </w:r>
            <w:r>
              <w:rPr>
                <w:snapToGrid w:val="0"/>
                <w:color w:val="000000" w:themeColor="text1"/>
                <w:vertAlign w:val="subscript"/>
                <w:lang w:val="en-US" w:eastAsia="zh-CN"/>
                <w14:textFill>
                  <w14:solidFill>
                    <w14:schemeClr w14:val="tx1"/>
                  </w14:solidFill>
                </w14:textFill>
              </w:rPr>
              <w:t>3</w:t>
            </w:r>
            <w:r>
              <w:rPr>
                <w:snapToGrid w:val="0"/>
                <w:color w:val="000000" w:themeColor="text1"/>
                <w:lang w:val="en-US" w:eastAsia="zh-CN"/>
                <w14:textFill>
                  <w14:solidFill>
                    <w14:schemeClr w14:val="tx1"/>
                  </w14:solidFill>
                </w14:textFill>
              </w:rPr>
              <w:t>-N</w:t>
            </w:r>
          </w:p>
        </w:tc>
        <w:tc>
          <w:tcPr>
            <w:tcW w:w="1392" w:type="dxa"/>
            <w:noWrap w:val="0"/>
            <w:vAlign w:val="center"/>
          </w:tcPr>
          <w:p w14:paraId="6A112325">
            <w:pPr>
              <w:pStyle w:val="143"/>
              <w:ind w:firstLine="0" w:firstLineChars="0"/>
              <w:rPr>
                <w:rFonts w:hint="eastAsia" w:ascii="Times New Roman" w:hAnsi="Times New Roman" w:eastAsia="宋体" w:cs="Times New Roman"/>
                <w:color w:val="000000"/>
                <w:kern w:val="0"/>
                <w:sz w:val="21"/>
                <w:szCs w:val="21"/>
              </w:rPr>
            </w:pPr>
            <w:r>
              <w:rPr>
                <w:rFonts w:hint="eastAsia"/>
                <w:color w:val="000000" w:themeColor="text1"/>
                <w:lang w:val="en-US" w:eastAsia="zh-CN"/>
                <w14:textFill>
                  <w14:solidFill>
                    <w14:schemeClr w14:val="tx1"/>
                  </w14:solidFill>
                </w14:textFill>
              </w:rPr>
              <w:t>90</w:t>
            </w:r>
          </w:p>
        </w:tc>
        <w:tc>
          <w:tcPr>
            <w:tcW w:w="1186" w:type="dxa"/>
            <w:noWrap w:val="0"/>
            <w:vAlign w:val="center"/>
          </w:tcPr>
          <w:p w14:paraId="2CF492F7">
            <w:pPr>
              <w:widowControl/>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0.5</w:t>
            </w:r>
          </w:p>
        </w:tc>
        <w:tc>
          <w:tcPr>
            <w:tcW w:w="1168" w:type="dxa"/>
            <w:noWrap w:val="0"/>
            <w:vAlign w:val="center"/>
          </w:tcPr>
          <w:p w14:paraId="50169955">
            <w:pPr>
              <w:widowControl/>
              <w:adjustRightInd/>
              <w:snapToGrid/>
              <w:spacing w:line="240" w:lineRule="auto"/>
              <w:ind w:firstLine="0" w:firstLineChars="0"/>
              <w:jc w:val="center"/>
              <w:textAlignment w:val="center"/>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180</w:t>
            </w:r>
          </w:p>
        </w:tc>
        <w:tc>
          <w:tcPr>
            <w:tcW w:w="1110" w:type="dxa"/>
            <w:noWrap w:val="0"/>
            <w:vAlign w:val="center"/>
          </w:tcPr>
          <w:p w14:paraId="1484F3F5">
            <w:pPr>
              <w:widowControl/>
              <w:adjustRightInd/>
              <w:snapToGrid/>
              <w:spacing w:line="240" w:lineRule="auto"/>
              <w:ind w:firstLine="0" w:firstLineChars="0"/>
              <w:jc w:val="center"/>
              <w:textAlignment w:val="center"/>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1</w:t>
            </w:r>
          </w:p>
        </w:tc>
        <w:tc>
          <w:tcPr>
            <w:tcW w:w="1950" w:type="dxa"/>
            <w:noWrap w:val="0"/>
            <w:vAlign w:val="center"/>
          </w:tcPr>
          <w:p w14:paraId="2EF07DF3">
            <w:pPr>
              <w:widowControl/>
              <w:adjustRightInd/>
              <w:snapToGrid/>
              <w:spacing w:line="240" w:lineRule="exact"/>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非持久性常规指标</w:t>
            </w:r>
          </w:p>
        </w:tc>
      </w:tr>
    </w:tbl>
    <w:p w14:paraId="01B2DC0E">
      <w:pPr>
        <w:adjustRightInd w:val="0"/>
        <w:snapToGrid w:val="0"/>
        <w:spacing w:line="500" w:lineRule="exact"/>
        <w:ind w:firstLine="480" w:firstLineChars="200"/>
        <w:rPr>
          <w:rFonts w:hint="eastAsia" w:ascii="Times New Roman"/>
          <w:color w:val="000000"/>
        </w:rPr>
      </w:pPr>
      <w:r>
        <w:rPr>
          <w:rFonts w:hint="eastAsia" w:ascii="Times New Roman"/>
          <w:color w:val="000000"/>
        </w:rPr>
        <w:t>根据标准指数的排序，本项目选定</w:t>
      </w:r>
      <w:r>
        <w:rPr>
          <w:rFonts w:hint="eastAsia"/>
          <w:color w:val="000000"/>
          <w:lang w:val="en-US" w:eastAsia="zh-CN"/>
        </w:rPr>
        <w:t>COD、</w:t>
      </w:r>
      <w:r>
        <w:rPr>
          <w:rFonts w:hint="eastAsia" w:ascii="Times New Roman"/>
          <w:color w:val="000000"/>
        </w:rPr>
        <w:t>氨氮进行预测。氨氮在《地下水质量标准》（GB/T14848-2017）Ⅲ类标准中标准值为0.5mg/L。COD在《地下水质量标准》（GB/T14848-2017）中无标准，根据《环境影响评价技术导则 地下水环境》（HJ610-2016）规定可参照国家（行业、地方）相关标准的水质标准值（如GB3838、GB5749等）进行评价。《地下水质量标准》（GB/T14848-2017）中Ⅲ类水体“地下水化学组分含量中等，以GB5749-2006为依据。故本项目COD评价标准参照《地表水质量标准》（GB3838-2002）中Ⅲ类水体标准限值20mg/L。</w:t>
      </w:r>
    </w:p>
    <w:p w14:paraId="71489DAE">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5.2.3.4</w:t>
      </w:r>
      <w:r>
        <w:rPr>
          <w:rFonts w:hint="eastAsia"/>
          <w:snapToGrid w:val="0"/>
          <w:color w:val="000000" w:themeColor="text1"/>
          <w14:textFill>
            <w14:solidFill>
              <w14:schemeClr w14:val="tx1"/>
            </w14:solidFill>
          </w14:textFill>
        </w:rPr>
        <w:t>预测模型概化</w:t>
      </w:r>
    </w:p>
    <w:p w14:paraId="11199D80">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由项目所在地水文地质资料可知，项目评价范围内的含水层的水文地质条件比较简单，因此仅预测含水层污染物水平迁移状况，层间垂向迁移忽略。</w:t>
      </w:r>
    </w:p>
    <w:p w14:paraId="24F7D750">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本次预测做如下假设：a)含水层等厚，含水介质均质、各向同性，隔水层基本水平；b)地下水流向总体上呈一维稳定流状态。</w:t>
      </w:r>
    </w:p>
    <w:p w14:paraId="1A60A273">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当废水到达含水层后，污染物运移以对流弥散作用为主，不考虑吸附作用。此外，污染物在含水层中的离子交换、挥发、生物化学等作用在上述过程中也均不考虑，认为模拟计算区产生的污水中的污染质为保守型污染质，该考虑符合环境影响评价风险最大的原则。</w:t>
      </w:r>
    </w:p>
    <w:p w14:paraId="75BC63DF">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根据《环境影响评价技术导则 地下水环境》（HJ610-2016）要求，地下水环境影响评价三级评价预测方法可以选用解析法。根据本项目地下水的污染特性选用“一维半无限长多孔介质柱体，一端为定浓度边界”预测模型，公式如下。</w:t>
      </w:r>
    </w:p>
    <w:p w14:paraId="248BF79C">
      <w:pPr>
        <w:pStyle w:val="143"/>
        <w:rPr>
          <w:color w:val="000000" w:themeColor="text1"/>
          <w14:textFill>
            <w14:solidFill>
              <w14:schemeClr w14:val="tx1"/>
            </w14:solidFill>
          </w14:textFill>
        </w:rPr>
      </w:pPr>
      <w:r>
        <w:rPr>
          <w:color w:val="000000" w:themeColor="text1"/>
          <w:kern w:val="0"/>
          <w:szCs w:val="24"/>
          <w14:textFill>
            <w14:solidFill>
              <w14:schemeClr w14:val="tx1"/>
            </w14:solidFill>
          </w14:textFill>
        </w:rPr>
        <w:drawing>
          <wp:inline distT="0" distB="0" distL="0" distR="0">
            <wp:extent cx="2760980" cy="653415"/>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760980" cy="653415"/>
                    </a:xfrm>
                    <a:prstGeom prst="rect">
                      <a:avLst/>
                    </a:prstGeom>
                    <a:noFill/>
                    <a:ln>
                      <a:noFill/>
                    </a:ln>
                  </pic:spPr>
                </pic:pic>
              </a:graphicData>
            </a:graphic>
          </wp:inline>
        </w:drawing>
      </w:r>
    </w:p>
    <w:p w14:paraId="46B38B90">
      <w:pPr>
        <w:pStyle w:val="85"/>
        <w:rPr>
          <w:color w:val="000000" w:themeColor="text1"/>
          <w14:textFill>
            <w14:solidFill>
              <w14:schemeClr w14:val="tx1"/>
            </w14:solidFill>
          </w14:textFill>
        </w:rPr>
      </w:pPr>
      <w:r>
        <w:rPr>
          <w:color w:val="000000" w:themeColor="text1"/>
          <w14:textFill>
            <w14:solidFill>
              <w14:schemeClr w14:val="tx1"/>
            </w14:solidFill>
          </w14:textFill>
        </w:rPr>
        <w:t>式中：</w:t>
      </w:r>
      <w:r>
        <w:rPr>
          <w:i/>
          <w:color w:val="000000" w:themeColor="text1"/>
          <w14:textFill>
            <w14:solidFill>
              <w14:schemeClr w14:val="tx1"/>
            </w14:solidFill>
          </w14:textFill>
        </w:rPr>
        <w:t>x</w:t>
      </w:r>
      <w:r>
        <w:rPr>
          <w:color w:val="000000" w:themeColor="text1"/>
          <w14:textFill>
            <w14:solidFill>
              <w14:schemeClr w14:val="tx1"/>
            </w14:solidFill>
          </w14:textFill>
        </w:rPr>
        <w:t>—距注入点的距离，m；</w:t>
      </w:r>
    </w:p>
    <w:p w14:paraId="70FDE1AF">
      <w:pPr>
        <w:pStyle w:val="85"/>
        <w:rPr>
          <w:color w:val="000000" w:themeColor="text1"/>
          <w14:textFill>
            <w14:solidFill>
              <w14:schemeClr w14:val="tx1"/>
            </w14:solidFill>
          </w14:textFill>
        </w:rPr>
      </w:pPr>
      <w:r>
        <w:rPr>
          <w:i/>
          <w:color w:val="000000" w:themeColor="text1"/>
          <w14:textFill>
            <w14:solidFill>
              <w14:schemeClr w14:val="tx1"/>
            </w14:solidFill>
          </w14:textFill>
        </w:rPr>
        <w:t>t</w:t>
      </w:r>
      <w:r>
        <w:rPr>
          <w:color w:val="000000" w:themeColor="text1"/>
          <w14:textFill>
            <w14:solidFill>
              <w14:schemeClr w14:val="tx1"/>
            </w14:solidFill>
          </w14:textFill>
        </w:rPr>
        <w:t>—时间，d；</w:t>
      </w:r>
    </w:p>
    <w:p w14:paraId="56C7F6A0">
      <w:pPr>
        <w:pStyle w:val="85"/>
        <w:rPr>
          <w:color w:val="000000" w:themeColor="text1"/>
          <w14:textFill>
            <w14:solidFill>
              <w14:schemeClr w14:val="tx1"/>
            </w14:solidFill>
          </w14:textFill>
        </w:rPr>
      </w:pPr>
      <w:r>
        <w:rPr>
          <w:i/>
          <w:color w:val="000000" w:themeColor="text1"/>
          <w14:textFill>
            <w14:solidFill>
              <w14:schemeClr w14:val="tx1"/>
            </w14:solidFill>
          </w14:textFill>
        </w:rPr>
        <w:t>C</w:t>
      </w:r>
      <w:r>
        <w:rPr>
          <w:color w:val="000000" w:themeColor="text1"/>
          <w14:textFill>
            <w14:solidFill>
              <w14:schemeClr w14:val="tx1"/>
            </w14:solidFill>
          </w14:textFill>
        </w:rPr>
        <w:t>(</w:t>
      </w:r>
      <w:r>
        <w:rPr>
          <w:i/>
          <w:color w:val="000000" w:themeColor="text1"/>
          <w14:textFill>
            <w14:solidFill>
              <w14:schemeClr w14:val="tx1"/>
            </w14:solidFill>
          </w14:textFill>
        </w:rPr>
        <w:t>x</w:t>
      </w:r>
      <w:r>
        <w:rPr>
          <w:color w:val="000000" w:themeColor="text1"/>
          <w14:textFill>
            <w14:solidFill>
              <w14:schemeClr w14:val="tx1"/>
            </w14:solidFill>
          </w14:textFill>
        </w:rPr>
        <w:t>,</w:t>
      </w:r>
      <w:r>
        <w:rPr>
          <w:i/>
          <w:color w:val="000000" w:themeColor="text1"/>
          <w14:textFill>
            <w14:solidFill>
              <w14:schemeClr w14:val="tx1"/>
            </w14:solidFill>
          </w14:textFill>
        </w:rPr>
        <w:t>t</w:t>
      </w:r>
      <w:r>
        <w:rPr>
          <w:color w:val="000000" w:themeColor="text1"/>
          <w14:textFill>
            <w14:solidFill>
              <w14:schemeClr w14:val="tx1"/>
            </w14:solidFill>
          </w14:textFill>
        </w:rPr>
        <w:t>)—t时刻点x处的示踪剂浓度，g/L；</w:t>
      </w:r>
    </w:p>
    <w:p w14:paraId="504D424C">
      <w:pPr>
        <w:pStyle w:val="85"/>
        <w:rPr>
          <w:color w:val="000000" w:themeColor="text1"/>
          <w14:textFill>
            <w14:solidFill>
              <w14:schemeClr w14:val="tx1"/>
            </w14:solidFill>
          </w14:textFill>
        </w:rPr>
      </w:pPr>
      <w:r>
        <w:rPr>
          <w:i/>
          <w:color w:val="000000" w:themeColor="text1"/>
          <w14:textFill>
            <w14:solidFill>
              <w14:schemeClr w14:val="tx1"/>
            </w14:solidFill>
          </w14:textFill>
        </w:rPr>
        <w:t>C</w:t>
      </w:r>
      <w:r>
        <w:rPr>
          <w:color w:val="000000" w:themeColor="text1"/>
          <w:vertAlign w:val="subscript"/>
          <w14:textFill>
            <w14:solidFill>
              <w14:schemeClr w14:val="tx1"/>
            </w14:solidFill>
          </w14:textFill>
        </w:rPr>
        <w:t>0</w:t>
      </w:r>
      <w:r>
        <w:rPr>
          <w:color w:val="000000" w:themeColor="text1"/>
          <w14:textFill>
            <w14:solidFill>
              <w14:schemeClr w14:val="tx1"/>
            </w14:solidFill>
          </w14:textFill>
        </w:rPr>
        <w:t>—注入示踪剂浓度，g/L；</w:t>
      </w:r>
    </w:p>
    <w:p w14:paraId="3EF54636">
      <w:pPr>
        <w:pStyle w:val="85"/>
        <w:rPr>
          <w:color w:val="000000" w:themeColor="text1"/>
          <w14:textFill>
            <w14:solidFill>
              <w14:schemeClr w14:val="tx1"/>
            </w14:solidFill>
          </w14:textFill>
        </w:rPr>
      </w:pPr>
      <w:r>
        <w:rPr>
          <w:i/>
          <w:color w:val="000000" w:themeColor="text1"/>
          <w14:textFill>
            <w14:solidFill>
              <w14:schemeClr w14:val="tx1"/>
            </w14:solidFill>
          </w14:textFill>
        </w:rPr>
        <w:t>u</w:t>
      </w:r>
      <w:r>
        <w:rPr>
          <w:color w:val="000000" w:themeColor="text1"/>
          <w14:textFill>
            <w14:solidFill>
              <w14:schemeClr w14:val="tx1"/>
            </w14:solidFill>
          </w14:textFill>
        </w:rPr>
        <w:t>—水流速度，m/d；</w:t>
      </w:r>
    </w:p>
    <w:p w14:paraId="62934EF8">
      <w:pPr>
        <w:pStyle w:val="85"/>
        <w:rPr>
          <w:color w:val="000000" w:themeColor="text1"/>
          <w14:textFill>
            <w14:solidFill>
              <w14:schemeClr w14:val="tx1"/>
            </w14:solidFill>
          </w14:textFill>
        </w:rPr>
      </w:pPr>
      <w:r>
        <w:rPr>
          <w:i/>
          <w:color w:val="000000" w:themeColor="text1"/>
          <w14:textFill>
            <w14:solidFill>
              <w14:schemeClr w14:val="tx1"/>
            </w14:solidFill>
          </w14:textFill>
        </w:rPr>
        <w:t>D</w:t>
      </w:r>
      <w:r>
        <w:rPr>
          <w:color w:val="000000" w:themeColor="text1"/>
          <w:vertAlign w:val="subscript"/>
          <w14:textFill>
            <w14:solidFill>
              <w14:schemeClr w14:val="tx1"/>
            </w14:solidFill>
          </w14:textFill>
        </w:rPr>
        <w:t>L</w:t>
      </w:r>
      <w:r>
        <w:rPr>
          <w:color w:val="000000" w:themeColor="text1"/>
          <w14:textFill>
            <w14:solidFill>
              <w14:schemeClr w14:val="tx1"/>
            </w14:solidFill>
          </w14:textFill>
        </w:rPr>
        <w:t>—纵向弥散系数，m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/d；</w:t>
      </w:r>
    </w:p>
    <w:p w14:paraId="7ECA553B">
      <w:pPr>
        <w:pStyle w:val="85"/>
        <w:rPr>
          <w:color w:val="000000" w:themeColor="text1"/>
          <w14:textFill>
            <w14:solidFill>
              <w14:schemeClr w14:val="tx1"/>
            </w14:solidFill>
          </w14:textFill>
        </w:rPr>
      </w:pPr>
      <w:r>
        <w:rPr>
          <w:color w:val="000000" w:themeColor="text1"/>
          <w14:textFill>
            <w14:solidFill>
              <w14:schemeClr w14:val="tx1"/>
            </w14:solidFill>
          </w14:textFill>
        </w:rPr>
        <w:t>erfc()—余差数函数；</w:t>
      </w:r>
    </w:p>
    <w:p w14:paraId="30849680">
      <w:pPr>
        <w:pStyle w:val="85"/>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参照本项目</w:t>
      </w:r>
      <w:r>
        <w:rPr>
          <w:color w:val="000000" w:themeColor="text1"/>
          <w14:textFill>
            <w14:solidFill>
              <w14:schemeClr w14:val="tx1"/>
            </w14:solidFill>
          </w14:textFill>
        </w:rPr>
        <w:t>所在区域</w:t>
      </w:r>
      <w:r>
        <w:rPr>
          <w:rFonts w:hint="eastAsia"/>
          <w:color w:val="000000" w:themeColor="text1"/>
          <w14:textFill>
            <w14:solidFill>
              <w14:schemeClr w14:val="tx1"/>
            </w14:solidFill>
          </w14:textFill>
        </w:rPr>
        <w:t>规划环评</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黑龙江桦南经济开发区总体规划（2021-2035年）环境影响报告书</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中数据</w:t>
      </w:r>
      <w:r>
        <w:rPr>
          <w:color w:val="000000" w:themeColor="text1"/>
          <w14:textFill>
            <w14:solidFill>
              <w14:schemeClr w14:val="tx1"/>
            </w14:solidFill>
          </w14:textFill>
        </w:rPr>
        <w:t>，</w:t>
      </w:r>
      <w:r>
        <w:rPr>
          <w:color w:val="000000" w:themeColor="text1"/>
          <w:lang w:val="en-US" w:eastAsia="zh-CN"/>
          <w14:textFill>
            <w14:solidFill>
              <w14:schemeClr w14:val="tx1"/>
            </w14:solidFill>
          </w14:textFill>
        </w:rPr>
        <w:t>渗透系数由《黑龙江省桦南县地下水资源调查评价报告》</w:t>
      </w:r>
      <w:r>
        <w:rPr>
          <w:rFonts w:hint="eastAsia"/>
          <w:color w:val="000000" w:themeColor="text1"/>
          <w:lang w:val="en-US" w:eastAsia="zh-CN"/>
          <w14:textFill>
            <w14:solidFill>
              <w14:schemeClr w14:val="tx1"/>
            </w14:solidFill>
          </w14:textFill>
        </w:rPr>
        <w:t xml:space="preserve">水文地质勘探孔抽水试验确定，第四系松散岩类孔隙潜水含水层渗透系数取值为 </w:t>
      </w:r>
      <w:r>
        <w:rPr>
          <w:rFonts w:hint="default"/>
          <w:color w:val="000000" w:themeColor="text1"/>
          <w:lang w:val="en-US" w:eastAsia="zh-CN"/>
          <w14:textFill>
            <w14:solidFill>
              <w14:schemeClr w14:val="tx1"/>
            </w14:solidFill>
          </w14:textFill>
        </w:rPr>
        <w:t>20.55m/d</w:t>
      </w:r>
      <w:r>
        <w:rPr>
          <w:rFonts w:hint="eastAsia"/>
          <w:color w:val="000000" w:themeColor="text1"/>
          <w:lang w:eastAsia="zh-CN"/>
          <w14:textFill>
            <w14:solidFill>
              <w14:schemeClr w14:val="tx1"/>
            </w14:solidFill>
          </w14:textFill>
        </w:rPr>
        <w:t>；</w:t>
      </w:r>
    </w:p>
    <w:p w14:paraId="3C0D6DD8">
      <w:pPr>
        <w:pStyle w:val="85"/>
        <w:rPr>
          <w:color w:val="000000" w:themeColor="text1"/>
          <w14:textFill>
            <w14:solidFill>
              <w14:schemeClr w14:val="tx1"/>
            </w14:solidFill>
          </w14:textFill>
        </w:rPr>
      </w:pPr>
      <w:r>
        <w:rPr>
          <w:color w:val="000000" w:themeColor="text1"/>
          <w14:textFill>
            <w14:solidFill>
              <w14:schemeClr w14:val="tx1"/>
            </w14:solidFill>
          </w14:textFill>
        </w:rPr>
        <w:t>水力坡度</w:t>
      </w:r>
      <w:r>
        <w:rPr>
          <w:rFonts w:hint="default"/>
          <w:color w:val="000000" w:themeColor="text1"/>
          <w:lang w:val="en-US" w:eastAsia="zh-CN"/>
          <w14:textFill>
            <w14:solidFill>
              <w14:schemeClr w14:val="tx1"/>
            </w14:solidFill>
          </w14:textFill>
        </w:rPr>
        <w:t xml:space="preserve">I </w:t>
      </w:r>
      <w:r>
        <w:rPr>
          <w:rFonts w:hint="eastAsia"/>
          <w:color w:val="000000" w:themeColor="text1"/>
          <w:lang w:val="en-US" w:eastAsia="zh-CN"/>
          <w14:textFill>
            <w14:solidFill>
              <w14:schemeClr w14:val="tx1"/>
            </w14:solidFill>
          </w14:textFill>
        </w:rPr>
        <w:t>由</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黑龙江桦南经济开发区总体规划（2021-2035年）环境影响报告书</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中</w:t>
      </w:r>
      <w:r>
        <w:rPr>
          <w:rFonts w:hint="default"/>
          <w:color w:val="000000" w:themeColor="text1"/>
          <w:lang w:val="en-US" w:eastAsia="zh-CN"/>
          <w14:textFill>
            <w14:solidFill>
              <w14:schemeClr w14:val="tx1"/>
            </w14:solidFill>
          </w14:textFill>
        </w:rPr>
        <w:t xml:space="preserve">1:5 </w:t>
      </w:r>
      <w:r>
        <w:rPr>
          <w:rFonts w:hint="eastAsia"/>
          <w:color w:val="000000" w:themeColor="text1"/>
          <w:lang w:val="en-US" w:eastAsia="zh-CN"/>
          <w14:textFill>
            <w14:solidFill>
              <w14:schemeClr w14:val="tx1"/>
            </w14:solidFill>
          </w14:textFill>
        </w:rPr>
        <w:t xml:space="preserve">万等水位线图上量取，为 </w:t>
      </w:r>
      <w:r>
        <w:rPr>
          <w:rFonts w:hint="default"/>
          <w:color w:val="000000" w:themeColor="text1"/>
          <w:lang w:val="en-US" w:eastAsia="zh-CN"/>
          <w14:textFill>
            <w14:solidFill>
              <w14:schemeClr w14:val="tx1"/>
            </w14:solidFill>
          </w14:textFill>
        </w:rPr>
        <w:t>0.001</w:t>
      </w:r>
      <w:r>
        <w:rPr>
          <w:rFonts w:hint="eastAsia"/>
          <w:color w:val="000000" w:themeColor="text1"/>
          <w:lang w:val="en-US" w:eastAsia="zh-CN"/>
          <w14:textFill>
            <w14:solidFill>
              <w14:schemeClr w14:val="tx1"/>
            </w14:solidFill>
          </w14:textFill>
        </w:rPr>
        <w:t>；</w:t>
      </w:r>
    </w:p>
    <w:p w14:paraId="4279DCE2">
      <w:pPr>
        <w:pStyle w:val="85"/>
        <w:rPr>
          <w:color w:val="000000" w:themeColor="text1"/>
          <w14:textFill>
            <w14:solidFill>
              <w14:schemeClr w14:val="tx1"/>
            </w14:solidFill>
          </w14:textFill>
        </w:rPr>
      </w:pPr>
      <w:r>
        <w:rPr>
          <w:color w:val="000000" w:themeColor="text1"/>
          <w14:textFill>
            <w14:solidFill>
              <w14:schemeClr w14:val="tx1"/>
            </w14:solidFill>
          </w14:textFill>
        </w:rPr>
        <w:t>有效孔隙率</w:t>
      </w:r>
      <w:r>
        <w:rPr>
          <w:color w:val="000000" w:themeColor="text1"/>
          <w:lang w:val="en-US" w:eastAsia="zh-CN"/>
          <w14:textFill>
            <w14:solidFill>
              <w14:schemeClr w14:val="tx1"/>
            </w14:solidFill>
          </w14:textFill>
        </w:rPr>
        <w:t>根据《黑龙江省佳木斯市城市供水水文地质勘探报告》</w:t>
      </w:r>
      <w:r>
        <w:rPr>
          <w:rFonts w:hint="eastAsia"/>
          <w:color w:val="000000" w:themeColor="text1"/>
          <w:lang w:val="en-US" w:eastAsia="zh-CN"/>
          <w14:textFill>
            <w14:solidFill>
              <w14:schemeClr w14:val="tx1"/>
            </w14:solidFill>
          </w14:textFill>
        </w:rPr>
        <w:t xml:space="preserve">取 </w:t>
      </w:r>
      <w:r>
        <w:rPr>
          <w:rFonts w:hint="default"/>
          <w:color w:val="000000" w:themeColor="text1"/>
          <w:lang w:val="en-US" w:eastAsia="zh-CN"/>
          <w14:textFill>
            <w14:solidFill>
              <w14:schemeClr w14:val="tx1"/>
            </w14:solidFill>
          </w14:textFill>
        </w:rPr>
        <w:t>0.27</w:t>
      </w:r>
      <w:r>
        <w:rPr>
          <w:rFonts w:hint="eastAsia"/>
          <w:color w:val="000000" w:themeColor="text1"/>
          <w:lang w:val="en-US" w:eastAsia="zh-CN"/>
          <w14:textFill>
            <w14:solidFill>
              <w14:schemeClr w14:val="tx1"/>
            </w14:solidFill>
          </w14:textFill>
        </w:rPr>
        <w:t>。</w:t>
      </w:r>
    </w:p>
    <w:p w14:paraId="4664FFE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参照</w:t>
      </w:r>
      <w:r>
        <w:rPr>
          <w:color w:val="000000" w:themeColor="text1"/>
          <w14:textFill>
            <w14:solidFill>
              <w14:schemeClr w14:val="tx1"/>
            </w14:solidFill>
          </w14:textFill>
        </w:rPr>
        <w:t>《桦南县化工园区总体规划 （2019-2035）环境影响报告书》确定论证区纵向弥散系数</w:t>
      </w:r>
      <w:r>
        <w:rPr>
          <w:rFonts w:hint="eastAsia"/>
          <w:color w:val="000000" w:themeColor="text1"/>
          <w:lang w:val="en-US" w:eastAsia="zh-CN"/>
          <w14:textFill>
            <w14:solidFill>
              <w14:schemeClr w14:val="tx1"/>
            </w14:solidFill>
          </w14:textFill>
        </w:rPr>
        <w:t>取0.07</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/d；</w:t>
      </w:r>
    </w:p>
    <w:p w14:paraId="677C74E8">
      <w:pPr>
        <w:pStyle w:val="85"/>
        <w:rPr>
          <w:color w:val="000000" w:themeColor="text1"/>
          <w14:textFill>
            <w14:solidFill>
              <w14:schemeClr w14:val="tx1"/>
            </w14:solidFill>
          </w14:textFill>
        </w:rPr>
      </w:pPr>
      <w:r>
        <w:rPr>
          <w:color w:val="000000" w:themeColor="text1"/>
          <w14:textFill>
            <w14:solidFill>
              <w14:schemeClr w14:val="tx1"/>
            </w14:solidFill>
          </w14:textFill>
        </w:rPr>
        <w:t>U—地下水流速=V/n=KI/n=渗透系数*水力坡度/有效孔隙度=0.0</w:t>
      </w:r>
      <w:r>
        <w:rPr>
          <w:rFonts w:hint="eastAsia"/>
          <w:color w:val="000000" w:themeColor="text1"/>
          <w:lang w:val="en-US" w:eastAsia="zh-CN"/>
          <w14:textFill>
            <w14:solidFill>
              <w14:schemeClr w14:val="tx1"/>
            </w14:solidFill>
          </w14:textFill>
        </w:rPr>
        <w:t>76</w:t>
      </w:r>
      <w:r>
        <w:rPr>
          <w:color w:val="000000" w:themeColor="text1"/>
          <w14:textFill>
            <w14:solidFill>
              <w14:schemeClr w14:val="tx1"/>
            </w14:solidFill>
          </w14:textFill>
        </w:rPr>
        <w:t>m/d</w:t>
      </w:r>
      <w:r>
        <w:rPr>
          <w:rFonts w:hint="eastAsia"/>
          <w:color w:val="000000" w:themeColor="text1"/>
          <w14:textFill>
            <w14:solidFill>
              <w14:schemeClr w14:val="tx1"/>
            </w14:solidFill>
          </w14:textFill>
        </w:rPr>
        <w:t>。</w:t>
      </w:r>
    </w:p>
    <w:p w14:paraId="48AB07DA">
      <w:pPr>
        <w:pStyle w:val="206"/>
        <w:rPr>
          <w:color w:val="000000" w:themeColor="text1"/>
          <w14:textFill>
            <w14:solidFill>
              <w14:schemeClr w14:val="tx1"/>
            </w14:solidFill>
          </w14:textFill>
        </w:rPr>
      </w:pPr>
      <w:r>
        <w:rPr>
          <w:rFonts w:hint="eastAsia"/>
          <w:color w:val="000000" w:themeColor="text1"/>
          <w14:textFill>
            <w14:solidFill>
              <w14:schemeClr w14:val="tx1"/>
            </w14:solidFill>
          </w14:textFill>
        </w:rPr>
        <w:t>表</w:t>
      </w:r>
      <w:r>
        <w:rPr>
          <w:color w:val="000000" w:themeColor="text1"/>
          <w14:textFill>
            <w14:solidFill>
              <w14:schemeClr w14:val="tx1"/>
            </w14:solidFill>
          </w14:textFill>
        </w:rPr>
        <w:t>5-2-</w:t>
      </w:r>
      <w:r>
        <w:rPr>
          <w:rFonts w:hint="eastAsia"/>
          <w:color w:val="000000" w:themeColor="text1"/>
          <w:lang w:val="en-US" w:eastAsia="zh-CN"/>
          <w14:textFill>
            <w14:solidFill>
              <w14:schemeClr w14:val="tx1"/>
            </w14:solidFill>
          </w14:textFill>
        </w:rPr>
        <w:t>9</w:t>
      </w:r>
      <w:r>
        <w:rPr>
          <w:color w:val="000000" w:themeColor="text1"/>
          <w14:textFill>
            <w14:solidFill>
              <w14:schemeClr w14:val="tx1"/>
            </w14:solidFill>
          </w14:textFill>
        </w:rPr>
        <w:t xml:space="preserve"> </w:t>
      </w:r>
      <w:r>
        <w:rPr>
          <w:rFonts w:hint="eastAsia"/>
          <w:color w:val="000000" w:themeColor="text1"/>
          <w:lang w:eastAsia="zh-CN"/>
          <w14:textFill>
            <w14:solidFill>
              <w14:schemeClr w14:val="tx1"/>
            </w14:solidFill>
          </w14:textFill>
        </w:rPr>
        <w:t>预测参数一览</w:t>
      </w:r>
      <w:r>
        <w:rPr>
          <w:rFonts w:hint="eastAsia"/>
          <w:color w:val="000000" w:themeColor="text1"/>
          <w14:textFill>
            <w14:solidFill>
              <w14:schemeClr w14:val="tx1"/>
            </w14:solidFill>
          </w14:textFill>
        </w:rPr>
        <w:t>表</w:t>
      </w:r>
    </w:p>
    <w:tbl>
      <w:tblPr>
        <w:tblStyle w:val="41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85"/>
        <w:gridCol w:w="1385"/>
        <w:gridCol w:w="1385"/>
        <w:gridCol w:w="1385"/>
        <w:gridCol w:w="1386"/>
        <w:gridCol w:w="1386"/>
      </w:tblGrid>
      <w:tr w14:paraId="49412E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833" w:type="pct"/>
            <w:vAlign w:val="center"/>
          </w:tcPr>
          <w:p w14:paraId="3A41792D">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14:textFill>
                  <w14:solidFill>
                    <w14:schemeClr w14:val="tx1"/>
                  </w14:solidFill>
                </w14:textFill>
              </w:rPr>
              <w:t>含水层参数</w:t>
            </w:r>
          </w:p>
        </w:tc>
        <w:tc>
          <w:tcPr>
            <w:tcW w:w="833" w:type="pct"/>
            <w:vAlign w:val="center"/>
          </w:tcPr>
          <w:p w14:paraId="7CD28431">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14:textFill>
                  <w14:solidFill>
                    <w14:schemeClr w14:val="tx1"/>
                  </w14:solidFill>
                </w14:textFill>
              </w:rPr>
              <w:t>渗透系数</w:t>
            </w:r>
          </w:p>
        </w:tc>
        <w:tc>
          <w:tcPr>
            <w:tcW w:w="833" w:type="pct"/>
            <w:vAlign w:val="center"/>
          </w:tcPr>
          <w:p w14:paraId="33264BA1">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14:textFill>
                  <w14:solidFill>
                    <w14:schemeClr w14:val="tx1"/>
                  </w14:solidFill>
                </w14:textFill>
              </w:rPr>
              <w:t>水力坡度</w:t>
            </w:r>
          </w:p>
        </w:tc>
        <w:tc>
          <w:tcPr>
            <w:tcW w:w="833" w:type="pct"/>
            <w:vAlign w:val="center"/>
          </w:tcPr>
          <w:p w14:paraId="5F3034D4">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14:textFill>
                  <w14:solidFill>
                    <w14:schemeClr w14:val="tx1"/>
                  </w14:solidFill>
                </w14:textFill>
              </w:rPr>
              <w:t>有效孔隙率</w:t>
            </w:r>
          </w:p>
        </w:tc>
        <w:tc>
          <w:tcPr>
            <w:tcW w:w="833" w:type="pct"/>
            <w:vAlign w:val="center"/>
          </w:tcPr>
          <w:p w14:paraId="5767A4F2">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14:textFill>
                  <w14:solidFill>
                    <w14:schemeClr w14:val="tx1"/>
                  </w14:solidFill>
                </w14:textFill>
              </w:rPr>
              <w:t>纵向弥散系数</w:t>
            </w:r>
          </w:p>
        </w:tc>
        <w:tc>
          <w:tcPr>
            <w:tcW w:w="833" w:type="pct"/>
            <w:vAlign w:val="center"/>
          </w:tcPr>
          <w:p w14:paraId="3E2FC263">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14:textFill>
                  <w14:solidFill>
                    <w14:schemeClr w14:val="tx1"/>
                  </w14:solidFill>
                </w14:textFill>
              </w:rPr>
              <w:t>流速</w:t>
            </w:r>
          </w:p>
        </w:tc>
      </w:tr>
      <w:tr w14:paraId="13ACAD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833" w:type="pct"/>
            <w:vAlign w:val="center"/>
          </w:tcPr>
          <w:p w14:paraId="64916E22">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14:textFill>
                  <w14:solidFill>
                    <w14:schemeClr w14:val="tx1"/>
                  </w14:solidFill>
                </w14:textFill>
              </w:rPr>
              <w:t>取值</w:t>
            </w:r>
          </w:p>
        </w:tc>
        <w:tc>
          <w:tcPr>
            <w:tcW w:w="833" w:type="pct"/>
            <w:vAlign w:val="center"/>
          </w:tcPr>
          <w:p w14:paraId="3A3B0962">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20.55</w:t>
            </w:r>
            <w:r>
              <w:rPr>
                <w:snapToGrid w:val="0"/>
                <w:color w:val="000000" w:themeColor="text1"/>
                <w:kern w:val="0"/>
                <w:lang w:val="en-US"/>
                <w14:textFill>
                  <w14:solidFill>
                    <w14:schemeClr w14:val="tx1"/>
                  </w14:solidFill>
                </w14:textFill>
              </w:rPr>
              <w:t>m/d</w:t>
            </w:r>
          </w:p>
        </w:tc>
        <w:tc>
          <w:tcPr>
            <w:tcW w:w="833" w:type="pct"/>
            <w:vAlign w:val="center"/>
          </w:tcPr>
          <w:p w14:paraId="05E3D82F">
            <w:pPr>
              <w:pStyle w:val="143"/>
              <w:rPr>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1%</w:t>
            </w:r>
          </w:p>
        </w:tc>
        <w:tc>
          <w:tcPr>
            <w:tcW w:w="833" w:type="pct"/>
            <w:vAlign w:val="center"/>
          </w:tcPr>
          <w:p w14:paraId="10E945EA">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0.27</w:t>
            </w:r>
          </w:p>
        </w:tc>
        <w:tc>
          <w:tcPr>
            <w:tcW w:w="833" w:type="pct"/>
            <w:vAlign w:val="center"/>
          </w:tcPr>
          <w:p w14:paraId="602BD662">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0.07</w:t>
            </w:r>
            <w:r>
              <w:rPr>
                <w:snapToGrid w:val="0"/>
                <w:color w:val="000000" w:themeColor="text1"/>
                <w:kern w:val="0"/>
                <w:lang w:val="en-US"/>
                <w14:textFill>
                  <w14:solidFill>
                    <w14:schemeClr w14:val="tx1"/>
                  </w14:solidFill>
                </w14:textFill>
              </w:rPr>
              <w:t>m</w:t>
            </w:r>
            <w:r>
              <w:rPr>
                <w:snapToGrid w:val="0"/>
                <w:color w:val="000000" w:themeColor="text1"/>
                <w:kern w:val="0"/>
                <w:vertAlign w:val="superscript"/>
                <w:lang w:val="en-US"/>
                <w14:textFill>
                  <w14:solidFill>
                    <w14:schemeClr w14:val="tx1"/>
                  </w14:solidFill>
                </w14:textFill>
              </w:rPr>
              <w:t>2</w:t>
            </w:r>
            <w:r>
              <w:rPr>
                <w:snapToGrid w:val="0"/>
                <w:color w:val="000000" w:themeColor="text1"/>
                <w:kern w:val="0"/>
                <w:lang w:val="en-US"/>
                <w14:textFill>
                  <w14:solidFill>
                    <w14:schemeClr w14:val="tx1"/>
                  </w14:solidFill>
                </w14:textFill>
              </w:rPr>
              <w:t>/d</w:t>
            </w:r>
          </w:p>
        </w:tc>
        <w:tc>
          <w:tcPr>
            <w:tcW w:w="833" w:type="pct"/>
            <w:vAlign w:val="center"/>
          </w:tcPr>
          <w:p w14:paraId="0CCC462C">
            <w:pPr>
              <w:pStyle w:val="143"/>
              <w:rPr>
                <w:snapToGrid w:val="0"/>
                <w:color w:val="000000" w:themeColor="text1"/>
                <w:kern w:val="0"/>
                <w:lang w:val="en-US"/>
                <w14:textFill>
                  <w14:solidFill>
                    <w14:schemeClr w14:val="tx1"/>
                  </w14:solidFill>
                </w14:textFill>
              </w:rPr>
            </w:pPr>
            <w:r>
              <w:rPr>
                <w:snapToGrid w:val="0"/>
                <w:color w:val="000000" w:themeColor="text1"/>
                <w:kern w:val="0"/>
                <w:lang w:val="en-US"/>
                <w14:textFill>
                  <w14:solidFill>
                    <w14:schemeClr w14:val="tx1"/>
                  </w14:solidFill>
                </w14:textFill>
              </w:rPr>
              <w:t>0.0</w:t>
            </w:r>
            <w:r>
              <w:rPr>
                <w:rFonts w:hint="eastAsia"/>
                <w:snapToGrid w:val="0"/>
                <w:color w:val="000000" w:themeColor="text1"/>
                <w:kern w:val="0"/>
                <w:lang w:val="en-US" w:eastAsia="zh-CN"/>
                <w14:textFill>
                  <w14:solidFill>
                    <w14:schemeClr w14:val="tx1"/>
                  </w14:solidFill>
                </w14:textFill>
              </w:rPr>
              <w:t>76</w:t>
            </w:r>
            <w:r>
              <w:rPr>
                <w:snapToGrid w:val="0"/>
                <w:color w:val="000000" w:themeColor="text1"/>
                <w:kern w:val="0"/>
                <w:lang w:val="en-US"/>
                <w14:textFill>
                  <w14:solidFill>
                    <w14:schemeClr w14:val="tx1"/>
                  </w14:solidFill>
                </w14:textFill>
              </w:rPr>
              <w:t>m/d</w:t>
            </w:r>
          </w:p>
        </w:tc>
      </w:tr>
    </w:tbl>
    <w:p w14:paraId="67663912">
      <w:pPr>
        <w:pStyle w:val="85"/>
        <w:spacing w:line="360" w:lineRule="auto"/>
        <w:rPr>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6、预测源强</w:t>
      </w:r>
    </w:p>
    <w:p w14:paraId="1D40DACE">
      <w:pPr>
        <w:adjustRightInd w:val="0"/>
        <w:snapToGrid w:val="0"/>
        <w:spacing w:line="360" w:lineRule="auto"/>
        <w:ind w:firstLine="480" w:firstLineChars="200"/>
        <w:rPr>
          <w:rFonts w:ascii="Times New Roman"/>
          <w:color w:val="000000"/>
          <w:szCs w:val="24"/>
        </w:rPr>
      </w:pPr>
      <w:r>
        <w:rPr>
          <w:rFonts w:hint="eastAsia" w:ascii="Times New Roman"/>
          <w:color w:val="000000"/>
        </w:rPr>
        <w:t>根据《给水排水构筑物工程施工及验收规范》（</w:t>
      </w:r>
      <w:r>
        <w:rPr>
          <w:rFonts w:ascii="Times New Roman"/>
          <w:color w:val="000000"/>
        </w:rPr>
        <w:t>GB50141-2009</w:t>
      </w:r>
      <w:r>
        <w:rPr>
          <w:rFonts w:hint="eastAsia" w:ascii="Times New Roman"/>
          <w:color w:val="000000"/>
        </w:rPr>
        <w:t>），水池渗水量计算应按池壁（不含内隔墙）和池底的浸湿面积计算；钢筋混凝土结构水池渗水量不得超过</w:t>
      </w:r>
      <w:r>
        <w:rPr>
          <w:rFonts w:ascii="Times New Roman"/>
          <w:color w:val="000000"/>
        </w:rPr>
        <w:t>2 L/m</w:t>
      </w:r>
      <w:r>
        <w:rPr>
          <w:rFonts w:ascii="Times New Roman"/>
          <w:color w:val="000000"/>
          <w:vertAlign w:val="superscript"/>
        </w:rPr>
        <w:t>2</w:t>
      </w:r>
      <w:r>
        <w:rPr>
          <w:rFonts w:ascii="Times New Roman"/>
          <w:color w:val="000000"/>
        </w:rPr>
        <w:t>·d</w:t>
      </w:r>
      <w:r>
        <w:rPr>
          <w:rFonts w:hint="eastAsia" w:ascii="Times New Roman"/>
          <w:color w:val="000000"/>
        </w:rPr>
        <w:t>，非正常状况按</w:t>
      </w:r>
      <w:r>
        <w:rPr>
          <w:rFonts w:ascii="Times New Roman"/>
          <w:color w:val="000000"/>
        </w:rPr>
        <w:t>10</w:t>
      </w:r>
      <w:r>
        <w:rPr>
          <w:rFonts w:hint="eastAsia" w:ascii="Times New Roman"/>
          <w:color w:val="000000"/>
        </w:rPr>
        <w:t>倍漏损率渗</w:t>
      </w:r>
      <w:r>
        <w:rPr>
          <w:rFonts w:hint="eastAsia" w:ascii="Times New Roman"/>
          <w:color w:val="000000"/>
          <w:szCs w:val="24"/>
        </w:rPr>
        <w:t>漏量计算。泄漏污水污染物最大浓度为</w:t>
      </w:r>
      <w:r>
        <w:rPr>
          <w:rFonts w:ascii="Times New Roman"/>
          <w:color w:val="000000"/>
        </w:rPr>
        <w:t>COD</w:t>
      </w:r>
      <w:r>
        <w:rPr>
          <w:rFonts w:hint="eastAsia" w:ascii="Times New Roman"/>
          <w:color w:val="000000"/>
          <w:lang w:val="en-US" w:eastAsia="zh-CN"/>
        </w:rPr>
        <w:t>2500</w:t>
      </w:r>
      <w:r>
        <w:rPr>
          <w:rFonts w:ascii="Times New Roman"/>
          <w:color w:val="000000"/>
        </w:rPr>
        <w:t>mg/L</w:t>
      </w:r>
      <w:r>
        <w:rPr>
          <w:rFonts w:hint="eastAsia" w:ascii="Times New Roman"/>
          <w:color w:val="000000"/>
        </w:rPr>
        <w:t>，氨氮</w:t>
      </w:r>
      <w:r>
        <w:rPr>
          <w:rFonts w:hint="eastAsia" w:ascii="Times New Roman"/>
          <w:color w:val="000000"/>
          <w:lang w:val="en-US" w:eastAsia="zh-CN"/>
        </w:rPr>
        <w:t>90</w:t>
      </w:r>
      <w:r>
        <w:rPr>
          <w:rFonts w:ascii="Times New Roman"/>
          <w:color w:val="000000"/>
        </w:rPr>
        <w:t>mg/L</w:t>
      </w:r>
      <w:r>
        <w:rPr>
          <w:rFonts w:hint="eastAsia" w:ascii="Times New Roman"/>
          <w:color w:val="000000"/>
          <w:szCs w:val="24"/>
        </w:rPr>
        <w:t>。</w:t>
      </w:r>
    </w:p>
    <w:p w14:paraId="3C3FD221">
      <w:pPr>
        <w:spacing w:line="360" w:lineRule="auto"/>
        <w:ind w:firstLine="480" w:firstLineChars="200"/>
        <w:rPr>
          <w:rFonts w:hint="eastAsia" w:ascii="Times New Roman"/>
          <w:b/>
          <w:bCs/>
          <w:color w:val="000000"/>
        </w:rPr>
      </w:pPr>
      <w:r>
        <w:rPr>
          <w:rFonts w:hint="eastAsia" w:ascii="Times New Roman"/>
          <w:color w:val="000000"/>
        </w:rPr>
        <w:t>根据源强分析可知，本项目非正常状况下地下水污染源强见表5-2-1</w:t>
      </w:r>
      <w:r>
        <w:rPr>
          <w:rFonts w:hint="eastAsia"/>
          <w:color w:val="000000"/>
          <w:lang w:val="en-US" w:eastAsia="zh-CN"/>
        </w:rPr>
        <w:t>0</w:t>
      </w:r>
      <w:r>
        <w:rPr>
          <w:rFonts w:hint="eastAsia" w:ascii="Times New Roman"/>
          <w:color w:val="000000"/>
        </w:rPr>
        <w:t>。</w:t>
      </w:r>
    </w:p>
    <w:p w14:paraId="5C956366">
      <w:pPr>
        <w:spacing w:line="360" w:lineRule="auto"/>
        <w:ind w:firstLine="480" w:firstLineChars="200"/>
        <w:jc w:val="center"/>
        <w:rPr>
          <w:rFonts w:ascii="Times New Roman" w:eastAsia="黑体"/>
          <w:color w:val="000000"/>
        </w:rPr>
      </w:pPr>
      <w:r>
        <w:rPr>
          <w:rFonts w:ascii="Times New Roman" w:eastAsia="黑体"/>
          <w:color w:val="000000"/>
        </w:rPr>
        <w:t>表5-2-1</w:t>
      </w:r>
      <w:r>
        <w:rPr>
          <w:rFonts w:hint="eastAsia" w:eastAsia="黑体"/>
          <w:color w:val="000000"/>
          <w:lang w:val="en-US" w:eastAsia="zh-CN"/>
        </w:rPr>
        <w:t>0</w:t>
      </w:r>
      <w:r>
        <w:rPr>
          <w:rFonts w:ascii="Times New Roman" w:eastAsia="黑体"/>
          <w:color w:val="000000"/>
        </w:rPr>
        <w:t xml:space="preserve">  非正常状况地下水污染源项汇总情况一览表</w:t>
      </w:r>
    </w:p>
    <w:tbl>
      <w:tblPr>
        <w:tblStyle w:val="49"/>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205"/>
        <w:gridCol w:w="1406"/>
        <w:gridCol w:w="1913"/>
        <w:gridCol w:w="2041"/>
        <w:gridCol w:w="872"/>
        <w:gridCol w:w="872"/>
      </w:tblGrid>
      <w:tr w14:paraId="57CBAF6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2" w:hRule="atLeast"/>
          <w:jc w:val="center"/>
        </w:trPr>
        <w:tc>
          <w:tcPr>
            <w:tcW w:w="725" w:type="pct"/>
            <w:vMerge w:val="restart"/>
            <w:noWrap w:val="0"/>
            <w:vAlign w:val="center"/>
          </w:tcPr>
          <w:p w14:paraId="68D64B66">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污染源</w:t>
            </w:r>
          </w:p>
        </w:tc>
        <w:tc>
          <w:tcPr>
            <w:tcW w:w="846" w:type="pct"/>
            <w:noWrap w:val="0"/>
            <w:vAlign w:val="center"/>
          </w:tcPr>
          <w:p w14:paraId="0CE5866F">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渗漏面积</w:t>
            </w:r>
          </w:p>
        </w:tc>
        <w:tc>
          <w:tcPr>
            <w:tcW w:w="1151" w:type="pct"/>
            <w:noWrap w:val="0"/>
            <w:vAlign w:val="center"/>
          </w:tcPr>
          <w:p w14:paraId="31611391">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渗漏量正常状况</w:t>
            </w:r>
          </w:p>
        </w:tc>
        <w:tc>
          <w:tcPr>
            <w:tcW w:w="1228" w:type="pct"/>
            <w:noWrap w:val="0"/>
            <w:vAlign w:val="center"/>
          </w:tcPr>
          <w:p w14:paraId="0F2920A8">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非正常状况泄漏量</w:t>
            </w:r>
          </w:p>
        </w:tc>
        <w:tc>
          <w:tcPr>
            <w:tcW w:w="524" w:type="pct"/>
            <w:noWrap w:val="0"/>
            <w:vAlign w:val="center"/>
          </w:tcPr>
          <w:p w14:paraId="7528A2B8">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氨氮</w:t>
            </w:r>
          </w:p>
        </w:tc>
        <w:tc>
          <w:tcPr>
            <w:tcW w:w="524" w:type="pct"/>
            <w:noWrap w:val="0"/>
            <w:vAlign w:val="center"/>
          </w:tcPr>
          <w:p w14:paraId="570A04BA">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COD</w:t>
            </w:r>
          </w:p>
        </w:tc>
      </w:tr>
      <w:tr w14:paraId="6988659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9" w:hRule="atLeast"/>
          <w:jc w:val="center"/>
        </w:trPr>
        <w:tc>
          <w:tcPr>
            <w:tcW w:w="725" w:type="pct"/>
            <w:vMerge w:val="continue"/>
            <w:noWrap w:val="0"/>
            <w:vAlign w:val="center"/>
          </w:tcPr>
          <w:p w14:paraId="2CB7DB71">
            <w:pPr>
              <w:pStyle w:val="143"/>
              <w:rPr>
                <w:rFonts w:hint="eastAsia"/>
                <w:snapToGrid w:val="0"/>
                <w:color w:val="000000" w:themeColor="text1"/>
                <w:kern w:val="0"/>
                <w14:textFill>
                  <w14:solidFill>
                    <w14:schemeClr w14:val="tx1"/>
                  </w14:solidFill>
                </w14:textFill>
              </w:rPr>
            </w:pPr>
          </w:p>
        </w:tc>
        <w:tc>
          <w:tcPr>
            <w:tcW w:w="846" w:type="pct"/>
            <w:noWrap w:val="0"/>
            <w:vAlign w:val="center"/>
          </w:tcPr>
          <w:p w14:paraId="18EDE765">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vertAlign w:val="superscript"/>
                <w14:textFill>
                  <w14:solidFill>
                    <w14:schemeClr w14:val="tx1"/>
                  </w14:solidFill>
                </w14:textFill>
              </w:rPr>
              <w:t>2</w:t>
            </w:r>
            <w:r>
              <w:rPr>
                <w:rFonts w:hint="eastAsia"/>
                <w:snapToGrid w:val="0"/>
                <w:color w:val="000000" w:themeColor="text1"/>
                <w:kern w:val="0"/>
                <w14:textFill>
                  <w14:solidFill>
                    <w14:schemeClr w14:val="tx1"/>
                  </w14:solidFill>
                </w14:textFill>
              </w:rPr>
              <w:t>）</w:t>
            </w:r>
          </w:p>
        </w:tc>
        <w:tc>
          <w:tcPr>
            <w:tcW w:w="1151" w:type="pct"/>
            <w:noWrap/>
            <w:vAlign w:val="center"/>
          </w:tcPr>
          <w:p w14:paraId="0C9B148C">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2L/(m</w:t>
            </w:r>
            <w:r>
              <w:rPr>
                <w:rFonts w:hint="eastAsia"/>
                <w:snapToGrid w:val="0"/>
                <w:color w:val="000000" w:themeColor="text1"/>
                <w:kern w:val="0"/>
                <w:vertAlign w:val="superscript"/>
                <w14:textFill>
                  <w14:solidFill>
                    <w14:schemeClr w14:val="tx1"/>
                  </w14:solidFill>
                </w14:textFill>
              </w:rPr>
              <w:t>2</w:t>
            </w:r>
            <w:r>
              <w:rPr>
                <w:rFonts w:hint="eastAsia"/>
                <w:snapToGrid w:val="0"/>
                <w:color w:val="000000" w:themeColor="text1"/>
                <w:kern w:val="0"/>
                <w14:textFill>
                  <w14:solidFill>
                    <w14:schemeClr w14:val="tx1"/>
                  </w14:solidFill>
                </w14:textFill>
              </w:rPr>
              <w:t>•d)</w:t>
            </w:r>
          </w:p>
        </w:tc>
        <w:tc>
          <w:tcPr>
            <w:tcW w:w="1228" w:type="pct"/>
            <w:noWrap w:val="0"/>
            <w:vAlign w:val="center"/>
          </w:tcPr>
          <w:p w14:paraId="367BA06B">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10倍</w:t>
            </w:r>
          </w:p>
        </w:tc>
        <w:tc>
          <w:tcPr>
            <w:tcW w:w="524" w:type="pct"/>
            <w:noWrap w:val="0"/>
            <w:vAlign w:val="center"/>
          </w:tcPr>
          <w:p w14:paraId="1E92915B">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kg/d</w:t>
            </w:r>
          </w:p>
        </w:tc>
        <w:tc>
          <w:tcPr>
            <w:tcW w:w="524" w:type="pct"/>
            <w:noWrap w:val="0"/>
            <w:vAlign w:val="center"/>
          </w:tcPr>
          <w:p w14:paraId="25E3CB14">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kg/d</w:t>
            </w:r>
          </w:p>
        </w:tc>
      </w:tr>
      <w:tr w14:paraId="2D4B935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6" w:hRule="atLeast"/>
          <w:jc w:val="center"/>
        </w:trPr>
        <w:tc>
          <w:tcPr>
            <w:tcW w:w="725" w:type="pct"/>
            <w:noWrap w:val="0"/>
            <w:vAlign w:val="center"/>
          </w:tcPr>
          <w:p w14:paraId="17F3F0F8">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调节池</w:t>
            </w:r>
          </w:p>
        </w:tc>
        <w:tc>
          <w:tcPr>
            <w:tcW w:w="846" w:type="pct"/>
            <w:noWrap w:val="0"/>
            <w:vAlign w:val="center"/>
          </w:tcPr>
          <w:p w14:paraId="2B1D8C09">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200</w:t>
            </w:r>
          </w:p>
        </w:tc>
        <w:tc>
          <w:tcPr>
            <w:tcW w:w="1151" w:type="pct"/>
            <w:noWrap w:val="0"/>
            <w:vAlign w:val="center"/>
          </w:tcPr>
          <w:p w14:paraId="5C35C032">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0.4</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 xml:space="preserve">/d </w:t>
            </w:r>
          </w:p>
        </w:tc>
        <w:tc>
          <w:tcPr>
            <w:tcW w:w="1228" w:type="pct"/>
            <w:noWrap w:val="0"/>
            <w:vAlign w:val="center"/>
          </w:tcPr>
          <w:p w14:paraId="6ED2B4CA">
            <w:pPr>
              <w:pStyle w:val="143"/>
              <w:rPr>
                <w:rFonts w:hint="eastAsia"/>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4.0</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vertAlign w:val="superscript"/>
                <w14:textFill>
                  <w14:solidFill>
                    <w14:schemeClr w14:val="tx1"/>
                  </w14:solidFill>
                </w14:textFill>
              </w:rPr>
              <w:t>3</w:t>
            </w:r>
            <w:r>
              <w:rPr>
                <w:rFonts w:hint="eastAsia"/>
                <w:snapToGrid w:val="0"/>
                <w:color w:val="000000" w:themeColor="text1"/>
                <w:kern w:val="0"/>
                <w14:textFill>
                  <w14:solidFill>
                    <w14:schemeClr w14:val="tx1"/>
                  </w14:solidFill>
                </w14:textFill>
              </w:rPr>
              <w:t>/d</w:t>
            </w:r>
          </w:p>
        </w:tc>
        <w:tc>
          <w:tcPr>
            <w:tcW w:w="524" w:type="pct"/>
            <w:noWrap w:val="0"/>
            <w:vAlign w:val="center"/>
          </w:tcPr>
          <w:p w14:paraId="6C4AEEC6">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0.36</w:t>
            </w:r>
          </w:p>
        </w:tc>
        <w:tc>
          <w:tcPr>
            <w:tcW w:w="524" w:type="pct"/>
            <w:noWrap w:val="0"/>
            <w:vAlign w:val="center"/>
          </w:tcPr>
          <w:p w14:paraId="52FCAF5D">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10.0</w:t>
            </w:r>
          </w:p>
        </w:tc>
      </w:tr>
    </w:tbl>
    <w:p w14:paraId="522617F0">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5.2.3.5</w:t>
      </w:r>
      <w:r>
        <w:rPr>
          <w:rFonts w:hint="eastAsia"/>
          <w:snapToGrid w:val="0"/>
          <w:color w:val="000000" w:themeColor="text1"/>
          <w14:textFill>
            <w14:solidFill>
              <w14:schemeClr w14:val="tx1"/>
            </w14:solidFill>
          </w14:textFill>
        </w:rPr>
        <w:t>地下水污染预测结果</w:t>
      </w:r>
    </w:p>
    <w:p w14:paraId="243B3034">
      <w:pPr>
        <w:spacing w:line="480" w:lineRule="exact"/>
        <w:rPr>
          <w:rFonts w:cs="Times New Roman"/>
          <w:snapToGrid w:val="0"/>
          <w:color w:val="000000" w:themeColor="text1"/>
          <w:kern w:val="0"/>
          <w:szCs w:val="24"/>
          <w14:textFill>
            <w14:solidFill>
              <w14:schemeClr w14:val="tx1"/>
            </w14:solidFill>
          </w14:textFill>
        </w:rPr>
      </w:pPr>
      <w:r>
        <w:rPr>
          <w:rFonts w:hint="eastAsia" w:cs="Times New Roman"/>
          <w:snapToGrid w:val="0"/>
          <w:color w:val="000000" w:themeColor="text1"/>
          <w:kern w:val="0"/>
          <w:szCs w:val="24"/>
          <w14:textFill>
            <w14:solidFill>
              <w14:schemeClr w14:val="tx1"/>
            </w14:solidFill>
          </w14:textFill>
        </w:rPr>
        <w:t>预测时间选择非正常状况下10倍泄漏量100d、1000d、1</w:t>
      </w:r>
      <w:r>
        <w:rPr>
          <w:rFonts w:cs="Times New Roman"/>
          <w:snapToGrid w:val="0"/>
          <w:color w:val="000000" w:themeColor="text1"/>
          <w:kern w:val="0"/>
          <w:szCs w:val="24"/>
          <w14:textFill>
            <w14:solidFill>
              <w14:schemeClr w14:val="tx1"/>
            </w14:solidFill>
          </w14:textFill>
        </w:rPr>
        <w:t>0</w:t>
      </w:r>
      <w:r>
        <w:rPr>
          <w:rFonts w:hint="eastAsia" w:cs="Times New Roman"/>
          <w:snapToGrid w:val="0"/>
          <w:color w:val="000000" w:themeColor="text1"/>
          <w:kern w:val="0"/>
          <w:szCs w:val="24"/>
          <w14:textFill>
            <w14:solidFill>
              <w14:schemeClr w14:val="tx1"/>
            </w14:solidFill>
          </w14:textFill>
        </w:rPr>
        <w:t>a。</w:t>
      </w:r>
      <w:r>
        <w:rPr>
          <w:color w:val="000000" w:themeColor="text1"/>
          <w14:textFill>
            <w14:solidFill>
              <w14:schemeClr w14:val="tx1"/>
            </w14:solidFill>
          </w14:textFill>
        </w:rPr>
        <w:t>非正常状况渗漏地下水污染预测结果</w:t>
      </w:r>
      <w:r>
        <w:rPr>
          <w:rFonts w:hint="eastAsia"/>
          <w:color w:val="000000" w:themeColor="text1"/>
          <w14:textFill>
            <w14:solidFill>
              <w14:schemeClr w14:val="tx1"/>
            </w14:solidFill>
          </w14:textFill>
        </w:rPr>
        <w:t>统计见下表。</w:t>
      </w:r>
    </w:p>
    <w:p w14:paraId="4680BB4A">
      <w:pPr>
        <w:pStyle w:val="206"/>
        <w:rPr>
          <w:color w:val="000000" w:themeColor="text1"/>
          <w14:textFill>
            <w14:solidFill>
              <w14:schemeClr w14:val="tx1"/>
            </w14:solidFill>
          </w14:textFill>
        </w:rPr>
      </w:pPr>
      <w:r>
        <w:rPr>
          <w:color w:val="000000" w:themeColor="text1"/>
          <w14:textFill>
            <w14:solidFill>
              <w14:schemeClr w14:val="tx1"/>
            </w14:solidFill>
          </w14:textFill>
        </w:rPr>
        <w:t>表5-2-1</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 xml:space="preserve"> 非正常状况渗漏地下水污染预测结果表</w:t>
      </w:r>
    </w:p>
    <w:tbl>
      <w:tblPr>
        <w:tblStyle w:val="49"/>
        <w:tblW w:w="474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77"/>
        <w:gridCol w:w="1450"/>
        <w:gridCol w:w="1173"/>
        <w:gridCol w:w="1396"/>
        <w:gridCol w:w="1221"/>
        <w:gridCol w:w="1478"/>
      </w:tblGrid>
      <w:tr w14:paraId="6A5D67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000" w:type="pct"/>
            <w:gridSpan w:val="6"/>
            <w:shd w:val="clear" w:color="auto" w:fill="auto"/>
            <w:vAlign w:val="center"/>
          </w:tcPr>
          <w:p w14:paraId="539DDE13">
            <w:pPr>
              <w:pStyle w:val="143"/>
              <w:rPr>
                <w:color w:val="000000" w:themeColor="text1"/>
                <w14:textFill>
                  <w14:solidFill>
                    <w14:schemeClr w14:val="tx1"/>
                  </w14:solidFill>
                </w14:textFill>
              </w:rPr>
            </w:pPr>
            <w:r>
              <w:rPr>
                <w:color w:val="000000" w:themeColor="text1"/>
                <w14:textFill>
                  <w14:solidFill>
                    <w14:schemeClr w14:val="tx1"/>
                  </w14:solidFill>
                </w14:textFill>
              </w:rPr>
              <w:t>COD污染物迁移结果</w:t>
            </w:r>
          </w:p>
        </w:tc>
      </w:tr>
      <w:tr w14:paraId="79A675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664" w:type="pct"/>
            <w:gridSpan w:val="2"/>
            <w:shd w:val="clear" w:color="auto" w:fill="auto"/>
            <w:vAlign w:val="center"/>
          </w:tcPr>
          <w:p w14:paraId="1C6128D5">
            <w:pPr>
              <w:pStyle w:val="143"/>
              <w:rPr>
                <w:color w:val="000000" w:themeColor="text1"/>
                <w14:textFill>
                  <w14:solidFill>
                    <w14:schemeClr w14:val="tx1"/>
                  </w14:solidFill>
                </w14:textFill>
              </w:rPr>
            </w:pPr>
            <w:r>
              <w:rPr>
                <w:color w:val="000000" w:themeColor="text1"/>
                <w14:textFill>
                  <w14:solidFill>
                    <w14:schemeClr w14:val="tx1"/>
                  </w14:solidFill>
                </w14:textFill>
              </w:rPr>
              <w:t>100d</w:t>
            </w:r>
          </w:p>
        </w:tc>
        <w:tc>
          <w:tcPr>
            <w:tcW w:w="1627" w:type="pct"/>
            <w:gridSpan w:val="2"/>
            <w:shd w:val="clear" w:color="auto" w:fill="auto"/>
            <w:vAlign w:val="center"/>
          </w:tcPr>
          <w:p w14:paraId="56683A2F">
            <w:pPr>
              <w:pStyle w:val="143"/>
              <w:rPr>
                <w:color w:val="000000" w:themeColor="text1"/>
                <w14:textFill>
                  <w14:solidFill>
                    <w14:schemeClr w14:val="tx1"/>
                  </w14:solidFill>
                </w14:textFill>
              </w:rPr>
            </w:pPr>
            <w:r>
              <w:rPr>
                <w:color w:val="000000" w:themeColor="text1"/>
                <w14:textFill>
                  <w14:solidFill>
                    <w14:schemeClr w14:val="tx1"/>
                  </w14:solidFill>
                </w14:textFill>
              </w:rPr>
              <w:t>1000d</w:t>
            </w:r>
          </w:p>
        </w:tc>
        <w:tc>
          <w:tcPr>
            <w:tcW w:w="1707" w:type="pct"/>
            <w:gridSpan w:val="2"/>
            <w:shd w:val="clear" w:color="auto" w:fill="auto"/>
            <w:vAlign w:val="center"/>
          </w:tcPr>
          <w:p w14:paraId="778D0FDC">
            <w:pPr>
              <w:pStyle w:val="143"/>
              <w:rPr>
                <w:color w:val="000000" w:themeColor="text1"/>
                <w14:textFill>
                  <w14:solidFill>
                    <w14:schemeClr w14:val="tx1"/>
                  </w14:solidFill>
                </w14:textFill>
              </w:rPr>
            </w:pPr>
            <w:r>
              <w:rPr>
                <w:color w:val="000000" w:themeColor="text1"/>
                <w14:textFill>
                  <w14:solidFill>
                    <w14:schemeClr w14:val="tx1"/>
                  </w14:solidFill>
                </w14:textFill>
              </w:rPr>
              <w:t>10a</w:t>
            </w:r>
          </w:p>
        </w:tc>
      </w:tr>
      <w:tr w14:paraId="243A79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01FAEA45">
            <w:pPr>
              <w:pStyle w:val="143"/>
              <w:rPr>
                <w:color w:val="000000" w:themeColor="text1"/>
                <w14:textFill>
                  <w14:solidFill>
                    <w14:schemeClr w14:val="tx1"/>
                  </w14:solidFill>
                </w14:textFill>
              </w:rPr>
            </w:pPr>
            <w:r>
              <w:rPr>
                <w:color w:val="000000" w:themeColor="text1"/>
                <w14:textFill>
                  <w14:solidFill>
                    <w14:schemeClr w14:val="tx1"/>
                  </w14:solidFill>
                </w14:textFill>
              </w:rPr>
              <w:t>距离（m）</w:t>
            </w:r>
          </w:p>
        </w:tc>
        <w:tc>
          <w:tcPr>
            <w:tcW w:w="917" w:type="pct"/>
            <w:shd w:val="clear" w:color="auto" w:fill="auto"/>
            <w:vAlign w:val="center"/>
          </w:tcPr>
          <w:p w14:paraId="11FA11A4">
            <w:pPr>
              <w:pStyle w:val="143"/>
              <w:rPr>
                <w:color w:val="000000" w:themeColor="text1"/>
                <w14:textFill>
                  <w14:solidFill>
                    <w14:schemeClr w14:val="tx1"/>
                  </w14:solidFill>
                </w14:textFill>
              </w:rPr>
            </w:pPr>
            <w:r>
              <w:rPr>
                <w:color w:val="000000" w:themeColor="text1"/>
                <w14:textFill>
                  <w14:solidFill>
                    <w14:schemeClr w14:val="tx1"/>
                  </w14:solidFill>
                </w14:textFill>
              </w:rPr>
              <w:t>浓度（mg/L）</w:t>
            </w:r>
          </w:p>
        </w:tc>
        <w:tc>
          <w:tcPr>
            <w:tcW w:w="743" w:type="pct"/>
            <w:shd w:val="clear" w:color="auto" w:fill="auto"/>
            <w:vAlign w:val="center"/>
          </w:tcPr>
          <w:p w14:paraId="41837960">
            <w:pPr>
              <w:pStyle w:val="143"/>
              <w:rPr>
                <w:color w:val="000000" w:themeColor="text1"/>
                <w14:textFill>
                  <w14:solidFill>
                    <w14:schemeClr w14:val="tx1"/>
                  </w14:solidFill>
                </w14:textFill>
              </w:rPr>
            </w:pPr>
            <w:r>
              <w:rPr>
                <w:color w:val="000000" w:themeColor="text1"/>
                <w14:textFill>
                  <w14:solidFill>
                    <w14:schemeClr w14:val="tx1"/>
                  </w14:solidFill>
                </w14:textFill>
              </w:rPr>
              <w:t>距离（m）</w:t>
            </w:r>
          </w:p>
        </w:tc>
        <w:tc>
          <w:tcPr>
            <w:tcW w:w="883" w:type="pct"/>
            <w:shd w:val="clear" w:color="auto" w:fill="auto"/>
            <w:vAlign w:val="center"/>
          </w:tcPr>
          <w:p w14:paraId="6BD43C94">
            <w:pPr>
              <w:pStyle w:val="143"/>
              <w:rPr>
                <w:color w:val="000000" w:themeColor="text1"/>
                <w14:textFill>
                  <w14:solidFill>
                    <w14:schemeClr w14:val="tx1"/>
                  </w14:solidFill>
                </w14:textFill>
              </w:rPr>
            </w:pPr>
            <w:r>
              <w:rPr>
                <w:color w:val="000000" w:themeColor="text1"/>
                <w14:textFill>
                  <w14:solidFill>
                    <w14:schemeClr w14:val="tx1"/>
                  </w14:solidFill>
                </w14:textFill>
              </w:rPr>
              <w:t>浓度（mg/L）</w:t>
            </w:r>
          </w:p>
        </w:tc>
        <w:tc>
          <w:tcPr>
            <w:tcW w:w="773" w:type="pct"/>
            <w:shd w:val="clear" w:color="auto" w:fill="auto"/>
            <w:vAlign w:val="center"/>
          </w:tcPr>
          <w:p w14:paraId="4824D866">
            <w:pPr>
              <w:pStyle w:val="143"/>
              <w:rPr>
                <w:color w:val="000000" w:themeColor="text1"/>
                <w14:textFill>
                  <w14:solidFill>
                    <w14:schemeClr w14:val="tx1"/>
                  </w14:solidFill>
                </w14:textFill>
              </w:rPr>
            </w:pPr>
            <w:r>
              <w:rPr>
                <w:color w:val="000000" w:themeColor="text1"/>
                <w14:textFill>
                  <w14:solidFill>
                    <w14:schemeClr w14:val="tx1"/>
                  </w14:solidFill>
                </w14:textFill>
              </w:rPr>
              <w:t>距离（m）</w:t>
            </w:r>
          </w:p>
        </w:tc>
        <w:tc>
          <w:tcPr>
            <w:tcW w:w="933" w:type="pct"/>
            <w:shd w:val="clear" w:color="auto" w:fill="auto"/>
            <w:vAlign w:val="center"/>
          </w:tcPr>
          <w:p w14:paraId="488EAAC7">
            <w:pPr>
              <w:pStyle w:val="143"/>
              <w:rPr>
                <w:color w:val="000000" w:themeColor="text1"/>
                <w14:textFill>
                  <w14:solidFill>
                    <w14:schemeClr w14:val="tx1"/>
                  </w14:solidFill>
                </w14:textFill>
              </w:rPr>
            </w:pPr>
            <w:r>
              <w:rPr>
                <w:color w:val="000000" w:themeColor="text1"/>
                <w14:textFill>
                  <w14:solidFill>
                    <w14:schemeClr w14:val="tx1"/>
                  </w14:solidFill>
                </w14:textFill>
              </w:rPr>
              <w:t>浓度（mg/L）</w:t>
            </w:r>
          </w:p>
        </w:tc>
      </w:tr>
      <w:tr w14:paraId="25AFEF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7251EC7E">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0</w:t>
            </w:r>
          </w:p>
        </w:tc>
        <w:tc>
          <w:tcPr>
            <w:tcW w:w="917" w:type="pct"/>
            <w:shd w:val="clear" w:color="auto" w:fill="auto"/>
            <w:vAlign w:val="center"/>
          </w:tcPr>
          <w:p w14:paraId="4BEA950F">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743" w:type="pct"/>
            <w:shd w:val="clear" w:color="auto" w:fill="auto"/>
            <w:vAlign w:val="center"/>
          </w:tcPr>
          <w:p w14:paraId="016540E3">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0</w:t>
            </w:r>
          </w:p>
        </w:tc>
        <w:tc>
          <w:tcPr>
            <w:tcW w:w="883" w:type="pct"/>
            <w:shd w:val="clear" w:color="auto" w:fill="auto"/>
            <w:vAlign w:val="center"/>
          </w:tcPr>
          <w:p w14:paraId="2476EF2D">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773" w:type="pct"/>
            <w:shd w:val="clear" w:color="auto" w:fill="auto"/>
            <w:vAlign w:val="center"/>
          </w:tcPr>
          <w:p w14:paraId="01C2595C">
            <w:pPr>
              <w:pStyle w:val="143"/>
              <w:ind w:firstLine="0" w:firstLineChars="0"/>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0</w:t>
            </w:r>
          </w:p>
        </w:tc>
        <w:tc>
          <w:tcPr>
            <w:tcW w:w="933" w:type="pct"/>
            <w:shd w:val="clear" w:color="auto" w:fill="auto"/>
            <w:vAlign w:val="center"/>
          </w:tcPr>
          <w:p w14:paraId="17EACC65">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04AEDF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698CD87F">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10</w:t>
            </w:r>
          </w:p>
        </w:tc>
        <w:tc>
          <w:tcPr>
            <w:tcW w:w="917" w:type="pct"/>
            <w:shd w:val="clear" w:color="auto" w:fill="auto"/>
            <w:vAlign w:val="center"/>
          </w:tcPr>
          <w:p w14:paraId="5B5A767C">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81.7</w:t>
            </w:r>
          </w:p>
        </w:tc>
        <w:tc>
          <w:tcPr>
            <w:tcW w:w="743" w:type="pct"/>
            <w:shd w:val="clear" w:color="auto" w:fill="auto"/>
            <w:vAlign w:val="center"/>
          </w:tcPr>
          <w:p w14:paraId="38805C3F">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10</w:t>
            </w:r>
          </w:p>
        </w:tc>
        <w:tc>
          <w:tcPr>
            <w:tcW w:w="883" w:type="pct"/>
            <w:shd w:val="clear" w:color="auto" w:fill="auto"/>
            <w:vAlign w:val="center"/>
          </w:tcPr>
          <w:p w14:paraId="2F5FB7A0">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773" w:type="pct"/>
            <w:shd w:val="clear" w:color="auto" w:fill="auto"/>
            <w:vAlign w:val="center"/>
          </w:tcPr>
          <w:p w14:paraId="06144DB2">
            <w:pPr>
              <w:pStyle w:val="143"/>
              <w:ind w:firstLine="0" w:firstLineChars="0"/>
              <w:rPr>
                <w:rFonts w:hint="default"/>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25</w:t>
            </w:r>
          </w:p>
        </w:tc>
        <w:tc>
          <w:tcPr>
            <w:tcW w:w="933" w:type="pct"/>
            <w:shd w:val="clear" w:color="auto" w:fill="auto"/>
            <w:vAlign w:val="center"/>
          </w:tcPr>
          <w:p w14:paraId="53F54D9A">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7032D7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43C76AFA">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20</w:t>
            </w:r>
          </w:p>
        </w:tc>
        <w:tc>
          <w:tcPr>
            <w:tcW w:w="917" w:type="pct"/>
            <w:shd w:val="clear" w:color="auto" w:fill="auto"/>
            <w:vAlign w:val="center"/>
          </w:tcPr>
          <w:p w14:paraId="545FDA14">
            <w:pPr>
              <w:pStyle w:val="143"/>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1.74</w:t>
            </w:r>
          </w:p>
        </w:tc>
        <w:tc>
          <w:tcPr>
            <w:tcW w:w="743" w:type="pct"/>
            <w:shd w:val="clear" w:color="auto" w:fill="auto"/>
            <w:vAlign w:val="center"/>
          </w:tcPr>
          <w:p w14:paraId="7C3E0242">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20</w:t>
            </w:r>
          </w:p>
        </w:tc>
        <w:tc>
          <w:tcPr>
            <w:tcW w:w="883" w:type="pct"/>
            <w:shd w:val="clear" w:color="auto" w:fill="auto"/>
            <w:vAlign w:val="center"/>
          </w:tcPr>
          <w:p w14:paraId="71E9ABBD">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773" w:type="pct"/>
            <w:shd w:val="clear" w:color="auto" w:fill="auto"/>
            <w:vAlign w:val="center"/>
          </w:tcPr>
          <w:p w14:paraId="2C6E64FA">
            <w:pPr>
              <w:pStyle w:val="143"/>
              <w:ind w:firstLine="0" w:firstLineChars="0"/>
              <w:rPr>
                <w:rFonts w:hint="default"/>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50</w:t>
            </w:r>
          </w:p>
        </w:tc>
        <w:tc>
          <w:tcPr>
            <w:tcW w:w="933" w:type="pct"/>
            <w:shd w:val="clear" w:color="auto" w:fill="auto"/>
            <w:vAlign w:val="center"/>
          </w:tcPr>
          <w:p w14:paraId="22249347">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2A4256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6971A3EE">
            <w:pPr>
              <w:pStyle w:val="143"/>
              <w:rPr>
                <w:color w:val="000000" w:themeColor="text1"/>
                <w14:textFill>
                  <w14:solidFill>
                    <w14:schemeClr w14:val="tx1"/>
                  </w14:solidFill>
                </w14:textFill>
              </w:rPr>
            </w:pPr>
          </w:p>
        </w:tc>
        <w:tc>
          <w:tcPr>
            <w:tcW w:w="917" w:type="pct"/>
            <w:shd w:val="clear" w:color="auto" w:fill="auto"/>
            <w:vAlign w:val="center"/>
          </w:tcPr>
          <w:p w14:paraId="47AACBEF">
            <w:pPr>
              <w:pStyle w:val="143"/>
              <w:rPr>
                <w:rFonts w:hint="default"/>
                <w:color w:val="000000" w:themeColor="text1"/>
                <w:vertAlign w:val="superscript"/>
                <w:lang w:val="en-US" w:eastAsia="zh-CN"/>
                <w14:textFill>
                  <w14:solidFill>
                    <w14:schemeClr w14:val="tx1"/>
                  </w14:solidFill>
                </w14:textFill>
              </w:rPr>
            </w:pPr>
          </w:p>
        </w:tc>
        <w:tc>
          <w:tcPr>
            <w:tcW w:w="743" w:type="pct"/>
            <w:shd w:val="clear" w:color="auto" w:fill="auto"/>
            <w:vAlign w:val="center"/>
          </w:tcPr>
          <w:p w14:paraId="7E5E6DEE">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30</w:t>
            </w:r>
          </w:p>
        </w:tc>
        <w:tc>
          <w:tcPr>
            <w:tcW w:w="883" w:type="pct"/>
            <w:shd w:val="clear" w:color="auto" w:fill="auto"/>
            <w:vAlign w:val="center"/>
          </w:tcPr>
          <w:p w14:paraId="07AC4910">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773" w:type="pct"/>
            <w:shd w:val="clear" w:color="auto" w:fill="auto"/>
            <w:vAlign w:val="center"/>
          </w:tcPr>
          <w:p w14:paraId="777B9931">
            <w:pPr>
              <w:pStyle w:val="143"/>
              <w:ind w:firstLine="0" w:firstLineChars="0"/>
              <w:rPr>
                <w:rFonts w:hint="default"/>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75</w:t>
            </w:r>
          </w:p>
        </w:tc>
        <w:tc>
          <w:tcPr>
            <w:tcW w:w="933" w:type="pct"/>
            <w:shd w:val="clear" w:color="auto" w:fill="auto"/>
            <w:vAlign w:val="center"/>
          </w:tcPr>
          <w:p w14:paraId="5BB0D759">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682802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4DFF9500">
            <w:pPr>
              <w:pStyle w:val="143"/>
              <w:rPr>
                <w:color w:val="000000" w:themeColor="text1"/>
                <w14:textFill>
                  <w14:solidFill>
                    <w14:schemeClr w14:val="tx1"/>
                  </w14:solidFill>
                </w14:textFill>
              </w:rPr>
            </w:pPr>
          </w:p>
        </w:tc>
        <w:tc>
          <w:tcPr>
            <w:tcW w:w="917" w:type="pct"/>
            <w:shd w:val="clear" w:color="auto" w:fill="auto"/>
            <w:vAlign w:val="center"/>
          </w:tcPr>
          <w:p w14:paraId="6103EDCD">
            <w:pPr>
              <w:pStyle w:val="143"/>
              <w:rPr>
                <w:rFonts w:hint="eastAsia"/>
                <w:color w:val="000000" w:themeColor="text1"/>
                <w:lang w:val="en-US" w:eastAsia="zh-CN"/>
                <w14:textFill>
                  <w14:solidFill>
                    <w14:schemeClr w14:val="tx1"/>
                  </w14:solidFill>
                </w14:textFill>
              </w:rPr>
            </w:pPr>
          </w:p>
        </w:tc>
        <w:tc>
          <w:tcPr>
            <w:tcW w:w="743" w:type="pct"/>
            <w:shd w:val="clear" w:color="auto" w:fill="auto"/>
            <w:vAlign w:val="center"/>
          </w:tcPr>
          <w:p w14:paraId="6EC6B247">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40</w:t>
            </w:r>
          </w:p>
        </w:tc>
        <w:tc>
          <w:tcPr>
            <w:tcW w:w="883" w:type="pct"/>
            <w:shd w:val="clear" w:color="auto" w:fill="auto"/>
            <w:vAlign w:val="center"/>
          </w:tcPr>
          <w:p w14:paraId="57B241B5">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773" w:type="pct"/>
            <w:shd w:val="clear" w:color="auto" w:fill="auto"/>
            <w:vAlign w:val="center"/>
          </w:tcPr>
          <w:p w14:paraId="6C8F9697">
            <w:pPr>
              <w:pStyle w:val="143"/>
              <w:ind w:firstLine="0" w:firstLineChars="0"/>
              <w:rPr>
                <w:rFonts w:hint="default"/>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100</w:t>
            </w:r>
          </w:p>
        </w:tc>
        <w:tc>
          <w:tcPr>
            <w:tcW w:w="933" w:type="pct"/>
            <w:shd w:val="clear" w:color="auto" w:fill="auto"/>
            <w:vAlign w:val="center"/>
          </w:tcPr>
          <w:p w14:paraId="5B9116E4">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4A4C76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746" w:type="pct"/>
            <w:shd w:val="clear" w:color="auto" w:fill="auto"/>
            <w:vAlign w:val="center"/>
          </w:tcPr>
          <w:p w14:paraId="61EFAC4F">
            <w:pPr>
              <w:pStyle w:val="143"/>
              <w:rPr>
                <w:color w:val="000000" w:themeColor="text1"/>
                <w14:textFill>
                  <w14:solidFill>
                    <w14:schemeClr w14:val="tx1"/>
                  </w14:solidFill>
                </w14:textFill>
              </w:rPr>
            </w:pPr>
          </w:p>
        </w:tc>
        <w:tc>
          <w:tcPr>
            <w:tcW w:w="917" w:type="pct"/>
            <w:shd w:val="clear" w:color="auto" w:fill="auto"/>
            <w:vAlign w:val="center"/>
          </w:tcPr>
          <w:p w14:paraId="42B23C93">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4ACAA021">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50</w:t>
            </w:r>
          </w:p>
        </w:tc>
        <w:tc>
          <w:tcPr>
            <w:tcW w:w="883" w:type="pct"/>
            <w:shd w:val="clear" w:color="auto" w:fill="auto"/>
            <w:vAlign w:val="center"/>
          </w:tcPr>
          <w:p w14:paraId="5A6DEBD3">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2470</w:t>
            </w:r>
          </w:p>
        </w:tc>
        <w:tc>
          <w:tcPr>
            <w:tcW w:w="773" w:type="pct"/>
            <w:shd w:val="clear" w:color="auto" w:fill="auto"/>
            <w:vAlign w:val="center"/>
          </w:tcPr>
          <w:p w14:paraId="45FCF5B0">
            <w:pPr>
              <w:pStyle w:val="143"/>
              <w:ind w:firstLine="0" w:firstLineChars="0"/>
              <w:rPr>
                <w:rFonts w:hint="default"/>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125</w:t>
            </w:r>
          </w:p>
        </w:tc>
        <w:tc>
          <w:tcPr>
            <w:tcW w:w="933" w:type="pct"/>
            <w:shd w:val="clear" w:color="auto" w:fill="auto"/>
            <w:vAlign w:val="center"/>
          </w:tcPr>
          <w:p w14:paraId="146A3A54">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6D013F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727422C6">
            <w:pPr>
              <w:pStyle w:val="143"/>
              <w:rPr>
                <w:color w:val="000000" w:themeColor="text1"/>
                <w14:textFill>
                  <w14:solidFill>
                    <w14:schemeClr w14:val="tx1"/>
                  </w14:solidFill>
                </w14:textFill>
              </w:rPr>
            </w:pPr>
          </w:p>
        </w:tc>
        <w:tc>
          <w:tcPr>
            <w:tcW w:w="917" w:type="pct"/>
            <w:shd w:val="clear" w:color="auto" w:fill="auto"/>
            <w:vAlign w:val="center"/>
          </w:tcPr>
          <w:p w14:paraId="6C66F845">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454F5019">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60</w:t>
            </w:r>
          </w:p>
        </w:tc>
        <w:tc>
          <w:tcPr>
            <w:tcW w:w="883" w:type="pct"/>
            <w:shd w:val="clear" w:color="auto" w:fill="auto"/>
            <w:vAlign w:val="center"/>
          </w:tcPr>
          <w:p w14:paraId="0EC0B19E">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2280</w:t>
            </w:r>
          </w:p>
        </w:tc>
        <w:tc>
          <w:tcPr>
            <w:tcW w:w="773" w:type="pct"/>
            <w:shd w:val="clear" w:color="auto" w:fill="auto"/>
            <w:vAlign w:val="center"/>
          </w:tcPr>
          <w:p w14:paraId="116AA868">
            <w:pPr>
              <w:pStyle w:val="143"/>
              <w:ind w:firstLine="0" w:firstLineChars="0"/>
              <w:rPr>
                <w:rFonts w:hint="default"/>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150</w:t>
            </w:r>
          </w:p>
        </w:tc>
        <w:tc>
          <w:tcPr>
            <w:tcW w:w="933" w:type="pct"/>
            <w:shd w:val="clear" w:color="auto" w:fill="auto"/>
            <w:vAlign w:val="center"/>
          </w:tcPr>
          <w:p w14:paraId="43CB657D">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55CB2F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746" w:type="pct"/>
            <w:shd w:val="clear" w:color="auto" w:fill="auto"/>
            <w:vAlign w:val="center"/>
          </w:tcPr>
          <w:p w14:paraId="63F6C22C">
            <w:pPr>
              <w:pStyle w:val="143"/>
              <w:rPr>
                <w:color w:val="000000" w:themeColor="text1"/>
                <w14:textFill>
                  <w14:solidFill>
                    <w14:schemeClr w14:val="tx1"/>
                  </w14:solidFill>
                </w14:textFill>
              </w:rPr>
            </w:pPr>
          </w:p>
        </w:tc>
        <w:tc>
          <w:tcPr>
            <w:tcW w:w="917" w:type="pct"/>
            <w:shd w:val="clear" w:color="auto" w:fill="auto"/>
            <w:vAlign w:val="center"/>
          </w:tcPr>
          <w:p w14:paraId="0C83F8B7">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3DE93915">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70</w:t>
            </w:r>
          </w:p>
        </w:tc>
        <w:tc>
          <w:tcPr>
            <w:tcW w:w="883" w:type="pct"/>
            <w:shd w:val="clear" w:color="auto" w:fill="auto"/>
            <w:vAlign w:val="center"/>
          </w:tcPr>
          <w:p w14:paraId="373FA1BD">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1730</w:t>
            </w:r>
          </w:p>
        </w:tc>
        <w:tc>
          <w:tcPr>
            <w:tcW w:w="773" w:type="pct"/>
            <w:shd w:val="clear" w:color="auto" w:fill="auto"/>
            <w:vAlign w:val="center"/>
          </w:tcPr>
          <w:p w14:paraId="1F2C9199">
            <w:pPr>
              <w:pStyle w:val="143"/>
              <w:ind w:firstLine="0" w:firstLineChars="0"/>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175</w:t>
            </w:r>
          </w:p>
        </w:tc>
        <w:tc>
          <w:tcPr>
            <w:tcW w:w="933" w:type="pct"/>
            <w:shd w:val="clear" w:color="auto" w:fill="auto"/>
            <w:vAlign w:val="center"/>
          </w:tcPr>
          <w:p w14:paraId="0BDA6E6E">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252D4C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6EE09A6A">
            <w:pPr>
              <w:pStyle w:val="143"/>
              <w:rPr>
                <w:color w:val="000000" w:themeColor="text1"/>
                <w14:textFill>
                  <w14:solidFill>
                    <w14:schemeClr w14:val="tx1"/>
                  </w14:solidFill>
                </w14:textFill>
              </w:rPr>
            </w:pPr>
          </w:p>
        </w:tc>
        <w:tc>
          <w:tcPr>
            <w:tcW w:w="917" w:type="pct"/>
            <w:shd w:val="clear" w:color="auto" w:fill="auto"/>
            <w:vAlign w:val="center"/>
          </w:tcPr>
          <w:p w14:paraId="3990D17D">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03C1815B">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80</w:t>
            </w:r>
          </w:p>
        </w:tc>
        <w:tc>
          <w:tcPr>
            <w:tcW w:w="883" w:type="pct"/>
            <w:shd w:val="clear" w:color="auto" w:fill="auto"/>
            <w:vAlign w:val="center"/>
          </w:tcPr>
          <w:p w14:paraId="318C247A">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919</w:t>
            </w:r>
          </w:p>
        </w:tc>
        <w:tc>
          <w:tcPr>
            <w:tcW w:w="773" w:type="pct"/>
            <w:shd w:val="clear" w:color="auto" w:fill="auto"/>
            <w:vAlign w:val="center"/>
          </w:tcPr>
          <w:p w14:paraId="68601A6F">
            <w:pPr>
              <w:pStyle w:val="143"/>
              <w:ind w:firstLine="0" w:firstLineChars="0"/>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200</w:t>
            </w:r>
          </w:p>
        </w:tc>
        <w:tc>
          <w:tcPr>
            <w:tcW w:w="933" w:type="pct"/>
            <w:shd w:val="clear" w:color="auto" w:fill="auto"/>
            <w:vAlign w:val="center"/>
          </w:tcPr>
          <w:p w14:paraId="49E3046B">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r>
      <w:tr w14:paraId="051C56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55DD6760">
            <w:pPr>
              <w:pStyle w:val="143"/>
              <w:rPr>
                <w:color w:val="000000" w:themeColor="text1"/>
                <w14:textFill>
                  <w14:solidFill>
                    <w14:schemeClr w14:val="tx1"/>
                  </w14:solidFill>
                </w14:textFill>
              </w:rPr>
            </w:pPr>
          </w:p>
        </w:tc>
        <w:tc>
          <w:tcPr>
            <w:tcW w:w="917" w:type="pct"/>
            <w:shd w:val="clear" w:color="auto" w:fill="auto"/>
            <w:vAlign w:val="center"/>
          </w:tcPr>
          <w:p w14:paraId="29D3BEA5">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3B458194">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90</w:t>
            </w:r>
          </w:p>
        </w:tc>
        <w:tc>
          <w:tcPr>
            <w:tcW w:w="883" w:type="pct"/>
            <w:shd w:val="clear" w:color="auto" w:fill="auto"/>
            <w:vAlign w:val="center"/>
          </w:tcPr>
          <w:p w14:paraId="7488E919">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296</w:t>
            </w:r>
          </w:p>
        </w:tc>
        <w:tc>
          <w:tcPr>
            <w:tcW w:w="773" w:type="pct"/>
            <w:shd w:val="clear" w:color="auto" w:fill="auto"/>
            <w:vAlign w:val="center"/>
          </w:tcPr>
          <w:p w14:paraId="43635839">
            <w:pPr>
              <w:pStyle w:val="143"/>
              <w:ind w:firstLine="0" w:firstLineChars="0"/>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225</w:t>
            </w:r>
          </w:p>
        </w:tc>
        <w:tc>
          <w:tcPr>
            <w:tcW w:w="933" w:type="pct"/>
            <w:shd w:val="clear" w:color="auto" w:fill="auto"/>
            <w:vAlign w:val="center"/>
          </w:tcPr>
          <w:p w14:paraId="553C4B2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2470</w:t>
            </w:r>
          </w:p>
        </w:tc>
      </w:tr>
      <w:tr w14:paraId="304D1D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2B309C2A">
            <w:pPr>
              <w:pStyle w:val="143"/>
              <w:rPr>
                <w:color w:val="000000" w:themeColor="text1"/>
                <w14:textFill>
                  <w14:solidFill>
                    <w14:schemeClr w14:val="tx1"/>
                  </w14:solidFill>
                </w14:textFill>
              </w:rPr>
            </w:pPr>
          </w:p>
        </w:tc>
        <w:tc>
          <w:tcPr>
            <w:tcW w:w="917" w:type="pct"/>
            <w:shd w:val="clear" w:color="auto" w:fill="auto"/>
            <w:vAlign w:val="center"/>
          </w:tcPr>
          <w:p w14:paraId="02E3BB4C">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75950362">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100</w:t>
            </w:r>
          </w:p>
        </w:tc>
        <w:tc>
          <w:tcPr>
            <w:tcW w:w="883" w:type="pct"/>
            <w:shd w:val="clear" w:color="auto" w:fill="auto"/>
            <w:vAlign w:val="center"/>
          </w:tcPr>
          <w:p w14:paraId="70AFD052">
            <w:pPr>
              <w:pStyle w:val="143"/>
              <w:ind w:firstLine="0"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53.2</w:t>
            </w:r>
          </w:p>
        </w:tc>
        <w:tc>
          <w:tcPr>
            <w:tcW w:w="773" w:type="pct"/>
            <w:shd w:val="clear" w:color="auto" w:fill="auto"/>
            <w:vAlign w:val="center"/>
          </w:tcPr>
          <w:p w14:paraId="23D7C52A">
            <w:pPr>
              <w:pStyle w:val="143"/>
              <w:ind w:firstLine="0" w:firstLineChars="0"/>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250</w:t>
            </w:r>
          </w:p>
        </w:tc>
        <w:tc>
          <w:tcPr>
            <w:tcW w:w="933" w:type="pct"/>
            <w:shd w:val="clear" w:color="auto" w:fill="auto"/>
            <w:vAlign w:val="center"/>
          </w:tcPr>
          <w:p w14:paraId="27B39AF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2220</w:t>
            </w:r>
          </w:p>
        </w:tc>
      </w:tr>
      <w:tr w14:paraId="6A096F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19743F16">
            <w:pPr>
              <w:pStyle w:val="143"/>
              <w:rPr>
                <w:color w:val="000000" w:themeColor="text1"/>
                <w14:textFill>
                  <w14:solidFill>
                    <w14:schemeClr w14:val="tx1"/>
                  </w14:solidFill>
                </w14:textFill>
              </w:rPr>
            </w:pPr>
          </w:p>
        </w:tc>
        <w:tc>
          <w:tcPr>
            <w:tcW w:w="917" w:type="pct"/>
            <w:shd w:val="clear" w:color="auto" w:fill="auto"/>
            <w:vAlign w:val="center"/>
          </w:tcPr>
          <w:p w14:paraId="1BA4E8B1">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207F7C89">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110</w:t>
            </w:r>
          </w:p>
        </w:tc>
        <w:tc>
          <w:tcPr>
            <w:tcW w:w="883" w:type="pct"/>
            <w:shd w:val="clear" w:color="auto" w:fill="auto"/>
            <w:vAlign w:val="center"/>
          </w:tcPr>
          <w:p w14:paraId="55D94A04">
            <w:pPr>
              <w:pStyle w:val="143"/>
              <w:ind w:firstLine="0" w:firstLineChars="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5.07</w:t>
            </w:r>
          </w:p>
        </w:tc>
        <w:tc>
          <w:tcPr>
            <w:tcW w:w="773" w:type="pct"/>
            <w:shd w:val="clear" w:color="auto" w:fill="auto"/>
            <w:vAlign w:val="center"/>
          </w:tcPr>
          <w:p w14:paraId="0BF968C7">
            <w:pPr>
              <w:pStyle w:val="143"/>
              <w:ind w:firstLine="0" w:firstLineChars="0"/>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275</w:t>
            </w:r>
          </w:p>
        </w:tc>
        <w:tc>
          <w:tcPr>
            <w:tcW w:w="933" w:type="pct"/>
            <w:shd w:val="clear" w:color="auto" w:fill="auto"/>
            <w:vAlign w:val="center"/>
          </w:tcPr>
          <w:p w14:paraId="7A354E4A">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1360</w:t>
            </w:r>
          </w:p>
        </w:tc>
      </w:tr>
      <w:tr w14:paraId="4D4AEE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6" w:type="pct"/>
            <w:shd w:val="clear" w:color="auto" w:fill="auto"/>
            <w:vAlign w:val="center"/>
          </w:tcPr>
          <w:p w14:paraId="0700F2DD">
            <w:pPr>
              <w:pStyle w:val="143"/>
              <w:rPr>
                <w:color w:val="000000" w:themeColor="text1"/>
                <w14:textFill>
                  <w14:solidFill>
                    <w14:schemeClr w14:val="tx1"/>
                  </w14:solidFill>
                </w14:textFill>
              </w:rPr>
            </w:pPr>
          </w:p>
        </w:tc>
        <w:tc>
          <w:tcPr>
            <w:tcW w:w="917" w:type="pct"/>
            <w:shd w:val="clear" w:color="auto" w:fill="auto"/>
            <w:vAlign w:val="center"/>
          </w:tcPr>
          <w:p w14:paraId="4A71B9BD">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07EF5D02">
            <w:pPr>
              <w:pStyle w:val="143"/>
              <w:ind w:firstLine="0" w:firstLineChars="0"/>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120</w:t>
            </w:r>
          </w:p>
        </w:tc>
        <w:tc>
          <w:tcPr>
            <w:tcW w:w="883" w:type="pct"/>
            <w:shd w:val="clear" w:color="auto" w:fill="auto"/>
            <w:vAlign w:val="center"/>
          </w:tcPr>
          <w:p w14:paraId="04CFC4EF">
            <w:pPr>
              <w:pStyle w:val="143"/>
              <w:ind w:firstLine="0" w:firstLineChars="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0.25</w:t>
            </w:r>
          </w:p>
        </w:tc>
        <w:tc>
          <w:tcPr>
            <w:tcW w:w="773" w:type="pct"/>
            <w:shd w:val="clear" w:color="auto" w:fill="auto"/>
            <w:vAlign w:val="center"/>
          </w:tcPr>
          <w:p w14:paraId="31C2C8EF">
            <w:pPr>
              <w:pStyle w:val="143"/>
              <w:ind w:firstLine="0" w:firstLineChars="0"/>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300</w:t>
            </w:r>
          </w:p>
        </w:tc>
        <w:tc>
          <w:tcPr>
            <w:tcW w:w="933" w:type="pct"/>
            <w:shd w:val="clear" w:color="auto" w:fill="auto"/>
            <w:vAlign w:val="center"/>
          </w:tcPr>
          <w:p w14:paraId="18A356F0">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39.7</w:t>
            </w:r>
          </w:p>
        </w:tc>
      </w:tr>
      <w:tr w14:paraId="7A4A5B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6" w:type="pct"/>
            <w:shd w:val="clear" w:color="auto" w:fill="auto"/>
            <w:vAlign w:val="center"/>
          </w:tcPr>
          <w:p w14:paraId="4E9B8A1E">
            <w:pPr>
              <w:pStyle w:val="143"/>
              <w:rPr>
                <w:color w:val="000000" w:themeColor="text1"/>
                <w14:textFill>
                  <w14:solidFill>
                    <w14:schemeClr w14:val="tx1"/>
                  </w14:solidFill>
                </w14:textFill>
              </w:rPr>
            </w:pPr>
          </w:p>
        </w:tc>
        <w:tc>
          <w:tcPr>
            <w:tcW w:w="917" w:type="pct"/>
            <w:shd w:val="clear" w:color="auto" w:fill="auto"/>
            <w:vAlign w:val="center"/>
          </w:tcPr>
          <w:p w14:paraId="400E847A">
            <w:pPr>
              <w:pStyle w:val="143"/>
              <w:rPr>
                <w:rFonts w:hint="default" w:eastAsia="宋体"/>
                <w:color w:val="000000" w:themeColor="text1"/>
                <w:lang w:val="en-US" w:eastAsia="zh-CN"/>
                <w14:textFill>
                  <w14:solidFill>
                    <w14:schemeClr w14:val="tx1"/>
                  </w14:solidFill>
                </w14:textFill>
              </w:rPr>
            </w:pPr>
          </w:p>
        </w:tc>
        <w:tc>
          <w:tcPr>
            <w:tcW w:w="743" w:type="pct"/>
            <w:shd w:val="clear" w:color="auto" w:fill="auto"/>
            <w:vAlign w:val="center"/>
          </w:tcPr>
          <w:p w14:paraId="07FD2586">
            <w:pPr>
              <w:pStyle w:val="143"/>
              <w:ind w:firstLine="0" w:firstLineChars="0"/>
              <w:rPr>
                <w:color w:val="000000" w:themeColor="text1"/>
                <w14:textFill>
                  <w14:solidFill>
                    <w14:schemeClr w14:val="tx1"/>
                  </w14:solidFill>
                </w14:textFill>
              </w:rPr>
            </w:pPr>
          </w:p>
        </w:tc>
        <w:tc>
          <w:tcPr>
            <w:tcW w:w="883" w:type="pct"/>
            <w:shd w:val="clear" w:color="auto" w:fill="auto"/>
            <w:vAlign w:val="center"/>
          </w:tcPr>
          <w:p w14:paraId="15953A0F">
            <w:pPr>
              <w:pStyle w:val="143"/>
              <w:ind w:firstLine="0" w:firstLineChars="0"/>
              <w:rPr>
                <w:rFonts w:hint="default" w:eastAsia="宋体"/>
                <w:color w:val="000000" w:themeColor="text1"/>
                <w:lang w:val="en-US" w:eastAsia="zh-CN"/>
                <w14:textFill>
                  <w14:solidFill>
                    <w14:schemeClr w14:val="tx1"/>
                  </w14:solidFill>
                </w14:textFill>
              </w:rPr>
            </w:pPr>
          </w:p>
        </w:tc>
        <w:tc>
          <w:tcPr>
            <w:tcW w:w="773" w:type="pct"/>
            <w:shd w:val="clear" w:color="auto" w:fill="auto"/>
            <w:vAlign w:val="center"/>
          </w:tcPr>
          <w:p w14:paraId="18E103A7">
            <w:pPr>
              <w:pStyle w:val="143"/>
              <w:ind w:firstLine="0" w:firstLineChars="0"/>
              <w:rPr>
                <w:rFonts w:hint="default"/>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325</w:t>
            </w:r>
          </w:p>
        </w:tc>
        <w:tc>
          <w:tcPr>
            <w:tcW w:w="933" w:type="pct"/>
            <w:shd w:val="clear" w:color="auto" w:fill="auto"/>
            <w:vAlign w:val="center"/>
          </w:tcPr>
          <w:p w14:paraId="0B55EBF9">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4.40</w:t>
            </w:r>
          </w:p>
        </w:tc>
      </w:tr>
      <w:tr w14:paraId="02A723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46" w:type="pct"/>
            <w:shd w:val="clear" w:color="auto" w:fill="auto"/>
            <w:vAlign w:val="center"/>
          </w:tcPr>
          <w:p w14:paraId="11B128C9">
            <w:pPr>
              <w:pStyle w:val="143"/>
              <w:rPr>
                <w:color w:val="000000" w:themeColor="text1"/>
                <w14:textFill>
                  <w14:solidFill>
                    <w14:schemeClr w14:val="tx1"/>
                  </w14:solidFill>
                </w14:textFill>
              </w:rPr>
            </w:pPr>
          </w:p>
        </w:tc>
        <w:tc>
          <w:tcPr>
            <w:tcW w:w="917" w:type="pct"/>
            <w:shd w:val="clear" w:color="auto" w:fill="auto"/>
            <w:vAlign w:val="center"/>
          </w:tcPr>
          <w:p w14:paraId="547661FD">
            <w:pPr>
              <w:pStyle w:val="143"/>
              <w:ind w:firstLine="0" w:firstLineChars="0"/>
              <w:rPr>
                <w:color w:val="000000" w:themeColor="text1"/>
                <w14:textFill>
                  <w14:solidFill>
                    <w14:schemeClr w14:val="tx1"/>
                  </w14:solidFill>
                </w14:textFill>
              </w:rPr>
            </w:pPr>
          </w:p>
        </w:tc>
        <w:tc>
          <w:tcPr>
            <w:tcW w:w="743" w:type="pct"/>
            <w:shd w:val="clear" w:color="auto" w:fill="auto"/>
            <w:vAlign w:val="center"/>
          </w:tcPr>
          <w:p w14:paraId="5C99FEE0">
            <w:pPr>
              <w:pStyle w:val="143"/>
              <w:ind w:firstLine="0" w:firstLineChars="0"/>
              <w:rPr>
                <w:color w:val="000000" w:themeColor="text1"/>
                <w14:textFill>
                  <w14:solidFill>
                    <w14:schemeClr w14:val="tx1"/>
                  </w14:solidFill>
                </w14:textFill>
              </w:rPr>
            </w:pPr>
          </w:p>
        </w:tc>
        <w:tc>
          <w:tcPr>
            <w:tcW w:w="883" w:type="pct"/>
            <w:shd w:val="clear" w:color="auto" w:fill="auto"/>
            <w:vAlign w:val="center"/>
          </w:tcPr>
          <w:p w14:paraId="1AD3BAA8">
            <w:pPr>
              <w:pStyle w:val="143"/>
              <w:ind w:firstLine="0" w:firstLineChars="0"/>
              <w:rPr>
                <w:rFonts w:hint="default" w:eastAsia="宋体"/>
                <w:color w:val="000000" w:themeColor="text1"/>
                <w:lang w:val="en-US" w:eastAsia="zh-CN"/>
                <w14:textFill>
                  <w14:solidFill>
                    <w14:schemeClr w14:val="tx1"/>
                  </w14:solidFill>
                </w14:textFill>
              </w:rPr>
            </w:pPr>
          </w:p>
        </w:tc>
        <w:tc>
          <w:tcPr>
            <w:tcW w:w="773" w:type="pct"/>
            <w:shd w:val="clear" w:color="auto" w:fill="auto"/>
            <w:vAlign w:val="center"/>
          </w:tcPr>
          <w:p w14:paraId="47AC8C5B">
            <w:pPr>
              <w:pStyle w:val="143"/>
              <w:ind w:firstLine="0" w:firstLineChars="0"/>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350</w:t>
            </w:r>
          </w:p>
        </w:tc>
        <w:tc>
          <w:tcPr>
            <w:tcW w:w="933" w:type="pct"/>
            <w:shd w:val="clear" w:color="auto" w:fill="auto"/>
            <w:vAlign w:val="center"/>
          </w:tcPr>
          <w:p w14:paraId="41916A48">
            <w:pPr>
              <w:pStyle w:val="143"/>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1.65</w:t>
            </w:r>
          </w:p>
        </w:tc>
      </w:tr>
    </w:tbl>
    <w:p w14:paraId="7CEABF89">
      <w:pPr>
        <w:pStyle w:val="206"/>
        <w:rPr>
          <w:color w:val="000000" w:themeColor="text1"/>
          <w14:textFill>
            <w14:solidFill>
              <w14:schemeClr w14:val="tx1"/>
            </w14:solidFill>
          </w14:textFill>
        </w:rPr>
      </w:pPr>
      <w:r>
        <w:rPr>
          <w:color w:val="000000" w:themeColor="text1"/>
          <w14:textFill>
            <w14:solidFill>
              <w14:schemeClr w14:val="tx1"/>
            </w14:solidFill>
          </w14:textFill>
        </w:rPr>
        <w:t>表5-2-1</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 xml:space="preserve"> 非正常状况渗漏地下水污染预测结果表</w:t>
      </w:r>
    </w:p>
    <w:tbl>
      <w:tblPr>
        <w:tblStyle w:val="4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41"/>
        <w:gridCol w:w="1526"/>
        <w:gridCol w:w="1237"/>
        <w:gridCol w:w="1470"/>
        <w:gridCol w:w="1287"/>
        <w:gridCol w:w="1551"/>
      </w:tblGrid>
      <w:tr w14:paraId="0CC303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000" w:type="pct"/>
            <w:gridSpan w:val="6"/>
            <w:shd w:val="clear" w:color="auto" w:fill="auto"/>
            <w:vAlign w:val="center"/>
          </w:tcPr>
          <w:p w14:paraId="307C7B99">
            <w:pPr>
              <w:pStyle w:val="143"/>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氨氮</w:t>
            </w:r>
            <w:r>
              <w:rPr>
                <w:color w:val="000000" w:themeColor="text1"/>
                <w14:textFill>
                  <w14:solidFill>
                    <w14:schemeClr w14:val="tx1"/>
                  </w14:solidFill>
                </w14:textFill>
              </w:rPr>
              <w:t>污染物迁移结果</w:t>
            </w:r>
          </w:p>
        </w:tc>
      </w:tr>
      <w:tr w14:paraId="1DC659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665" w:type="pct"/>
            <w:gridSpan w:val="2"/>
            <w:shd w:val="clear" w:color="auto" w:fill="auto"/>
            <w:vAlign w:val="center"/>
          </w:tcPr>
          <w:p w14:paraId="307AED33">
            <w:pPr>
              <w:pStyle w:val="143"/>
              <w:rPr>
                <w:color w:val="000000" w:themeColor="text1"/>
                <w14:textFill>
                  <w14:solidFill>
                    <w14:schemeClr w14:val="tx1"/>
                  </w14:solidFill>
                </w14:textFill>
              </w:rPr>
            </w:pPr>
            <w:r>
              <w:rPr>
                <w:color w:val="000000" w:themeColor="text1"/>
                <w14:textFill>
                  <w14:solidFill>
                    <w14:schemeClr w14:val="tx1"/>
                  </w14:solidFill>
                </w14:textFill>
              </w:rPr>
              <w:t>100d</w:t>
            </w:r>
          </w:p>
        </w:tc>
        <w:tc>
          <w:tcPr>
            <w:tcW w:w="1628" w:type="pct"/>
            <w:gridSpan w:val="2"/>
            <w:shd w:val="clear" w:color="auto" w:fill="auto"/>
            <w:vAlign w:val="center"/>
          </w:tcPr>
          <w:p w14:paraId="76EA7D4A">
            <w:pPr>
              <w:pStyle w:val="143"/>
              <w:rPr>
                <w:color w:val="000000" w:themeColor="text1"/>
                <w14:textFill>
                  <w14:solidFill>
                    <w14:schemeClr w14:val="tx1"/>
                  </w14:solidFill>
                </w14:textFill>
              </w:rPr>
            </w:pPr>
            <w:r>
              <w:rPr>
                <w:color w:val="000000" w:themeColor="text1"/>
                <w14:textFill>
                  <w14:solidFill>
                    <w14:schemeClr w14:val="tx1"/>
                  </w14:solidFill>
                </w14:textFill>
              </w:rPr>
              <w:t>1000d</w:t>
            </w:r>
          </w:p>
        </w:tc>
        <w:tc>
          <w:tcPr>
            <w:tcW w:w="1705" w:type="pct"/>
            <w:gridSpan w:val="2"/>
            <w:shd w:val="clear" w:color="auto" w:fill="auto"/>
            <w:vAlign w:val="center"/>
          </w:tcPr>
          <w:p w14:paraId="1CD56FD4">
            <w:pPr>
              <w:pStyle w:val="143"/>
              <w:rPr>
                <w:color w:val="000000" w:themeColor="text1"/>
                <w14:textFill>
                  <w14:solidFill>
                    <w14:schemeClr w14:val="tx1"/>
                  </w14:solidFill>
                </w14:textFill>
              </w:rPr>
            </w:pPr>
            <w:r>
              <w:rPr>
                <w:color w:val="000000" w:themeColor="text1"/>
                <w14:textFill>
                  <w14:solidFill>
                    <w14:schemeClr w14:val="tx1"/>
                  </w14:solidFill>
                </w14:textFill>
              </w:rPr>
              <w:t>10</w:t>
            </w:r>
            <w:r>
              <w:rPr>
                <w:rFonts w:hint="eastAsia"/>
                <w:color w:val="000000" w:themeColor="text1"/>
                <w:lang w:eastAsia="zh-CN"/>
                <w14:textFill>
                  <w14:solidFill>
                    <w14:schemeClr w14:val="tx1"/>
                  </w14:solidFill>
                </w14:textFill>
              </w:rPr>
              <w:t>a</w:t>
            </w:r>
          </w:p>
        </w:tc>
      </w:tr>
      <w:tr w14:paraId="1670E8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5D68C3CF">
            <w:pPr>
              <w:pStyle w:val="143"/>
              <w:rPr>
                <w:color w:val="000000" w:themeColor="text1"/>
                <w14:textFill>
                  <w14:solidFill>
                    <w14:schemeClr w14:val="tx1"/>
                  </w14:solidFill>
                </w14:textFill>
              </w:rPr>
            </w:pPr>
            <w:r>
              <w:rPr>
                <w:color w:val="000000" w:themeColor="text1"/>
                <w14:textFill>
                  <w14:solidFill>
                    <w14:schemeClr w14:val="tx1"/>
                  </w14:solidFill>
                </w14:textFill>
              </w:rPr>
              <w:t>距离（m）</w:t>
            </w:r>
          </w:p>
        </w:tc>
        <w:tc>
          <w:tcPr>
            <w:tcW w:w="917" w:type="pct"/>
            <w:shd w:val="clear" w:color="auto" w:fill="auto"/>
            <w:vAlign w:val="center"/>
          </w:tcPr>
          <w:p w14:paraId="172CCBFF">
            <w:pPr>
              <w:pStyle w:val="143"/>
              <w:rPr>
                <w:rFonts w:hint="eastAsia"/>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浓度（mg/L）</w:t>
            </w:r>
          </w:p>
        </w:tc>
        <w:tc>
          <w:tcPr>
            <w:tcW w:w="744" w:type="pct"/>
            <w:shd w:val="clear" w:color="auto" w:fill="auto"/>
            <w:vAlign w:val="center"/>
          </w:tcPr>
          <w:p w14:paraId="2C9AA96A">
            <w:pPr>
              <w:pStyle w:val="143"/>
              <w:rPr>
                <w:color w:val="000000" w:themeColor="text1"/>
                <w14:textFill>
                  <w14:solidFill>
                    <w14:schemeClr w14:val="tx1"/>
                  </w14:solidFill>
                </w14:textFill>
              </w:rPr>
            </w:pPr>
            <w:r>
              <w:rPr>
                <w:color w:val="000000" w:themeColor="text1"/>
                <w14:textFill>
                  <w14:solidFill>
                    <w14:schemeClr w14:val="tx1"/>
                  </w14:solidFill>
                </w14:textFill>
              </w:rPr>
              <w:t>距离（m）</w:t>
            </w:r>
          </w:p>
        </w:tc>
        <w:tc>
          <w:tcPr>
            <w:tcW w:w="884" w:type="pct"/>
            <w:shd w:val="clear" w:color="auto" w:fill="auto"/>
            <w:vAlign w:val="center"/>
          </w:tcPr>
          <w:p w14:paraId="44620EB1">
            <w:pPr>
              <w:pStyle w:val="143"/>
              <w:rPr>
                <w:color w:val="000000" w:themeColor="text1"/>
                <w14:textFill>
                  <w14:solidFill>
                    <w14:schemeClr w14:val="tx1"/>
                  </w14:solidFill>
                </w14:textFill>
              </w:rPr>
            </w:pPr>
            <w:r>
              <w:rPr>
                <w:color w:val="000000" w:themeColor="text1"/>
                <w14:textFill>
                  <w14:solidFill>
                    <w14:schemeClr w14:val="tx1"/>
                  </w14:solidFill>
                </w14:textFill>
              </w:rPr>
              <w:t>浓度（mg/L）</w:t>
            </w:r>
          </w:p>
        </w:tc>
        <w:tc>
          <w:tcPr>
            <w:tcW w:w="774" w:type="pct"/>
            <w:shd w:val="clear" w:color="auto" w:fill="auto"/>
            <w:vAlign w:val="center"/>
          </w:tcPr>
          <w:p w14:paraId="00DA6536">
            <w:pPr>
              <w:pStyle w:val="143"/>
              <w:rPr>
                <w:color w:val="000000" w:themeColor="text1"/>
                <w14:textFill>
                  <w14:solidFill>
                    <w14:schemeClr w14:val="tx1"/>
                  </w14:solidFill>
                </w14:textFill>
              </w:rPr>
            </w:pPr>
            <w:r>
              <w:rPr>
                <w:color w:val="000000" w:themeColor="text1"/>
                <w14:textFill>
                  <w14:solidFill>
                    <w14:schemeClr w14:val="tx1"/>
                  </w14:solidFill>
                </w14:textFill>
              </w:rPr>
              <w:t>距离（m）</w:t>
            </w:r>
          </w:p>
        </w:tc>
        <w:tc>
          <w:tcPr>
            <w:tcW w:w="931" w:type="pct"/>
            <w:shd w:val="clear" w:color="auto" w:fill="auto"/>
            <w:vAlign w:val="center"/>
          </w:tcPr>
          <w:p w14:paraId="556971FA">
            <w:pPr>
              <w:pStyle w:val="143"/>
              <w:rPr>
                <w:color w:val="000000" w:themeColor="text1"/>
                <w14:textFill>
                  <w14:solidFill>
                    <w14:schemeClr w14:val="tx1"/>
                  </w14:solidFill>
                </w14:textFill>
              </w:rPr>
            </w:pPr>
            <w:r>
              <w:rPr>
                <w:color w:val="000000" w:themeColor="text1"/>
                <w14:textFill>
                  <w14:solidFill>
                    <w14:schemeClr w14:val="tx1"/>
                  </w14:solidFill>
                </w14:textFill>
              </w:rPr>
              <w:t>浓度（mg/L）</w:t>
            </w:r>
          </w:p>
        </w:tc>
      </w:tr>
      <w:tr w14:paraId="25F30D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04A3FCC1">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0</w:t>
            </w:r>
          </w:p>
        </w:tc>
        <w:tc>
          <w:tcPr>
            <w:tcW w:w="917" w:type="pct"/>
            <w:shd w:val="clear" w:color="auto" w:fill="auto"/>
            <w:vAlign w:val="center"/>
          </w:tcPr>
          <w:p w14:paraId="22241DE1">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c>
          <w:tcPr>
            <w:tcW w:w="744" w:type="pct"/>
            <w:shd w:val="clear" w:color="auto" w:fill="auto"/>
            <w:vAlign w:val="center"/>
          </w:tcPr>
          <w:p w14:paraId="5E9B0931">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0</w:t>
            </w:r>
          </w:p>
        </w:tc>
        <w:tc>
          <w:tcPr>
            <w:tcW w:w="884" w:type="pct"/>
            <w:shd w:val="clear" w:color="auto" w:fill="auto"/>
            <w:vAlign w:val="center"/>
          </w:tcPr>
          <w:p w14:paraId="7CBC8F70">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c>
          <w:tcPr>
            <w:tcW w:w="774" w:type="pct"/>
            <w:shd w:val="clear" w:color="auto" w:fill="auto"/>
            <w:vAlign w:val="center"/>
          </w:tcPr>
          <w:p w14:paraId="68D7B871">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0</w:t>
            </w:r>
          </w:p>
        </w:tc>
        <w:tc>
          <w:tcPr>
            <w:tcW w:w="931" w:type="pct"/>
            <w:shd w:val="clear" w:color="auto" w:fill="auto"/>
            <w:vAlign w:val="center"/>
          </w:tcPr>
          <w:p w14:paraId="36CBB186">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770506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784928C1">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10</w:t>
            </w:r>
          </w:p>
        </w:tc>
        <w:tc>
          <w:tcPr>
            <w:tcW w:w="917" w:type="pct"/>
            <w:shd w:val="clear" w:color="auto" w:fill="auto"/>
            <w:vAlign w:val="center"/>
          </w:tcPr>
          <w:p w14:paraId="29AD5D50">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29.40 </w:t>
            </w:r>
          </w:p>
        </w:tc>
        <w:tc>
          <w:tcPr>
            <w:tcW w:w="744" w:type="pct"/>
            <w:shd w:val="clear" w:color="auto" w:fill="auto"/>
            <w:vAlign w:val="center"/>
          </w:tcPr>
          <w:p w14:paraId="7AE1A0CC">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10</w:t>
            </w:r>
          </w:p>
        </w:tc>
        <w:tc>
          <w:tcPr>
            <w:tcW w:w="884" w:type="pct"/>
            <w:shd w:val="clear" w:color="auto" w:fill="auto"/>
            <w:vAlign w:val="center"/>
          </w:tcPr>
          <w:p w14:paraId="3CE2B10A">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c>
          <w:tcPr>
            <w:tcW w:w="774" w:type="pct"/>
            <w:shd w:val="clear" w:color="auto" w:fill="auto"/>
            <w:vAlign w:val="center"/>
          </w:tcPr>
          <w:p w14:paraId="5FAE9B15">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10</w:t>
            </w:r>
          </w:p>
        </w:tc>
        <w:tc>
          <w:tcPr>
            <w:tcW w:w="931" w:type="pct"/>
            <w:shd w:val="clear" w:color="auto" w:fill="auto"/>
            <w:vAlign w:val="center"/>
          </w:tcPr>
          <w:p w14:paraId="48805549">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680706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16D3353F">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20</w:t>
            </w:r>
          </w:p>
        </w:tc>
        <w:tc>
          <w:tcPr>
            <w:tcW w:w="917" w:type="pct"/>
            <w:shd w:val="clear" w:color="auto" w:fill="auto"/>
            <w:vAlign w:val="center"/>
          </w:tcPr>
          <w:p w14:paraId="3FAE82B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0.06 </w:t>
            </w:r>
          </w:p>
        </w:tc>
        <w:tc>
          <w:tcPr>
            <w:tcW w:w="744" w:type="pct"/>
            <w:shd w:val="clear" w:color="auto" w:fill="auto"/>
            <w:vAlign w:val="center"/>
          </w:tcPr>
          <w:p w14:paraId="24DA3FC3">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20</w:t>
            </w:r>
          </w:p>
        </w:tc>
        <w:tc>
          <w:tcPr>
            <w:tcW w:w="884" w:type="pct"/>
            <w:shd w:val="clear" w:color="auto" w:fill="auto"/>
            <w:vAlign w:val="center"/>
          </w:tcPr>
          <w:p w14:paraId="63CCF108">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c>
          <w:tcPr>
            <w:tcW w:w="774" w:type="pct"/>
            <w:shd w:val="clear" w:color="auto" w:fill="auto"/>
            <w:vAlign w:val="center"/>
          </w:tcPr>
          <w:p w14:paraId="4847ADE7">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20</w:t>
            </w:r>
          </w:p>
        </w:tc>
        <w:tc>
          <w:tcPr>
            <w:tcW w:w="931" w:type="pct"/>
            <w:shd w:val="clear" w:color="auto" w:fill="auto"/>
            <w:vAlign w:val="center"/>
          </w:tcPr>
          <w:p w14:paraId="00E74346">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3E9E22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7" w:type="pct"/>
            <w:shd w:val="clear" w:color="auto" w:fill="auto"/>
            <w:vAlign w:val="center"/>
          </w:tcPr>
          <w:p w14:paraId="708BA8DF">
            <w:pPr>
              <w:pStyle w:val="143"/>
              <w:rPr>
                <w:color w:val="000000" w:themeColor="text1"/>
                <w14:textFill>
                  <w14:solidFill>
                    <w14:schemeClr w14:val="tx1"/>
                  </w14:solidFill>
                </w14:textFill>
              </w:rPr>
            </w:pPr>
          </w:p>
        </w:tc>
        <w:tc>
          <w:tcPr>
            <w:tcW w:w="917" w:type="pct"/>
            <w:shd w:val="clear" w:color="auto" w:fill="auto"/>
            <w:vAlign w:val="center"/>
          </w:tcPr>
          <w:p w14:paraId="38DA6EB8">
            <w:pPr>
              <w:pStyle w:val="143"/>
              <w:rPr>
                <w:rFonts w:hint="eastAsia"/>
                <w:color w:val="000000" w:themeColor="text1"/>
                <w:sz w:val="22"/>
                <w14:textFill>
                  <w14:solidFill>
                    <w14:schemeClr w14:val="tx1"/>
                  </w14:solidFill>
                </w14:textFill>
              </w:rPr>
            </w:pPr>
          </w:p>
        </w:tc>
        <w:tc>
          <w:tcPr>
            <w:tcW w:w="744" w:type="pct"/>
            <w:shd w:val="clear" w:color="auto" w:fill="auto"/>
            <w:vAlign w:val="center"/>
          </w:tcPr>
          <w:p w14:paraId="2ED65E7D">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30</w:t>
            </w:r>
          </w:p>
        </w:tc>
        <w:tc>
          <w:tcPr>
            <w:tcW w:w="884" w:type="pct"/>
            <w:shd w:val="clear" w:color="auto" w:fill="auto"/>
            <w:vAlign w:val="center"/>
          </w:tcPr>
          <w:p w14:paraId="70F3AC7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c>
          <w:tcPr>
            <w:tcW w:w="774" w:type="pct"/>
            <w:shd w:val="clear" w:color="auto" w:fill="auto"/>
            <w:vAlign w:val="center"/>
          </w:tcPr>
          <w:p w14:paraId="4F2D1166">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30</w:t>
            </w:r>
          </w:p>
        </w:tc>
        <w:tc>
          <w:tcPr>
            <w:tcW w:w="931" w:type="pct"/>
            <w:shd w:val="clear" w:color="auto" w:fill="auto"/>
            <w:vAlign w:val="center"/>
          </w:tcPr>
          <w:p w14:paraId="0F0155BE">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45B888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53AD4A70">
            <w:pPr>
              <w:pStyle w:val="143"/>
              <w:rPr>
                <w:color w:val="000000" w:themeColor="text1"/>
                <w14:textFill>
                  <w14:solidFill>
                    <w14:schemeClr w14:val="tx1"/>
                  </w14:solidFill>
                </w14:textFill>
              </w:rPr>
            </w:pPr>
          </w:p>
        </w:tc>
        <w:tc>
          <w:tcPr>
            <w:tcW w:w="917" w:type="pct"/>
            <w:shd w:val="clear" w:color="auto" w:fill="auto"/>
            <w:vAlign w:val="center"/>
          </w:tcPr>
          <w:p w14:paraId="3A0D7AB6">
            <w:pPr>
              <w:pStyle w:val="143"/>
              <w:rPr>
                <w:color w:val="000000" w:themeColor="text1"/>
                <w14:textFill>
                  <w14:solidFill>
                    <w14:schemeClr w14:val="tx1"/>
                  </w14:solidFill>
                </w14:textFill>
              </w:rPr>
            </w:pPr>
          </w:p>
        </w:tc>
        <w:tc>
          <w:tcPr>
            <w:tcW w:w="744" w:type="pct"/>
            <w:shd w:val="clear" w:color="auto" w:fill="auto"/>
            <w:vAlign w:val="center"/>
          </w:tcPr>
          <w:p w14:paraId="322971A8">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40</w:t>
            </w:r>
          </w:p>
        </w:tc>
        <w:tc>
          <w:tcPr>
            <w:tcW w:w="884" w:type="pct"/>
            <w:shd w:val="clear" w:color="auto" w:fill="auto"/>
            <w:vAlign w:val="center"/>
          </w:tcPr>
          <w:p w14:paraId="7AFA1631">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89.90 </w:t>
            </w:r>
          </w:p>
        </w:tc>
        <w:tc>
          <w:tcPr>
            <w:tcW w:w="774" w:type="pct"/>
            <w:shd w:val="clear" w:color="auto" w:fill="auto"/>
            <w:vAlign w:val="center"/>
          </w:tcPr>
          <w:p w14:paraId="67323FA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40</w:t>
            </w:r>
          </w:p>
        </w:tc>
        <w:tc>
          <w:tcPr>
            <w:tcW w:w="931" w:type="pct"/>
            <w:shd w:val="clear" w:color="auto" w:fill="auto"/>
            <w:vAlign w:val="center"/>
          </w:tcPr>
          <w:p w14:paraId="0DC19CA7">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1482D0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747" w:type="pct"/>
            <w:shd w:val="clear" w:color="auto" w:fill="auto"/>
            <w:vAlign w:val="center"/>
          </w:tcPr>
          <w:p w14:paraId="5363452E">
            <w:pPr>
              <w:pStyle w:val="143"/>
              <w:rPr>
                <w:color w:val="000000" w:themeColor="text1"/>
                <w14:textFill>
                  <w14:solidFill>
                    <w14:schemeClr w14:val="tx1"/>
                  </w14:solidFill>
                </w14:textFill>
              </w:rPr>
            </w:pPr>
          </w:p>
        </w:tc>
        <w:tc>
          <w:tcPr>
            <w:tcW w:w="917" w:type="pct"/>
            <w:shd w:val="clear" w:color="auto" w:fill="auto"/>
            <w:vAlign w:val="center"/>
          </w:tcPr>
          <w:p w14:paraId="2261D339">
            <w:pPr>
              <w:pStyle w:val="143"/>
              <w:rPr>
                <w:color w:val="000000" w:themeColor="text1"/>
                <w14:textFill>
                  <w14:solidFill>
                    <w14:schemeClr w14:val="tx1"/>
                  </w14:solidFill>
                </w14:textFill>
              </w:rPr>
            </w:pPr>
          </w:p>
        </w:tc>
        <w:tc>
          <w:tcPr>
            <w:tcW w:w="744" w:type="pct"/>
            <w:shd w:val="clear" w:color="auto" w:fill="auto"/>
            <w:vAlign w:val="center"/>
          </w:tcPr>
          <w:p w14:paraId="1DF0FF8F">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50</w:t>
            </w:r>
          </w:p>
        </w:tc>
        <w:tc>
          <w:tcPr>
            <w:tcW w:w="884" w:type="pct"/>
            <w:shd w:val="clear" w:color="auto" w:fill="auto"/>
            <w:vAlign w:val="center"/>
          </w:tcPr>
          <w:p w14:paraId="4188E039">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88.70 </w:t>
            </w:r>
          </w:p>
        </w:tc>
        <w:tc>
          <w:tcPr>
            <w:tcW w:w="774" w:type="pct"/>
            <w:shd w:val="clear" w:color="auto" w:fill="auto"/>
            <w:vAlign w:val="center"/>
          </w:tcPr>
          <w:p w14:paraId="3B0ECB4A">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50</w:t>
            </w:r>
          </w:p>
        </w:tc>
        <w:tc>
          <w:tcPr>
            <w:tcW w:w="931" w:type="pct"/>
            <w:shd w:val="clear" w:color="auto" w:fill="auto"/>
            <w:vAlign w:val="center"/>
          </w:tcPr>
          <w:p w14:paraId="4199B4E4">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7500CD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797A4031">
            <w:pPr>
              <w:pStyle w:val="143"/>
              <w:rPr>
                <w:color w:val="000000" w:themeColor="text1"/>
                <w14:textFill>
                  <w14:solidFill>
                    <w14:schemeClr w14:val="tx1"/>
                  </w14:solidFill>
                </w14:textFill>
              </w:rPr>
            </w:pPr>
          </w:p>
        </w:tc>
        <w:tc>
          <w:tcPr>
            <w:tcW w:w="917" w:type="pct"/>
            <w:shd w:val="clear" w:color="auto" w:fill="auto"/>
            <w:vAlign w:val="center"/>
          </w:tcPr>
          <w:p w14:paraId="61FD87D1">
            <w:pPr>
              <w:pStyle w:val="143"/>
              <w:rPr>
                <w:color w:val="000000" w:themeColor="text1"/>
                <w14:textFill>
                  <w14:solidFill>
                    <w14:schemeClr w14:val="tx1"/>
                  </w14:solidFill>
                </w14:textFill>
              </w:rPr>
            </w:pPr>
          </w:p>
        </w:tc>
        <w:tc>
          <w:tcPr>
            <w:tcW w:w="744" w:type="pct"/>
            <w:shd w:val="clear" w:color="auto" w:fill="auto"/>
            <w:vAlign w:val="center"/>
          </w:tcPr>
          <w:p w14:paraId="56504C0B">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60</w:t>
            </w:r>
          </w:p>
        </w:tc>
        <w:tc>
          <w:tcPr>
            <w:tcW w:w="884" w:type="pct"/>
            <w:shd w:val="clear" w:color="auto" w:fill="auto"/>
            <w:vAlign w:val="center"/>
          </w:tcPr>
          <w:p w14:paraId="61822A25">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82.10 </w:t>
            </w:r>
          </w:p>
        </w:tc>
        <w:tc>
          <w:tcPr>
            <w:tcW w:w="774" w:type="pct"/>
            <w:shd w:val="clear" w:color="auto" w:fill="auto"/>
            <w:vAlign w:val="center"/>
          </w:tcPr>
          <w:p w14:paraId="5997B9B6">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60</w:t>
            </w:r>
          </w:p>
        </w:tc>
        <w:tc>
          <w:tcPr>
            <w:tcW w:w="931" w:type="pct"/>
            <w:shd w:val="clear" w:color="auto" w:fill="auto"/>
            <w:vAlign w:val="center"/>
          </w:tcPr>
          <w:p w14:paraId="2CBC6704">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6B69E1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747" w:type="pct"/>
            <w:shd w:val="clear" w:color="auto" w:fill="auto"/>
            <w:vAlign w:val="center"/>
          </w:tcPr>
          <w:p w14:paraId="3ACEFDB9">
            <w:pPr>
              <w:pStyle w:val="143"/>
              <w:rPr>
                <w:color w:val="000000" w:themeColor="text1"/>
                <w14:textFill>
                  <w14:solidFill>
                    <w14:schemeClr w14:val="tx1"/>
                  </w14:solidFill>
                </w14:textFill>
              </w:rPr>
            </w:pPr>
          </w:p>
        </w:tc>
        <w:tc>
          <w:tcPr>
            <w:tcW w:w="917" w:type="pct"/>
            <w:shd w:val="clear" w:color="auto" w:fill="auto"/>
            <w:vAlign w:val="center"/>
          </w:tcPr>
          <w:p w14:paraId="31E86438">
            <w:pPr>
              <w:pStyle w:val="143"/>
              <w:rPr>
                <w:color w:val="000000" w:themeColor="text1"/>
                <w14:textFill>
                  <w14:solidFill>
                    <w14:schemeClr w14:val="tx1"/>
                  </w14:solidFill>
                </w14:textFill>
              </w:rPr>
            </w:pPr>
          </w:p>
        </w:tc>
        <w:tc>
          <w:tcPr>
            <w:tcW w:w="744" w:type="pct"/>
            <w:shd w:val="clear" w:color="auto" w:fill="auto"/>
            <w:vAlign w:val="center"/>
          </w:tcPr>
          <w:p w14:paraId="3B599328">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70</w:t>
            </w:r>
          </w:p>
        </w:tc>
        <w:tc>
          <w:tcPr>
            <w:tcW w:w="884" w:type="pct"/>
            <w:shd w:val="clear" w:color="auto" w:fill="auto"/>
            <w:vAlign w:val="center"/>
          </w:tcPr>
          <w:p w14:paraId="766F4510">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62.50 </w:t>
            </w:r>
          </w:p>
        </w:tc>
        <w:tc>
          <w:tcPr>
            <w:tcW w:w="774" w:type="pct"/>
            <w:shd w:val="clear" w:color="auto" w:fill="auto"/>
            <w:vAlign w:val="center"/>
          </w:tcPr>
          <w:p w14:paraId="25B9675B">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70</w:t>
            </w:r>
          </w:p>
        </w:tc>
        <w:tc>
          <w:tcPr>
            <w:tcW w:w="931" w:type="pct"/>
            <w:shd w:val="clear" w:color="auto" w:fill="auto"/>
            <w:vAlign w:val="center"/>
          </w:tcPr>
          <w:p w14:paraId="54BEE14E">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65BC29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57F32300">
            <w:pPr>
              <w:pStyle w:val="143"/>
              <w:rPr>
                <w:color w:val="000000" w:themeColor="text1"/>
                <w14:textFill>
                  <w14:solidFill>
                    <w14:schemeClr w14:val="tx1"/>
                  </w14:solidFill>
                </w14:textFill>
              </w:rPr>
            </w:pPr>
          </w:p>
        </w:tc>
        <w:tc>
          <w:tcPr>
            <w:tcW w:w="917" w:type="pct"/>
            <w:shd w:val="clear" w:color="auto" w:fill="auto"/>
            <w:vAlign w:val="center"/>
          </w:tcPr>
          <w:p w14:paraId="25928D3F">
            <w:pPr>
              <w:pStyle w:val="143"/>
              <w:rPr>
                <w:color w:val="000000" w:themeColor="text1"/>
                <w14:textFill>
                  <w14:solidFill>
                    <w14:schemeClr w14:val="tx1"/>
                  </w14:solidFill>
                </w14:textFill>
              </w:rPr>
            </w:pPr>
          </w:p>
        </w:tc>
        <w:tc>
          <w:tcPr>
            <w:tcW w:w="744" w:type="pct"/>
            <w:shd w:val="clear" w:color="auto" w:fill="auto"/>
            <w:vAlign w:val="center"/>
          </w:tcPr>
          <w:p w14:paraId="02415FFD">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80</w:t>
            </w:r>
          </w:p>
        </w:tc>
        <w:tc>
          <w:tcPr>
            <w:tcW w:w="884" w:type="pct"/>
            <w:shd w:val="clear" w:color="auto" w:fill="auto"/>
            <w:vAlign w:val="center"/>
          </w:tcPr>
          <w:p w14:paraId="210C25EF">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33.10 </w:t>
            </w:r>
          </w:p>
        </w:tc>
        <w:tc>
          <w:tcPr>
            <w:tcW w:w="774" w:type="pct"/>
            <w:shd w:val="clear" w:color="auto" w:fill="auto"/>
            <w:vAlign w:val="center"/>
          </w:tcPr>
          <w:p w14:paraId="6A17FE11">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80</w:t>
            </w:r>
          </w:p>
        </w:tc>
        <w:tc>
          <w:tcPr>
            <w:tcW w:w="931" w:type="pct"/>
            <w:shd w:val="clear" w:color="auto" w:fill="auto"/>
            <w:vAlign w:val="center"/>
          </w:tcPr>
          <w:p w14:paraId="357AC484">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15E636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7EA3739F">
            <w:pPr>
              <w:pStyle w:val="143"/>
              <w:rPr>
                <w:color w:val="000000" w:themeColor="text1"/>
                <w14:textFill>
                  <w14:solidFill>
                    <w14:schemeClr w14:val="tx1"/>
                  </w14:solidFill>
                </w14:textFill>
              </w:rPr>
            </w:pPr>
          </w:p>
        </w:tc>
        <w:tc>
          <w:tcPr>
            <w:tcW w:w="917" w:type="pct"/>
            <w:shd w:val="clear" w:color="auto" w:fill="auto"/>
            <w:vAlign w:val="center"/>
          </w:tcPr>
          <w:p w14:paraId="5F979B1D">
            <w:pPr>
              <w:pStyle w:val="143"/>
              <w:rPr>
                <w:color w:val="000000" w:themeColor="text1"/>
                <w14:textFill>
                  <w14:solidFill>
                    <w14:schemeClr w14:val="tx1"/>
                  </w14:solidFill>
                </w14:textFill>
              </w:rPr>
            </w:pPr>
          </w:p>
        </w:tc>
        <w:tc>
          <w:tcPr>
            <w:tcW w:w="744" w:type="pct"/>
            <w:shd w:val="clear" w:color="auto" w:fill="auto"/>
            <w:vAlign w:val="center"/>
          </w:tcPr>
          <w:p w14:paraId="56268738">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100</w:t>
            </w:r>
          </w:p>
        </w:tc>
        <w:tc>
          <w:tcPr>
            <w:tcW w:w="884" w:type="pct"/>
            <w:shd w:val="clear" w:color="auto" w:fill="auto"/>
            <w:vAlign w:val="center"/>
          </w:tcPr>
          <w:p w14:paraId="1F1E4776">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10.70 </w:t>
            </w:r>
          </w:p>
        </w:tc>
        <w:tc>
          <w:tcPr>
            <w:tcW w:w="774" w:type="pct"/>
            <w:shd w:val="clear" w:color="auto" w:fill="auto"/>
            <w:vAlign w:val="center"/>
          </w:tcPr>
          <w:p w14:paraId="67A844B8">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90</w:t>
            </w:r>
          </w:p>
        </w:tc>
        <w:tc>
          <w:tcPr>
            <w:tcW w:w="931" w:type="pct"/>
            <w:shd w:val="clear" w:color="auto" w:fill="auto"/>
            <w:vAlign w:val="center"/>
          </w:tcPr>
          <w:p w14:paraId="3D61324B">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560411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3BCC1A49">
            <w:pPr>
              <w:pStyle w:val="143"/>
              <w:rPr>
                <w:color w:val="000000" w:themeColor="text1"/>
                <w14:textFill>
                  <w14:solidFill>
                    <w14:schemeClr w14:val="tx1"/>
                  </w14:solidFill>
                </w14:textFill>
              </w:rPr>
            </w:pPr>
          </w:p>
        </w:tc>
        <w:tc>
          <w:tcPr>
            <w:tcW w:w="917" w:type="pct"/>
            <w:shd w:val="clear" w:color="auto" w:fill="auto"/>
            <w:vAlign w:val="center"/>
          </w:tcPr>
          <w:p w14:paraId="20192608">
            <w:pPr>
              <w:pStyle w:val="143"/>
              <w:rPr>
                <w:color w:val="000000" w:themeColor="text1"/>
                <w14:textFill>
                  <w14:solidFill>
                    <w14:schemeClr w14:val="tx1"/>
                  </w14:solidFill>
                </w14:textFill>
              </w:rPr>
            </w:pPr>
          </w:p>
        </w:tc>
        <w:tc>
          <w:tcPr>
            <w:tcW w:w="744" w:type="pct"/>
            <w:shd w:val="clear" w:color="auto" w:fill="auto"/>
            <w:vAlign w:val="center"/>
          </w:tcPr>
          <w:p w14:paraId="7FD4CDA1">
            <w:pPr>
              <w:pStyle w:val="143"/>
              <w:rPr>
                <w:color w:val="000000" w:themeColor="text1"/>
                <w14:textFill>
                  <w14:solidFill>
                    <w14:schemeClr w14:val="tx1"/>
                  </w14:solidFill>
                </w14:textFill>
              </w:rPr>
            </w:pPr>
            <w:r>
              <w:rPr>
                <w:rFonts w:hint="eastAsia"/>
                <w:color w:val="000000" w:themeColor="text1"/>
                <w:sz w:val="22"/>
                <w14:textFill>
                  <w14:solidFill>
                    <w14:schemeClr w14:val="tx1"/>
                  </w14:solidFill>
                </w14:textFill>
              </w:rPr>
              <w:t>120</w:t>
            </w:r>
          </w:p>
        </w:tc>
        <w:tc>
          <w:tcPr>
            <w:tcW w:w="884" w:type="pct"/>
            <w:shd w:val="clear" w:color="auto" w:fill="auto"/>
            <w:vAlign w:val="center"/>
          </w:tcPr>
          <w:p w14:paraId="21E199B1">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1.91 </w:t>
            </w:r>
          </w:p>
        </w:tc>
        <w:tc>
          <w:tcPr>
            <w:tcW w:w="774" w:type="pct"/>
            <w:shd w:val="clear" w:color="auto" w:fill="auto"/>
            <w:vAlign w:val="center"/>
          </w:tcPr>
          <w:p w14:paraId="66D1ED0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100</w:t>
            </w:r>
          </w:p>
        </w:tc>
        <w:tc>
          <w:tcPr>
            <w:tcW w:w="931" w:type="pct"/>
            <w:shd w:val="clear" w:color="auto" w:fill="auto"/>
            <w:vAlign w:val="center"/>
          </w:tcPr>
          <w:p w14:paraId="1E7FC5B8">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421059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75161D6F">
            <w:pPr>
              <w:pStyle w:val="143"/>
              <w:rPr>
                <w:color w:val="000000" w:themeColor="text1"/>
                <w14:textFill>
                  <w14:solidFill>
                    <w14:schemeClr w14:val="tx1"/>
                  </w14:solidFill>
                </w14:textFill>
              </w:rPr>
            </w:pPr>
          </w:p>
        </w:tc>
        <w:tc>
          <w:tcPr>
            <w:tcW w:w="917" w:type="pct"/>
            <w:shd w:val="clear" w:color="auto" w:fill="auto"/>
            <w:vAlign w:val="center"/>
          </w:tcPr>
          <w:p w14:paraId="6C742814">
            <w:pPr>
              <w:pStyle w:val="143"/>
              <w:rPr>
                <w:color w:val="000000" w:themeColor="text1"/>
                <w14:textFill>
                  <w14:solidFill>
                    <w14:schemeClr w14:val="tx1"/>
                  </w14:solidFill>
                </w14:textFill>
              </w:rPr>
            </w:pPr>
          </w:p>
        </w:tc>
        <w:tc>
          <w:tcPr>
            <w:tcW w:w="744" w:type="pct"/>
            <w:shd w:val="clear" w:color="auto" w:fill="auto"/>
            <w:vAlign w:val="center"/>
          </w:tcPr>
          <w:p w14:paraId="3F3271BD">
            <w:pPr>
              <w:pStyle w:val="143"/>
              <w:rPr>
                <w:color w:val="000000" w:themeColor="text1"/>
                <w14:textFill>
                  <w14:solidFill>
                    <w14:schemeClr w14:val="tx1"/>
                  </w14:solidFill>
                </w14:textFill>
              </w:rPr>
            </w:pPr>
          </w:p>
        </w:tc>
        <w:tc>
          <w:tcPr>
            <w:tcW w:w="884" w:type="pct"/>
            <w:shd w:val="clear" w:color="auto" w:fill="auto"/>
            <w:vAlign w:val="center"/>
          </w:tcPr>
          <w:p w14:paraId="0D423DD9">
            <w:pPr>
              <w:pStyle w:val="143"/>
              <w:rPr>
                <w:color w:val="000000" w:themeColor="text1"/>
                <w14:textFill>
                  <w14:solidFill>
                    <w14:schemeClr w14:val="tx1"/>
                  </w14:solidFill>
                </w14:textFill>
              </w:rPr>
            </w:pPr>
          </w:p>
        </w:tc>
        <w:tc>
          <w:tcPr>
            <w:tcW w:w="774" w:type="pct"/>
            <w:shd w:val="clear" w:color="auto" w:fill="auto"/>
            <w:vAlign w:val="center"/>
          </w:tcPr>
          <w:p w14:paraId="414B6DA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110</w:t>
            </w:r>
          </w:p>
        </w:tc>
        <w:tc>
          <w:tcPr>
            <w:tcW w:w="931" w:type="pct"/>
            <w:shd w:val="clear" w:color="auto" w:fill="auto"/>
            <w:vAlign w:val="center"/>
          </w:tcPr>
          <w:p w14:paraId="05BB3009">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7070F0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08390E94">
            <w:pPr>
              <w:pStyle w:val="143"/>
              <w:rPr>
                <w:color w:val="000000" w:themeColor="text1"/>
                <w14:textFill>
                  <w14:solidFill>
                    <w14:schemeClr w14:val="tx1"/>
                  </w14:solidFill>
                </w14:textFill>
              </w:rPr>
            </w:pPr>
          </w:p>
        </w:tc>
        <w:tc>
          <w:tcPr>
            <w:tcW w:w="917" w:type="pct"/>
            <w:shd w:val="clear" w:color="auto" w:fill="auto"/>
            <w:vAlign w:val="center"/>
          </w:tcPr>
          <w:p w14:paraId="0FF0FC57">
            <w:pPr>
              <w:pStyle w:val="143"/>
              <w:rPr>
                <w:color w:val="000000" w:themeColor="text1"/>
                <w14:textFill>
                  <w14:solidFill>
                    <w14:schemeClr w14:val="tx1"/>
                  </w14:solidFill>
                </w14:textFill>
              </w:rPr>
            </w:pPr>
          </w:p>
        </w:tc>
        <w:tc>
          <w:tcPr>
            <w:tcW w:w="744" w:type="pct"/>
            <w:shd w:val="clear" w:color="auto" w:fill="auto"/>
            <w:vAlign w:val="center"/>
          </w:tcPr>
          <w:p w14:paraId="2B0D4E67">
            <w:pPr>
              <w:pStyle w:val="143"/>
              <w:rPr>
                <w:color w:val="000000" w:themeColor="text1"/>
                <w14:textFill>
                  <w14:solidFill>
                    <w14:schemeClr w14:val="tx1"/>
                  </w14:solidFill>
                </w14:textFill>
              </w:rPr>
            </w:pPr>
          </w:p>
        </w:tc>
        <w:tc>
          <w:tcPr>
            <w:tcW w:w="884" w:type="pct"/>
            <w:shd w:val="clear" w:color="auto" w:fill="auto"/>
            <w:vAlign w:val="center"/>
          </w:tcPr>
          <w:p w14:paraId="3885931F">
            <w:pPr>
              <w:pStyle w:val="143"/>
              <w:rPr>
                <w:color w:val="000000" w:themeColor="text1"/>
                <w14:textFill>
                  <w14:solidFill>
                    <w14:schemeClr w14:val="tx1"/>
                  </w14:solidFill>
                </w14:textFill>
              </w:rPr>
            </w:pPr>
          </w:p>
        </w:tc>
        <w:tc>
          <w:tcPr>
            <w:tcW w:w="774" w:type="pct"/>
            <w:shd w:val="clear" w:color="auto" w:fill="auto"/>
            <w:vAlign w:val="center"/>
          </w:tcPr>
          <w:p w14:paraId="7769CD99">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120</w:t>
            </w:r>
          </w:p>
        </w:tc>
        <w:tc>
          <w:tcPr>
            <w:tcW w:w="931" w:type="pct"/>
            <w:shd w:val="clear" w:color="auto" w:fill="auto"/>
            <w:vAlign w:val="center"/>
          </w:tcPr>
          <w:p w14:paraId="31014F68">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0563FD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37B9ECDF">
            <w:pPr>
              <w:pStyle w:val="143"/>
              <w:rPr>
                <w:color w:val="000000" w:themeColor="text1"/>
                <w14:textFill>
                  <w14:solidFill>
                    <w14:schemeClr w14:val="tx1"/>
                  </w14:solidFill>
                </w14:textFill>
              </w:rPr>
            </w:pPr>
          </w:p>
        </w:tc>
        <w:tc>
          <w:tcPr>
            <w:tcW w:w="917" w:type="pct"/>
            <w:shd w:val="clear" w:color="auto" w:fill="auto"/>
            <w:vAlign w:val="center"/>
          </w:tcPr>
          <w:p w14:paraId="72C105A5">
            <w:pPr>
              <w:pStyle w:val="143"/>
              <w:rPr>
                <w:color w:val="000000" w:themeColor="text1"/>
                <w14:textFill>
                  <w14:solidFill>
                    <w14:schemeClr w14:val="tx1"/>
                  </w14:solidFill>
                </w14:textFill>
              </w:rPr>
            </w:pPr>
          </w:p>
        </w:tc>
        <w:tc>
          <w:tcPr>
            <w:tcW w:w="744" w:type="pct"/>
            <w:shd w:val="clear" w:color="auto" w:fill="auto"/>
            <w:vAlign w:val="center"/>
          </w:tcPr>
          <w:p w14:paraId="72027496">
            <w:pPr>
              <w:pStyle w:val="143"/>
              <w:rPr>
                <w:color w:val="000000" w:themeColor="text1"/>
                <w14:textFill>
                  <w14:solidFill>
                    <w14:schemeClr w14:val="tx1"/>
                  </w14:solidFill>
                </w14:textFill>
              </w:rPr>
            </w:pPr>
          </w:p>
        </w:tc>
        <w:tc>
          <w:tcPr>
            <w:tcW w:w="884" w:type="pct"/>
            <w:shd w:val="clear" w:color="auto" w:fill="auto"/>
            <w:vAlign w:val="center"/>
          </w:tcPr>
          <w:p w14:paraId="633FA330">
            <w:pPr>
              <w:pStyle w:val="143"/>
              <w:rPr>
                <w:color w:val="000000" w:themeColor="text1"/>
                <w14:textFill>
                  <w14:solidFill>
                    <w14:schemeClr w14:val="tx1"/>
                  </w14:solidFill>
                </w14:textFill>
              </w:rPr>
            </w:pPr>
          </w:p>
        </w:tc>
        <w:tc>
          <w:tcPr>
            <w:tcW w:w="774" w:type="pct"/>
            <w:shd w:val="clear" w:color="auto" w:fill="auto"/>
            <w:vAlign w:val="center"/>
          </w:tcPr>
          <w:p w14:paraId="1B645CA7">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130</w:t>
            </w:r>
          </w:p>
        </w:tc>
        <w:tc>
          <w:tcPr>
            <w:tcW w:w="931" w:type="pct"/>
            <w:shd w:val="clear" w:color="auto" w:fill="auto"/>
            <w:vAlign w:val="center"/>
          </w:tcPr>
          <w:p w14:paraId="744341F0">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2BE6E1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67FDDDB1">
            <w:pPr>
              <w:pStyle w:val="143"/>
              <w:rPr>
                <w:color w:val="000000" w:themeColor="text1"/>
                <w14:textFill>
                  <w14:solidFill>
                    <w14:schemeClr w14:val="tx1"/>
                  </w14:solidFill>
                </w14:textFill>
              </w:rPr>
            </w:pPr>
          </w:p>
        </w:tc>
        <w:tc>
          <w:tcPr>
            <w:tcW w:w="917" w:type="pct"/>
            <w:shd w:val="clear" w:color="auto" w:fill="auto"/>
            <w:vAlign w:val="center"/>
          </w:tcPr>
          <w:p w14:paraId="112EB7C1">
            <w:pPr>
              <w:pStyle w:val="143"/>
              <w:rPr>
                <w:color w:val="000000" w:themeColor="text1"/>
                <w14:textFill>
                  <w14:solidFill>
                    <w14:schemeClr w14:val="tx1"/>
                  </w14:solidFill>
                </w14:textFill>
              </w:rPr>
            </w:pPr>
          </w:p>
        </w:tc>
        <w:tc>
          <w:tcPr>
            <w:tcW w:w="744" w:type="pct"/>
            <w:shd w:val="clear" w:color="auto" w:fill="auto"/>
            <w:vAlign w:val="center"/>
          </w:tcPr>
          <w:p w14:paraId="484C2288">
            <w:pPr>
              <w:pStyle w:val="143"/>
              <w:rPr>
                <w:color w:val="000000" w:themeColor="text1"/>
                <w14:textFill>
                  <w14:solidFill>
                    <w14:schemeClr w14:val="tx1"/>
                  </w14:solidFill>
                </w14:textFill>
              </w:rPr>
            </w:pPr>
          </w:p>
        </w:tc>
        <w:tc>
          <w:tcPr>
            <w:tcW w:w="884" w:type="pct"/>
            <w:shd w:val="clear" w:color="auto" w:fill="auto"/>
            <w:vAlign w:val="center"/>
          </w:tcPr>
          <w:p w14:paraId="2BD596D2">
            <w:pPr>
              <w:pStyle w:val="143"/>
              <w:rPr>
                <w:color w:val="000000" w:themeColor="text1"/>
                <w14:textFill>
                  <w14:solidFill>
                    <w14:schemeClr w14:val="tx1"/>
                  </w14:solidFill>
                </w14:textFill>
              </w:rPr>
            </w:pPr>
          </w:p>
        </w:tc>
        <w:tc>
          <w:tcPr>
            <w:tcW w:w="774" w:type="pct"/>
            <w:shd w:val="clear" w:color="auto" w:fill="auto"/>
            <w:vAlign w:val="center"/>
          </w:tcPr>
          <w:p w14:paraId="3C07C0D8">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140</w:t>
            </w:r>
          </w:p>
        </w:tc>
        <w:tc>
          <w:tcPr>
            <w:tcW w:w="931" w:type="pct"/>
            <w:shd w:val="clear" w:color="auto" w:fill="auto"/>
            <w:vAlign w:val="center"/>
          </w:tcPr>
          <w:p w14:paraId="107DEE0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1A10E5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53608EA4">
            <w:pPr>
              <w:pStyle w:val="143"/>
              <w:rPr>
                <w:color w:val="000000" w:themeColor="text1"/>
                <w14:textFill>
                  <w14:solidFill>
                    <w14:schemeClr w14:val="tx1"/>
                  </w14:solidFill>
                </w14:textFill>
              </w:rPr>
            </w:pPr>
          </w:p>
        </w:tc>
        <w:tc>
          <w:tcPr>
            <w:tcW w:w="917" w:type="pct"/>
            <w:shd w:val="clear" w:color="auto" w:fill="auto"/>
            <w:vAlign w:val="center"/>
          </w:tcPr>
          <w:p w14:paraId="3A4D0BF6">
            <w:pPr>
              <w:pStyle w:val="143"/>
              <w:rPr>
                <w:color w:val="000000" w:themeColor="text1"/>
                <w14:textFill>
                  <w14:solidFill>
                    <w14:schemeClr w14:val="tx1"/>
                  </w14:solidFill>
                </w14:textFill>
              </w:rPr>
            </w:pPr>
          </w:p>
        </w:tc>
        <w:tc>
          <w:tcPr>
            <w:tcW w:w="744" w:type="pct"/>
            <w:shd w:val="clear" w:color="auto" w:fill="auto"/>
            <w:vAlign w:val="center"/>
          </w:tcPr>
          <w:p w14:paraId="38D0A2CD">
            <w:pPr>
              <w:pStyle w:val="143"/>
              <w:rPr>
                <w:color w:val="000000" w:themeColor="text1"/>
                <w14:textFill>
                  <w14:solidFill>
                    <w14:schemeClr w14:val="tx1"/>
                  </w14:solidFill>
                </w14:textFill>
              </w:rPr>
            </w:pPr>
          </w:p>
        </w:tc>
        <w:tc>
          <w:tcPr>
            <w:tcW w:w="884" w:type="pct"/>
            <w:shd w:val="clear" w:color="auto" w:fill="auto"/>
            <w:vAlign w:val="center"/>
          </w:tcPr>
          <w:p w14:paraId="3702626C">
            <w:pPr>
              <w:pStyle w:val="143"/>
              <w:rPr>
                <w:color w:val="000000" w:themeColor="text1"/>
                <w14:textFill>
                  <w14:solidFill>
                    <w14:schemeClr w14:val="tx1"/>
                  </w14:solidFill>
                </w14:textFill>
              </w:rPr>
            </w:pPr>
          </w:p>
        </w:tc>
        <w:tc>
          <w:tcPr>
            <w:tcW w:w="774" w:type="pct"/>
            <w:shd w:val="clear" w:color="auto" w:fill="auto"/>
            <w:vAlign w:val="center"/>
          </w:tcPr>
          <w:p w14:paraId="71869BCD">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150</w:t>
            </w:r>
          </w:p>
        </w:tc>
        <w:tc>
          <w:tcPr>
            <w:tcW w:w="931" w:type="pct"/>
            <w:shd w:val="clear" w:color="auto" w:fill="auto"/>
            <w:vAlign w:val="center"/>
          </w:tcPr>
          <w:p w14:paraId="54140E1E">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75E840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1539D7E0">
            <w:pPr>
              <w:pStyle w:val="143"/>
              <w:rPr>
                <w:color w:val="000000" w:themeColor="text1"/>
                <w14:textFill>
                  <w14:solidFill>
                    <w14:schemeClr w14:val="tx1"/>
                  </w14:solidFill>
                </w14:textFill>
              </w:rPr>
            </w:pPr>
          </w:p>
        </w:tc>
        <w:tc>
          <w:tcPr>
            <w:tcW w:w="917" w:type="pct"/>
            <w:shd w:val="clear" w:color="auto" w:fill="auto"/>
            <w:vAlign w:val="center"/>
          </w:tcPr>
          <w:p w14:paraId="671B6D7C">
            <w:pPr>
              <w:pStyle w:val="143"/>
              <w:rPr>
                <w:color w:val="000000" w:themeColor="text1"/>
                <w14:textFill>
                  <w14:solidFill>
                    <w14:schemeClr w14:val="tx1"/>
                  </w14:solidFill>
                </w14:textFill>
              </w:rPr>
            </w:pPr>
          </w:p>
        </w:tc>
        <w:tc>
          <w:tcPr>
            <w:tcW w:w="744" w:type="pct"/>
            <w:shd w:val="clear" w:color="auto" w:fill="auto"/>
            <w:vAlign w:val="center"/>
          </w:tcPr>
          <w:p w14:paraId="22442855">
            <w:pPr>
              <w:pStyle w:val="143"/>
              <w:rPr>
                <w:color w:val="000000" w:themeColor="text1"/>
                <w14:textFill>
                  <w14:solidFill>
                    <w14:schemeClr w14:val="tx1"/>
                  </w14:solidFill>
                </w14:textFill>
              </w:rPr>
            </w:pPr>
          </w:p>
        </w:tc>
        <w:tc>
          <w:tcPr>
            <w:tcW w:w="884" w:type="pct"/>
            <w:shd w:val="clear" w:color="auto" w:fill="auto"/>
            <w:vAlign w:val="center"/>
          </w:tcPr>
          <w:p w14:paraId="2BCC0924">
            <w:pPr>
              <w:pStyle w:val="143"/>
              <w:rPr>
                <w:color w:val="000000" w:themeColor="text1"/>
                <w14:textFill>
                  <w14:solidFill>
                    <w14:schemeClr w14:val="tx1"/>
                  </w14:solidFill>
                </w14:textFill>
              </w:rPr>
            </w:pPr>
          </w:p>
        </w:tc>
        <w:tc>
          <w:tcPr>
            <w:tcW w:w="774" w:type="pct"/>
            <w:shd w:val="clear" w:color="auto" w:fill="auto"/>
            <w:vAlign w:val="center"/>
          </w:tcPr>
          <w:p w14:paraId="4D876FC3">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160</w:t>
            </w:r>
          </w:p>
        </w:tc>
        <w:tc>
          <w:tcPr>
            <w:tcW w:w="931" w:type="pct"/>
            <w:shd w:val="clear" w:color="auto" w:fill="auto"/>
            <w:vAlign w:val="center"/>
          </w:tcPr>
          <w:p w14:paraId="5FD762D4">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320A1E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747" w:type="pct"/>
            <w:shd w:val="clear" w:color="auto" w:fill="auto"/>
            <w:vAlign w:val="center"/>
          </w:tcPr>
          <w:p w14:paraId="69F75BBB">
            <w:pPr>
              <w:pStyle w:val="143"/>
              <w:rPr>
                <w:color w:val="000000" w:themeColor="text1"/>
                <w14:textFill>
                  <w14:solidFill>
                    <w14:schemeClr w14:val="tx1"/>
                  </w14:solidFill>
                </w14:textFill>
              </w:rPr>
            </w:pPr>
          </w:p>
        </w:tc>
        <w:tc>
          <w:tcPr>
            <w:tcW w:w="917" w:type="pct"/>
            <w:shd w:val="clear" w:color="auto" w:fill="auto"/>
            <w:vAlign w:val="center"/>
          </w:tcPr>
          <w:p w14:paraId="5186FF1B">
            <w:pPr>
              <w:pStyle w:val="143"/>
              <w:rPr>
                <w:color w:val="000000" w:themeColor="text1"/>
                <w14:textFill>
                  <w14:solidFill>
                    <w14:schemeClr w14:val="tx1"/>
                  </w14:solidFill>
                </w14:textFill>
              </w:rPr>
            </w:pPr>
          </w:p>
        </w:tc>
        <w:tc>
          <w:tcPr>
            <w:tcW w:w="744" w:type="pct"/>
            <w:shd w:val="clear" w:color="auto" w:fill="auto"/>
            <w:vAlign w:val="center"/>
          </w:tcPr>
          <w:p w14:paraId="42F59769">
            <w:pPr>
              <w:pStyle w:val="143"/>
              <w:rPr>
                <w:color w:val="000000" w:themeColor="text1"/>
                <w14:textFill>
                  <w14:solidFill>
                    <w14:schemeClr w14:val="tx1"/>
                  </w14:solidFill>
                </w14:textFill>
              </w:rPr>
            </w:pPr>
          </w:p>
        </w:tc>
        <w:tc>
          <w:tcPr>
            <w:tcW w:w="884" w:type="pct"/>
            <w:shd w:val="clear" w:color="auto" w:fill="auto"/>
            <w:vAlign w:val="center"/>
          </w:tcPr>
          <w:p w14:paraId="62BE607F">
            <w:pPr>
              <w:pStyle w:val="143"/>
              <w:rPr>
                <w:color w:val="000000" w:themeColor="text1"/>
                <w14:textFill>
                  <w14:solidFill>
                    <w14:schemeClr w14:val="tx1"/>
                  </w14:solidFill>
                </w14:textFill>
              </w:rPr>
            </w:pPr>
          </w:p>
        </w:tc>
        <w:tc>
          <w:tcPr>
            <w:tcW w:w="774" w:type="pct"/>
            <w:shd w:val="clear" w:color="auto" w:fill="auto"/>
            <w:vAlign w:val="center"/>
          </w:tcPr>
          <w:p w14:paraId="3C88E1A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170</w:t>
            </w:r>
          </w:p>
        </w:tc>
        <w:tc>
          <w:tcPr>
            <w:tcW w:w="931" w:type="pct"/>
            <w:shd w:val="clear" w:color="auto" w:fill="auto"/>
            <w:vAlign w:val="center"/>
          </w:tcPr>
          <w:p w14:paraId="6A464EC9">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502C4F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494FAEE0">
            <w:pPr>
              <w:pStyle w:val="143"/>
              <w:rPr>
                <w:color w:val="000000" w:themeColor="text1"/>
                <w14:textFill>
                  <w14:solidFill>
                    <w14:schemeClr w14:val="tx1"/>
                  </w14:solidFill>
                </w14:textFill>
              </w:rPr>
            </w:pPr>
          </w:p>
        </w:tc>
        <w:tc>
          <w:tcPr>
            <w:tcW w:w="917" w:type="pct"/>
            <w:shd w:val="clear" w:color="auto" w:fill="auto"/>
            <w:vAlign w:val="center"/>
          </w:tcPr>
          <w:p w14:paraId="10F49B00">
            <w:pPr>
              <w:pStyle w:val="143"/>
              <w:rPr>
                <w:color w:val="000000" w:themeColor="text1"/>
                <w14:textFill>
                  <w14:solidFill>
                    <w14:schemeClr w14:val="tx1"/>
                  </w14:solidFill>
                </w14:textFill>
              </w:rPr>
            </w:pPr>
          </w:p>
        </w:tc>
        <w:tc>
          <w:tcPr>
            <w:tcW w:w="744" w:type="pct"/>
            <w:shd w:val="clear" w:color="auto" w:fill="auto"/>
            <w:vAlign w:val="center"/>
          </w:tcPr>
          <w:p w14:paraId="12EAF764">
            <w:pPr>
              <w:pStyle w:val="143"/>
              <w:rPr>
                <w:color w:val="000000" w:themeColor="text1"/>
                <w14:textFill>
                  <w14:solidFill>
                    <w14:schemeClr w14:val="tx1"/>
                  </w14:solidFill>
                </w14:textFill>
              </w:rPr>
            </w:pPr>
          </w:p>
        </w:tc>
        <w:tc>
          <w:tcPr>
            <w:tcW w:w="884" w:type="pct"/>
            <w:shd w:val="clear" w:color="auto" w:fill="auto"/>
            <w:vAlign w:val="center"/>
          </w:tcPr>
          <w:p w14:paraId="5B216722">
            <w:pPr>
              <w:pStyle w:val="143"/>
              <w:rPr>
                <w:color w:val="000000" w:themeColor="text1"/>
                <w14:textFill>
                  <w14:solidFill>
                    <w14:schemeClr w14:val="tx1"/>
                  </w14:solidFill>
                </w14:textFill>
              </w:rPr>
            </w:pPr>
          </w:p>
        </w:tc>
        <w:tc>
          <w:tcPr>
            <w:tcW w:w="774" w:type="pct"/>
            <w:shd w:val="clear" w:color="auto" w:fill="auto"/>
            <w:vAlign w:val="center"/>
          </w:tcPr>
          <w:p w14:paraId="2B7E58D9">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180</w:t>
            </w:r>
          </w:p>
        </w:tc>
        <w:tc>
          <w:tcPr>
            <w:tcW w:w="931" w:type="pct"/>
            <w:shd w:val="clear" w:color="auto" w:fill="auto"/>
            <w:vAlign w:val="center"/>
          </w:tcPr>
          <w:p w14:paraId="292339FA">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5A9F90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4EEB0ECB">
            <w:pPr>
              <w:pStyle w:val="143"/>
              <w:rPr>
                <w:color w:val="000000" w:themeColor="text1"/>
                <w14:textFill>
                  <w14:solidFill>
                    <w14:schemeClr w14:val="tx1"/>
                  </w14:solidFill>
                </w14:textFill>
              </w:rPr>
            </w:pPr>
          </w:p>
        </w:tc>
        <w:tc>
          <w:tcPr>
            <w:tcW w:w="917" w:type="pct"/>
            <w:shd w:val="clear" w:color="auto" w:fill="auto"/>
            <w:vAlign w:val="center"/>
          </w:tcPr>
          <w:p w14:paraId="2AA36913">
            <w:pPr>
              <w:pStyle w:val="143"/>
              <w:rPr>
                <w:color w:val="000000" w:themeColor="text1"/>
                <w14:textFill>
                  <w14:solidFill>
                    <w14:schemeClr w14:val="tx1"/>
                  </w14:solidFill>
                </w14:textFill>
              </w:rPr>
            </w:pPr>
          </w:p>
        </w:tc>
        <w:tc>
          <w:tcPr>
            <w:tcW w:w="744" w:type="pct"/>
            <w:shd w:val="clear" w:color="auto" w:fill="auto"/>
            <w:vAlign w:val="center"/>
          </w:tcPr>
          <w:p w14:paraId="5A02C3E2">
            <w:pPr>
              <w:pStyle w:val="143"/>
              <w:rPr>
                <w:color w:val="000000" w:themeColor="text1"/>
                <w14:textFill>
                  <w14:solidFill>
                    <w14:schemeClr w14:val="tx1"/>
                  </w14:solidFill>
                </w14:textFill>
              </w:rPr>
            </w:pPr>
          </w:p>
        </w:tc>
        <w:tc>
          <w:tcPr>
            <w:tcW w:w="884" w:type="pct"/>
            <w:shd w:val="clear" w:color="auto" w:fill="auto"/>
            <w:vAlign w:val="center"/>
          </w:tcPr>
          <w:p w14:paraId="3721A7F8">
            <w:pPr>
              <w:pStyle w:val="143"/>
              <w:rPr>
                <w:color w:val="000000" w:themeColor="text1"/>
                <w14:textFill>
                  <w14:solidFill>
                    <w14:schemeClr w14:val="tx1"/>
                  </w14:solidFill>
                </w14:textFill>
              </w:rPr>
            </w:pPr>
          </w:p>
        </w:tc>
        <w:tc>
          <w:tcPr>
            <w:tcW w:w="774" w:type="pct"/>
            <w:shd w:val="clear" w:color="auto" w:fill="auto"/>
            <w:vAlign w:val="center"/>
          </w:tcPr>
          <w:p w14:paraId="21359A08">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190</w:t>
            </w:r>
          </w:p>
        </w:tc>
        <w:tc>
          <w:tcPr>
            <w:tcW w:w="931" w:type="pct"/>
            <w:shd w:val="clear" w:color="auto" w:fill="auto"/>
            <w:vAlign w:val="center"/>
          </w:tcPr>
          <w:p w14:paraId="2062DC95">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5518CD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3685815F">
            <w:pPr>
              <w:pStyle w:val="143"/>
              <w:rPr>
                <w:color w:val="000000" w:themeColor="text1"/>
                <w14:textFill>
                  <w14:solidFill>
                    <w14:schemeClr w14:val="tx1"/>
                  </w14:solidFill>
                </w14:textFill>
              </w:rPr>
            </w:pPr>
          </w:p>
        </w:tc>
        <w:tc>
          <w:tcPr>
            <w:tcW w:w="917" w:type="pct"/>
            <w:shd w:val="clear" w:color="auto" w:fill="auto"/>
            <w:vAlign w:val="center"/>
          </w:tcPr>
          <w:p w14:paraId="3AC0E27E">
            <w:pPr>
              <w:pStyle w:val="143"/>
              <w:rPr>
                <w:color w:val="000000" w:themeColor="text1"/>
                <w14:textFill>
                  <w14:solidFill>
                    <w14:schemeClr w14:val="tx1"/>
                  </w14:solidFill>
                </w14:textFill>
              </w:rPr>
            </w:pPr>
          </w:p>
        </w:tc>
        <w:tc>
          <w:tcPr>
            <w:tcW w:w="744" w:type="pct"/>
            <w:shd w:val="clear" w:color="auto" w:fill="auto"/>
            <w:vAlign w:val="center"/>
          </w:tcPr>
          <w:p w14:paraId="14BDD278">
            <w:pPr>
              <w:pStyle w:val="143"/>
              <w:rPr>
                <w:color w:val="000000" w:themeColor="text1"/>
                <w14:textFill>
                  <w14:solidFill>
                    <w14:schemeClr w14:val="tx1"/>
                  </w14:solidFill>
                </w14:textFill>
              </w:rPr>
            </w:pPr>
          </w:p>
        </w:tc>
        <w:tc>
          <w:tcPr>
            <w:tcW w:w="884" w:type="pct"/>
            <w:shd w:val="clear" w:color="auto" w:fill="auto"/>
            <w:vAlign w:val="center"/>
          </w:tcPr>
          <w:p w14:paraId="513FFF23">
            <w:pPr>
              <w:pStyle w:val="143"/>
              <w:rPr>
                <w:color w:val="000000" w:themeColor="text1"/>
                <w14:textFill>
                  <w14:solidFill>
                    <w14:schemeClr w14:val="tx1"/>
                  </w14:solidFill>
                </w14:textFill>
              </w:rPr>
            </w:pPr>
          </w:p>
        </w:tc>
        <w:tc>
          <w:tcPr>
            <w:tcW w:w="774" w:type="pct"/>
            <w:shd w:val="clear" w:color="auto" w:fill="auto"/>
            <w:vAlign w:val="center"/>
          </w:tcPr>
          <w:p w14:paraId="1F2BCEBD">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200</w:t>
            </w:r>
          </w:p>
        </w:tc>
        <w:tc>
          <w:tcPr>
            <w:tcW w:w="931" w:type="pct"/>
            <w:shd w:val="clear" w:color="auto" w:fill="auto"/>
            <w:vAlign w:val="center"/>
          </w:tcPr>
          <w:p w14:paraId="6EA6E726">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90.00 </w:t>
            </w:r>
          </w:p>
        </w:tc>
      </w:tr>
      <w:tr w14:paraId="332FAB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33A23168">
            <w:pPr>
              <w:pStyle w:val="143"/>
              <w:rPr>
                <w:color w:val="000000" w:themeColor="text1"/>
                <w14:textFill>
                  <w14:solidFill>
                    <w14:schemeClr w14:val="tx1"/>
                  </w14:solidFill>
                </w14:textFill>
              </w:rPr>
            </w:pPr>
          </w:p>
        </w:tc>
        <w:tc>
          <w:tcPr>
            <w:tcW w:w="917" w:type="pct"/>
            <w:shd w:val="clear" w:color="auto" w:fill="auto"/>
            <w:vAlign w:val="center"/>
          </w:tcPr>
          <w:p w14:paraId="704E30DB">
            <w:pPr>
              <w:pStyle w:val="143"/>
              <w:rPr>
                <w:color w:val="000000" w:themeColor="text1"/>
                <w14:textFill>
                  <w14:solidFill>
                    <w14:schemeClr w14:val="tx1"/>
                  </w14:solidFill>
                </w14:textFill>
              </w:rPr>
            </w:pPr>
          </w:p>
        </w:tc>
        <w:tc>
          <w:tcPr>
            <w:tcW w:w="744" w:type="pct"/>
            <w:shd w:val="clear" w:color="auto" w:fill="auto"/>
            <w:vAlign w:val="center"/>
          </w:tcPr>
          <w:p w14:paraId="02B525BE">
            <w:pPr>
              <w:pStyle w:val="143"/>
              <w:rPr>
                <w:color w:val="000000" w:themeColor="text1"/>
                <w14:textFill>
                  <w14:solidFill>
                    <w14:schemeClr w14:val="tx1"/>
                  </w14:solidFill>
                </w14:textFill>
              </w:rPr>
            </w:pPr>
          </w:p>
        </w:tc>
        <w:tc>
          <w:tcPr>
            <w:tcW w:w="884" w:type="pct"/>
            <w:shd w:val="clear" w:color="auto" w:fill="auto"/>
            <w:vAlign w:val="center"/>
          </w:tcPr>
          <w:p w14:paraId="7A7597F4">
            <w:pPr>
              <w:pStyle w:val="143"/>
              <w:rPr>
                <w:color w:val="000000" w:themeColor="text1"/>
                <w14:textFill>
                  <w14:solidFill>
                    <w14:schemeClr w14:val="tx1"/>
                  </w14:solidFill>
                </w14:textFill>
              </w:rPr>
            </w:pPr>
          </w:p>
        </w:tc>
        <w:tc>
          <w:tcPr>
            <w:tcW w:w="774" w:type="pct"/>
            <w:shd w:val="clear" w:color="auto" w:fill="auto"/>
            <w:vAlign w:val="center"/>
          </w:tcPr>
          <w:p w14:paraId="0C5352BF">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210</w:t>
            </w:r>
          </w:p>
        </w:tc>
        <w:tc>
          <w:tcPr>
            <w:tcW w:w="931" w:type="pct"/>
            <w:shd w:val="clear" w:color="auto" w:fill="auto"/>
            <w:vAlign w:val="center"/>
          </w:tcPr>
          <w:p w14:paraId="739A318A">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89.90 </w:t>
            </w:r>
          </w:p>
        </w:tc>
      </w:tr>
      <w:tr w14:paraId="69512B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46DAAF9E">
            <w:pPr>
              <w:pStyle w:val="143"/>
              <w:rPr>
                <w:color w:val="000000" w:themeColor="text1"/>
                <w14:textFill>
                  <w14:solidFill>
                    <w14:schemeClr w14:val="tx1"/>
                  </w14:solidFill>
                </w14:textFill>
              </w:rPr>
            </w:pPr>
          </w:p>
        </w:tc>
        <w:tc>
          <w:tcPr>
            <w:tcW w:w="917" w:type="pct"/>
            <w:shd w:val="clear" w:color="auto" w:fill="auto"/>
            <w:vAlign w:val="center"/>
          </w:tcPr>
          <w:p w14:paraId="4E902613">
            <w:pPr>
              <w:pStyle w:val="143"/>
              <w:rPr>
                <w:color w:val="000000" w:themeColor="text1"/>
                <w14:textFill>
                  <w14:solidFill>
                    <w14:schemeClr w14:val="tx1"/>
                  </w14:solidFill>
                </w14:textFill>
              </w:rPr>
            </w:pPr>
          </w:p>
        </w:tc>
        <w:tc>
          <w:tcPr>
            <w:tcW w:w="744" w:type="pct"/>
            <w:shd w:val="clear" w:color="auto" w:fill="auto"/>
            <w:vAlign w:val="center"/>
          </w:tcPr>
          <w:p w14:paraId="0B119367">
            <w:pPr>
              <w:pStyle w:val="143"/>
              <w:rPr>
                <w:color w:val="000000" w:themeColor="text1"/>
                <w14:textFill>
                  <w14:solidFill>
                    <w14:schemeClr w14:val="tx1"/>
                  </w14:solidFill>
                </w14:textFill>
              </w:rPr>
            </w:pPr>
          </w:p>
        </w:tc>
        <w:tc>
          <w:tcPr>
            <w:tcW w:w="884" w:type="pct"/>
            <w:shd w:val="clear" w:color="auto" w:fill="auto"/>
            <w:vAlign w:val="center"/>
          </w:tcPr>
          <w:p w14:paraId="3C508A7E">
            <w:pPr>
              <w:pStyle w:val="143"/>
              <w:rPr>
                <w:color w:val="000000" w:themeColor="text1"/>
                <w14:textFill>
                  <w14:solidFill>
                    <w14:schemeClr w14:val="tx1"/>
                  </w14:solidFill>
                </w14:textFill>
              </w:rPr>
            </w:pPr>
          </w:p>
        </w:tc>
        <w:tc>
          <w:tcPr>
            <w:tcW w:w="774" w:type="pct"/>
            <w:shd w:val="clear" w:color="auto" w:fill="auto"/>
            <w:vAlign w:val="center"/>
          </w:tcPr>
          <w:p w14:paraId="78DDE6D3">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220</w:t>
            </w:r>
          </w:p>
        </w:tc>
        <w:tc>
          <w:tcPr>
            <w:tcW w:w="931" w:type="pct"/>
            <w:shd w:val="clear" w:color="auto" w:fill="auto"/>
            <w:vAlign w:val="center"/>
          </w:tcPr>
          <w:p w14:paraId="73ED31C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89.50 </w:t>
            </w:r>
          </w:p>
        </w:tc>
      </w:tr>
      <w:tr w14:paraId="4236F9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69EF2ACE">
            <w:pPr>
              <w:pStyle w:val="143"/>
              <w:rPr>
                <w:color w:val="000000" w:themeColor="text1"/>
                <w14:textFill>
                  <w14:solidFill>
                    <w14:schemeClr w14:val="tx1"/>
                  </w14:solidFill>
                </w14:textFill>
              </w:rPr>
            </w:pPr>
          </w:p>
        </w:tc>
        <w:tc>
          <w:tcPr>
            <w:tcW w:w="917" w:type="pct"/>
            <w:shd w:val="clear" w:color="auto" w:fill="auto"/>
            <w:vAlign w:val="center"/>
          </w:tcPr>
          <w:p w14:paraId="174A210B">
            <w:pPr>
              <w:pStyle w:val="143"/>
              <w:rPr>
                <w:color w:val="000000" w:themeColor="text1"/>
                <w14:textFill>
                  <w14:solidFill>
                    <w14:schemeClr w14:val="tx1"/>
                  </w14:solidFill>
                </w14:textFill>
              </w:rPr>
            </w:pPr>
          </w:p>
        </w:tc>
        <w:tc>
          <w:tcPr>
            <w:tcW w:w="744" w:type="pct"/>
            <w:shd w:val="clear" w:color="auto" w:fill="auto"/>
            <w:vAlign w:val="center"/>
          </w:tcPr>
          <w:p w14:paraId="11E24E4F">
            <w:pPr>
              <w:pStyle w:val="143"/>
              <w:rPr>
                <w:color w:val="000000" w:themeColor="text1"/>
                <w14:textFill>
                  <w14:solidFill>
                    <w14:schemeClr w14:val="tx1"/>
                  </w14:solidFill>
                </w14:textFill>
              </w:rPr>
            </w:pPr>
          </w:p>
        </w:tc>
        <w:tc>
          <w:tcPr>
            <w:tcW w:w="884" w:type="pct"/>
            <w:shd w:val="clear" w:color="auto" w:fill="auto"/>
            <w:vAlign w:val="center"/>
          </w:tcPr>
          <w:p w14:paraId="31E2DFBA">
            <w:pPr>
              <w:pStyle w:val="143"/>
              <w:rPr>
                <w:color w:val="000000" w:themeColor="text1"/>
                <w14:textFill>
                  <w14:solidFill>
                    <w14:schemeClr w14:val="tx1"/>
                  </w14:solidFill>
                </w14:textFill>
              </w:rPr>
            </w:pPr>
          </w:p>
        </w:tc>
        <w:tc>
          <w:tcPr>
            <w:tcW w:w="774" w:type="pct"/>
            <w:shd w:val="clear" w:color="auto" w:fill="auto"/>
            <w:vAlign w:val="center"/>
          </w:tcPr>
          <w:p w14:paraId="67ADB0CB">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230</w:t>
            </w:r>
          </w:p>
        </w:tc>
        <w:tc>
          <w:tcPr>
            <w:tcW w:w="931" w:type="pct"/>
            <w:shd w:val="clear" w:color="auto" w:fill="auto"/>
            <w:vAlign w:val="center"/>
          </w:tcPr>
          <w:p w14:paraId="0D644DDE">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88.40 </w:t>
            </w:r>
          </w:p>
        </w:tc>
      </w:tr>
      <w:tr w14:paraId="05960B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5203FBB6">
            <w:pPr>
              <w:pStyle w:val="143"/>
              <w:rPr>
                <w:color w:val="000000" w:themeColor="text1"/>
                <w14:textFill>
                  <w14:solidFill>
                    <w14:schemeClr w14:val="tx1"/>
                  </w14:solidFill>
                </w14:textFill>
              </w:rPr>
            </w:pPr>
          </w:p>
        </w:tc>
        <w:tc>
          <w:tcPr>
            <w:tcW w:w="917" w:type="pct"/>
            <w:shd w:val="clear" w:color="auto" w:fill="auto"/>
            <w:vAlign w:val="center"/>
          </w:tcPr>
          <w:p w14:paraId="7DDC668E">
            <w:pPr>
              <w:pStyle w:val="143"/>
              <w:rPr>
                <w:color w:val="000000" w:themeColor="text1"/>
                <w14:textFill>
                  <w14:solidFill>
                    <w14:schemeClr w14:val="tx1"/>
                  </w14:solidFill>
                </w14:textFill>
              </w:rPr>
            </w:pPr>
          </w:p>
        </w:tc>
        <w:tc>
          <w:tcPr>
            <w:tcW w:w="744" w:type="pct"/>
            <w:shd w:val="clear" w:color="auto" w:fill="auto"/>
            <w:vAlign w:val="center"/>
          </w:tcPr>
          <w:p w14:paraId="0B5755F1">
            <w:pPr>
              <w:pStyle w:val="143"/>
              <w:rPr>
                <w:color w:val="000000" w:themeColor="text1"/>
                <w14:textFill>
                  <w14:solidFill>
                    <w14:schemeClr w14:val="tx1"/>
                  </w14:solidFill>
                </w14:textFill>
              </w:rPr>
            </w:pPr>
          </w:p>
        </w:tc>
        <w:tc>
          <w:tcPr>
            <w:tcW w:w="884" w:type="pct"/>
            <w:shd w:val="clear" w:color="auto" w:fill="auto"/>
            <w:vAlign w:val="center"/>
          </w:tcPr>
          <w:p w14:paraId="3088B7DF">
            <w:pPr>
              <w:pStyle w:val="143"/>
              <w:rPr>
                <w:color w:val="000000" w:themeColor="text1"/>
                <w14:textFill>
                  <w14:solidFill>
                    <w14:schemeClr w14:val="tx1"/>
                  </w14:solidFill>
                </w14:textFill>
              </w:rPr>
            </w:pPr>
          </w:p>
        </w:tc>
        <w:tc>
          <w:tcPr>
            <w:tcW w:w="774" w:type="pct"/>
            <w:shd w:val="clear" w:color="auto" w:fill="auto"/>
            <w:vAlign w:val="center"/>
          </w:tcPr>
          <w:p w14:paraId="0802BE22">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240</w:t>
            </w:r>
          </w:p>
        </w:tc>
        <w:tc>
          <w:tcPr>
            <w:tcW w:w="931" w:type="pct"/>
            <w:shd w:val="clear" w:color="auto" w:fill="auto"/>
            <w:vAlign w:val="center"/>
          </w:tcPr>
          <w:p w14:paraId="6C44C2D7">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85.60 </w:t>
            </w:r>
          </w:p>
        </w:tc>
      </w:tr>
      <w:tr w14:paraId="71FCE9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747" w:type="pct"/>
            <w:shd w:val="clear" w:color="auto" w:fill="auto"/>
            <w:vAlign w:val="center"/>
          </w:tcPr>
          <w:p w14:paraId="68547AC2">
            <w:pPr>
              <w:pStyle w:val="143"/>
              <w:rPr>
                <w:color w:val="000000" w:themeColor="text1"/>
                <w14:textFill>
                  <w14:solidFill>
                    <w14:schemeClr w14:val="tx1"/>
                  </w14:solidFill>
                </w14:textFill>
              </w:rPr>
            </w:pPr>
          </w:p>
        </w:tc>
        <w:tc>
          <w:tcPr>
            <w:tcW w:w="917" w:type="pct"/>
            <w:shd w:val="clear" w:color="auto" w:fill="auto"/>
            <w:vAlign w:val="center"/>
          </w:tcPr>
          <w:p w14:paraId="0BF64164">
            <w:pPr>
              <w:pStyle w:val="143"/>
              <w:rPr>
                <w:color w:val="000000" w:themeColor="text1"/>
                <w14:textFill>
                  <w14:solidFill>
                    <w14:schemeClr w14:val="tx1"/>
                  </w14:solidFill>
                </w14:textFill>
              </w:rPr>
            </w:pPr>
          </w:p>
        </w:tc>
        <w:tc>
          <w:tcPr>
            <w:tcW w:w="744" w:type="pct"/>
            <w:shd w:val="clear" w:color="auto" w:fill="auto"/>
            <w:vAlign w:val="center"/>
          </w:tcPr>
          <w:p w14:paraId="013755CD">
            <w:pPr>
              <w:pStyle w:val="143"/>
              <w:rPr>
                <w:color w:val="000000" w:themeColor="text1"/>
                <w14:textFill>
                  <w14:solidFill>
                    <w14:schemeClr w14:val="tx1"/>
                  </w14:solidFill>
                </w14:textFill>
              </w:rPr>
            </w:pPr>
          </w:p>
        </w:tc>
        <w:tc>
          <w:tcPr>
            <w:tcW w:w="884" w:type="pct"/>
            <w:shd w:val="clear" w:color="auto" w:fill="auto"/>
            <w:vAlign w:val="center"/>
          </w:tcPr>
          <w:p w14:paraId="42E33CFD">
            <w:pPr>
              <w:pStyle w:val="143"/>
              <w:rPr>
                <w:color w:val="000000" w:themeColor="text1"/>
                <w14:textFill>
                  <w14:solidFill>
                    <w14:schemeClr w14:val="tx1"/>
                  </w14:solidFill>
                </w14:textFill>
              </w:rPr>
            </w:pPr>
          </w:p>
        </w:tc>
        <w:tc>
          <w:tcPr>
            <w:tcW w:w="774" w:type="pct"/>
            <w:shd w:val="clear" w:color="auto" w:fill="auto"/>
            <w:vAlign w:val="center"/>
          </w:tcPr>
          <w:p w14:paraId="22A79380">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250</w:t>
            </w:r>
          </w:p>
        </w:tc>
        <w:tc>
          <w:tcPr>
            <w:tcW w:w="931" w:type="pct"/>
            <w:shd w:val="clear" w:color="auto" w:fill="auto"/>
            <w:vAlign w:val="center"/>
          </w:tcPr>
          <w:p w14:paraId="11D24F6C">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79.90 </w:t>
            </w:r>
          </w:p>
        </w:tc>
      </w:tr>
      <w:tr w14:paraId="0BD672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554A9096">
            <w:pPr>
              <w:pStyle w:val="143"/>
              <w:rPr>
                <w:color w:val="000000" w:themeColor="text1"/>
                <w14:textFill>
                  <w14:solidFill>
                    <w14:schemeClr w14:val="tx1"/>
                  </w14:solidFill>
                </w14:textFill>
              </w:rPr>
            </w:pPr>
          </w:p>
        </w:tc>
        <w:tc>
          <w:tcPr>
            <w:tcW w:w="917" w:type="pct"/>
            <w:shd w:val="clear" w:color="auto" w:fill="auto"/>
            <w:vAlign w:val="center"/>
          </w:tcPr>
          <w:p w14:paraId="2899BCE9">
            <w:pPr>
              <w:pStyle w:val="143"/>
              <w:rPr>
                <w:color w:val="000000" w:themeColor="text1"/>
                <w14:textFill>
                  <w14:solidFill>
                    <w14:schemeClr w14:val="tx1"/>
                  </w14:solidFill>
                </w14:textFill>
              </w:rPr>
            </w:pPr>
          </w:p>
        </w:tc>
        <w:tc>
          <w:tcPr>
            <w:tcW w:w="744" w:type="pct"/>
            <w:shd w:val="clear" w:color="auto" w:fill="auto"/>
            <w:vAlign w:val="center"/>
          </w:tcPr>
          <w:p w14:paraId="2CF0F822">
            <w:pPr>
              <w:pStyle w:val="143"/>
              <w:rPr>
                <w:color w:val="000000" w:themeColor="text1"/>
                <w14:textFill>
                  <w14:solidFill>
                    <w14:schemeClr w14:val="tx1"/>
                  </w14:solidFill>
                </w14:textFill>
              </w:rPr>
            </w:pPr>
          </w:p>
        </w:tc>
        <w:tc>
          <w:tcPr>
            <w:tcW w:w="884" w:type="pct"/>
            <w:shd w:val="clear" w:color="auto" w:fill="auto"/>
            <w:vAlign w:val="center"/>
          </w:tcPr>
          <w:p w14:paraId="336C00C0">
            <w:pPr>
              <w:pStyle w:val="143"/>
              <w:rPr>
                <w:color w:val="000000" w:themeColor="text1"/>
                <w14:textFill>
                  <w14:solidFill>
                    <w14:schemeClr w14:val="tx1"/>
                  </w14:solidFill>
                </w14:textFill>
              </w:rPr>
            </w:pPr>
          </w:p>
        </w:tc>
        <w:tc>
          <w:tcPr>
            <w:tcW w:w="774" w:type="pct"/>
            <w:shd w:val="clear" w:color="auto" w:fill="auto"/>
            <w:vAlign w:val="center"/>
          </w:tcPr>
          <w:p w14:paraId="51659BC4">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260</w:t>
            </w:r>
          </w:p>
        </w:tc>
        <w:tc>
          <w:tcPr>
            <w:tcW w:w="931" w:type="pct"/>
            <w:shd w:val="clear" w:color="auto" w:fill="auto"/>
            <w:vAlign w:val="center"/>
          </w:tcPr>
          <w:p w14:paraId="42159C20">
            <w:pPr>
              <w:pStyle w:val="143"/>
              <w:rPr>
                <w:rFonts w:hint="eastAsia"/>
                <w:color w:val="000000" w:themeColor="text1"/>
                <w:sz w:val="22"/>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70.10 </w:t>
            </w:r>
          </w:p>
        </w:tc>
      </w:tr>
      <w:tr w14:paraId="5EE94D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427FC1B5">
            <w:pPr>
              <w:pStyle w:val="143"/>
              <w:rPr>
                <w:color w:val="000000" w:themeColor="text1"/>
                <w14:textFill>
                  <w14:solidFill>
                    <w14:schemeClr w14:val="tx1"/>
                  </w14:solidFill>
                </w14:textFill>
              </w:rPr>
            </w:pPr>
          </w:p>
        </w:tc>
        <w:tc>
          <w:tcPr>
            <w:tcW w:w="917" w:type="pct"/>
            <w:shd w:val="clear" w:color="auto" w:fill="auto"/>
            <w:vAlign w:val="center"/>
          </w:tcPr>
          <w:p w14:paraId="5FE2C70B">
            <w:pPr>
              <w:pStyle w:val="143"/>
              <w:rPr>
                <w:color w:val="000000" w:themeColor="text1"/>
                <w14:textFill>
                  <w14:solidFill>
                    <w14:schemeClr w14:val="tx1"/>
                  </w14:solidFill>
                </w14:textFill>
              </w:rPr>
            </w:pPr>
          </w:p>
        </w:tc>
        <w:tc>
          <w:tcPr>
            <w:tcW w:w="744" w:type="pct"/>
            <w:shd w:val="clear" w:color="auto" w:fill="auto"/>
            <w:vAlign w:val="center"/>
          </w:tcPr>
          <w:p w14:paraId="672BF800">
            <w:pPr>
              <w:pStyle w:val="143"/>
              <w:rPr>
                <w:color w:val="000000" w:themeColor="text1"/>
                <w14:textFill>
                  <w14:solidFill>
                    <w14:schemeClr w14:val="tx1"/>
                  </w14:solidFill>
                </w14:textFill>
              </w:rPr>
            </w:pPr>
          </w:p>
        </w:tc>
        <w:tc>
          <w:tcPr>
            <w:tcW w:w="884" w:type="pct"/>
            <w:shd w:val="clear" w:color="auto" w:fill="auto"/>
            <w:vAlign w:val="center"/>
          </w:tcPr>
          <w:p w14:paraId="78215ADC">
            <w:pPr>
              <w:pStyle w:val="143"/>
              <w:rPr>
                <w:color w:val="000000" w:themeColor="text1"/>
                <w14:textFill>
                  <w14:solidFill>
                    <w14:schemeClr w14:val="tx1"/>
                  </w14:solidFill>
                </w14:textFill>
              </w:rPr>
            </w:pPr>
          </w:p>
        </w:tc>
        <w:tc>
          <w:tcPr>
            <w:tcW w:w="774" w:type="pct"/>
            <w:shd w:val="clear" w:color="auto" w:fill="auto"/>
            <w:vAlign w:val="center"/>
          </w:tcPr>
          <w:p w14:paraId="6D4805D4">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270</w:t>
            </w:r>
          </w:p>
        </w:tc>
        <w:tc>
          <w:tcPr>
            <w:tcW w:w="931" w:type="pct"/>
            <w:shd w:val="clear" w:color="auto" w:fill="auto"/>
            <w:vAlign w:val="center"/>
          </w:tcPr>
          <w:p w14:paraId="69057428">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56.50 </w:t>
            </w:r>
          </w:p>
        </w:tc>
      </w:tr>
      <w:tr w14:paraId="3AB2E4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5828D72E">
            <w:pPr>
              <w:pStyle w:val="143"/>
              <w:rPr>
                <w:color w:val="000000" w:themeColor="text1"/>
                <w14:textFill>
                  <w14:solidFill>
                    <w14:schemeClr w14:val="tx1"/>
                  </w14:solidFill>
                </w14:textFill>
              </w:rPr>
            </w:pPr>
          </w:p>
        </w:tc>
        <w:tc>
          <w:tcPr>
            <w:tcW w:w="917" w:type="pct"/>
            <w:shd w:val="clear" w:color="auto" w:fill="auto"/>
            <w:vAlign w:val="center"/>
          </w:tcPr>
          <w:p w14:paraId="14E79CF6">
            <w:pPr>
              <w:pStyle w:val="143"/>
              <w:rPr>
                <w:color w:val="000000" w:themeColor="text1"/>
                <w14:textFill>
                  <w14:solidFill>
                    <w14:schemeClr w14:val="tx1"/>
                  </w14:solidFill>
                </w14:textFill>
              </w:rPr>
            </w:pPr>
          </w:p>
        </w:tc>
        <w:tc>
          <w:tcPr>
            <w:tcW w:w="744" w:type="pct"/>
            <w:shd w:val="clear" w:color="auto" w:fill="auto"/>
            <w:vAlign w:val="center"/>
          </w:tcPr>
          <w:p w14:paraId="34078F7A">
            <w:pPr>
              <w:pStyle w:val="143"/>
              <w:rPr>
                <w:color w:val="000000" w:themeColor="text1"/>
                <w14:textFill>
                  <w14:solidFill>
                    <w14:schemeClr w14:val="tx1"/>
                  </w14:solidFill>
                </w14:textFill>
              </w:rPr>
            </w:pPr>
          </w:p>
        </w:tc>
        <w:tc>
          <w:tcPr>
            <w:tcW w:w="884" w:type="pct"/>
            <w:shd w:val="clear" w:color="auto" w:fill="auto"/>
            <w:vAlign w:val="center"/>
          </w:tcPr>
          <w:p w14:paraId="182A8958">
            <w:pPr>
              <w:pStyle w:val="143"/>
              <w:rPr>
                <w:color w:val="000000" w:themeColor="text1"/>
                <w14:textFill>
                  <w14:solidFill>
                    <w14:schemeClr w14:val="tx1"/>
                  </w14:solidFill>
                </w14:textFill>
              </w:rPr>
            </w:pPr>
          </w:p>
        </w:tc>
        <w:tc>
          <w:tcPr>
            <w:tcW w:w="774" w:type="pct"/>
            <w:shd w:val="clear" w:color="auto" w:fill="auto"/>
            <w:vAlign w:val="center"/>
          </w:tcPr>
          <w:p w14:paraId="6311E3B4">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280</w:t>
            </w:r>
          </w:p>
        </w:tc>
        <w:tc>
          <w:tcPr>
            <w:tcW w:w="931" w:type="pct"/>
            <w:shd w:val="clear" w:color="auto" w:fill="auto"/>
            <w:vAlign w:val="center"/>
          </w:tcPr>
          <w:p w14:paraId="2663EF79">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40.90 </w:t>
            </w:r>
          </w:p>
        </w:tc>
      </w:tr>
      <w:tr w14:paraId="3CC1BC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6ACD14BC">
            <w:pPr>
              <w:pStyle w:val="143"/>
              <w:rPr>
                <w:color w:val="000000" w:themeColor="text1"/>
                <w14:textFill>
                  <w14:solidFill>
                    <w14:schemeClr w14:val="tx1"/>
                  </w14:solidFill>
                </w14:textFill>
              </w:rPr>
            </w:pPr>
          </w:p>
        </w:tc>
        <w:tc>
          <w:tcPr>
            <w:tcW w:w="917" w:type="pct"/>
            <w:shd w:val="clear" w:color="auto" w:fill="auto"/>
            <w:vAlign w:val="center"/>
          </w:tcPr>
          <w:p w14:paraId="3F5C10C9">
            <w:pPr>
              <w:pStyle w:val="143"/>
              <w:rPr>
                <w:color w:val="000000" w:themeColor="text1"/>
                <w14:textFill>
                  <w14:solidFill>
                    <w14:schemeClr w14:val="tx1"/>
                  </w14:solidFill>
                </w14:textFill>
              </w:rPr>
            </w:pPr>
          </w:p>
        </w:tc>
        <w:tc>
          <w:tcPr>
            <w:tcW w:w="744" w:type="pct"/>
            <w:shd w:val="clear" w:color="auto" w:fill="auto"/>
            <w:vAlign w:val="center"/>
          </w:tcPr>
          <w:p w14:paraId="2FC39056">
            <w:pPr>
              <w:pStyle w:val="143"/>
              <w:rPr>
                <w:color w:val="000000" w:themeColor="text1"/>
                <w14:textFill>
                  <w14:solidFill>
                    <w14:schemeClr w14:val="tx1"/>
                  </w14:solidFill>
                </w14:textFill>
              </w:rPr>
            </w:pPr>
          </w:p>
        </w:tc>
        <w:tc>
          <w:tcPr>
            <w:tcW w:w="884" w:type="pct"/>
            <w:shd w:val="clear" w:color="auto" w:fill="auto"/>
            <w:vAlign w:val="center"/>
          </w:tcPr>
          <w:p w14:paraId="50F40D8C">
            <w:pPr>
              <w:pStyle w:val="143"/>
              <w:rPr>
                <w:color w:val="000000" w:themeColor="text1"/>
                <w14:textFill>
                  <w14:solidFill>
                    <w14:schemeClr w14:val="tx1"/>
                  </w14:solidFill>
                </w14:textFill>
              </w:rPr>
            </w:pPr>
          </w:p>
        </w:tc>
        <w:tc>
          <w:tcPr>
            <w:tcW w:w="774" w:type="pct"/>
            <w:shd w:val="clear" w:color="auto" w:fill="auto"/>
            <w:vAlign w:val="center"/>
          </w:tcPr>
          <w:p w14:paraId="65C30703">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290</w:t>
            </w:r>
          </w:p>
        </w:tc>
        <w:tc>
          <w:tcPr>
            <w:tcW w:w="931" w:type="pct"/>
            <w:shd w:val="clear" w:color="auto" w:fill="auto"/>
            <w:vAlign w:val="center"/>
          </w:tcPr>
          <w:p w14:paraId="38E6E954">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26.00 </w:t>
            </w:r>
          </w:p>
        </w:tc>
      </w:tr>
      <w:tr w14:paraId="4D030C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4E2403B7">
            <w:pPr>
              <w:pStyle w:val="143"/>
              <w:rPr>
                <w:color w:val="000000" w:themeColor="text1"/>
                <w14:textFill>
                  <w14:solidFill>
                    <w14:schemeClr w14:val="tx1"/>
                  </w14:solidFill>
                </w14:textFill>
              </w:rPr>
            </w:pPr>
          </w:p>
        </w:tc>
        <w:tc>
          <w:tcPr>
            <w:tcW w:w="917" w:type="pct"/>
            <w:shd w:val="clear" w:color="auto" w:fill="auto"/>
            <w:vAlign w:val="center"/>
          </w:tcPr>
          <w:p w14:paraId="7DF6B616">
            <w:pPr>
              <w:pStyle w:val="143"/>
              <w:rPr>
                <w:color w:val="000000" w:themeColor="text1"/>
                <w14:textFill>
                  <w14:solidFill>
                    <w14:schemeClr w14:val="tx1"/>
                  </w14:solidFill>
                </w14:textFill>
              </w:rPr>
            </w:pPr>
          </w:p>
        </w:tc>
        <w:tc>
          <w:tcPr>
            <w:tcW w:w="744" w:type="pct"/>
            <w:shd w:val="clear" w:color="auto" w:fill="auto"/>
            <w:vAlign w:val="center"/>
          </w:tcPr>
          <w:p w14:paraId="7F75C852">
            <w:pPr>
              <w:pStyle w:val="143"/>
              <w:rPr>
                <w:color w:val="000000" w:themeColor="text1"/>
                <w14:textFill>
                  <w14:solidFill>
                    <w14:schemeClr w14:val="tx1"/>
                  </w14:solidFill>
                </w14:textFill>
              </w:rPr>
            </w:pPr>
          </w:p>
        </w:tc>
        <w:tc>
          <w:tcPr>
            <w:tcW w:w="884" w:type="pct"/>
            <w:shd w:val="clear" w:color="auto" w:fill="auto"/>
            <w:vAlign w:val="center"/>
          </w:tcPr>
          <w:p w14:paraId="3572255D">
            <w:pPr>
              <w:pStyle w:val="143"/>
              <w:rPr>
                <w:color w:val="000000" w:themeColor="text1"/>
                <w14:textFill>
                  <w14:solidFill>
                    <w14:schemeClr w14:val="tx1"/>
                  </w14:solidFill>
                </w14:textFill>
              </w:rPr>
            </w:pPr>
          </w:p>
        </w:tc>
        <w:tc>
          <w:tcPr>
            <w:tcW w:w="774" w:type="pct"/>
            <w:shd w:val="clear" w:color="auto" w:fill="auto"/>
            <w:vAlign w:val="center"/>
          </w:tcPr>
          <w:p w14:paraId="3393FA9D">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300</w:t>
            </w:r>
          </w:p>
        </w:tc>
        <w:tc>
          <w:tcPr>
            <w:tcW w:w="931" w:type="pct"/>
            <w:shd w:val="clear" w:color="auto" w:fill="auto"/>
            <w:vAlign w:val="center"/>
          </w:tcPr>
          <w:p w14:paraId="713395E7">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14.30 </w:t>
            </w:r>
          </w:p>
        </w:tc>
      </w:tr>
      <w:tr w14:paraId="6ABDB0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63CF4C08">
            <w:pPr>
              <w:pStyle w:val="143"/>
              <w:rPr>
                <w:color w:val="000000" w:themeColor="text1"/>
                <w14:textFill>
                  <w14:solidFill>
                    <w14:schemeClr w14:val="tx1"/>
                  </w14:solidFill>
                </w14:textFill>
              </w:rPr>
            </w:pPr>
          </w:p>
        </w:tc>
        <w:tc>
          <w:tcPr>
            <w:tcW w:w="917" w:type="pct"/>
            <w:shd w:val="clear" w:color="auto" w:fill="auto"/>
            <w:vAlign w:val="center"/>
          </w:tcPr>
          <w:p w14:paraId="0AAC5E5F">
            <w:pPr>
              <w:pStyle w:val="143"/>
              <w:rPr>
                <w:color w:val="000000" w:themeColor="text1"/>
                <w14:textFill>
                  <w14:solidFill>
                    <w14:schemeClr w14:val="tx1"/>
                  </w14:solidFill>
                </w14:textFill>
              </w:rPr>
            </w:pPr>
          </w:p>
        </w:tc>
        <w:tc>
          <w:tcPr>
            <w:tcW w:w="744" w:type="pct"/>
            <w:shd w:val="clear" w:color="auto" w:fill="auto"/>
            <w:vAlign w:val="center"/>
          </w:tcPr>
          <w:p w14:paraId="05227020">
            <w:pPr>
              <w:pStyle w:val="143"/>
              <w:rPr>
                <w:color w:val="000000" w:themeColor="text1"/>
                <w14:textFill>
                  <w14:solidFill>
                    <w14:schemeClr w14:val="tx1"/>
                  </w14:solidFill>
                </w14:textFill>
              </w:rPr>
            </w:pPr>
          </w:p>
        </w:tc>
        <w:tc>
          <w:tcPr>
            <w:tcW w:w="884" w:type="pct"/>
            <w:shd w:val="clear" w:color="auto" w:fill="auto"/>
            <w:vAlign w:val="center"/>
          </w:tcPr>
          <w:p w14:paraId="4356E72E">
            <w:pPr>
              <w:pStyle w:val="143"/>
              <w:rPr>
                <w:color w:val="000000" w:themeColor="text1"/>
                <w14:textFill>
                  <w14:solidFill>
                    <w14:schemeClr w14:val="tx1"/>
                  </w14:solidFill>
                </w14:textFill>
              </w:rPr>
            </w:pPr>
          </w:p>
        </w:tc>
        <w:tc>
          <w:tcPr>
            <w:tcW w:w="774" w:type="pct"/>
            <w:shd w:val="clear" w:color="auto" w:fill="auto"/>
            <w:vAlign w:val="center"/>
          </w:tcPr>
          <w:p w14:paraId="0EA1D0D8">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310</w:t>
            </w:r>
          </w:p>
        </w:tc>
        <w:tc>
          <w:tcPr>
            <w:tcW w:w="931" w:type="pct"/>
            <w:shd w:val="clear" w:color="auto" w:fill="auto"/>
            <w:vAlign w:val="center"/>
          </w:tcPr>
          <w:p w14:paraId="3E02CFBF">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6.72 </w:t>
            </w:r>
          </w:p>
        </w:tc>
      </w:tr>
      <w:tr w14:paraId="758827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32441343">
            <w:pPr>
              <w:pStyle w:val="143"/>
              <w:rPr>
                <w:color w:val="000000" w:themeColor="text1"/>
                <w14:textFill>
                  <w14:solidFill>
                    <w14:schemeClr w14:val="tx1"/>
                  </w14:solidFill>
                </w14:textFill>
              </w:rPr>
            </w:pPr>
          </w:p>
        </w:tc>
        <w:tc>
          <w:tcPr>
            <w:tcW w:w="917" w:type="pct"/>
            <w:shd w:val="clear" w:color="auto" w:fill="auto"/>
            <w:vAlign w:val="center"/>
          </w:tcPr>
          <w:p w14:paraId="0086ECE5">
            <w:pPr>
              <w:pStyle w:val="143"/>
              <w:rPr>
                <w:color w:val="000000" w:themeColor="text1"/>
                <w14:textFill>
                  <w14:solidFill>
                    <w14:schemeClr w14:val="tx1"/>
                  </w14:solidFill>
                </w14:textFill>
              </w:rPr>
            </w:pPr>
          </w:p>
        </w:tc>
        <w:tc>
          <w:tcPr>
            <w:tcW w:w="744" w:type="pct"/>
            <w:shd w:val="clear" w:color="auto" w:fill="auto"/>
            <w:vAlign w:val="center"/>
          </w:tcPr>
          <w:p w14:paraId="1F7C17DD">
            <w:pPr>
              <w:pStyle w:val="143"/>
              <w:rPr>
                <w:color w:val="000000" w:themeColor="text1"/>
                <w14:textFill>
                  <w14:solidFill>
                    <w14:schemeClr w14:val="tx1"/>
                  </w14:solidFill>
                </w14:textFill>
              </w:rPr>
            </w:pPr>
          </w:p>
        </w:tc>
        <w:tc>
          <w:tcPr>
            <w:tcW w:w="884" w:type="pct"/>
            <w:shd w:val="clear" w:color="auto" w:fill="auto"/>
            <w:vAlign w:val="center"/>
          </w:tcPr>
          <w:p w14:paraId="24D70C3B">
            <w:pPr>
              <w:pStyle w:val="143"/>
              <w:rPr>
                <w:color w:val="000000" w:themeColor="text1"/>
                <w14:textFill>
                  <w14:solidFill>
                    <w14:schemeClr w14:val="tx1"/>
                  </w14:solidFill>
                </w14:textFill>
              </w:rPr>
            </w:pPr>
          </w:p>
        </w:tc>
        <w:tc>
          <w:tcPr>
            <w:tcW w:w="774" w:type="pct"/>
            <w:shd w:val="clear" w:color="auto" w:fill="auto"/>
            <w:vAlign w:val="center"/>
          </w:tcPr>
          <w:p w14:paraId="1CF9203C">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320</w:t>
            </w:r>
          </w:p>
        </w:tc>
        <w:tc>
          <w:tcPr>
            <w:tcW w:w="931" w:type="pct"/>
            <w:shd w:val="clear" w:color="auto" w:fill="auto"/>
            <w:vAlign w:val="center"/>
          </w:tcPr>
          <w:p w14:paraId="6C17B4A4">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2.68 </w:t>
            </w:r>
          </w:p>
        </w:tc>
      </w:tr>
      <w:tr w14:paraId="17141D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42A9F8BA">
            <w:pPr>
              <w:pStyle w:val="143"/>
              <w:rPr>
                <w:color w:val="000000" w:themeColor="text1"/>
                <w14:textFill>
                  <w14:solidFill>
                    <w14:schemeClr w14:val="tx1"/>
                  </w14:solidFill>
                </w14:textFill>
              </w:rPr>
            </w:pPr>
          </w:p>
        </w:tc>
        <w:tc>
          <w:tcPr>
            <w:tcW w:w="917" w:type="pct"/>
            <w:shd w:val="clear" w:color="auto" w:fill="auto"/>
            <w:vAlign w:val="center"/>
          </w:tcPr>
          <w:p w14:paraId="69F74F73">
            <w:pPr>
              <w:pStyle w:val="143"/>
              <w:rPr>
                <w:color w:val="000000" w:themeColor="text1"/>
                <w14:textFill>
                  <w14:solidFill>
                    <w14:schemeClr w14:val="tx1"/>
                  </w14:solidFill>
                </w14:textFill>
              </w:rPr>
            </w:pPr>
          </w:p>
        </w:tc>
        <w:tc>
          <w:tcPr>
            <w:tcW w:w="744" w:type="pct"/>
            <w:shd w:val="clear" w:color="auto" w:fill="auto"/>
            <w:vAlign w:val="center"/>
          </w:tcPr>
          <w:p w14:paraId="158FB7F7">
            <w:pPr>
              <w:pStyle w:val="143"/>
              <w:rPr>
                <w:color w:val="000000" w:themeColor="text1"/>
                <w14:textFill>
                  <w14:solidFill>
                    <w14:schemeClr w14:val="tx1"/>
                  </w14:solidFill>
                </w14:textFill>
              </w:rPr>
            </w:pPr>
          </w:p>
        </w:tc>
        <w:tc>
          <w:tcPr>
            <w:tcW w:w="884" w:type="pct"/>
            <w:shd w:val="clear" w:color="auto" w:fill="auto"/>
            <w:vAlign w:val="center"/>
          </w:tcPr>
          <w:p w14:paraId="280330B2">
            <w:pPr>
              <w:pStyle w:val="143"/>
              <w:rPr>
                <w:color w:val="000000" w:themeColor="text1"/>
                <w14:textFill>
                  <w14:solidFill>
                    <w14:schemeClr w14:val="tx1"/>
                  </w14:solidFill>
                </w14:textFill>
              </w:rPr>
            </w:pPr>
          </w:p>
        </w:tc>
        <w:tc>
          <w:tcPr>
            <w:tcW w:w="774" w:type="pct"/>
            <w:shd w:val="clear" w:color="auto" w:fill="auto"/>
            <w:vAlign w:val="center"/>
          </w:tcPr>
          <w:p w14:paraId="40D32079">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330</w:t>
            </w:r>
          </w:p>
        </w:tc>
        <w:tc>
          <w:tcPr>
            <w:tcW w:w="931" w:type="pct"/>
            <w:shd w:val="clear" w:color="auto" w:fill="auto"/>
            <w:vAlign w:val="center"/>
          </w:tcPr>
          <w:p w14:paraId="506BE9F2">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0.90 </w:t>
            </w:r>
          </w:p>
        </w:tc>
      </w:tr>
      <w:tr w14:paraId="1A8265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1B17821B">
            <w:pPr>
              <w:pStyle w:val="143"/>
              <w:rPr>
                <w:color w:val="000000" w:themeColor="text1"/>
                <w14:textFill>
                  <w14:solidFill>
                    <w14:schemeClr w14:val="tx1"/>
                  </w14:solidFill>
                </w14:textFill>
              </w:rPr>
            </w:pPr>
          </w:p>
        </w:tc>
        <w:tc>
          <w:tcPr>
            <w:tcW w:w="917" w:type="pct"/>
            <w:shd w:val="clear" w:color="auto" w:fill="auto"/>
            <w:vAlign w:val="center"/>
          </w:tcPr>
          <w:p w14:paraId="4E66FEFF">
            <w:pPr>
              <w:pStyle w:val="143"/>
              <w:rPr>
                <w:color w:val="000000" w:themeColor="text1"/>
                <w14:textFill>
                  <w14:solidFill>
                    <w14:schemeClr w14:val="tx1"/>
                  </w14:solidFill>
                </w14:textFill>
              </w:rPr>
            </w:pPr>
          </w:p>
        </w:tc>
        <w:tc>
          <w:tcPr>
            <w:tcW w:w="744" w:type="pct"/>
            <w:shd w:val="clear" w:color="auto" w:fill="auto"/>
            <w:vAlign w:val="center"/>
          </w:tcPr>
          <w:p w14:paraId="297FBD66">
            <w:pPr>
              <w:pStyle w:val="143"/>
              <w:rPr>
                <w:color w:val="000000" w:themeColor="text1"/>
                <w14:textFill>
                  <w14:solidFill>
                    <w14:schemeClr w14:val="tx1"/>
                  </w14:solidFill>
                </w14:textFill>
              </w:rPr>
            </w:pPr>
          </w:p>
        </w:tc>
        <w:tc>
          <w:tcPr>
            <w:tcW w:w="884" w:type="pct"/>
            <w:shd w:val="clear" w:color="auto" w:fill="auto"/>
            <w:vAlign w:val="center"/>
          </w:tcPr>
          <w:p w14:paraId="4ED53DCF">
            <w:pPr>
              <w:pStyle w:val="143"/>
              <w:rPr>
                <w:color w:val="000000" w:themeColor="text1"/>
                <w14:textFill>
                  <w14:solidFill>
                    <w14:schemeClr w14:val="tx1"/>
                  </w14:solidFill>
                </w14:textFill>
              </w:rPr>
            </w:pPr>
          </w:p>
        </w:tc>
        <w:tc>
          <w:tcPr>
            <w:tcW w:w="774" w:type="pct"/>
            <w:shd w:val="clear" w:color="auto" w:fill="auto"/>
            <w:vAlign w:val="center"/>
          </w:tcPr>
          <w:p w14:paraId="75DAE274">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340</w:t>
            </w:r>
          </w:p>
        </w:tc>
        <w:tc>
          <w:tcPr>
            <w:tcW w:w="931" w:type="pct"/>
            <w:shd w:val="clear" w:color="auto" w:fill="auto"/>
            <w:vAlign w:val="center"/>
          </w:tcPr>
          <w:p w14:paraId="608DD83D">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0.25 </w:t>
            </w:r>
          </w:p>
        </w:tc>
      </w:tr>
      <w:tr w14:paraId="07D9AA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7DE5AD25">
            <w:pPr>
              <w:pStyle w:val="143"/>
              <w:rPr>
                <w:color w:val="000000" w:themeColor="text1"/>
                <w14:textFill>
                  <w14:solidFill>
                    <w14:schemeClr w14:val="tx1"/>
                  </w14:solidFill>
                </w14:textFill>
              </w:rPr>
            </w:pPr>
          </w:p>
        </w:tc>
        <w:tc>
          <w:tcPr>
            <w:tcW w:w="917" w:type="pct"/>
            <w:shd w:val="clear" w:color="auto" w:fill="auto"/>
            <w:vAlign w:val="center"/>
          </w:tcPr>
          <w:p w14:paraId="29F6C180">
            <w:pPr>
              <w:pStyle w:val="143"/>
              <w:rPr>
                <w:color w:val="000000" w:themeColor="text1"/>
                <w14:textFill>
                  <w14:solidFill>
                    <w14:schemeClr w14:val="tx1"/>
                  </w14:solidFill>
                </w14:textFill>
              </w:rPr>
            </w:pPr>
          </w:p>
        </w:tc>
        <w:tc>
          <w:tcPr>
            <w:tcW w:w="744" w:type="pct"/>
            <w:shd w:val="clear" w:color="auto" w:fill="auto"/>
            <w:vAlign w:val="center"/>
          </w:tcPr>
          <w:p w14:paraId="04467BF2">
            <w:pPr>
              <w:pStyle w:val="143"/>
              <w:rPr>
                <w:color w:val="000000" w:themeColor="text1"/>
                <w14:textFill>
                  <w14:solidFill>
                    <w14:schemeClr w14:val="tx1"/>
                  </w14:solidFill>
                </w14:textFill>
              </w:rPr>
            </w:pPr>
          </w:p>
        </w:tc>
        <w:tc>
          <w:tcPr>
            <w:tcW w:w="884" w:type="pct"/>
            <w:shd w:val="clear" w:color="auto" w:fill="auto"/>
            <w:vAlign w:val="center"/>
          </w:tcPr>
          <w:p w14:paraId="69B1F1E6">
            <w:pPr>
              <w:pStyle w:val="143"/>
              <w:rPr>
                <w:color w:val="000000" w:themeColor="text1"/>
                <w14:textFill>
                  <w14:solidFill>
                    <w14:schemeClr w14:val="tx1"/>
                  </w14:solidFill>
                </w14:textFill>
              </w:rPr>
            </w:pPr>
          </w:p>
        </w:tc>
        <w:tc>
          <w:tcPr>
            <w:tcW w:w="774" w:type="pct"/>
            <w:shd w:val="clear" w:color="auto" w:fill="auto"/>
            <w:vAlign w:val="center"/>
          </w:tcPr>
          <w:p w14:paraId="135FC745">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350</w:t>
            </w:r>
          </w:p>
        </w:tc>
        <w:tc>
          <w:tcPr>
            <w:tcW w:w="931" w:type="pct"/>
            <w:shd w:val="clear" w:color="auto" w:fill="auto"/>
            <w:vAlign w:val="center"/>
          </w:tcPr>
          <w:p w14:paraId="44C94F89">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0.06 </w:t>
            </w:r>
          </w:p>
        </w:tc>
      </w:tr>
      <w:tr w14:paraId="601243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747" w:type="pct"/>
            <w:shd w:val="clear" w:color="auto" w:fill="auto"/>
            <w:vAlign w:val="center"/>
          </w:tcPr>
          <w:p w14:paraId="5233CD1C">
            <w:pPr>
              <w:pStyle w:val="143"/>
              <w:rPr>
                <w:color w:val="000000" w:themeColor="text1"/>
                <w14:textFill>
                  <w14:solidFill>
                    <w14:schemeClr w14:val="tx1"/>
                  </w14:solidFill>
                </w14:textFill>
              </w:rPr>
            </w:pPr>
          </w:p>
        </w:tc>
        <w:tc>
          <w:tcPr>
            <w:tcW w:w="917" w:type="pct"/>
            <w:shd w:val="clear" w:color="auto" w:fill="auto"/>
            <w:vAlign w:val="center"/>
          </w:tcPr>
          <w:p w14:paraId="190A6A23">
            <w:pPr>
              <w:pStyle w:val="143"/>
              <w:rPr>
                <w:color w:val="000000" w:themeColor="text1"/>
                <w14:textFill>
                  <w14:solidFill>
                    <w14:schemeClr w14:val="tx1"/>
                  </w14:solidFill>
                </w14:textFill>
              </w:rPr>
            </w:pPr>
          </w:p>
        </w:tc>
        <w:tc>
          <w:tcPr>
            <w:tcW w:w="744" w:type="pct"/>
            <w:shd w:val="clear" w:color="auto" w:fill="auto"/>
            <w:vAlign w:val="center"/>
          </w:tcPr>
          <w:p w14:paraId="4845D955">
            <w:pPr>
              <w:pStyle w:val="143"/>
              <w:rPr>
                <w:color w:val="000000" w:themeColor="text1"/>
                <w14:textFill>
                  <w14:solidFill>
                    <w14:schemeClr w14:val="tx1"/>
                  </w14:solidFill>
                </w14:textFill>
              </w:rPr>
            </w:pPr>
          </w:p>
        </w:tc>
        <w:tc>
          <w:tcPr>
            <w:tcW w:w="884" w:type="pct"/>
            <w:shd w:val="clear" w:color="auto" w:fill="auto"/>
            <w:vAlign w:val="center"/>
          </w:tcPr>
          <w:p w14:paraId="39E63E51">
            <w:pPr>
              <w:pStyle w:val="143"/>
              <w:rPr>
                <w:color w:val="000000" w:themeColor="text1"/>
                <w14:textFill>
                  <w14:solidFill>
                    <w14:schemeClr w14:val="tx1"/>
                  </w14:solidFill>
                </w14:textFill>
              </w:rPr>
            </w:pPr>
          </w:p>
        </w:tc>
        <w:tc>
          <w:tcPr>
            <w:tcW w:w="774" w:type="pct"/>
            <w:shd w:val="clear" w:color="auto" w:fill="auto"/>
            <w:vAlign w:val="center"/>
          </w:tcPr>
          <w:p w14:paraId="3FFBAA77">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360</w:t>
            </w:r>
          </w:p>
        </w:tc>
        <w:tc>
          <w:tcPr>
            <w:tcW w:w="931" w:type="pct"/>
            <w:shd w:val="clear" w:color="auto" w:fill="auto"/>
            <w:vAlign w:val="center"/>
          </w:tcPr>
          <w:p w14:paraId="0843B68C">
            <w:pPr>
              <w:pStyle w:val="143"/>
              <w:rPr>
                <w:rFonts w:hint="eastAsia"/>
                <w:color w:val="000000" w:themeColor="text1"/>
                <w:sz w:val="22"/>
                <w:lang w:val="en-US" w:eastAsia="zh-CN"/>
                <w14:textFill>
                  <w14:solidFill>
                    <w14:schemeClr w14:val="tx1"/>
                  </w14:solidFill>
                </w14:textFill>
              </w:rPr>
            </w:pPr>
            <w:r>
              <w:rPr>
                <w:rFonts w:hint="eastAsia"/>
                <w:color w:val="000000" w:themeColor="text1"/>
                <w:sz w:val="22"/>
                <w:lang w:val="en-US" w:eastAsia="zh-CN"/>
                <w14:textFill>
                  <w14:solidFill>
                    <w14:schemeClr w14:val="tx1"/>
                  </w14:solidFill>
                </w14:textFill>
              </w:rPr>
              <w:t xml:space="preserve">0.01 </w:t>
            </w:r>
          </w:p>
        </w:tc>
      </w:tr>
    </w:tbl>
    <w:p w14:paraId="1CF93919">
      <w:pPr>
        <w:pStyle w:val="206"/>
        <w:rPr>
          <w:snapToGrid w:val="0"/>
          <w:color w:val="000000" w:themeColor="text1"/>
          <w14:textFill>
            <w14:solidFill>
              <w14:schemeClr w14:val="tx1"/>
            </w14:solidFill>
          </w14:textFill>
        </w:rPr>
      </w:pPr>
    </w:p>
    <w:p w14:paraId="0B15DBDD">
      <w:pPr>
        <w:pStyle w:val="206"/>
        <w:rPr>
          <w:rFonts w:hint="eastAsia"/>
          <w:snapToGrid w:val="0"/>
          <w:color w:val="000000" w:themeColor="text1"/>
          <w:lang w:eastAsia="zh-CN"/>
          <w14:textFill>
            <w14:solidFill>
              <w14:schemeClr w14:val="tx1"/>
            </w14:solidFill>
          </w14:textFill>
        </w:rPr>
      </w:pPr>
      <w:r>
        <w:drawing>
          <wp:inline distT="0" distB="0" distL="114300" distR="114300">
            <wp:extent cx="5278120" cy="3110230"/>
            <wp:effectExtent l="9525" t="9525" r="27305" b="23495"/>
            <wp:docPr id="2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9"/>
                    <pic:cNvPicPr>
                      <a:picLocks noChangeAspect="1"/>
                    </pic:cNvPicPr>
                  </pic:nvPicPr>
                  <pic:blipFill>
                    <a:blip r:embed="rId117"/>
                    <a:stretch>
                      <a:fillRect/>
                    </a:stretch>
                  </pic:blipFill>
                  <pic:spPr>
                    <a:xfrm>
                      <a:off x="0" y="0"/>
                      <a:ext cx="5278120" cy="3110230"/>
                    </a:xfrm>
                    <a:prstGeom prst="rect">
                      <a:avLst/>
                    </a:prstGeom>
                    <a:noFill/>
                    <a:ln>
                      <a:solidFill>
                        <a:schemeClr val="tx1"/>
                      </a:solidFill>
                    </a:ln>
                  </pic:spPr>
                </pic:pic>
              </a:graphicData>
            </a:graphic>
          </wp:inline>
        </w:drawing>
      </w:r>
    </w:p>
    <w:p w14:paraId="7BFD0BED">
      <w:pPr>
        <w:pStyle w:val="206"/>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图5</w:t>
      </w:r>
      <w:r>
        <w:rPr>
          <w:snapToGrid w:val="0"/>
          <w:color w:val="000000" w:themeColor="text1"/>
          <w:lang w:eastAsia="zh-CN"/>
          <w14:textFill>
            <w14:solidFill>
              <w14:schemeClr w14:val="tx1"/>
            </w14:solidFill>
          </w14:textFill>
        </w:rPr>
        <w:t>-2-1</w:t>
      </w:r>
      <w:r>
        <w:rPr>
          <w:rFonts w:hint="eastAsia"/>
          <w:snapToGrid w:val="0"/>
          <w:color w:val="000000" w:themeColor="text1"/>
          <w:lang w:eastAsia="zh-CN"/>
          <w14:textFill>
            <w14:solidFill>
              <w14:schemeClr w14:val="tx1"/>
            </w14:solidFill>
          </w14:textFill>
        </w:rPr>
        <w:t xml:space="preserve"> </w:t>
      </w:r>
      <w:r>
        <w:rPr>
          <w:snapToGrid w:val="0"/>
          <w:color w:val="000000" w:themeColor="text1"/>
          <w:lang w:eastAsia="zh-CN"/>
          <w14:textFill>
            <w14:solidFill>
              <w14:schemeClr w14:val="tx1"/>
            </w14:solidFill>
          </w14:textFill>
        </w:rPr>
        <w:t>COD100</w:t>
      </w:r>
      <w:r>
        <w:rPr>
          <w:rFonts w:hint="eastAsia"/>
          <w:snapToGrid w:val="0"/>
          <w:color w:val="000000" w:themeColor="text1"/>
          <w:lang w:eastAsia="zh-CN"/>
          <w14:textFill>
            <w14:solidFill>
              <w14:schemeClr w14:val="tx1"/>
            </w14:solidFill>
          </w14:textFill>
        </w:rPr>
        <w:t>d预测结果图</w:t>
      </w:r>
    </w:p>
    <w:p w14:paraId="0C907001">
      <w:pPr>
        <w:pStyle w:val="206"/>
        <w:rPr>
          <w:snapToGrid w:val="0"/>
          <w:color w:val="000000" w:themeColor="text1"/>
          <w14:textFill>
            <w14:solidFill>
              <w14:schemeClr w14:val="tx1"/>
            </w14:solidFill>
          </w14:textFill>
        </w:rPr>
      </w:pPr>
    </w:p>
    <w:p w14:paraId="2A396F35">
      <w:pPr>
        <w:pStyle w:val="206"/>
        <w:rPr>
          <w:snapToGrid w:val="0"/>
          <w:color w:val="000000" w:themeColor="text1"/>
          <w14:textFill>
            <w14:solidFill>
              <w14:schemeClr w14:val="tx1"/>
            </w14:solidFill>
          </w14:textFill>
        </w:rPr>
      </w:pPr>
    </w:p>
    <w:p w14:paraId="7323FC4A">
      <w:pPr>
        <w:pStyle w:val="206"/>
        <w:rPr>
          <w:snapToGrid w:val="0"/>
          <w:color w:val="000000" w:themeColor="text1"/>
          <w14:textFill>
            <w14:solidFill>
              <w14:schemeClr w14:val="tx1"/>
            </w14:solidFill>
          </w14:textFill>
        </w:rPr>
      </w:pPr>
    </w:p>
    <w:p w14:paraId="463E9063">
      <w:pPr>
        <w:pStyle w:val="206"/>
        <w:rPr>
          <w:snapToGrid w:val="0"/>
          <w:color w:val="000000" w:themeColor="text1"/>
          <w14:textFill>
            <w14:solidFill>
              <w14:schemeClr w14:val="tx1"/>
            </w14:solidFill>
          </w14:textFill>
        </w:rPr>
      </w:pPr>
    </w:p>
    <w:p w14:paraId="4C82FAE9">
      <w:pPr>
        <w:pStyle w:val="206"/>
        <w:rPr>
          <w:snapToGrid w:val="0"/>
          <w:color w:val="000000" w:themeColor="text1"/>
          <w14:textFill>
            <w14:solidFill>
              <w14:schemeClr w14:val="tx1"/>
            </w14:solidFill>
          </w14:textFill>
        </w:rPr>
      </w:pPr>
      <w:r>
        <w:drawing>
          <wp:inline distT="0" distB="0" distL="114300" distR="114300">
            <wp:extent cx="5278120" cy="3116580"/>
            <wp:effectExtent l="9525" t="9525" r="27305" b="17145"/>
            <wp:docPr id="1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8"/>
                    <pic:cNvPicPr>
                      <a:picLocks noChangeAspect="1"/>
                    </pic:cNvPicPr>
                  </pic:nvPicPr>
                  <pic:blipFill>
                    <a:blip r:embed="rId118"/>
                    <a:stretch>
                      <a:fillRect/>
                    </a:stretch>
                  </pic:blipFill>
                  <pic:spPr>
                    <a:xfrm>
                      <a:off x="0" y="0"/>
                      <a:ext cx="5278120" cy="3116580"/>
                    </a:xfrm>
                    <a:prstGeom prst="rect">
                      <a:avLst/>
                    </a:prstGeom>
                    <a:noFill/>
                    <a:ln>
                      <a:solidFill>
                        <a:schemeClr val="tx1"/>
                      </a:solidFill>
                    </a:ln>
                  </pic:spPr>
                </pic:pic>
              </a:graphicData>
            </a:graphic>
          </wp:inline>
        </w:drawing>
      </w:r>
    </w:p>
    <w:p w14:paraId="694AD613">
      <w:pPr>
        <w:pStyle w:val="206"/>
        <w:rPr>
          <w:rFonts w:hint="eastAsia"/>
          <w:snapToGrid w:val="0"/>
          <w:color w:val="000000" w:themeColor="text1"/>
          <w:lang w:val="en-US"/>
          <w14:textFill>
            <w14:solidFill>
              <w14:schemeClr w14:val="tx1"/>
            </w14:solidFill>
          </w14:textFill>
        </w:rPr>
      </w:pPr>
      <w:r>
        <w:rPr>
          <w:snapToGrid w:val="0"/>
          <w:color w:val="000000" w:themeColor="text1"/>
          <w:lang w:val="en-US"/>
          <w14:textFill>
            <w14:solidFill>
              <w14:schemeClr w14:val="tx1"/>
            </w14:solidFill>
          </w14:textFill>
        </w:rPr>
        <w:t>图</w:t>
      </w:r>
      <w:r>
        <w:rPr>
          <w:rFonts w:hint="eastAsia"/>
          <w:snapToGrid w:val="0"/>
          <w:color w:val="000000" w:themeColor="text1"/>
          <w:lang w:val="en-US"/>
          <w14:textFill>
            <w14:solidFill>
              <w14:schemeClr w14:val="tx1"/>
            </w14:solidFill>
          </w14:textFill>
        </w:rPr>
        <w:t>5</w:t>
      </w:r>
      <w:r>
        <w:rPr>
          <w:snapToGrid w:val="0"/>
          <w:color w:val="000000" w:themeColor="text1"/>
          <w:lang w:val="en-US"/>
          <w14:textFill>
            <w14:solidFill>
              <w14:schemeClr w14:val="tx1"/>
            </w14:solidFill>
          </w14:textFill>
        </w:rPr>
        <w:t>-2-2</w:t>
      </w:r>
      <w:r>
        <w:rPr>
          <w:rFonts w:hint="eastAsia"/>
          <w:snapToGrid w:val="0"/>
          <w:color w:val="000000" w:themeColor="text1"/>
          <w:lang w:val="en-US"/>
          <w14:textFill>
            <w14:solidFill>
              <w14:schemeClr w14:val="tx1"/>
            </w14:solidFill>
          </w14:textFill>
        </w:rPr>
        <w:t xml:space="preserve"> </w:t>
      </w:r>
      <w:r>
        <w:rPr>
          <w:snapToGrid w:val="0"/>
          <w:color w:val="000000" w:themeColor="text1"/>
          <w:lang w:val="en-US"/>
          <w14:textFill>
            <w14:solidFill>
              <w14:schemeClr w14:val="tx1"/>
            </w14:solidFill>
          </w14:textFill>
        </w:rPr>
        <w:t>COD1000</w:t>
      </w:r>
      <w:r>
        <w:rPr>
          <w:rFonts w:hint="eastAsia"/>
          <w:snapToGrid w:val="0"/>
          <w:color w:val="000000" w:themeColor="text1"/>
          <w:lang w:val="en-US"/>
          <w14:textFill>
            <w14:solidFill>
              <w14:schemeClr w14:val="tx1"/>
            </w14:solidFill>
          </w14:textFill>
        </w:rPr>
        <w:t>d预测结果图</w:t>
      </w:r>
    </w:p>
    <w:p w14:paraId="106221B4">
      <w:pPr>
        <w:pStyle w:val="206"/>
        <w:rPr>
          <w:rFonts w:hint="eastAsia"/>
          <w:snapToGrid w:val="0"/>
          <w:color w:val="000000" w:themeColor="text1"/>
          <w:lang w:val="en-US"/>
          <w14:textFill>
            <w14:solidFill>
              <w14:schemeClr w14:val="tx1"/>
            </w14:solidFill>
          </w14:textFill>
        </w:rPr>
      </w:pPr>
    </w:p>
    <w:p w14:paraId="0F80382C">
      <w:pPr>
        <w:pStyle w:val="206"/>
        <w:rPr>
          <w:rFonts w:hint="eastAsia"/>
          <w:snapToGrid w:val="0"/>
          <w:color w:val="000000" w:themeColor="text1"/>
          <w:lang w:val="en-US"/>
          <w14:textFill>
            <w14:solidFill>
              <w14:schemeClr w14:val="tx1"/>
            </w14:solidFill>
          </w14:textFill>
        </w:rPr>
      </w:pPr>
    </w:p>
    <w:p w14:paraId="2E7EC3E2">
      <w:pPr>
        <w:pStyle w:val="206"/>
        <w:rPr>
          <w:snapToGrid w:val="0"/>
          <w:color w:val="000000" w:themeColor="text1"/>
          <w14:textFill>
            <w14:solidFill>
              <w14:schemeClr w14:val="tx1"/>
            </w14:solidFill>
          </w14:textFill>
        </w:rPr>
      </w:pPr>
      <w:r>
        <w:drawing>
          <wp:inline distT="0" distB="0" distL="114300" distR="114300">
            <wp:extent cx="5271770" cy="3108960"/>
            <wp:effectExtent l="9525" t="9525" r="14605" b="24765"/>
            <wp:docPr id="3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0"/>
                    <pic:cNvPicPr>
                      <a:picLocks noChangeAspect="1"/>
                    </pic:cNvPicPr>
                  </pic:nvPicPr>
                  <pic:blipFill>
                    <a:blip r:embed="rId119"/>
                    <a:stretch>
                      <a:fillRect/>
                    </a:stretch>
                  </pic:blipFill>
                  <pic:spPr>
                    <a:xfrm>
                      <a:off x="0" y="0"/>
                      <a:ext cx="5271770" cy="3108960"/>
                    </a:xfrm>
                    <a:prstGeom prst="rect">
                      <a:avLst/>
                    </a:prstGeom>
                    <a:noFill/>
                    <a:ln>
                      <a:solidFill>
                        <a:schemeClr val="tx1"/>
                      </a:solidFill>
                    </a:ln>
                  </pic:spPr>
                </pic:pic>
              </a:graphicData>
            </a:graphic>
          </wp:inline>
        </w:drawing>
      </w:r>
    </w:p>
    <w:p w14:paraId="7F2D8115">
      <w:pPr>
        <w:pStyle w:val="206"/>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图</w:t>
      </w:r>
      <w:r>
        <w:rPr>
          <w:rFonts w:hint="eastAsia"/>
          <w:snapToGrid w:val="0"/>
          <w:color w:val="000000" w:themeColor="text1"/>
          <w:lang w:val="en-US"/>
          <w14:textFill>
            <w14:solidFill>
              <w14:schemeClr w14:val="tx1"/>
            </w14:solidFill>
          </w14:textFill>
        </w:rPr>
        <w:t>5</w:t>
      </w:r>
      <w:r>
        <w:rPr>
          <w:snapToGrid w:val="0"/>
          <w:color w:val="000000" w:themeColor="text1"/>
          <w:lang w:val="en-US"/>
          <w14:textFill>
            <w14:solidFill>
              <w14:schemeClr w14:val="tx1"/>
            </w14:solidFill>
          </w14:textFill>
        </w:rPr>
        <w:t>-2-3</w:t>
      </w:r>
      <w:r>
        <w:rPr>
          <w:rFonts w:hint="eastAsia"/>
          <w:snapToGrid w:val="0"/>
          <w:color w:val="000000" w:themeColor="text1"/>
          <w:lang w:val="en-US"/>
          <w14:textFill>
            <w14:solidFill>
              <w14:schemeClr w14:val="tx1"/>
            </w14:solidFill>
          </w14:textFill>
        </w:rPr>
        <w:t xml:space="preserve"> </w:t>
      </w:r>
      <w:r>
        <w:rPr>
          <w:snapToGrid w:val="0"/>
          <w:color w:val="000000" w:themeColor="text1"/>
          <w:lang w:val="en-US"/>
          <w14:textFill>
            <w14:solidFill>
              <w14:schemeClr w14:val="tx1"/>
            </w14:solidFill>
          </w14:textFill>
        </w:rPr>
        <w:t>COD10</w:t>
      </w:r>
      <w:r>
        <w:rPr>
          <w:rFonts w:hint="eastAsia"/>
          <w:snapToGrid w:val="0"/>
          <w:color w:val="000000" w:themeColor="text1"/>
          <w:lang w:val="en-US" w:eastAsia="zh-CN"/>
          <w14:textFill>
            <w14:solidFill>
              <w14:schemeClr w14:val="tx1"/>
            </w14:solidFill>
          </w14:textFill>
        </w:rPr>
        <w:t>a</w:t>
      </w:r>
      <w:r>
        <w:rPr>
          <w:rFonts w:hint="eastAsia"/>
          <w:snapToGrid w:val="0"/>
          <w:color w:val="000000" w:themeColor="text1"/>
          <w:lang w:val="en-US"/>
          <w14:textFill>
            <w14:solidFill>
              <w14:schemeClr w14:val="tx1"/>
            </w14:solidFill>
          </w14:textFill>
        </w:rPr>
        <w:t>预测结果图</w:t>
      </w:r>
    </w:p>
    <w:p w14:paraId="04EA54E0">
      <w:pPr>
        <w:pStyle w:val="206"/>
        <w:rPr>
          <w:snapToGrid w:val="0"/>
          <w:color w:val="000000" w:themeColor="text1"/>
          <w14:textFill>
            <w14:solidFill>
              <w14:schemeClr w14:val="tx1"/>
            </w14:solidFill>
          </w14:textFill>
        </w:rPr>
      </w:pPr>
      <w:r>
        <w:drawing>
          <wp:inline distT="0" distB="0" distL="114300" distR="114300">
            <wp:extent cx="5277485" cy="3138170"/>
            <wp:effectExtent l="9525" t="9525" r="27940" b="14605"/>
            <wp:docPr id="3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1"/>
                    <pic:cNvPicPr>
                      <a:picLocks noChangeAspect="1"/>
                    </pic:cNvPicPr>
                  </pic:nvPicPr>
                  <pic:blipFill>
                    <a:blip r:embed="rId120"/>
                    <a:stretch>
                      <a:fillRect/>
                    </a:stretch>
                  </pic:blipFill>
                  <pic:spPr>
                    <a:xfrm>
                      <a:off x="0" y="0"/>
                      <a:ext cx="5277485" cy="3138170"/>
                    </a:xfrm>
                    <a:prstGeom prst="rect">
                      <a:avLst/>
                    </a:prstGeom>
                    <a:noFill/>
                    <a:ln>
                      <a:solidFill>
                        <a:schemeClr val="tx1"/>
                      </a:solidFill>
                    </a:ln>
                  </pic:spPr>
                </pic:pic>
              </a:graphicData>
            </a:graphic>
          </wp:inline>
        </w:drawing>
      </w:r>
    </w:p>
    <w:p w14:paraId="6E2EEB6E">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图</w:t>
      </w:r>
      <w:r>
        <w:rPr>
          <w:rFonts w:hint="eastAsia"/>
          <w:snapToGrid w:val="0"/>
          <w:color w:val="000000" w:themeColor="text1"/>
          <w14:textFill>
            <w14:solidFill>
              <w14:schemeClr w14:val="tx1"/>
            </w14:solidFill>
          </w14:textFill>
        </w:rPr>
        <w:t>5</w:t>
      </w:r>
      <w:r>
        <w:rPr>
          <w:snapToGrid w:val="0"/>
          <w:color w:val="000000" w:themeColor="text1"/>
          <w14:textFill>
            <w14:solidFill>
              <w14:schemeClr w14:val="tx1"/>
            </w14:solidFill>
          </w14:textFill>
        </w:rPr>
        <w:t>-2-4</w:t>
      </w:r>
      <w:r>
        <w:rPr>
          <w:rFonts w:hint="eastAsia"/>
          <w:snapToGrid w:val="0"/>
          <w:color w:val="000000" w:themeColor="text1"/>
          <w14:textFill>
            <w14:solidFill>
              <w14:schemeClr w14:val="tx1"/>
            </w14:solidFill>
          </w14:textFill>
        </w:rPr>
        <w:t xml:space="preserve"> </w:t>
      </w:r>
      <w:r>
        <w:rPr>
          <w:rFonts w:hint="eastAsia"/>
          <w:snapToGrid w:val="0"/>
          <w:color w:val="000000" w:themeColor="text1"/>
          <w:lang w:eastAsia="zh-CN"/>
          <w14:textFill>
            <w14:solidFill>
              <w14:schemeClr w14:val="tx1"/>
            </w14:solidFill>
          </w14:textFill>
        </w:rPr>
        <w:t>氨氮</w:t>
      </w:r>
      <w:r>
        <w:rPr>
          <w:snapToGrid w:val="0"/>
          <w:color w:val="000000" w:themeColor="text1"/>
          <w14:textFill>
            <w14:solidFill>
              <w14:schemeClr w14:val="tx1"/>
            </w14:solidFill>
          </w14:textFill>
        </w:rPr>
        <w:t>100</w:t>
      </w:r>
      <w:r>
        <w:rPr>
          <w:rFonts w:hint="eastAsia"/>
          <w:snapToGrid w:val="0"/>
          <w:color w:val="000000" w:themeColor="text1"/>
          <w14:textFill>
            <w14:solidFill>
              <w14:schemeClr w14:val="tx1"/>
            </w14:solidFill>
          </w14:textFill>
        </w:rPr>
        <w:t>d预测结果图</w:t>
      </w:r>
    </w:p>
    <w:p w14:paraId="190AD1F3">
      <w:pPr>
        <w:pStyle w:val="206"/>
        <w:rPr>
          <w:snapToGrid w:val="0"/>
          <w:color w:val="000000" w:themeColor="text1"/>
          <w14:textFill>
            <w14:solidFill>
              <w14:schemeClr w14:val="tx1"/>
            </w14:solidFill>
          </w14:textFill>
        </w:rPr>
      </w:pPr>
    </w:p>
    <w:p w14:paraId="22EBA74A">
      <w:pPr>
        <w:pStyle w:val="206"/>
        <w:rPr>
          <w:snapToGrid w:val="0"/>
          <w:color w:val="000000" w:themeColor="text1"/>
          <w14:textFill>
            <w14:solidFill>
              <w14:schemeClr w14:val="tx1"/>
            </w14:solidFill>
          </w14:textFill>
        </w:rPr>
      </w:pPr>
      <w:r>
        <w:drawing>
          <wp:inline distT="0" distB="0" distL="114300" distR="114300">
            <wp:extent cx="5277485" cy="3138170"/>
            <wp:effectExtent l="9525" t="9525" r="27940" b="14605"/>
            <wp:docPr id="3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2"/>
                    <pic:cNvPicPr>
                      <a:picLocks noChangeAspect="1"/>
                    </pic:cNvPicPr>
                  </pic:nvPicPr>
                  <pic:blipFill>
                    <a:blip r:embed="rId121"/>
                    <a:stretch>
                      <a:fillRect/>
                    </a:stretch>
                  </pic:blipFill>
                  <pic:spPr>
                    <a:xfrm>
                      <a:off x="0" y="0"/>
                      <a:ext cx="5277485" cy="3138170"/>
                    </a:xfrm>
                    <a:prstGeom prst="rect">
                      <a:avLst/>
                    </a:prstGeom>
                    <a:noFill/>
                    <a:ln>
                      <a:solidFill>
                        <a:schemeClr val="tx1"/>
                      </a:solidFill>
                    </a:ln>
                  </pic:spPr>
                </pic:pic>
              </a:graphicData>
            </a:graphic>
          </wp:inline>
        </w:drawing>
      </w:r>
    </w:p>
    <w:p w14:paraId="4F251BD6">
      <w:pPr>
        <w:pStyle w:val="206"/>
        <w:rPr>
          <w:rFonts w:hint="eastAsia"/>
          <w:snapToGrid w:val="0"/>
          <w:color w:val="000000" w:themeColor="text1"/>
          <w:lang w:val="en-US"/>
          <w14:textFill>
            <w14:solidFill>
              <w14:schemeClr w14:val="tx1"/>
            </w14:solidFill>
          </w14:textFill>
        </w:rPr>
      </w:pPr>
      <w:r>
        <w:rPr>
          <w:snapToGrid w:val="0"/>
          <w:color w:val="000000" w:themeColor="text1"/>
          <w:lang w:val="en-US"/>
          <w14:textFill>
            <w14:solidFill>
              <w14:schemeClr w14:val="tx1"/>
            </w14:solidFill>
          </w14:textFill>
        </w:rPr>
        <w:t>图</w:t>
      </w:r>
      <w:r>
        <w:rPr>
          <w:rFonts w:hint="eastAsia"/>
          <w:snapToGrid w:val="0"/>
          <w:color w:val="000000" w:themeColor="text1"/>
          <w:lang w:val="en-US"/>
          <w14:textFill>
            <w14:solidFill>
              <w14:schemeClr w14:val="tx1"/>
            </w14:solidFill>
          </w14:textFill>
        </w:rPr>
        <w:t>5</w:t>
      </w:r>
      <w:r>
        <w:rPr>
          <w:snapToGrid w:val="0"/>
          <w:color w:val="000000" w:themeColor="text1"/>
          <w:lang w:val="en-US"/>
          <w14:textFill>
            <w14:solidFill>
              <w14:schemeClr w14:val="tx1"/>
            </w14:solidFill>
          </w14:textFill>
        </w:rPr>
        <w:t>-2-5</w:t>
      </w:r>
      <w:r>
        <w:rPr>
          <w:rFonts w:hint="eastAsia"/>
          <w:snapToGrid w:val="0"/>
          <w:color w:val="000000" w:themeColor="text1"/>
          <w:lang w:val="en-US"/>
          <w14:textFill>
            <w14:solidFill>
              <w14:schemeClr w14:val="tx1"/>
            </w14:solidFill>
          </w14:textFill>
        </w:rPr>
        <w:t xml:space="preserve"> </w:t>
      </w:r>
      <w:r>
        <w:rPr>
          <w:snapToGrid w:val="0"/>
          <w:color w:val="000000" w:themeColor="text1"/>
          <w:lang w:val="en-US"/>
          <w14:textFill>
            <w14:solidFill>
              <w14:schemeClr w14:val="tx1"/>
            </w14:solidFill>
          </w14:textFill>
        </w:rPr>
        <w:t>氨氮1000</w:t>
      </w:r>
      <w:r>
        <w:rPr>
          <w:rFonts w:hint="eastAsia"/>
          <w:snapToGrid w:val="0"/>
          <w:color w:val="000000" w:themeColor="text1"/>
          <w:lang w:val="en-US"/>
          <w14:textFill>
            <w14:solidFill>
              <w14:schemeClr w14:val="tx1"/>
            </w14:solidFill>
          </w14:textFill>
        </w:rPr>
        <w:t>d预测结果图</w:t>
      </w:r>
    </w:p>
    <w:p w14:paraId="49CDDC94">
      <w:pPr>
        <w:pStyle w:val="206"/>
        <w:rPr>
          <w:rFonts w:hint="eastAsia"/>
          <w:snapToGrid w:val="0"/>
          <w:color w:val="000000" w:themeColor="text1"/>
          <w:lang w:val="en-US"/>
          <w14:textFill>
            <w14:solidFill>
              <w14:schemeClr w14:val="tx1"/>
            </w14:solidFill>
          </w14:textFill>
        </w:rPr>
      </w:pPr>
    </w:p>
    <w:p w14:paraId="564E1A36">
      <w:pPr>
        <w:pStyle w:val="206"/>
        <w:rPr>
          <w:rFonts w:hint="eastAsia"/>
          <w:snapToGrid w:val="0"/>
          <w:color w:val="000000" w:themeColor="text1"/>
          <w:lang w:val="en-US"/>
          <w14:textFill>
            <w14:solidFill>
              <w14:schemeClr w14:val="tx1"/>
            </w14:solidFill>
          </w14:textFill>
        </w:rPr>
      </w:pPr>
    </w:p>
    <w:p w14:paraId="41111370">
      <w:pPr>
        <w:pStyle w:val="206"/>
        <w:rPr>
          <w:rFonts w:hint="eastAsia"/>
          <w:snapToGrid w:val="0"/>
          <w:color w:val="000000" w:themeColor="text1"/>
          <w:lang w:val="en-US"/>
          <w14:textFill>
            <w14:solidFill>
              <w14:schemeClr w14:val="tx1"/>
            </w14:solidFill>
          </w14:textFill>
        </w:rPr>
      </w:pPr>
    </w:p>
    <w:p w14:paraId="449A17A5">
      <w:pPr>
        <w:pStyle w:val="206"/>
        <w:rPr>
          <w:rFonts w:hint="eastAsia"/>
          <w:snapToGrid w:val="0"/>
          <w:color w:val="000000" w:themeColor="text1"/>
          <w:lang w:val="en-US"/>
          <w14:textFill>
            <w14:solidFill>
              <w14:schemeClr w14:val="tx1"/>
            </w14:solidFill>
          </w14:textFill>
        </w:rPr>
      </w:pPr>
    </w:p>
    <w:p w14:paraId="4E0571AF">
      <w:pPr>
        <w:pStyle w:val="206"/>
        <w:rPr>
          <w:rFonts w:hint="eastAsia"/>
          <w:snapToGrid w:val="0"/>
          <w:color w:val="000000" w:themeColor="text1"/>
          <w:lang w:val="en-US"/>
          <w14:textFill>
            <w14:solidFill>
              <w14:schemeClr w14:val="tx1"/>
            </w14:solidFill>
          </w14:textFill>
        </w:rPr>
      </w:pPr>
    </w:p>
    <w:p w14:paraId="73CC36D3">
      <w:pPr>
        <w:pStyle w:val="206"/>
        <w:rPr>
          <w:rFonts w:hint="eastAsia"/>
          <w:snapToGrid w:val="0"/>
          <w:color w:val="000000" w:themeColor="text1"/>
          <w:lang w:val="en-US"/>
          <w14:textFill>
            <w14:solidFill>
              <w14:schemeClr w14:val="tx1"/>
            </w14:solidFill>
          </w14:textFill>
        </w:rPr>
      </w:pPr>
    </w:p>
    <w:p w14:paraId="1098E58F">
      <w:pPr>
        <w:pStyle w:val="206"/>
        <w:rPr>
          <w:rFonts w:hint="eastAsia"/>
          <w:snapToGrid w:val="0"/>
          <w:color w:val="000000" w:themeColor="text1"/>
          <w:lang w:val="en-US"/>
          <w14:textFill>
            <w14:solidFill>
              <w14:schemeClr w14:val="tx1"/>
            </w14:solidFill>
          </w14:textFill>
        </w:rPr>
      </w:pPr>
    </w:p>
    <w:p w14:paraId="5FC72A73">
      <w:pPr>
        <w:pStyle w:val="206"/>
        <w:rPr>
          <w:rFonts w:hint="eastAsia"/>
          <w:snapToGrid w:val="0"/>
          <w:color w:val="000000" w:themeColor="text1"/>
          <w:lang w:val="en-US"/>
          <w14:textFill>
            <w14:solidFill>
              <w14:schemeClr w14:val="tx1"/>
            </w14:solidFill>
          </w14:textFill>
        </w:rPr>
      </w:pPr>
    </w:p>
    <w:p w14:paraId="6C97F76D">
      <w:pPr>
        <w:pStyle w:val="206"/>
        <w:rPr>
          <w:rFonts w:hint="eastAsia"/>
          <w:snapToGrid w:val="0"/>
          <w:color w:val="000000" w:themeColor="text1"/>
          <w:lang w:val="en-US"/>
          <w14:textFill>
            <w14:solidFill>
              <w14:schemeClr w14:val="tx1"/>
            </w14:solidFill>
          </w14:textFill>
        </w:rPr>
      </w:pPr>
    </w:p>
    <w:p w14:paraId="7743337E">
      <w:pPr>
        <w:pStyle w:val="206"/>
        <w:rPr>
          <w:rFonts w:hint="eastAsia"/>
          <w:snapToGrid w:val="0"/>
          <w:color w:val="000000" w:themeColor="text1"/>
          <w:lang w:val="en-US"/>
          <w14:textFill>
            <w14:solidFill>
              <w14:schemeClr w14:val="tx1"/>
            </w14:solidFill>
          </w14:textFill>
        </w:rPr>
      </w:pPr>
    </w:p>
    <w:p w14:paraId="116CABFC">
      <w:pPr>
        <w:pStyle w:val="206"/>
        <w:rPr>
          <w:rFonts w:hint="eastAsia"/>
          <w:snapToGrid w:val="0"/>
          <w:color w:val="000000" w:themeColor="text1"/>
          <w:lang w:val="en-US"/>
          <w14:textFill>
            <w14:solidFill>
              <w14:schemeClr w14:val="tx1"/>
            </w14:solidFill>
          </w14:textFill>
        </w:rPr>
      </w:pPr>
    </w:p>
    <w:p w14:paraId="796393FE">
      <w:pPr>
        <w:pStyle w:val="206"/>
        <w:rPr>
          <w:rFonts w:hint="eastAsia"/>
          <w:snapToGrid w:val="0"/>
          <w:color w:val="000000" w:themeColor="text1"/>
          <w:lang w:val="en-US"/>
          <w14:textFill>
            <w14:solidFill>
              <w14:schemeClr w14:val="tx1"/>
            </w14:solidFill>
          </w14:textFill>
        </w:rPr>
      </w:pPr>
      <w:r>
        <w:drawing>
          <wp:inline distT="0" distB="0" distL="114300" distR="114300">
            <wp:extent cx="5272405" cy="3117850"/>
            <wp:effectExtent l="9525" t="9525" r="13970" b="15875"/>
            <wp:docPr id="3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3"/>
                    <pic:cNvPicPr>
                      <a:picLocks noChangeAspect="1"/>
                    </pic:cNvPicPr>
                  </pic:nvPicPr>
                  <pic:blipFill>
                    <a:blip r:embed="rId122"/>
                    <a:stretch>
                      <a:fillRect/>
                    </a:stretch>
                  </pic:blipFill>
                  <pic:spPr>
                    <a:xfrm>
                      <a:off x="0" y="0"/>
                      <a:ext cx="5272405" cy="3117850"/>
                    </a:xfrm>
                    <a:prstGeom prst="rect">
                      <a:avLst/>
                    </a:prstGeom>
                    <a:noFill/>
                    <a:ln>
                      <a:solidFill>
                        <a:schemeClr val="tx1"/>
                      </a:solidFill>
                    </a:ln>
                  </pic:spPr>
                </pic:pic>
              </a:graphicData>
            </a:graphic>
          </wp:inline>
        </w:drawing>
      </w:r>
    </w:p>
    <w:p w14:paraId="605F0D03">
      <w:pPr>
        <w:pStyle w:val="206"/>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图</w:t>
      </w:r>
      <w:r>
        <w:rPr>
          <w:rFonts w:hint="eastAsia"/>
          <w:snapToGrid w:val="0"/>
          <w:color w:val="000000" w:themeColor="text1"/>
          <w:lang w:val="en-US"/>
          <w14:textFill>
            <w14:solidFill>
              <w14:schemeClr w14:val="tx1"/>
            </w14:solidFill>
          </w14:textFill>
        </w:rPr>
        <w:t>5</w:t>
      </w:r>
      <w:r>
        <w:rPr>
          <w:snapToGrid w:val="0"/>
          <w:color w:val="000000" w:themeColor="text1"/>
          <w:lang w:val="en-US"/>
          <w14:textFill>
            <w14:solidFill>
              <w14:schemeClr w14:val="tx1"/>
            </w14:solidFill>
          </w14:textFill>
        </w:rPr>
        <w:t>-2-6</w:t>
      </w:r>
      <w:r>
        <w:rPr>
          <w:rFonts w:hint="eastAsia"/>
          <w:snapToGrid w:val="0"/>
          <w:color w:val="000000" w:themeColor="text1"/>
          <w:lang w:val="en-US"/>
          <w14:textFill>
            <w14:solidFill>
              <w14:schemeClr w14:val="tx1"/>
            </w14:solidFill>
          </w14:textFill>
        </w:rPr>
        <w:t xml:space="preserve"> </w:t>
      </w:r>
      <w:r>
        <w:rPr>
          <w:snapToGrid w:val="0"/>
          <w:color w:val="000000" w:themeColor="text1"/>
          <w:lang w:val="en-US"/>
          <w14:textFill>
            <w14:solidFill>
              <w14:schemeClr w14:val="tx1"/>
            </w14:solidFill>
          </w14:textFill>
        </w:rPr>
        <w:t>氨氮10a</w:t>
      </w:r>
      <w:r>
        <w:rPr>
          <w:rFonts w:hint="eastAsia"/>
          <w:snapToGrid w:val="0"/>
          <w:color w:val="000000" w:themeColor="text1"/>
          <w:lang w:val="en-US"/>
          <w14:textFill>
            <w14:solidFill>
              <w14:schemeClr w14:val="tx1"/>
            </w14:solidFill>
          </w14:textFill>
        </w:rPr>
        <w:t>预测结果图</w:t>
      </w:r>
    </w:p>
    <w:p w14:paraId="6D27D39D">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5.2.3.6</w:t>
      </w:r>
      <w:r>
        <w:rPr>
          <w:rFonts w:hint="eastAsia"/>
          <w:snapToGrid w:val="0"/>
          <w:color w:val="000000" w:themeColor="text1"/>
          <w14:textFill>
            <w14:solidFill>
              <w14:schemeClr w14:val="tx1"/>
            </w14:solidFill>
          </w14:textFill>
        </w:rPr>
        <w:t>地下水环境影响评价结论</w:t>
      </w:r>
    </w:p>
    <w:p w14:paraId="78CCEF50">
      <w:pPr>
        <w:adjustRightInd/>
        <w:snapToGrid/>
        <w:spacing w:line="500" w:lineRule="exact"/>
        <w:rPr>
          <w:snapToGrid w:val="0"/>
          <w:color w:val="000000" w:themeColor="text1"/>
          <w:kern w:val="0"/>
          <w:lang w:val="zh-CN"/>
          <w14:textFill>
            <w14:solidFill>
              <w14:schemeClr w14:val="tx1"/>
            </w14:solidFill>
          </w14:textFill>
        </w:rPr>
      </w:pPr>
      <w:r>
        <w:rPr>
          <w:snapToGrid w:val="0"/>
          <w:color w:val="000000" w:themeColor="text1"/>
          <w:kern w:val="0"/>
          <w14:textFill>
            <w14:solidFill>
              <w14:schemeClr w14:val="tx1"/>
            </w14:solidFill>
          </w14:textFill>
        </w:rPr>
        <w:t>根据表5-2-10</w:t>
      </w:r>
      <w:r>
        <w:rPr>
          <w:rFonts w:hint="eastAsia"/>
          <w:snapToGrid w:val="0"/>
          <w:color w:val="000000" w:themeColor="text1"/>
          <w:kern w:val="0"/>
          <w14:textFill>
            <w14:solidFill>
              <w14:schemeClr w14:val="tx1"/>
            </w14:solidFill>
          </w14:textFill>
        </w:rPr>
        <w:t>、5</w:t>
      </w:r>
      <w:r>
        <w:rPr>
          <w:snapToGrid w:val="0"/>
          <w:color w:val="000000" w:themeColor="text1"/>
          <w:kern w:val="0"/>
          <w14:textFill>
            <w14:solidFill>
              <w14:schemeClr w14:val="tx1"/>
            </w14:solidFill>
          </w14:textFill>
        </w:rPr>
        <w:t>-2-11可知，</w:t>
      </w:r>
      <w:bookmarkStart w:id="266" w:name="_Hlk505951667"/>
      <w:r>
        <w:rPr>
          <w:snapToGrid w:val="0"/>
          <w:color w:val="000000" w:themeColor="text1"/>
          <w:kern w:val="0"/>
          <w14:textFill>
            <w14:solidFill>
              <w14:schemeClr w14:val="tx1"/>
            </w14:solidFill>
          </w14:textFill>
        </w:rPr>
        <w:t>本项目发生渗漏情况下，</w:t>
      </w:r>
      <w:bookmarkEnd w:id="266"/>
      <w:r>
        <w:rPr>
          <w:snapToGrid w:val="0"/>
          <w:color w:val="000000" w:themeColor="text1"/>
          <w:kern w:val="0"/>
          <w14:textFill>
            <w14:solidFill>
              <w14:schemeClr w14:val="tx1"/>
            </w14:solidFill>
          </w14:textFill>
        </w:rPr>
        <w:t>COD：100d，</w:t>
      </w:r>
      <w:r>
        <w:rPr>
          <w:rFonts w:hint="eastAsia"/>
          <w:snapToGrid w:val="0"/>
          <w:color w:val="000000" w:themeColor="text1"/>
          <w:kern w:val="0"/>
          <w14:textFill>
            <w14:solidFill>
              <w14:schemeClr w14:val="tx1"/>
            </w14:solidFill>
          </w14:textFill>
        </w:rPr>
        <w:t>超标距离为</w:t>
      </w:r>
      <w:r>
        <w:rPr>
          <w:rFonts w:hint="eastAsia"/>
          <w:snapToGrid w:val="0"/>
          <w:color w:val="000000" w:themeColor="text1"/>
          <w:kern w:val="0"/>
          <w:lang w:val="en-US" w:eastAsia="zh-CN"/>
          <w14:textFill>
            <w14:solidFill>
              <w14:schemeClr w14:val="tx1"/>
            </w14:solidFill>
          </w14:textFill>
        </w:rPr>
        <w:t>17</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影响距离19m</w:t>
      </w:r>
      <w:r>
        <w:rPr>
          <w:snapToGrid w:val="0"/>
          <w:color w:val="000000" w:themeColor="text1"/>
          <w:kern w:val="0"/>
          <w14:textFill>
            <w14:solidFill>
              <w14:schemeClr w14:val="tx1"/>
            </w14:solidFill>
          </w14:textFill>
        </w:rPr>
        <w:t>；1000d</w:t>
      </w:r>
      <w:r>
        <w:rPr>
          <w:rFonts w:hint="eastAsia"/>
          <w:snapToGrid w:val="0"/>
          <w:color w:val="000000" w:themeColor="text1"/>
          <w:kern w:val="0"/>
          <w14:textFill>
            <w14:solidFill>
              <w14:schemeClr w14:val="tx1"/>
            </w14:solidFill>
          </w14:textFill>
        </w:rPr>
        <w:t>，超标距离为</w:t>
      </w:r>
      <w:r>
        <w:rPr>
          <w:rFonts w:hint="eastAsia"/>
          <w:snapToGrid w:val="0"/>
          <w:color w:val="000000" w:themeColor="text1"/>
          <w:kern w:val="0"/>
          <w:lang w:val="en-US" w:eastAsia="zh-CN"/>
          <w14:textFill>
            <w14:solidFill>
              <w14:schemeClr w14:val="tx1"/>
            </w14:solidFill>
          </w14:textFill>
        </w:rPr>
        <w:t>104</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影响距离110m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0</w:t>
      </w:r>
      <w:r>
        <w:rPr>
          <w:rFonts w:hint="eastAsia"/>
          <w:snapToGrid w:val="0"/>
          <w:color w:val="000000" w:themeColor="text1"/>
          <w:kern w:val="0"/>
          <w14:textFill>
            <w14:solidFill>
              <w14:schemeClr w14:val="tx1"/>
            </w14:solidFill>
          </w14:textFill>
        </w:rPr>
        <w:t>a超标距离为</w:t>
      </w:r>
      <w:r>
        <w:rPr>
          <w:rFonts w:hint="eastAsia"/>
          <w:snapToGrid w:val="0"/>
          <w:color w:val="000000" w:themeColor="text1"/>
          <w:kern w:val="0"/>
          <w:lang w:val="en-US" w:eastAsia="zh-CN"/>
          <w14:textFill>
            <w14:solidFill>
              <w14:schemeClr w14:val="tx1"/>
            </w14:solidFill>
          </w14:textFill>
        </w:rPr>
        <w:t>331</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影响距离344m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氨氮</w:t>
      </w:r>
      <w:r>
        <w:rPr>
          <w:snapToGrid w:val="0"/>
          <w:color w:val="000000" w:themeColor="text1"/>
          <w:kern w:val="0"/>
          <w14:textFill>
            <w14:solidFill>
              <w14:schemeClr w14:val="tx1"/>
            </w14:solidFill>
          </w14:textFill>
        </w:rPr>
        <w:t>：100d，</w:t>
      </w:r>
      <w:r>
        <w:rPr>
          <w:rFonts w:hint="eastAsia"/>
          <w:snapToGrid w:val="0"/>
          <w:color w:val="000000" w:themeColor="text1"/>
          <w:kern w:val="0"/>
          <w14:textFill>
            <w14:solidFill>
              <w14:schemeClr w14:val="tx1"/>
            </w14:solidFill>
          </w14:textFill>
        </w:rPr>
        <w:t>超标距离为</w:t>
      </w:r>
      <w:r>
        <w:rPr>
          <w:rFonts w:hint="eastAsia"/>
          <w:snapToGrid w:val="0"/>
          <w:color w:val="000000" w:themeColor="text1"/>
          <w:kern w:val="0"/>
          <w:lang w:val="en-US" w:eastAsia="zh-CN"/>
          <w14:textFill>
            <w14:solidFill>
              <w14:schemeClr w14:val="tx1"/>
            </w14:solidFill>
          </w14:textFill>
        </w:rPr>
        <w:t>17</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影响距离20m</w:t>
      </w:r>
      <w:r>
        <w:rPr>
          <w:snapToGrid w:val="0"/>
          <w:color w:val="000000" w:themeColor="text1"/>
          <w:kern w:val="0"/>
          <w14:textFill>
            <w14:solidFill>
              <w14:schemeClr w14:val="tx1"/>
            </w14:solidFill>
          </w14:textFill>
        </w:rPr>
        <w:t>；1000d</w:t>
      </w:r>
      <w:r>
        <w:rPr>
          <w:rFonts w:hint="eastAsia"/>
          <w:snapToGrid w:val="0"/>
          <w:color w:val="000000" w:themeColor="text1"/>
          <w:kern w:val="0"/>
          <w14:textFill>
            <w14:solidFill>
              <w14:schemeClr w14:val="tx1"/>
            </w14:solidFill>
          </w14:textFill>
        </w:rPr>
        <w:t>，超标距离为</w:t>
      </w:r>
      <w:r>
        <w:rPr>
          <w:rFonts w:hint="eastAsia"/>
          <w:snapToGrid w:val="0"/>
          <w:color w:val="000000" w:themeColor="text1"/>
          <w:kern w:val="0"/>
          <w:lang w:val="en-US" w:eastAsia="zh-CN"/>
          <w14:textFill>
            <w14:solidFill>
              <w14:schemeClr w14:val="tx1"/>
            </w14:solidFill>
          </w14:textFill>
        </w:rPr>
        <w:t>106</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影响距离116m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0</w:t>
      </w:r>
      <w:r>
        <w:rPr>
          <w:rFonts w:hint="eastAsia"/>
          <w:snapToGrid w:val="0"/>
          <w:color w:val="000000" w:themeColor="text1"/>
          <w:kern w:val="0"/>
          <w14:textFill>
            <w14:solidFill>
              <w14:schemeClr w14:val="tx1"/>
            </w14:solidFill>
          </w14:textFill>
        </w:rPr>
        <w:t>a超标距离为</w:t>
      </w:r>
      <w:r>
        <w:rPr>
          <w:rFonts w:hint="eastAsia"/>
          <w:snapToGrid w:val="0"/>
          <w:color w:val="000000" w:themeColor="text1"/>
          <w:kern w:val="0"/>
          <w:lang w:val="en-US" w:eastAsia="zh-CN"/>
          <w14:textFill>
            <w14:solidFill>
              <w14:schemeClr w14:val="tx1"/>
            </w14:solidFill>
          </w14:textFill>
        </w:rPr>
        <w:t>334</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影响距离355m</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14:textFill>
            <w14:solidFill>
              <w14:schemeClr w14:val="tx1"/>
            </w14:solidFill>
          </w14:textFill>
        </w:rPr>
        <w:t>项目</w:t>
      </w:r>
      <w:r>
        <w:rPr>
          <w:rFonts w:hint="eastAsia"/>
          <w:snapToGrid w:val="0"/>
          <w:color w:val="000000" w:themeColor="text1"/>
          <w:kern w:val="0"/>
          <w:lang w:val="en-US" w:eastAsia="zh-CN"/>
          <w14:textFill>
            <w14:solidFill>
              <w14:schemeClr w14:val="tx1"/>
            </w14:solidFill>
          </w14:textFill>
        </w:rPr>
        <w:t>影响</w:t>
      </w:r>
      <w:r>
        <w:rPr>
          <w:snapToGrid w:val="0"/>
          <w:color w:val="000000" w:themeColor="text1"/>
          <w:kern w:val="0"/>
          <w14:textFill>
            <w14:solidFill>
              <w14:schemeClr w14:val="tx1"/>
            </w14:solidFill>
          </w14:textFill>
        </w:rPr>
        <w:t>范围内</w:t>
      </w:r>
      <w:r>
        <w:rPr>
          <w:rFonts w:hint="eastAsia"/>
          <w:snapToGrid w:val="0"/>
          <w:color w:val="000000" w:themeColor="text1"/>
          <w:kern w:val="0"/>
          <w14:textFill>
            <w14:solidFill>
              <w14:schemeClr w14:val="tx1"/>
            </w14:solidFill>
          </w14:textFill>
        </w:rPr>
        <w:t>下游</w:t>
      </w:r>
      <w:r>
        <w:rPr>
          <w:snapToGrid w:val="0"/>
          <w:color w:val="000000" w:themeColor="text1"/>
          <w:kern w:val="0"/>
          <w14:textFill>
            <w14:solidFill>
              <w14:schemeClr w14:val="tx1"/>
            </w14:solidFill>
          </w14:textFill>
        </w:rPr>
        <w:t>无地下水饮用水井，所以非正常工况下，在加强管理、及时维护、避免发生渗漏的情况下，该项目对地下水环境影响可接受，不会对周围环境保护目标造成影响。</w:t>
      </w:r>
    </w:p>
    <w:p w14:paraId="30933442">
      <w:pPr>
        <w:pStyle w:val="6"/>
        <w:rPr>
          <w:snapToGrid w:val="0"/>
          <w:color w:val="000000" w:themeColor="text1"/>
          <w:highlight w:val="none"/>
          <w14:textFill>
            <w14:solidFill>
              <w14:schemeClr w14:val="tx1"/>
            </w14:solidFill>
          </w14:textFill>
        </w:rPr>
      </w:pPr>
      <w:bookmarkStart w:id="267" w:name="_Toc21224"/>
      <w:r>
        <w:rPr>
          <w:snapToGrid w:val="0"/>
          <w:color w:val="000000" w:themeColor="text1"/>
          <w:highlight w:val="none"/>
          <w14:textFill>
            <w14:solidFill>
              <w14:schemeClr w14:val="tx1"/>
            </w14:solidFill>
          </w14:textFill>
        </w:rPr>
        <w:t>5.2.4声环境影响预测</w:t>
      </w:r>
      <w:r>
        <w:rPr>
          <w:rFonts w:hint="eastAsia"/>
          <w:snapToGrid w:val="0"/>
          <w:color w:val="000000" w:themeColor="text1"/>
          <w:highlight w:val="none"/>
          <w14:textFill>
            <w14:solidFill>
              <w14:schemeClr w14:val="tx1"/>
            </w14:solidFill>
          </w14:textFill>
        </w:rPr>
        <w:t>分析</w:t>
      </w:r>
      <w:bookmarkEnd w:id="267"/>
    </w:p>
    <w:p w14:paraId="1A489B39">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5</w:t>
      </w:r>
      <w:r>
        <w:rPr>
          <w:snapToGrid w:val="0"/>
          <w:color w:val="000000" w:themeColor="text1"/>
          <w14:textFill>
            <w14:solidFill>
              <w14:schemeClr w14:val="tx1"/>
            </w14:solidFill>
          </w14:textFill>
        </w:rPr>
        <w:t>.2.4.1噪声源强</w:t>
      </w:r>
    </w:p>
    <w:p w14:paraId="5AB90F55">
      <w:pPr>
        <w:adjustRightInd/>
        <w:snapToGrid/>
        <w:spacing w:line="500" w:lineRule="exact"/>
        <w:rPr>
          <w:snapToGrid w:val="0"/>
          <w:color w:val="000000" w:themeColor="text1"/>
          <w:kern w:val="0"/>
          <w14:textFill>
            <w14:solidFill>
              <w14:schemeClr w14:val="tx1"/>
            </w14:solidFill>
          </w14:textFill>
        </w:rPr>
      </w:pPr>
      <w:r>
        <w:rPr>
          <w:color w:val="000000" w:themeColor="text1"/>
          <w14:textFill>
            <w14:solidFill>
              <w14:schemeClr w14:val="tx1"/>
            </w14:solidFill>
          </w14:textFill>
        </w:rPr>
        <w:t>本项目噪声源主要为各生产设备生产过程产生的噪声，包括</w:t>
      </w:r>
      <w:r>
        <w:rPr>
          <w:rFonts w:hint="eastAsia"/>
          <w:color w:val="000000" w:themeColor="text1"/>
          <w:lang w:val="en-US" w:eastAsia="zh-CN"/>
          <w14:textFill>
            <w14:solidFill>
              <w14:schemeClr w14:val="tx1"/>
            </w14:solidFill>
          </w14:textFill>
        </w:rPr>
        <w:t>斗提机、</w:t>
      </w:r>
      <w:r>
        <w:rPr>
          <w:color w:val="000000" w:themeColor="text1"/>
          <w14:textFill>
            <w14:solidFill>
              <w14:schemeClr w14:val="tx1"/>
            </w14:solidFill>
          </w14:textFill>
        </w:rPr>
        <w:t>粉碎机、</w:t>
      </w:r>
      <w:r>
        <w:rPr>
          <w:rFonts w:ascii="Segoe UI Emoji" w:hAnsi="Segoe UI Emoji" w:eastAsia="Segoe UI Emoji" w:cs="Segoe UI Emoji"/>
          <w:i w:val="0"/>
          <w:iCs w:val="0"/>
          <w:caps w:val="0"/>
          <w:spacing w:val="0"/>
          <w:sz w:val="24"/>
          <w:szCs w:val="24"/>
        </w:rPr>
        <w:t>糊化锅</w:t>
      </w:r>
      <w:r>
        <w:rPr>
          <w:rFonts w:hint="eastAsia" w:ascii="Segoe UI Emoji" w:hAnsi="Segoe UI Emoji" w:eastAsia="宋体" w:cs="Segoe UI Emoji"/>
          <w:i w:val="0"/>
          <w:iCs w:val="0"/>
          <w:caps w:val="0"/>
          <w:spacing w:val="0"/>
          <w:sz w:val="24"/>
          <w:szCs w:val="24"/>
          <w:lang w:eastAsia="zh-CN"/>
        </w:rPr>
        <w:t>、</w:t>
      </w:r>
      <w:r>
        <w:rPr>
          <w:rFonts w:ascii="Segoe UI Emoji" w:hAnsi="Segoe UI Emoji" w:eastAsia="Segoe UI Emoji" w:cs="Segoe UI Emoji"/>
          <w:i w:val="0"/>
          <w:iCs w:val="0"/>
          <w:caps w:val="0"/>
          <w:spacing w:val="0"/>
          <w:sz w:val="24"/>
          <w:szCs w:val="24"/>
        </w:rPr>
        <w:t>糖化锅</w:t>
      </w:r>
      <w:r>
        <w:rPr>
          <w:rFonts w:hint="eastAsia" w:ascii="Segoe UI Emoji" w:hAnsi="Segoe UI Emoji" w:eastAsia="宋体" w:cs="Segoe UI Emoji"/>
          <w:i w:val="0"/>
          <w:iCs w:val="0"/>
          <w:caps w:val="0"/>
          <w:spacing w:val="0"/>
          <w:sz w:val="24"/>
          <w:szCs w:val="24"/>
          <w:lang w:eastAsia="zh-CN"/>
        </w:rPr>
        <w:t>、</w:t>
      </w:r>
      <w:r>
        <w:rPr>
          <w:rFonts w:hint="eastAsia"/>
          <w:color w:val="000000" w:themeColor="text1"/>
          <w:lang w:val="en-US" w:eastAsia="zh-CN"/>
          <w14:textFill>
            <w14:solidFill>
              <w14:schemeClr w14:val="tx1"/>
            </w14:solidFill>
          </w14:textFill>
        </w:rPr>
        <w:t>离心机、螺杆空压机、</w:t>
      </w:r>
      <w:r>
        <w:rPr>
          <w:snapToGrid w:val="0"/>
          <w:color w:val="000000" w:themeColor="text1"/>
          <w:kern w:val="0"/>
          <w:szCs w:val="21"/>
          <w:lang w:val="en-US" w:eastAsia="zh-CN"/>
          <w14:textFill>
            <w14:solidFill>
              <w14:schemeClr w14:val="tx1"/>
            </w14:solidFill>
          </w14:textFill>
        </w:rPr>
        <w:t>吸附式干燥机</w:t>
      </w:r>
      <w:r>
        <w:rPr>
          <w:rFonts w:hint="eastAsia"/>
          <w:snapToGrid w:val="0"/>
          <w:color w:val="000000" w:themeColor="text1"/>
          <w:kern w:val="0"/>
          <w:szCs w:val="21"/>
          <w:lang w:val="en-US" w:eastAsia="zh-CN"/>
          <w14:textFill>
            <w14:solidFill>
              <w14:schemeClr w14:val="tx1"/>
            </w14:solidFill>
          </w14:textFill>
        </w:rPr>
        <w:t>、</w:t>
      </w:r>
      <w:r>
        <w:rPr>
          <w:snapToGrid w:val="0"/>
          <w:color w:val="000000" w:themeColor="text1"/>
          <w:kern w:val="0"/>
          <w:szCs w:val="21"/>
          <w:lang w:val="en-US" w:eastAsia="zh-CN"/>
          <w14:textFill>
            <w14:solidFill>
              <w14:schemeClr w14:val="tx1"/>
            </w14:solidFill>
          </w14:textFill>
        </w:rPr>
        <w:t>制冷压缩机</w:t>
      </w:r>
      <w:r>
        <w:rPr>
          <w:rFonts w:hint="eastAsia"/>
          <w:snapToGrid w:val="0"/>
          <w:color w:val="000000" w:themeColor="text1"/>
          <w:kern w:val="0"/>
          <w:szCs w:val="21"/>
          <w:lang w:val="en-US" w:eastAsia="zh-CN"/>
          <w14:textFill>
            <w14:solidFill>
              <w14:schemeClr w14:val="tx1"/>
            </w14:solidFill>
          </w14:textFill>
        </w:rPr>
        <w:t>、</w:t>
      </w:r>
      <w:r>
        <w:rPr>
          <w:color w:val="000000" w:themeColor="text1"/>
          <w14:textFill>
            <w14:solidFill>
              <w14:schemeClr w14:val="tx1"/>
            </w14:solidFill>
          </w14:textFill>
        </w:rPr>
        <w:t>灌装机、风机、各种泵类等运行噪声，</w:t>
      </w:r>
      <w:r>
        <w:rPr>
          <w:rFonts w:hint="eastAsia"/>
          <w:color w:val="000000" w:themeColor="text1"/>
          <w14:textFill>
            <w14:solidFill>
              <w14:schemeClr w14:val="tx1"/>
            </w14:solidFill>
          </w14:textFill>
        </w:rPr>
        <w:t>设备噪声源强参考《环境噪声与振动控制工程技术导则》（HJ2034-2013），</w:t>
      </w:r>
      <w:r>
        <w:rPr>
          <w:color w:val="000000" w:themeColor="text1"/>
          <w14:textFill>
            <w14:solidFill>
              <w14:schemeClr w14:val="tx1"/>
            </w14:solidFill>
          </w14:textFill>
        </w:rPr>
        <w:t>源强约在</w:t>
      </w:r>
      <w:r>
        <w:rPr>
          <w:rFonts w:hint="eastAsia"/>
          <w:color w:val="000000" w:themeColor="text1"/>
          <w:lang w:val="en-US" w:eastAsia="zh-CN"/>
          <w14:textFill>
            <w14:solidFill>
              <w14:schemeClr w14:val="tx1"/>
            </w14:solidFill>
          </w14:textFill>
        </w:rPr>
        <w:t>80</w:t>
      </w:r>
      <w:r>
        <w:rPr>
          <w:color w:val="000000" w:themeColor="text1"/>
          <w14:textFill>
            <w14:solidFill>
              <w14:schemeClr w14:val="tx1"/>
            </w14:solidFill>
          </w14:textFill>
        </w:rPr>
        <w:t>～90dB（A）</w:t>
      </w:r>
      <w:r>
        <w:rPr>
          <w:rFonts w:hint="eastAsia"/>
          <w:snapToGrid w:val="0"/>
          <w:color w:val="000000" w:themeColor="text1"/>
          <w:kern w:val="0"/>
          <w14:textFill>
            <w14:solidFill>
              <w14:schemeClr w14:val="tx1"/>
            </w14:solidFill>
          </w14:textFill>
        </w:rPr>
        <w:t>。</w:t>
      </w:r>
    </w:p>
    <w:p w14:paraId="35E4F1E3">
      <w:pPr>
        <w:pStyle w:val="206"/>
        <w:rPr>
          <w:snapToGrid w:val="0"/>
          <w:color w:val="000000" w:themeColor="text1"/>
          <w14:textFill>
            <w14:solidFill>
              <w14:schemeClr w14:val="tx1"/>
            </w14:solidFill>
          </w14:textFill>
        </w:rPr>
      </w:pPr>
    </w:p>
    <w:p w14:paraId="0C9BA54C">
      <w:pPr>
        <w:pStyle w:val="206"/>
        <w:rPr>
          <w:snapToGrid w:val="0"/>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02BCBA5A">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5</w:t>
      </w:r>
      <w:r>
        <w:rPr>
          <w:snapToGrid w:val="0"/>
          <w:color w:val="000000" w:themeColor="text1"/>
          <w14:textFill>
            <w14:solidFill>
              <w14:schemeClr w14:val="tx1"/>
            </w14:solidFill>
          </w14:textFill>
        </w:rPr>
        <w:t>.2.4.2预测模式</w:t>
      </w:r>
    </w:p>
    <w:p w14:paraId="3CA9A603">
      <w:pPr>
        <w:pStyle w:val="85"/>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根据《环境影响评价技术导则 声环境》（</w:t>
      </w:r>
      <w:r>
        <w:rPr>
          <w:rFonts w:hint="eastAsia"/>
          <w:snapToGrid w:val="0"/>
          <w:color w:val="000000" w:themeColor="text1"/>
          <w14:textFill>
            <w14:solidFill>
              <w14:schemeClr w14:val="tx1"/>
            </w14:solidFill>
          </w14:textFill>
        </w:rPr>
        <w:t>HJ2.4-</w:t>
      </w:r>
      <w:r>
        <w:rPr>
          <w:snapToGrid w:val="0"/>
          <w:color w:val="000000" w:themeColor="text1"/>
          <w14:textFill>
            <w14:solidFill>
              <w14:schemeClr w14:val="tx1"/>
            </w14:solidFill>
          </w14:textFill>
        </w:rPr>
        <w:t>2021</w:t>
      </w:r>
      <w:r>
        <w:rPr>
          <w:snapToGrid w:val="0"/>
          <w:color w:val="000000" w:themeColor="text1"/>
          <w:kern w:val="0"/>
          <w14:textFill>
            <w14:solidFill>
              <w14:schemeClr w14:val="tx1"/>
            </w14:solidFill>
          </w14:textFill>
        </w:rPr>
        <w:t>）中附录A</w:t>
      </w:r>
      <w:r>
        <w:rPr>
          <w:rFonts w:hint="eastAsia"/>
          <w:snapToGrid w:val="0"/>
          <w:color w:val="000000" w:themeColor="text1"/>
          <w:kern w:val="0"/>
          <w14:textFill>
            <w14:solidFill>
              <w14:schemeClr w14:val="tx1"/>
            </w14:solidFill>
          </w14:textFill>
        </w:rPr>
        <w:t>、附录B</w:t>
      </w:r>
      <w:r>
        <w:rPr>
          <w:snapToGrid w:val="0"/>
          <w:color w:val="000000" w:themeColor="text1"/>
          <w:kern w:val="0"/>
          <w14:textFill>
            <w14:solidFill>
              <w14:schemeClr w14:val="tx1"/>
            </w14:solidFill>
          </w14:textFill>
        </w:rPr>
        <w:t>推荐的计算模式</w:t>
      </w:r>
      <w:r>
        <w:rPr>
          <w:rFonts w:hint="eastAsia"/>
          <w:snapToGrid w:val="0"/>
          <w:color w:val="000000" w:themeColor="text1"/>
          <w:kern w:val="0"/>
          <w14:textFill>
            <w14:solidFill>
              <w14:schemeClr w14:val="tx1"/>
            </w14:solidFill>
          </w14:textFill>
        </w:rPr>
        <w:t>，本次评价采用导则推荐计算模式</w:t>
      </w:r>
      <w:r>
        <w:rPr>
          <w:snapToGrid w:val="0"/>
          <w:color w:val="000000" w:themeColor="text1"/>
          <w:kern w:val="0"/>
          <w14:textFill>
            <w14:solidFill>
              <w14:schemeClr w14:val="tx1"/>
            </w14:solidFill>
          </w14:textFill>
        </w:rPr>
        <w:t>：</w:t>
      </w:r>
    </w:p>
    <w:p w14:paraId="7ADBDC46">
      <w:pPr>
        <w:pStyle w:val="85"/>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噪声源有室外和室内两种声源，应分别计算。一般来讲，进行环境噪声预测时所使用的噪声源都可按点声源处理。</w:t>
      </w:r>
    </w:p>
    <w:p w14:paraId="730F7CCD">
      <w:pPr>
        <w:pStyle w:val="85"/>
        <w:ind w:firstLine="482"/>
        <w:rPr>
          <w:snapToGrid w:val="0"/>
        </w:rPr>
      </w:pPr>
      <w:r>
        <w:rPr>
          <w:b/>
          <w:bCs/>
          <w:snapToGrid w:val="0"/>
        </w:rPr>
        <w:t>室外声源</w:t>
      </w:r>
    </w:p>
    <w:p w14:paraId="7742C6D4">
      <w:pPr>
        <w:pStyle w:val="85"/>
        <w:rPr>
          <w:snapToGrid w:val="0"/>
        </w:rPr>
      </w:pPr>
      <w:r>
        <w:rPr>
          <w:rFonts w:hint="eastAsia"/>
          <w:snapToGrid w:val="0"/>
        </w:rPr>
        <w:t>（1）</w:t>
      </w:r>
      <w:r>
        <w:rPr>
          <w:snapToGrid w:val="0"/>
        </w:rPr>
        <w:t>计算某个声源在预测点的倍频带声压级</w:t>
      </w:r>
    </w:p>
    <w:p w14:paraId="2E2F3484">
      <w:pPr>
        <w:pStyle w:val="206"/>
        <w:rPr>
          <w:snapToGrid w:val="0"/>
        </w:rPr>
      </w:pPr>
      <m:oMathPara>
        <m:oMath>
          <m:sSub>
            <m:sSubPr>
              <m:ctrlPr>
                <w:rPr>
                  <w:rFonts w:ascii="Cambria Math" w:hAnsi="Cambria Math"/>
                  <w:snapToGrid w:val="0"/>
                </w:rPr>
              </m:ctrlPr>
            </m:sSubPr>
            <m:e>
              <m:r>
                <m:rPr/>
                <w:rPr>
                  <w:rFonts w:ascii="Cambria Math" w:hAnsi="Cambria Math"/>
                  <w:snapToGrid w:val="0"/>
                </w:rPr>
                <m:t>L</m:t>
              </m:r>
              <m:ctrlPr>
                <w:rPr>
                  <w:rFonts w:ascii="Cambria Math" w:hAnsi="Cambria Math"/>
                  <w:snapToGrid w:val="0"/>
                </w:rPr>
              </m:ctrlPr>
            </m:e>
            <m:sub>
              <m:r>
                <m:rPr/>
                <w:rPr>
                  <w:rFonts w:hint="eastAsia" w:ascii="Cambria Math" w:hAnsi="Cambria Math"/>
                  <w:snapToGrid w:val="0"/>
                </w:rPr>
                <m:t>p</m:t>
              </m:r>
              <m:ctrlPr>
                <w:rPr>
                  <w:rFonts w:ascii="Cambria Math" w:hAnsi="Cambria Math"/>
                  <w:snapToGrid w:val="0"/>
                </w:rPr>
              </m:ctrlPr>
            </m:sub>
          </m:sSub>
          <m:r>
            <m:rPr>
              <m:sty m:val="p"/>
            </m:rPr>
            <w:rPr>
              <w:rFonts w:ascii="Cambria Math" w:hAnsi="Cambria Math"/>
              <w:snapToGrid w:val="0"/>
            </w:rPr>
            <m:t>(</m:t>
          </m:r>
          <m:r>
            <m:rPr/>
            <w:rPr>
              <w:rFonts w:ascii="Cambria Math" w:hAnsi="Cambria Math"/>
              <w:snapToGrid w:val="0"/>
            </w:rPr>
            <m:t>r</m:t>
          </m:r>
          <m:r>
            <m:rPr>
              <m:sty m:val="p"/>
            </m:rPr>
            <w:rPr>
              <w:rFonts w:ascii="Cambria Math" w:hAnsi="Cambria Math"/>
              <w:snapToGrid w:val="0"/>
            </w:rPr>
            <m:t>)=</m:t>
          </m:r>
          <m:sSub>
            <m:sSubPr>
              <m:ctrlPr>
                <w:rPr>
                  <w:rFonts w:ascii="Cambria Math" w:hAnsi="Cambria Math"/>
                  <w:snapToGrid w:val="0"/>
                </w:rPr>
              </m:ctrlPr>
            </m:sSubPr>
            <m:e>
              <m:r>
                <m:rPr/>
                <w:rPr>
                  <w:rFonts w:ascii="Cambria Math" w:hAnsi="Cambria Math"/>
                  <w:snapToGrid w:val="0"/>
                </w:rPr>
                <m:t>L</m:t>
              </m:r>
              <m:ctrlPr>
                <w:rPr>
                  <w:rFonts w:ascii="Cambria Math" w:hAnsi="Cambria Math"/>
                  <w:snapToGrid w:val="0"/>
                </w:rPr>
              </m:ctrlPr>
            </m:e>
            <m:sub>
              <m:r>
                <m:rPr/>
                <w:rPr>
                  <w:rFonts w:hint="eastAsia" w:ascii="Cambria Math" w:hAnsi="Cambria Math"/>
                  <w:snapToGrid w:val="0"/>
                </w:rPr>
                <m:t>p</m:t>
              </m:r>
              <m:ctrlPr>
                <w:rPr>
                  <w:rFonts w:ascii="Cambria Math" w:hAnsi="Cambria Math"/>
                  <w:snapToGrid w:val="0"/>
                </w:rPr>
              </m:ctrlPr>
            </m:sub>
          </m:sSub>
          <m:r>
            <m:rPr>
              <m:sty m:val="p"/>
            </m:rPr>
            <w:rPr>
              <w:rFonts w:ascii="Cambria Math" w:hAnsi="Cambria Math"/>
              <w:snapToGrid w:val="0"/>
            </w:rPr>
            <m:t>(</m:t>
          </m:r>
          <m:sSub>
            <m:sSubPr>
              <m:ctrlPr>
                <w:rPr>
                  <w:rFonts w:ascii="Cambria Math" w:hAnsi="Cambria Math"/>
                  <w:snapToGrid w:val="0"/>
                </w:rPr>
              </m:ctrlPr>
            </m:sSubPr>
            <m:e>
              <m:r>
                <m:rPr/>
                <w:rPr>
                  <w:rFonts w:ascii="Cambria Math" w:hAnsi="Cambria Math"/>
                  <w:snapToGrid w:val="0"/>
                </w:rPr>
                <m:t>r</m:t>
              </m:r>
              <m:ctrlPr>
                <w:rPr>
                  <w:rFonts w:ascii="Cambria Math" w:hAnsi="Cambria Math"/>
                  <w:snapToGrid w:val="0"/>
                </w:rPr>
              </m:ctrlPr>
            </m:e>
            <m:sub>
              <m:r>
                <m:rPr>
                  <m:sty m:val="p"/>
                </m:rPr>
                <w:rPr>
                  <w:rFonts w:ascii="Cambria Math" w:hAnsi="Cambria Math"/>
                  <w:snapToGrid w:val="0"/>
                </w:rPr>
                <m:t>0</m:t>
              </m:r>
              <m:ctrlPr>
                <w:rPr>
                  <w:rFonts w:ascii="Cambria Math" w:hAnsi="Cambria Math"/>
                  <w:snapToGrid w:val="0"/>
                </w:rPr>
              </m:ctrlPr>
            </m:sub>
          </m:sSub>
          <m:r>
            <m:rPr>
              <m:sty m:val="p"/>
            </m:rPr>
            <w:rPr>
              <w:rFonts w:ascii="Cambria Math" w:hAnsi="Cambria Math"/>
              <w:snapToGrid w:val="0"/>
            </w:rPr>
            <m:t>)−20</m:t>
          </m:r>
          <m:func>
            <m:funcPr>
              <m:ctrlPr>
                <w:rPr>
                  <w:rFonts w:ascii="Cambria Math" w:hAnsi="Cambria Math"/>
                  <w:snapToGrid w:val="0"/>
                </w:rPr>
              </m:ctrlPr>
            </m:funcPr>
            <m:fName>
              <m:r>
                <m:rPr/>
                <w:rPr>
                  <w:rFonts w:ascii="Cambria Math" w:hAnsi="Cambria Math"/>
                  <w:snapToGrid w:val="0"/>
                </w:rPr>
                <m:t>lg</m:t>
              </m:r>
              <m:ctrlPr>
                <w:rPr>
                  <w:rFonts w:ascii="Cambria Math" w:hAnsi="Cambria Math"/>
                  <w:snapToGrid w:val="0"/>
                </w:rPr>
              </m:ctrlPr>
            </m:fName>
            <m:e>
              <m:d>
                <m:dPr>
                  <m:ctrlPr>
                    <w:rPr>
                      <w:rFonts w:ascii="Cambria Math" w:hAnsi="Cambria Math"/>
                      <w:snapToGrid w:val="0"/>
                    </w:rPr>
                  </m:ctrlPr>
                </m:dPr>
                <m:e>
                  <m:f>
                    <m:fPr>
                      <m:ctrlPr>
                        <w:rPr>
                          <w:rFonts w:ascii="Cambria Math" w:hAnsi="Cambria Math"/>
                          <w:snapToGrid w:val="0"/>
                        </w:rPr>
                      </m:ctrlPr>
                    </m:fPr>
                    <m:num>
                      <m:r>
                        <m:rPr/>
                        <w:rPr>
                          <w:rFonts w:ascii="Cambria Math" w:hAnsi="Cambria Math"/>
                          <w:snapToGrid w:val="0"/>
                        </w:rPr>
                        <m:t>r</m:t>
                      </m:r>
                      <m:ctrlPr>
                        <w:rPr>
                          <w:rFonts w:ascii="Cambria Math" w:hAnsi="Cambria Math"/>
                          <w:snapToGrid w:val="0"/>
                        </w:rPr>
                      </m:ctrlPr>
                    </m:num>
                    <m:den>
                      <m:sSub>
                        <m:sSubPr>
                          <m:ctrlPr>
                            <w:rPr>
                              <w:rFonts w:ascii="Cambria Math" w:hAnsi="Cambria Math"/>
                              <w:snapToGrid w:val="0"/>
                            </w:rPr>
                          </m:ctrlPr>
                        </m:sSubPr>
                        <m:e>
                          <m:r>
                            <m:rPr/>
                            <w:rPr>
                              <w:rFonts w:ascii="Cambria Math" w:hAnsi="Cambria Math"/>
                              <w:snapToGrid w:val="0"/>
                            </w:rPr>
                            <m:t>r</m:t>
                          </m:r>
                          <m:ctrlPr>
                            <w:rPr>
                              <w:rFonts w:ascii="Cambria Math" w:hAnsi="Cambria Math"/>
                              <w:snapToGrid w:val="0"/>
                            </w:rPr>
                          </m:ctrlPr>
                        </m:e>
                        <m:sub>
                          <m:r>
                            <m:rPr>
                              <m:sty m:val="p"/>
                            </m:rPr>
                            <w:rPr>
                              <w:rFonts w:ascii="Cambria Math" w:hAnsi="Cambria Math"/>
                              <w:snapToGrid w:val="0"/>
                            </w:rPr>
                            <m:t>0</m:t>
                          </m:r>
                          <m:ctrlPr>
                            <w:rPr>
                              <w:rFonts w:ascii="Cambria Math" w:hAnsi="Cambria Math"/>
                              <w:snapToGrid w:val="0"/>
                            </w:rPr>
                          </m:ctrlPr>
                        </m:sub>
                      </m:sSub>
                      <m:ctrlPr>
                        <w:rPr>
                          <w:rFonts w:ascii="Cambria Math" w:hAnsi="Cambria Math"/>
                          <w:snapToGrid w:val="0"/>
                        </w:rPr>
                      </m:ctrlPr>
                    </m:den>
                  </m:f>
                  <m:ctrlPr>
                    <w:rPr>
                      <w:rFonts w:ascii="Cambria Math" w:hAnsi="Cambria Math"/>
                      <w:snapToGrid w:val="0"/>
                    </w:rPr>
                  </m:ctrlPr>
                </m:e>
              </m:d>
              <m:ctrlPr>
                <w:rPr>
                  <w:rFonts w:ascii="Cambria Math" w:hAnsi="Cambria Math"/>
                  <w:snapToGrid w:val="0"/>
                </w:rPr>
              </m:ctrlPr>
            </m:e>
          </m:func>
        </m:oMath>
      </m:oMathPara>
    </w:p>
    <w:p w14:paraId="3DB40224">
      <w:pPr>
        <w:pStyle w:val="85"/>
        <w:rPr>
          <w:snapToGrid w:val="0"/>
        </w:rPr>
      </w:pPr>
      <w:r>
        <w:rPr>
          <w:snapToGrid w:val="0"/>
        </w:rPr>
        <w:t>式中：</w:t>
      </w:r>
    </w:p>
    <w:p w14:paraId="3DC2E151">
      <w:pPr>
        <w:pStyle w:val="85"/>
        <w:rPr>
          <w:snapToGrid w:val="0"/>
        </w:rPr>
      </w:pPr>
      <w:r>
        <w:rPr>
          <w:i/>
          <w:iCs/>
          <w:snapToGrid w:val="0"/>
        </w:rPr>
        <w:t>L</w:t>
      </w:r>
      <w:r>
        <w:rPr>
          <w:rFonts w:hint="eastAsia"/>
          <w:i/>
          <w:iCs/>
          <w:snapToGrid w:val="0"/>
          <w:vertAlign w:val="subscript"/>
        </w:rPr>
        <w:t>p</w:t>
      </w:r>
      <w:r>
        <w:rPr>
          <w:i/>
          <w:iCs/>
          <w:snapToGrid w:val="0"/>
        </w:rPr>
        <w:t>(r)</w:t>
      </w:r>
      <w:r>
        <w:rPr>
          <w:snapToGrid w:val="0"/>
        </w:rPr>
        <w:t>—</w:t>
      </w:r>
      <w:r>
        <w:rPr>
          <w:rFonts w:hint="eastAsia"/>
          <w:snapToGrid w:val="0"/>
        </w:rPr>
        <w:t>预测点处声压级，d</w:t>
      </w:r>
      <w:r>
        <w:rPr>
          <w:snapToGrid w:val="0"/>
        </w:rPr>
        <w:t>B；</w:t>
      </w:r>
    </w:p>
    <w:p w14:paraId="784AA9C7">
      <w:pPr>
        <w:pStyle w:val="85"/>
        <w:rPr>
          <w:snapToGrid w:val="0"/>
        </w:rPr>
      </w:pPr>
      <w:r>
        <w:rPr>
          <w:i/>
          <w:iCs/>
          <w:snapToGrid w:val="0"/>
        </w:rPr>
        <w:t>L</w:t>
      </w:r>
      <w:r>
        <w:rPr>
          <w:rFonts w:hint="eastAsia"/>
          <w:i/>
          <w:iCs/>
          <w:snapToGrid w:val="0"/>
          <w:vertAlign w:val="subscript"/>
        </w:rPr>
        <w:t>p</w:t>
      </w:r>
      <w:r>
        <w:rPr>
          <w:i/>
          <w:iCs/>
          <w:snapToGrid w:val="0"/>
        </w:rPr>
        <w:t xml:space="preserve"> (r</w:t>
      </w:r>
      <w:r>
        <w:rPr>
          <w:i/>
          <w:iCs/>
          <w:snapToGrid w:val="0"/>
          <w:vertAlign w:val="subscript"/>
        </w:rPr>
        <w:t>0</w:t>
      </w:r>
      <w:r>
        <w:rPr>
          <w:i/>
          <w:iCs/>
          <w:snapToGrid w:val="0"/>
        </w:rPr>
        <w:t>)</w:t>
      </w:r>
      <w:r>
        <w:rPr>
          <w:snapToGrid w:val="0"/>
        </w:rPr>
        <w:t>--参考位置</w:t>
      </w:r>
      <w:r>
        <w:rPr>
          <w:i/>
          <w:iCs/>
          <w:snapToGrid w:val="0"/>
        </w:rPr>
        <w:t>r</w:t>
      </w:r>
      <w:r>
        <w:rPr>
          <w:i/>
          <w:iCs/>
          <w:snapToGrid w:val="0"/>
          <w:vertAlign w:val="subscript"/>
        </w:rPr>
        <w:t>0</w:t>
      </w:r>
      <w:r>
        <w:rPr>
          <w:snapToGrid w:val="0"/>
        </w:rPr>
        <w:t>处的</w:t>
      </w:r>
      <w:r>
        <w:rPr>
          <w:rFonts w:hint="eastAsia"/>
          <w:snapToGrid w:val="0"/>
        </w:rPr>
        <w:t>声压级，d</w:t>
      </w:r>
      <w:r>
        <w:rPr>
          <w:snapToGrid w:val="0"/>
        </w:rPr>
        <w:t>B；</w:t>
      </w:r>
    </w:p>
    <w:p w14:paraId="636030D3">
      <w:pPr>
        <w:pStyle w:val="85"/>
        <w:rPr>
          <w:snapToGrid w:val="0"/>
        </w:rPr>
      </w:pPr>
      <w:r>
        <w:rPr>
          <w:i/>
          <w:iCs/>
          <w:snapToGrid w:val="0"/>
        </w:rPr>
        <w:t>r</w:t>
      </w:r>
      <w:r>
        <w:rPr>
          <w:snapToGrid w:val="0"/>
        </w:rPr>
        <w:t>--预测点距声源的距离，m；</w:t>
      </w:r>
    </w:p>
    <w:p w14:paraId="7C3E0077">
      <w:pPr>
        <w:pStyle w:val="85"/>
        <w:rPr>
          <w:snapToGrid w:val="0"/>
        </w:rPr>
      </w:pPr>
      <w:r>
        <w:rPr>
          <w:i/>
          <w:iCs/>
          <w:snapToGrid w:val="0"/>
        </w:rPr>
        <w:t>r</w:t>
      </w:r>
      <w:r>
        <w:rPr>
          <w:i/>
          <w:iCs/>
          <w:snapToGrid w:val="0"/>
          <w:vertAlign w:val="subscript"/>
        </w:rPr>
        <w:t>0</w:t>
      </w:r>
      <w:r>
        <w:rPr>
          <w:snapToGrid w:val="0"/>
        </w:rPr>
        <w:t>--参考位置距声源的距离，m；</w:t>
      </w:r>
    </w:p>
    <w:p w14:paraId="71A4D20F">
      <w:pPr>
        <w:pStyle w:val="85"/>
        <w:rPr>
          <w:snapToGrid w:val="0"/>
        </w:rPr>
      </w:pPr>
      <w:r>
        <w:rPr>
          <w:snapToGrid w:val="0"/>
        </w:rPr>
        <w:t>如果已知声源的倍频带声功率级</w:t>
      </w:r>
      <w:r>
        <w:rPr>
          <w:i/>
          <w:iCs/>
          <w:snapToGrid w:val="0"/>
        </w:rPr>
        <w:t>L</w:t>
      </w:r>
      <w:r>
        <w:rPr>
          <w:i/>
          <w:iCs/>
          <w:snapToGrid w:val="0"/>
          <w:vertAlign w:val="subscript"/>
        </w:rPr>
        <w:t>w</w:t>
      </w:r>
      <w:r>
        <w:rPr>
          <w:snapToGrid w:val="0"/>
        </w:rPr>
        <w:t>，且声源</w:t>
      </w:r>
      <w:r>
        <w:rPr>
          <w:rFonts w:hint="eastAsia"/>
          <w:snapToGrid w:val="0"/>
        </w:rPr>
        <w:t>处于半自由声场</w:t>
      </w:r>
      <w:r>
        <w:rPr>
          <w:snapToGrid w:val="0"/>
        </w:rPr>
        <w:t>，则</w:t>
      </w:r>
    </w:p>
    <w:p w14:paraId="5B1B7AF7">
      <w:pPr>
        <w:pStyle w:val="206"/>
        <w:rPr>
          <w:snapToGrid w:val="0"/>
          <w:lang w:val="en-US"/>
        </w:rPr>
      </w:pPr>
      <m:oMathPara>
        <m:oMath>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hint="eastAsia" w:ascii="Cambria Math" w:hAnsi="Cambria Math"/>
                  <w:snapToGrid w:val="0"/>
                </w:rPr>
                <m:t>p</m:t>
              </m:r>
              <m:ctrlPr>
                <w:rPr>
                  <w:rFonts w:ascii="Cambria Math" w:hAnsi="Cambria Math"/>
                  <w:snapToGrid w:val="0"/>
                  <w:lang w:val="en-US"/>
                </w:rPr>
              </m:ctrlPr>
            </m:sub>
          </m:sSub>
          <m:r>
            <m:rPr>
              <m:sty m:val="p"/>
            </m:rPr>
            <w:rPr>
              <w:rFonts w:ascii="Cambria Math" w:hAnsi="Cambria Math"/>
              <w:snapToGrid w:val="0"/>
            </w:rPr>
            <m:t>(</m:t>
          </m:r>
          <m:r>
            <m:rPr/>
            <w:rPr>
              <w:rFonts w:hint="eastAsia" w:ascii="Cambria Math" w:hAnsi="Cambria Math"/>
              <w:snapToGrid w:val="0"/>
            </w:rPr>
            <m:t>r</m:t>
          </m:r>
          <m:r>
            <m:rPr>
              <m:sty m:val="p"/>
            </m:rPr>
            <w:rPr>
              <w:rFonts w:ascii="Cambria Math" w:hAnsi="Cambria Math"/>
              <w:snapToGrid w:val="0"/>
            </w:rPr>
            <m:t>)=</m:t>
          </m:r>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hint="eastAsia" w:ascii="Cambria Math" w:hAnsi="Cambria Math"/>
                  <w:snapToGrid w:val="0"/>
                </w:rPr>
                <m:t>w</m:t>
              </m:r>
              <m:ctrlPr>
                <w:rPr>
                  <w:rFonts w:ascii="Cambria Math" w:hAnsi="Cambria Math"/>
                  <w:snapToGrid w:val="0"/>
                  <w:lang w:val="en-US"/>
                </w:rPr>
              </m:ctrlPr>
            </m:sub>
          </m:sSub>
          <m:r>
            <m:rPr>
              <m:sty m:val="p"/>
            </m:rPr>
            <w:rPr>
              <w:rFonts w:ascii="Cambria Math" w:hAnsi="Cambria Math"/>
              <w:snapToGrid w:val="0"/>
            </w:rPr>
            <m:t>−20</m:t>
          </m:r>
          <m:func>
            <m:funcPr>
              <m:ctrlPr>
                <w:rPr>
                  <w:rFonts w:ascii="Cambria Math" w:hAnsi="Cambria Math"/>
                  <w:snapToGrid w:val="0"/>
                  <w:lang w:val="en-US"/>
                </w:rPr>
              </m:ctrlPr>
            </m:funcPr>
            <m:fName>
              <m:r>
                <m:rPr/>
                <w:rPr>
                  <w:rFonts w:ascii="Cambria Math" w:hAnsi="Cambria Math"/>
                  <w:snapToGrid w:val="0"/>
                </w:rPr>
                <m:t>lg</m:t>
              </m:r>
              <m:ctrlPr>
                <w:rPr>
                  <w:rFonts w:ascii="Cambria Math" w:hAnsi="Cambria Math"/>
                  <w:snapToGrid w:val="0"/>
                  <w:lang w:val="en-US"/>
                </w:rPr>
              </m:ctrlPr>
            </m:fName>
            <m:e>
              <m:r>
                <m:rPr/>
                <w:rPr>
                  <w:rFonts w:hint="eastAsia" w:ascii="Cambria Math" w:hAnsi="Cambria Math"/>
                  <w:snapToGrid w:val="0"/>
                </w:rPr>
                <m:t>r</m:t>
              </m:r>
              <m:ctrlPr>
                <w:rPr>
                  <w:rFonts w:ascii="Cambria Math" w:hAnsi="Cambria Math"/>
                  <w:snapToGrid w:val="0"/>
                  <w:lang w:val="en-US"/>
                </w:rPr>
              </m:ctrlPr>
            </m:e>
          </m:func>
          <m:r>
            <m:rPr>
              <m:sty m:val="p"/>
            </m:rPr>
            <w:rPr>
              <w:rFonts w:ascii="Cambria Math" w:hAnsi="Cambria Math"/>
              <w:snapToGrid w:val="0"/>
            </w:rPr>
            <m:t>−8</m:t>
          </m:r>
        </m:oMath>
      </m:oMathPara>
    </w:p>
    <w:p w14:paraId="484936C3">
      <w:pPr>
        <w:pStyle w:val="85"/>
        <w:rPr>
          <w:snapToGrid w:val="0"/>
        </w:rPr>
      </w:pPr>
      <w:r>
        <w:rPr>
          <w:rFonts w:hint="eastAsia"/>
          <w:snapToGrid w:val="0"/>
        </w:rPr>
        <w:t>（2）</w:t>
      </w:r>
      <w:r>
        <w:rPr>
          <w:snapToGrid w:val="0"/>
        </w:rPr>
        <w:t>由各倍频带声压级合成计算出该声源产生的声级</w:t>
      </w:r>
      <w:r>
        <w:rPr>
          <w:i/>
          <w:iCs/>
          <w:snapToGrid w:val="0"/>
        </w:rPr>
        <w:t>L</w:t>
      </w:r>
      <w:r>
        <w:rPr>
          <w:i/>
          <w:iCs/>
          <w:snapToGrid w:val="0"/>
          <w:vertAlign w:val="subscript"/>
        </w:rPr>
        <w:t>A</w:t>
      </w:r>
      <w:r>
        <w:rPr>
          <w:snapToGrid w:val="0"/>
        </w:rPr>
        <w:t>。</w:t>
      </w:r>
    </w:p>
    <w:p w14:paraId="3BC6B94C">
      <w:pPr>
        <w:pStyle w:val="85"/>
        <w:ind w:firstLine="482"/>
        <w:rPr>
          <w:snapToGrid w:val="0"/>
        </w:rPr>
      </w:pPr>
      <w:r>
        <w:rPr>
          <w:b/>
          <w:bCs/>
          <w:snapToGrid w:val="0"/>
        </w:rPr>
        <w:t>室内声源</w:t>
      </w:r>
    </w:p>
    <w:p w14:paraId="51BF6602">
      <w:pPr>
        <w:pStyle w:val="85"/>
        <w:rPr>
          <w:snapToGrid w:val="0"/>
        </w:rPr>
      </w:pPr>
      <w:r>
        <w:rPr>
          <w:rFonts w:hint="eastAsia"/>
          <w:snapToGrid w:val="0"/>
        </w:rPr>
        <w:t>（1）</w:t>
      </w:r>
      <w:r>
        <w:rPr>
          <w:snapToGrid w:val="0"/>
        </w:rPr>
        <w:t>首先计算出某个室内靠近围护结构处的倍频带声压级：</w:t>
      </w:r>
    </w:p>
    <w:p w14:paraId="06331B83">
      <w:pPr>
        <w:pStyle w:val="85"/>
        <w:rPr>
          <w:snapToGrid w:val="0"/>
        </w:rPr>
      </w:pPr>
      <w:r>
        <w:rPr>
          <w:snapToGrid w:val="0"/>
        </w:rPr>
        <w:t>式中：</w:t>
      </w:r>
      <w:r>
        <w:rPr>
          <w:i/>
          <w:iCs/>
          <w:snapToGrid w:val="0"/>
        </w:rPr>
        <w:t>L</w:t>
      </w:r>
      <w:r>
        <w:rPr>
          <w:i/>
          <w:iCs/>
          <w:snapToGrid w:val="0"/>
          <w:vertAlign w:val="subscript"/>
        </w:rPr>
        <w:t>oct,1</w:t>
      </w:r>
      <w:r>
        <w:rPr>
          <w:snapToGrid w:val="0"/>
        </w:rPr>
        <w:softHyphen/>
      </w:r>
      <w:r>
        <w:rPr>
          <w:snapToGrid w:val="0"/>
        </w:rPr>
        <w:t>为某个室内声源在靠近围护结构处产生的倍频带声压级，</w:t>
      </w:r>
      <w:r>
        <w:rPr>
          <w:i/>
          <w:iCs/>
          <w:snapToGrid w:val="0"/>
        </w:rPr>
        <w:t>L</w:t>
      </w:r>
      <w:r>
        <w:rPr>
          <w:i/>
          <w:iCs/>
          <w:snapToGrid w:val="0"/>
          <w:vertAlign w:val="subscript"/>
        </w:rPr>
        <w:t>w oct</w:t>
      </w:r>
      <w:r>
        <w:rPr>
          <w:snapToGrid w:val="0"/>
        </w:rPr>
        <w:t>为某个声源的倍频带声功率级，r</w:t>
      </w:r>
      <w:r>
        <w:rPr>
          <w:snapToGrid w:val="0"/>
          <w:vertAlign w:val="subscript"/>
        </w:rPr>
        <w:t>1</w:t>
      </w:r>
      <w:r>
        <w:rPr>
          <w:snapToGrid w:val="0"/>
        </w:rPr>
        <w:t>为室内某个声源与靠近围护结构处的距离，R为房间常数，Q为方向因子。</w:t>
      </w:r>
    </w:p>
    <w:p w14:paraId="015E87A3">
      <w:pPr>
        <w:pStyle w:val="206"/>
        <w:rPr>
          <w:snapToGrid w:val="0"/>
        </w:rPr>
      </w:pPr>
      <w:r>
        <w:rPr>
          <w:snapToGrid w:val="0"/>
        </w:rPr>
        <w:drawing>
          <wp:inline distT="0" distB="0" distL="0" distR="0">
            <wp:extent cx="2466975" cy="1419225"/>
            <wp:effectExtent l="0" t="0" r="9525" b="952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466975" cy="1419225"/>
                    </a:xfrm>
                    <a:prstGeom prst="rect">
                      <a:avLst/>
                    </a:prstGeom>
                    <a:noFill/>
                    <a:ln>
                      <a:noFill/>
                    </a:ln>
                  </pic:spPr>
                </pic:pic>
              </a:graphicData>
            </a:graphic>
          </wp:inline>
        </w:drawing>
      </w:r>
    </w:p>
    <w:p w14:paraId="3547128C">
      <w:pPr>
        <w:pStyle w:val="85"/>
        <w:rPr>
          <w:snapToGrid w:val="0"/>
        </w:rPr>
      </w:pPr>
      <w:r>
        <w:rPr>
          <w:rFonts w:hint="eastAsia"/>
          <w:snapToGrid w:val="0"/>
        </w:rPr>
        <w:t>（2）</w:t>
      </w:r>
      <w:r>
        <w:rPr>
          <w:snapToGrid w:val="0"/>
        </w:rPr>
        <w:t>计算出所有室内声源在围护结构处产生的</w:t>
      </w:r>
      <w:r>
        <w:rPr>
          <w:rFonts w:hint="eastAsia"/>
          <w:snapToGrid w:val="0"/>
        </w:rPr>
        <w:t>i</w:t>
      </w:r>
      <w:r>
        <w:rPr>
          <w:snapToGrid w:val="0"/>
        </w:rPr>
        <w:t>倍频带</w:t>
      </w:r>
      <w:r>
        <w:rPr>
          <w:rFonts w:hint="eastAsia"/>
          <w:snapToGrid w:val="0"/>
        </w:rPr>
        <w:t>叠加</w:t>
      </w:r>
      <w:r>
        <w:rPr>
          <w:snapToGrid w:val="0"/>
        </w:rPr>
        <w:t>声压级：</w:t>
      </w:r>
    </w:p>
    <w:p w14:paraId="029F5410">
      <w:pPr>
        <w:pStyle w:val="206"/>
        <w:rPr>
          <w:snapToGrid w:val="0"/>
          <w:lang w:val="en-US"/>
        </w:rPr>
      </w:pPr>
      <m:oMathPara>
        <m:oMath>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hint="eastAsia" w:ascii="Cambria Math" w:hAnsi="Cambria Math"/>
                  <w:snapToGrid w:val="0"/>
                </w:rPr>
                <m:t>p</m:t>
              </m:r>
              <m:r>
                <m:rPr>
                  <m:sty m:val="p"/>
                </m:rPr>
                <w:rPr>
                  <w:rFonts w:ascii="Cambria Math" w:hAnsi="Cambria Math"/>
                  <w:snapToGrid w:val="0"/>
                </w:rPr>
                <m:t>1</m:t>
              </m:r>
              <m:r>
                <m:rPr/>
                <w:rPr>
                  <w:rFonts w:hint="eastAsia" w:ascii="Cambria Math" w:hAnsi="Cambria Math"/>
                  <w:snapToGrid w:val="0"/>
                </w:rPr>
                <m:t>i</m:t>
              </m:r>
              <m:ctrlPr>
                <w:rPr>
                  <w:rFonts w:ascii="Cambria Math" w:hAnsi="Cambria Math"/>
                  <w:snapToGrid w:val="0"/>
                  <w:lang w:val="en-US"/>
                </w:rPr>
              </m:ctrlPr>
            </m:sub>
          </m:sSub>
          <m:r>
            <m:rPr>
              <m:sty m:val="p"/>
            </m:rPr>
            <w:rPr>
              <w:rFonts w:ascii="Cambria Math" w:hAnsi="Cambria Math"/>
              <w:snapToGrid w:val="0"/>
            </w:rPr>
            <m:t>(</m:t>
          </m:r>
          <m:r>
            <m:rPr/>
            <w:rPr>
              <w:rFonts w:ascii="Cambria Math" w:hAnsi="Cambria Math"/>
              <w:snapToGrid w:val="0"/>
            </w:rPr>
            <m:t>T</m:t>
          </m:r>
          <m:r>
            <m:rPr>
              <m:sty m:val="p"/>
            </m:rPr>
            <w:rPr>
              <w:rFonts w:ascii="Cambria Math" w:hAnsi="Cambria Math"/>
              <w:snapToGrid w:val="0"/>
            </w:rPr>
            <m:t>)=10</m:t>
          </m:r>
          <m:func>
            <m:funcPr>
              <m:ctrlPr>
                <w:rPr>
                  <w:rFonts w:ascii="Cambria Math" w:hAnsi="Cambria Math"/>
                  <w:snapToGrid w:val="0"/>
                  <w:lang w:val="en-US"/>
                </w:rPr>
              </m:ctrlPr>
            </m:funcPr>
            <m:fName>
              <m:r>
                <m:rPr/>
                <w:rPr>
                  <w:rFonts w:ascii="Cambria Math" w:hAnsi="Cambria Math"/>
                  <w:snapToGrid w:val="0"/>
                </w:rPr>
                <m:t>lg</m:t>
              </m:r>
              <m:ctrlPr>
                <w:rPr>
                  <w:rFonts w:ascii="Cambria Math" w:hAnsi="Cambria Math"/>
                  <w:snapToGrid w:val="0"/>
                  <w:lang w:val="en-US"/>
                </w:rPr>
              </m:ctrlPr>
            </m:fName>
            <m:e>
              <m:d>
                <m:dPr>
                  <m:begChr m:val="["/>
                  <m:endChr m:val="]"/>
                  <m:ctrlPr>
                    <w:rPr>
                      <w:rFonts w:ascii="Cambria Math" w:hAnsi="Cambria Math"/>
                      <w:snapToGrid w:val="0"/>
                      <w:lang w:val="en-US"/>
                    </w:rPr>
                  </m:ctrlPr>
                </m:dPr>
                <m:e>
                  <m:nary>
                    <m:naryPr>
                      <m:chr m:val="∑"/>
                      <m:ctrlPr>
                        <w:rPr>
                          <w:rFonts w:ascii="Cambria Math" w:hAnsi="Cambria Math"/>
                          <w:snapToGrid w:val="0"/>
                          <w:lang w:val="en-US"/>
                        </w:rPr>
                      </m:ctrlPr>
                    </m:naryPr>
                    <m:sub>
                      <m:r>
                        <m:rPr/>
                        <w:rPr>
                          <w:rFonts w:hint="eastAsia" w:ascii="Cambria Math" w:hAnsi="Cambria Math"/>
                          <w:snapToGrid w:val="0"/>
                        </w:rPr>
                        <m:t>j</m:t>
                      </m:r>
                      <m:r>
                        <m:rPr>
                          <m:sty m:val="p"/>
                        </m:rPr>
                        <w:rPr>
                          <w:rFonts w:ascii="Cambria Math" w:hAnsi="Cambria Math"/>
                          <w:snapToGrid w:val="0"/>
                        </w:rPr>
                        <m:t>=1</m:t>
                      </m:r>
                      <m:ctrlPr>
                        <w:rPr>
                          <w:rFonts w:ascii="Cambria Math" w:hAnsi="Cambria Math"/>
                          <w:snapToGrid w:val="0"/>
                          <w:lang w:val="en-US"/>
                        </w:rPr>
                      </m:ctrlPr>
                    </m:sub>
                    <m:sup>
                      <m:r>
                        <m:rPr/>
                        <w:rPr>
                          <w:rFonts w:ascii="Cambria Math" w:hAnsi="Cambria Math"/>
                          <w:snapToGrid w:val="0"/>
                        </w:rPr>
                        <m:t>N</m:t>
                      </m:r>
                      <m:ctrlPr>
                        <w:rPr>
                          <w:rFonts w:ascii="Cambria Math" w:hAnsi="Cambria Math"/>
                          <w:snapToGrid w:val="0"/>
                          <w:lang w:val="en-US"/>
                        </w:rPr>
                      </m:ctrlPr>
                    </m:sup>
                    <m:e>
                      <m:r>
                        <m:rPr>
                          <m:sty m:val="p"/>
                        </m:rPr>
                        <w:rPr>
                          <w:rFonts w:ascii="Cambria Math" w:hAnsi="Cambria Math"/>
                          <w:snapToGrid w:val="0"/>
                        </w:rPr>
                        <m:t>1</m:t>
                      </m:r>
                      <m:sSup>
                        <m:sSupPr>
                          <m:ctrlPr>
                            <w:rPr>
                              <w:rFonts w:ascii="Cambria Math" w:hAnsi="Cambria Math"/>
                              <w:snapToGrid w:val="0"/>
                              <w:lang w:val="en-US"/>
                            </w:rPr>
                          </m:ctrlPr>
                        </m:sSupPr>
                        <m:e>
                          <m:r>
                            <m:rPr>
                              <m:sty m:val="p"/>
                            </m:rPr>
                            <w:rPr>
                              <w:rFonts w:ascii="Cambria Math" w:hAnsi="Cambria Math"/>
                              <w:snapToGrid w:val="0"/>
                            </w:rPr>
                            <m:t>0</m:t>
                          </m:r>
                          <m:ctrlPr>
                            <w:rPr>
                              <w:rFonts w:ascii="Cambria Math" w:hAnsi="Cambria Math"/>
                              <w:snapToGrid w:val="0"/>
                              <w:lang w:val="en-US"/>
                            </w:rPr>
                          </m:ctrlPr>
                        </m:e>
                        <m:sup>
                          <m:r>
                            <m:rPr>
                              <m:sty m:val="p"/>
                            </m:rPr>
                            <w:rPr>
                              <w:rFonts w:ascii="Cambria Math" w:hAnsi="Cambria Math"/>
                              <w:snapToGrid w:val="0"/>
                            </w:rPr>
                            <m:t>0.1</m:t>
                          </m:r>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hint="eastAsia" w:ascii="Cambria Math" w:hAnsi="Cambria Math"/>
                                  <w:snapToGrid w:val="0"/>
                                </w:rPr>
                                <m:t>p</m:t>
                              </m:r>
                              <m:r>
                                <m:rPr>
                                  <m:sty m:val="p"/>
                                </m:rPr>
                                <w:rPr>
                                  <w:rFonts w:ascii="Cambria Math" w:hAnsi="Cambria Math"/>
                                  <w:snapToGrid w:val="0"/>
                                </w:rPr>
                                <m:t>1</m:t>
                              </m:r>
                              <m:r>
                                <m:rPr/>
                                <w:rPr>
                                  <w:rFonts w:ascii="Cambria Math" w:hAnsi="Cambria Math"/>
                                  <w:snapToGrid w:val="0"/>
                                </w:rPr>
                                <m:t>i</m:t>
                              </m:r>
                              <m:r>
                                <m:rPr/>
                                <w:rPr>
                                  <w:rFonts w:hint="eastAsia" w:ascii="Cambria Math" w:hAnsi="Cambria Math"/>
                                  <w:snapToGrid w:val="0"/>
                                </w:rPr>
                                <m:t>j</m:t>
                              </m:r>
                              <m:ctrlPr>
                                <w:rPr>
                                  <w:rFonts w:ascii="Cambria Math" w:hAnsi="Cambria Math"/>
                                  <w:snapToGrid w:val="0"/>
                                  <w:lang w:val="en-US"/>
                                </w:rPr>
                              </m:ctrlPr>
                            </m:sub>
                          </m:sSub>
                          <m:ctrlPr>
                            <w:rPr>
                              <w:rFonts w:ascii="Cambria Math" w:hAnsi="Cambria Math"/>
                              <w:snapToGrid w:val="0"/>
                              <w:lang w:val="en-US"/>
                            </w:rPr>
                          </m:ctrlPr>
                        </m:sup>
                      </m:sSup>
                      <m:ctrlPr>
                        <w:rPr>
                          <w:rFonts w:ascii="Cambria Math" w:hAnsi="Cambria Math"/>
                          <w:snapToGrid w:val="0"/>
                          <w:lang w:val="en-US"/>
                        </w:rPr>
                      </m:ctrlPr>
                    </m:e>
                  </m:nary>
                  <m:ctrlPr>
                    <w:rPr>
                      <w:rFonts w:ascii="Cambria Math" w:hAnsi="Cambria Math"/>
                      <w:snapToGrid w:val="0"/>
                      <w:lang w:val="en-US"/>
                    </w:rPr>
                  </m:ctrlPr>
                </m:e>
              </m:d>
              <m:ctrlPr>
                <w:rPr>
                  <w:rFonts w:ascii="Cambria Math" w:hAnsi="Cambria Math"/>
                  <w:snapToGrid w:val="0"/>
                  <w:lang w:val="en-US"/>
                </w:rPr>
              </m:ctrlPr>
            </m:e>
          </m:func>
        </m:oMath>
      </m:oMathPara>
    </w:p>
    <w:p w14:paraId="35689D10">
      <w:pPr>
        <w:pStyle w:val="85"/>
        <w:rPr>
          <w:snapToGrid w:val="0"/>
        </w:rPr>
      </w:pPr>
      <w:r>
        <w:rPr>
          <w:rFonts w:hint="eastAsia"/>
          <w:snapToGrid w:val="0"/>
        </w:rPr>
        <w:t>（3）在室内近似为扩散声场时，</w:t>
      </w:r>
      <w:r>
        <w:rPr>
          <w:snapToGrid w:val="0"/>
        </w:rPr>
        <w:t>计算出</w:t>
      </w:r>
      <w:r>
        <w:rPr>
          <w:rFonts w:hint="eastAsia"/>
          <w:snapToGrid w:val="0"/>
        </w:rPr>
        <w:t>靠近</w:t>
      </w:r>
      <w:r>
        <w:rPr>
          <w:snapToGrid w:val="0"/>
        </w:rPr>
        <w:t>室外围护结构处的声压级：</w:t>
      </w:r>
    </w:p>
    <w:p w14:paraId="095E51F3">
      <w:pPr>
        <w:pStyle w:val="206"/>
        <w:rPr>
          <w:snapToGrid w:val="0"/>
        </w:rPr>
      </w:pPr>
      <m:oMathPara>
        <m:oMath>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hint="eastAsia" w:ascii="Cambria Math" w:hAnsi="Cambria Math"/>
                  <w:snapToGrid w:val="0"/>
                </w:rPr>
                <m:t>p</m:t>
              </m:r>
              <m:r>
                <m:rPr>
                  <m:sty m:val="p"/>
                </m:rPr>
                <w:rPr>
                  <w:rFonts w:ascii="Cambria Math" w:hAnsi="Cambria Math"/>
                  <w:snapToGrid w:val="0"/>
                </w:rPr>
                <m:t>2</m:t>
              </m:r>
              <m:r>
                <m:rPr/>
                <w:rPr>
                  <w:rFonts w:hint="eastAsia" w:ascii="Cambria Math" w:hAnsi="Cambria Math"/>
                  <w:snapToGrid w:val="0"/>
                </w:rPr>
                <m:t>i</m:t>
              </m:r>
              <m:ctrlPr>
                <w:rPr>
                  <w:rFonts w:ascii="Cambria Math" w:hAnsi="Cambria Math"/>
                  <w:snapToGrid w:val="0"/>
                  <w:lang w:val="en-US"/>
                </w:rPr>
              </m:ctrlPr>
            </m:sub>
          </m:sSub>
          <m:r>
            <m:rPr>
              <m:sty m:val="p"/>
            </m:rPr>
            <w:rPr>
              <w:rFonts w:ascii="Cambria Math" w:hAnsi="Cambria Math"/>
              <w:snapToGrid w:val="0"/>
            </w:rPr>
            <m:t>(</m:t>
          </m:r>
          <m:r>
            <m:rPr/>
            <w:rPr>
              <w:rFonts w:ascii="Cambria Math" w:hAnsi="Cambria Math"/>
              <w:snapToGrid w:val="0"/>
            </w:rPr>
            <m:t>T</m:t>
          </m:r>
          <m:r>
            <m:rPr>
              <m:sty m:val="p"/>
            </m:rPr>
            <w:rPr>
              <w:rFonts w:ascii="Cambria Math" w:hAnsi="Cambria Math"/>
              <w:snapToGrid w:val="0"/>
            </w:rPr>
            <m:t>)=</m:t>
          </m:r>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hint="eastAsia" w:ascii="Cambria Math" w:hAnsi="Cambria Math"/>
                  <w:snapToGrid w:val="0"/>
                </w:rPr>
                <m:t>p</m:t>
              </m:r>
              <m:r>
                <m:rPr>
                  <m:sty m:val="p"/>
                </m:rPr>
                <w:rPr>
                  <w:rFonts w:ascii="Cambria Math" w:hAnsi="Cambria Math"/>
                  <w:snapToGrid w:val="0"/>
                </w:rPr>
                <m:t>1</m:t>
              </m:r>
              <m:r>
                <m:rPr/>
                <w:rPr>
                  <w:rFonts w:hint="eastAsia" w:ascii="Cambria Math" w:hAnsi="Cambria Math"/>
                  <w:snapToGrid w:val="0"/>
                </w:rPr>
                <m:t>i</m:t>
              </m:r>
              <m:ctrlPr>
                <w:rPr>
                  <w:rFonts w:ascii="Cambria Math" w:hAnsi="Cambria Math"/>
                  <w:snapToGrid w:val="0"/>
                  <w:lang w:val="en-US"/>
                </w:rPr>
              </m:ctrlPr>
            </m:sub>
          </m:sSub>
          <m:r>
            <m:rPr>
              <m:sty m:val="p"/>
            </m:rPr>
            <w:rPr>
              <w:rFonts w:ascii="Cambria Math" w:hAnsi="Cambria Math"/>
              <w:snapToGrid w:val="0"/>
            </w:rPr>
            <m:t>(</m:t>
          </m:r>
          <m:r>
            <m:rPr/>
            <w:rPr>
              <w:rFonts w:ascii="Cambria Math" w:hAnsi="Cambria Math"/>
              <w:snapToGrid w:val="0"/>
            </w:rPr>
            <m:t>T</m:t>
          </m:r>
          <m:r>
            <m:rPr>
              <m:sty m:val="p"/>
            </m:rPr>
            <w:rPr>
              <w:rFonts w:ascii="Cambria Math" w:hAnsi="Cambria Math"/>
              <w:snapToGrid w:val="0"/>
            </w:rPr>
            <m:t>)−(</m:t>
          </m:r>
          <m:r>
            <m:rPr/>
            <w:rPr>
              <w:rFonts w:ascii="Cambria Math" w:hAnsi="Cambria Math"/>
              <w:snapToGrid w:val="0"/>
            </w:rPr>
            <m:t>T</m:t>
          </m:r>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hint="eastAsia" w:ascii="Cambria Math" w:hAnsi="Cambria Math"/>
                  <w:snapToGrid w:val="0"/>
                </w:rPr>
                <m:t>i</m:t>
              </m:r>
              <m:ctrlPr>
                <w:rPr>
                  <w:rFonts w:ascii="Cambria Math" w:hAnsi="Cambria Math"/>
                  <w:snapToGrid w:val="0"/>
                  <w:lang w:val="en-US"/>
                </w:rPr>
              </m:ctrlPr>
            </m:sub>
          </m:sSub>
          <m:r>
            <m:rPr>
              <m:sty m:val="p"/>
            </m:rPr>
            <w:rPr>
              <w:rFonts w:ascii="Cambria Math" w:hAnsi="Cambria Math"/>
              <w:snapToGrid w:val="0"/>
            </w:rPr>
            <m:t>+6)</m:t>
          </m:r>
        </m:oMath>
      </m:oMathPara>
    </w:p>
    <w:p w14:paraId="027A874F">
      <w:pPr>
        <w:pStyle w:val="85"/>
        <w:rPr>
          <w:snapToGrid w:val="0"/>
        </w:rPr>
      </w:pPr>
      <w:r>
        <w:rPr>
          <w:rFonts w:hint="eastAsia"/>
          <w:snapToGrid w:val="0"/>
        </w:rPr>
        <w:t>（4）</w:t>
      </w:r>
      <w:r>
        <w:rPr>
          <w:snapToGrid w:val="0"/>
        </w:rPr>
        <w:t>将室外</w:t>
      </w:r>
      <w:r>
        <w:rPr>
          <w:rFonts w:hint="eastAsia"/>
          <w:snapToGrid w:val="0"/>
        </w:rPr>
        <w:t>声源的声压级和透过面积换算成等效的室外声源，计算出中心位置位于透声面积（S）处的等效声源的倍频带声功率级：</w:t>
      </w:r>
      <w:r>
        <w:rPr>
          <w:snapToGrid w:val="0"/>
        </w:rPr>
        <w:t xml:space="preserve"> </w:t>
      </w:r>
    </w:p>
    <w:p w14:paraId="31A5A5BC">
      <w:pPr>
        <w:pStyle w:val="206"/>
        <w:rPr>
          <w:snapToGrid w:val="0"/>
          <w:lang w:val="en-US"/>
        </w:rPr>
      </w:pPr>
      <m:oMathPara>
        <m:oMath>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hint="eastAsia" w:ascii="Cambria Math" w:hAnsi="Cambria Math"/>
                  <w:snapToGrid w:val="0"/>
                </w:rPr>
                <m:t>w</m:t>
              </m:r>
              <m:ctrlPr>
                <w:rPr>
                  <w:rFonts w:ascii="Cambria Math" w:hAnsi="Cambria Math"/>
                  <w:snapToGrid w:val="0"/>
                  <w:lang w:val="en-US"/>
                </w:rPr>
              </m:ctrlPr>
            </m:sub>
          </m:sSub>
          <m:r>
            <m:rPr>
              <m:sty m:val="p"/>
            </m:rPr>
            <w:rPr>
              <w:rFonts w:ascii="Cambria Math" w:hAnsi="Cambria Math"/>
              <w:snapToGrid w:val="0"/>
            </w:rPr>
            <m:t>=</m:t>
          </m:r>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ascii="Cambria Math" w:hAnsi="Cambria Math"/>
                  <w:snapToGrid w:val="0"/>
                </w:rPr>
                <m:t>oct</m:t>
              </m:r>
              <m:r>
                <m:rPr>
                  <m:sty m:val="p"/>
                </m:rPr>
                <w:rPr>
                  <w:rFonts w:ascii="Cambria Math" w:hAnsi="Cambria Math"/>
                  <w:snapToGrid w:val="0"/>
                </w:rPr>
                <m:t>,2</m:t>
              </m:r>
              <m:ctrlPr>
                <w:rPr>
                  <w:rFonts w:ascii="Cambria Math" w:hAnsi="Cambria Math"/>
                  <w:snapToGrid w:val="0"/>
                  <w:lang w:val="en-US"/>
                </w:rPr>
              </m:ctrlPr>
            </m:sub>
          </m:sSub>
          <m:r>
            <m:rPr>
              <m:sty m:val="p"/>
            </m:rPr>
            <w:rPr>
              <w:rFonts w:ascii="Cambria Math" w:hAnsi="Cambria Math"/>
              <w:snapToGrid w:val="0"/>
            </w:rPr>
            <m:t>(</m:t>
          </m:r>
          <m:r>
            <m:rPr/>
            <w:rPr>
              <w:rFonts w:ascii="Cambria Math" w:hAnsi="Cambria Math"/>
              <w:snapToGrid w:val="0"/>
            </w:rPr>
            <m:t>T</m:t>
          </m:r>
          <m:r>
            <m:rPr>
              <m:sty m:val="p"/>
            </m:rPr>
            <w:rPr>
              <w:rFonts w:ascii="Cambria Math" w:hAnsi="Cambria Math"/>
              <w:snapToGrid w:val="0"/>
            </w:rPr>
            <m:t>)+10</m:t>
          </m:r>
          <m:func>
            <m:funcPr>
              <m:ctrlPr>
                <w:rPr>
                  <w:rFonts w:ascii="Cambria Math" w:hAnsi="Cambria Math"/>
                  <w:snapToGrid w:val="0"/>
                  <w:lang w:val="en-US"/>
                </w:rPr>
              </m:ctrlPr>
            </m:funcPr>
            <m:fName>
              <m:r>
                <m:rPr/>
                <w:rPr>
                  <w:rFonts w:ascii="Cambria Math" w:hAnsi="Cambria Math"/>
                  <w:snapToGrid w:val="0"/>
                </w:rPr>
                <m:t>lg</m:t>
              </m:r>
              <m:ctrlPr>
                <w:rPr>
                  <w:rFonts w:ascii="Cambria Math" w:hAnsi="Cambria Math"/>
                  <w:snapToGrid w:val="0"/>
                  <w:lang w:val="en-US"/>
                </w:rPr>
              </m:ctrlPr>
            </m:fName>
            <m:e>
              <m:r>
                <m:rPr/>
                <w:rPr>
                  <w:rFonts w:ascii="Cambria Math" w:hAnsi="Cambria Math"/>
                  <w:snapToGrid w:val="0"/>
                </w:rPr>
                <m:t>S</m:t>
              </m:r>
              <m:ctrlPr>
                <w:rPr>
                  <w:rFonts w:ascii="Cambria Math" w:hAnsi="Cambria Math"/>
                  <w:snapToGrid w:val="0"/>
                  <w:lang w:val="en-US"/>
                </w:rPr>
              </m:ctrlPr>
            </m:e>
          </m:func>
        </m:oMath>
      </m:oMathPara>
    </w:p>
    <w:p w14:paraId="3AD3F471">
      <w:pPr>
        <w:pStyle w:val="85"/>
        <w:rPr>
          <w:snapToGrid w:val="0"/>
        </w:rPr>
      </w:pPr>
      <w:r>
        <w:rPr>
          <w:snapToGrid w:val="0"/>
        </w:rPr>
        <w:t>式中：S为透声面积，m</w:t>
      </w:r>
      <w:r>
        <w:rPr>
          <w:snapToGrid w:val="0"/>
          <w:vertAlign w:val="superscript"/>
        </w:rPr>
        <w:t>2</w:t>
      </w:r>
      <w:r>
        <w:rPr>
          <w:snapToGrid w:val="0"/>
        </w:rPr>
        <w:t>。</w:t>
      </w:r>
    </w:p>
    <w:p w14:paraId="7055670B">
      <w:pPr>
        <w:pStyle w:val="85"/>
        <w:ind w:firstLine="482"/>
        <w:rPr>
          <w:snapToGrid w:val="0"/>
        </w:rPr>
      </w:pPr>
      <w:r>
        <w:rPr>
          <w:b/>
          <w:bCs/>
          <w:snapToGrid w:val="0"/>
        </w:rPr>
        <w:t>计算总声压级</w:t>
      </w:r>
    </w:p>
    <w:p w14:paraId="0D6CD7D3">
      <w:pPr>
        <w:pStyle w:val="85"/>
        <w:rPr>
          <w:snapToGrid w:val="0"/>
        </w:rPr>
      </w:pPr>
      <w:r>
        <w:rPr>
          <w:snapToGrid w:val="0"/>
        </w:rPr>
        <w:t>设第i个室外声源在预测点产生的A声级为</w:t>
      </w:r>
      <w:r>
        <w:rPr>
          <w:i/>
          <w:iCs/>
          <w:snapToGrid w:val="0"/>
        </w:rPr>
        <w:t>L</w:t>
      </w:r>
      <w:r>
        <w:rPr>
          <w:i/>
          <w:iCs/>
          <w:snapToGrid w:val="0"/>
          <w:vertAlign w:val="subscript"/>
        </w:rPr>
        <w:t>Ai</w:t>
      </w:r>
      <w:r>
        <w:rPr>
          <w:snapToGrid w:val="0"/>
        </w:rPr>
        <w:t>，在T时间内该声源工作时间为</w:t>
      </w:r>
      <w:r>
        <w:rPr>
          <w:i/>
          <w:iCs/>
          <w:snapToGrid w:val="0"/>
        </w:rPr>
        <w:t>t</w:t>
      </w:r>
      <w:r>
        <w:rPr>
          <w:i/>
          <w:iCs/>
          <w:snapToGrid w:val="0"/>
          <w:vertAlign w:val="subscript"/>
        </w:rPr>
        <w:t>i</w:t>
      </w:r>
      <w:r>
        <w:rPr>
          <w:snapToGrid w:val="0"/>
        </w:rPr>
        <w:t>；第j个等效室外声源在预测点产生的A声级为</w:t>
      </w:r>
      <w:r>
        <w:rPr>
          <w:i/>
          <w:iCs/>
          <w:snapToGrid w:val="0"/>
        </w:rPr>
        <w:t>L</w:t>
      </w:r>
      <w:r>
        <w:rPr>
          <w:i/>
          <w:iCs/>
          <w:snapToGrid w:val="0"/>
          <w:vertAlign w:val="subscript"/>
        </w:rPr>
        <w:t>Aj</w:t>
      </w:r>
      <w:r>
        <w:rPr>
          <w:snapToGrid w:val="0"/>
        </w:rPr>
        <w:t>，在T时间内该声源工作时间为</w:t>
      </w:r>
      <w:r>
        <w:rPr>
          <w:i/>
          <w:iCs/>
          <w:snapToGrid w:val="0"/>
        </w:rPr>
        <w:t>t</w:t>
      </w:r>
      <w:r>
        <w:rPr>
          <w:i/>
          <w:iCs/>
          <w:snapToGrid w:val="0"/>
          <w:vertAlign w:val="subscript"/>
        </w:rPr>
        <w:t>j</w:t>
      </w:r>
      <w:r>
        <w:rPr>
          <w:snapToGrid w:val="0"/>
        </w:rPr>
        <w:t>，则</w:t>
      </w:r>
      <w:r>
        <w:rPr>
          <w:rFonts w:hint="eastAsia"/>
          <w:snapToGrid w:val="0"/>
        </w:rPr>
        <w:t>拟建工程声源对</w:t>
      </w:r>
      <w:r>
        <w:rPr>
          <w:snapToGrid w:val="0"/>
        </w:rPr>
        <w:t>预测点</w:t>
      </w:r>
      <w:r>
        <w:rPr>
          <w:rFonts w:hint="eastAsia"/>
          <w:snapToGrid w:val="0"/>
        </w:rPr>
        <w:t>产生的贡献值（L</w:t>
      </w:r>
      <w:r>
        <w:rPr>
          <w:rFonts w:hint="eastAsia"/>
          <w:snapToGrid w:val="0"/>
          <w:vertAlign w:val="subscript"/>
        </w:rPr>
        <w:t>eqg</w:t>
      </w:r>
      <w:r>
        <w:rPr>
          <w:rFonts w:hint="eastAsia"/>
          <w:snapToGrid w:val="0"/>
        </w:rPr>
        <w:t>）为</w:t>
      </w:r>
    </w:p>
    <w:p w14:paraId="574F09C2">
      <w:pPr>
        <w:pStyle w:val="206"/>
        <w:rPr>
          <w:snapToGrid w:val="0"/>
          <w:lang w:val="en-US"/>
        </w:rPr>
      </w:pPr>
      <m:oMathPara>
        <m:oMath>
          <m:r>
            <m:rPr/>
            <w:rPr>
              <w:rFonts w:ascii="Cambria Math" w:hAnsi="Cambria Math"/>
              <w:snapToGrid w:val="0"/>
            </w:rPr>
            <m:t>Leq</m:t>
          </m:r>
          <m:r>
            <m:rPr/>
            <w:rPr>
              <w:rFonts w:hint="eastAsia" w:ascii="Cambria Math" w:hAnsi="Cambria Math"/>
              <w:snapToGrid w:val="0"/>
            </w:rPr>
            <m:t>g</m:t>
          </m:r>
          <m:r>
            <m:rPr>
              <m:sty m:val="p"/>
            </m:rPr>
            <w:rPr>
              <w:rFonts w:ascii="Cambria Math" w:hAnsi="Cambria Math"/>
              <w:snapToGrid w:val="0"/>
            </w:rPr>
            <m:t>=10</m:t>
          </m:r>
          <m:r>
            <m:rPr/>
            <w:rPr>
              <w:rFonts w:hint="eastAsia" w:ascii="Cambria Math" w:hAnsi="Cambria Math"/>
              <w:snapToGrid w:val="0"/>
            </w:rPr>
            <m:t>lg</m:t>
          </m:r>
          <m:d>
            <m:dPr>
              <m:begChr m:val="["/>
              <m:endChr m:val="]"/>
              <m:ctrlPr>
                <w:rPr>
                  <w:rFonts w:ascii="Cambria Math" w:hAnsi="Cambria Math"/>
                  <w:snapToGrid w:val="0"/>
                  <w:lang w:val="en-US"/>
                </w:rPr>
              </m:ctrlPr>
            </m:dPr>
            <m:e>
              <m:r>
                <m:rPr>
                  <m:sty m:val="p"/>
                </m:rPr>
                <w:rPr>
                  <w:rFonts w:ascii="Cambria Math" w:hAnsi="Cambria Math"/>
                  <w:snapToGrid w:val="0"/>
                </w:rPr>
                <m:t>(1/</m:t>
              </m:r>
              <m:r>
                <m:rPr/>
                <w:rPr>
                  <w:rFonts w:ascii="Cambria Math" w:hAnsi="Cambria Math"/>
                  <w:snapToGrid w:val="0"/>
                </w:rPr>
                <m:t>T</m:t>
              </m:r>
              <m:r>
                <m:rPr>
                  <m:sty m:val="p"/>
                </m:rPr>
                <w:rPr>
                  <w:rFonts w:ascii="Cambria Math" w:hAnsi="Cambria Math"/>
                  <w:snapToGrid w:val="0"/>
                </w:rPr>
                <m:t>)</m:t>
              </m:r>
              <m:nary>
                <m:naryPr>
                  <m:chr m:val="∑"/>
                  <m:ctrlPr>
                    <w:rPr>
                      <w:rFonts w:ascii="Cambria Math" w:hAnsi="Cambria Math"/>
                      <w:snapToGrid w:val="0"/>
                      <w:lang w:val="en-US"/>
                    </w:rPr>
                  </m:ctrlPr>
                </m:naryPr>
                <m:sub>
                  <m:r>
                    <m:rPr/>
                    <w:rPr>
                      <w:rFonts w:ascii="Cambria Math" w:hAnsi="Cambria Math"/>
                      <w:snapToGrid w:val="0"/>
                    </w:rPr>
                    <m:t>i</m:t>
                  </m:r>
                  <m:r>
                    <m:rPr>
                      <m:sty m:val="p"/>
                    </m:rPr>
                    <w:rPr>
                      <w:rFonts w:ascii="Cambria Math" w:hAnsi="Cambria Math"/>
                      <w:snapToGrid w:val="0"/>
                    </w:rPr>
                    <m:t>=1</m:t>
                  </m:r>
                  <m:ctrlPr>
                    <w:rPr>
                      <w:rFonts w:ascii="Cambria Math" w:hAnsi="Cambria Math"/>
                      <w:snapToGrid w:val="0"/>
                      <w:lang w:val="en-US"/>
                    </w:rPr>
                  </m:ctrlPr>
                </m:sub>
                <m:sup>
                  <m:r>
                    <m:rPr/>
                    <w:rPr>
                      <w:rFonts w:ascii="Cambria Math" w:hAnsi="Cambria Math"/>
                      <w:snapToGrid w:val="0"/>
                    </w:rPr>
                    <m:t>N</m:t>
                  </m:r>
                  <m:ctrlPr>
                    <w:rPr>
                      <w:rFonts w:ascii="Cambria Math" w:hAnsi="Cambria Math"/>
                      <w:snapToGrid w:val="0"/>
                      <w:lang w:val="en-US"/>
                    </w:rPr>
                  </m:ctrlPr>
                </m:sup>
                <m:e>
                  <m:sSub>
                    <m:sSubPr>
                      <m:ctrlPr>
                        <w:rPr>
                          <w:rFonts w:ascii="Cambria Math" w:hAnsi="Cambria Math"/>
                          <w:snapToGrid w:val="0"/>
                          <w:lang w:val="en-US"/>
                        </w:rPr>
                      </m:ctrlPr>
                    </m:sSubPr>
                    <m:e>
                      <m:r>
                        <m:rPr/>
                        <w:rPr>
                          <w:rFonts w:ascii="Cambria Math" w:hAnsi="Cambria Math"/>
                          <w:snapToGrid w:val="0"/>
                        </w:rPr>
                        <m:t>t</m:t>
                      </m:r>
                      <m:ctrlPr>
                        <w:rPr>
                          <w:rFonts w:ascii="Cambria Math" w:hAnsi="Cambria Math"/>
                          <w:snapToGrid w:val="0"/>
                          <w:lang w:val="en-US"/>
                        </w:rPr>
                      </m:ctrlPr>
                    </m:e>
                    <m:sub>
                      <m:r>
                        <m:rPr/>
                        <w:rPr>
                          <w:rFonts w:ascii="Cambria Math" w:hAnsi="Cambria Math"/>
                          <w:snapToGrid w:val="0"/>
                        </w:rPr>
                        <m:t>i</m:t>
                      </m:r>
                      <m:ctrlPr>
                        <w:rPr>
                          <w:rFonts w:ascii="Cambria Math" w:hAnsi="Cambria Math"/>
                          <w:snapToGrid w:val="0"/>
                          <w:lang w:val="en-US"/>
                        </w:rPr>
                      </m:ctrlPr>
                    </m:sub>
                  </m:sSub>
                  <m:r>
                    <m:rPr>
                      <m:sty m:val="p"/>
                    </m:rPr>
                    <w:rPr>
                      <w:rFonts w:ascii="Cambria Math" w:hAnsi="Cambria Math"/>
                      <w:snapToGrid w:val="0"/>
                    </w:rPr>
                    <m:t>1</m:t>
                  </m:r>
                  <m:sSup>
                    <m:sSupPr>
                      <m:ctrlPr>
                        <w:rPr>
                          <w:rFonts w:ascii="Cambria Math" w:hAnsi="Cambria Math"/>
                          <w:snapToGrid w:val="0"/>
                          <w:lang w:val="en-US"/>
                        </w:rPr>
                      </m:ctrlPr>
                    </m:sSupPr>
                    <m:e>
                      <m:r>
                        <m:rPr>
                          <m:sty m:val="p"/>
                        </m:rPr>
                        <w:rPr>
                          <w:rFonts w:ascii="Cambria Math" w:hAnsi="Cambria Math"/>
                          <w:snapToGrid w:val="0"/>
                        </w:rPr>
                        <m:t>0</m:t>
                      </m:r>
                      <m:ctrlPr>
                        <w:rPr>
                          <w:rFonts w:ascii="Cambria Math" w:hAnsi="Cambria Math"/>
                          <w:snapToGrid w:val="0"/>
                          <w:lang w:val="en-US"/>
                        </w:rPr>
                      </m:ctrlPr>
                    </m:e>
                    <m:sup>
                      <m:r>
                        <m:rPr>
                          <m:sty m:val="p"/>
                        </m:rPr>
                        <w:rPr>
                          <w:rFonts w:ascii="Cambria Math" w:hAnsi="Cambria Math"/>
                          <w:snapToGrid w:val="0"/>
                        </w:rPr>
                        <m:t>0.1</m:t>
                      </m:r>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ascii="Cambria Math" w:hAnsi="Cambria Math"/>
                              <w:snapToGrid w:val="0"/>
                            </w:rPr>
                            <m:t>A</m:t>
                          </m:r>
                          <m:r>
                            <m:rPr/>
                            <w:rPr>
                              <w:rFonts w:hint="eastAsia" w:ascii="Cambria Math" w:hAnsi="Cambria Math"/>
                              <w:snapToGrid w:val="0"/>
                            </w:rPr>
                            <m:t>i</m:t>
                          </m:r>
                          <m:ctrlPr>
                            <w:rPr>
                              <w:rFonts w:ascii="Cambria Math" w:hAnsi="Cambria Math"/>
                              <w:snapToGrid w:val="0"/>
                              <w:lang w:val="en-US"/>
                            </w:rPr>
                          </m:ctrlPr>
                        </m:sub>
                      </m:sSub>
                      <m:ctrlPr>
                        <w:rPr>
                          <w:rFonts w:ascii="Cambria Math" w:hAnsi="Cambria Math"/>
                          <w:snapToGrid w:val="0"/>
                          <w:lang w:val="en-US"/>
                        </w:rPr>
                      </m:ctrlPr>
                    </m:sup>
                  </m:sSup>
                  <m:ctrlPr>
                    <w:rPr>
                      <w:rFonts w:ascii="Cambria Math" w:hAnsi="Cambria Math"/>
                      <w:snapToGrid w:val="0"/>
                      <w:lang w:val="en-US"/>
                    </w:rPr>
                  </m:ctrlPr>
                </m:e>
              </m:nary>
              <m:r>
                <m:rPr>
                  <m:sty m:val="p"/>
                </m:rPr>
                <w:rPr>
                  <w:rFonts w:ascii="Cambria Math" w:hAnsi="Cambria Math"/>
                  <w:snapToGrid w:val="0"/>
                </w:rPr>
                <m:t>+</m:t>
              </m:r>
              <m:nary>
                <m:naryPr>
                  <m:chr m:val="∑"/>
                  <m:ctrlPr>
                    <w:rPr>
                      <w:rFonts w:ascii="Cambria Math" w:hAnsi="Cambria Math"/>
                      <w:snapToGrid w:val="0"/>
                      <w:lang w:val="en-US"/>
                    </w:rPr>
                  </m:ctrlPr>
                </m:naryPr>
                <m:sub>
                  <m:r>
                    <m:rPr/>
                    <w:rPr>
                      <w:rFonts w:ascii="Cambria Math" w:hAnsi="Cambria Math"/>
                      <w:snapToGrid w:val="0"/>
                    </w:rPr>
                    <m:t>j</m:t>
                  </m:r>
                  <m:r>
                    <m:rPr>
                      <m:sty m:val="p"/>
                    </m:rPr>
                    <w:rPr>
                      <w:rFonts w:ascii="Cambria Math" w:hAnsi="Cambria Math"/>
                      <w:snapToGrid w:val="0"/>
                    </w:rPr>
                    <m:t>=1</m:t>
                  </m:r>
                  <m:ctrlPr>
                    <w:rPr>
                      <w:rFonts w:ascii="Cambria Math" w:hAnsi="Cambria Math"/>
                      <w:snapToGrid w:val="0"/>
                      <w:lang w:val="en-US"/>
                    </w:rPr>
                  </m:ctrlPr>
                </m:sub>
                <m:sup>
                  <m:r>
                    <m:rPr/>
                    <w:rPr>
                      <w:rFonts w:ascii="Cambria Math" w:hAnsi="Cambria Math"/>
                      <w:snapToGrid w:val="0"/>
                    </w:rPr>
                    <m:t>M</m:t>
                  </m:r>
                  <m:ctrlPr>
                    <w:rPr>
                      <w:rFonts w:ascii="Cambria Math" w:hAnsi="Cambria Math"/>
                      <w:snapToGrid w:val="0"/>
                      <w:lang w:val="en-US"/>
                    </w:rPr>
                  </m:ctrlPr>
                </m:sup>
                <m:e>
                  <m:sSub>
                    <m:sSubPr>
                      <m:ctrlPr>
                        <w:rPr>
                          <w:rFonts w:ascii="Cambria Math" w:hAnsi="Cambria Math"/>
                          <w:snapToGrid w:val="0"/>
                          <w:lang w:val="en-US"/>
                        </w:rPr>
                      </m:ctrlPr>
                    </m:sSubPr>
                    <m:e>
                      <m:r>
                        <m:rPr/>
                        <w:rPr>
                          <w:rFonts w:ascii="Cambria Math" w:hAnsi="Cambria Math"/>
                          <w:snapToGrid w:val="0"/>
                        </w:rPr>
                        <m:t>t</m:t>
                      </m:r>
                      <m:ctrlPr>
                        <w:rPr>
                          <w:rFonts w:ascii="Cambria Math" w:hAnsi="Cambria Math"/>
                          <w:snapToGrid w:val="0"/>
                          <w:lang w:val="en-US"/>
                        </w:rPr>
                      </m:ctrlPr>
                    </m:e>
                    <m:sub>
                      <m:r>
                        <m:rPr/>
                        <w:rPr>
                          <w:rFonts w:ascii="Cambria Math" w:hAnsi="Cambria Math"/>
                          <w:snapToGrid w:val="0"/>
                        </w:rPr>
                        <m:t>j</m:t>
                      </m:r>
                      <m:ctrlPr>
                        <w:rPr>
                          <w:rFonts w:ascii="Cambria Math" w:hAnsi="Cambria Math"/>
                          <w:snapToGrid w:val="0"/>
                          <w:lang w:val="en-US"/>
                        </w:rPr>
                      </m:ctrlPr>
                    </m:sub>
                  </m:sSub>
                  <m:r>
                    <m:rPr>
                      <m:sty m:val="p"/>
                    </m:rPr>
                    <w:rPr>
                      <w:rFonts w:ascii="Cambria Math" w:hAnsi="Cambria Math"/>
                      <w:snapToGrid w:val="0"/>
                    </w:rPr>
                    <m:t>1</m:t>
                  </m:r>
                  <m:sSup>
                    <m:sSupPr>
                      <m:ctrlPr>
                        <w:rPr>
                          <w:rFonts w:ascii="Cambria Math" w:hAnsi="Cambria Math"/>
                          <w:snapToGrid w:val="0"/>
                          <w:lang w:val="en-US"/>
                        </w:rPr>
                      </m:ctrlPr>
                    </m:sSupPr>
                    <m:e>
                      <m:r>
                        <m:rPr>
                          <m:sty m:val="p"/>
                        </m:rPr>
                        <w:rPr>
                          <w:rFonts w:ascii="Cambria Math" w:hAnsi="Cambria Math"/>
                          <w:snapToGrid w:val="0"/>
                        </w:rPr>
                        <m:t>0</m:t>
                      </m:r>
                      <m:ctrlPr>
                        <w:rPr>
                          <w:rFonts w:ascii="Cambria Math" w:hAnsi="Cambria Math"/>
                          <w:snapToGrid w:val="0"/>
                          <w:lang w:val="en-US"/>
                        </w:rPr>
                      </m:ctrlPr>
                    </m:e>
                    <m:sup>
                      <m:r>
                        <m:rPr>
                          <m:sty m:val="p"/>
                        </m:rPr>
                        <w:rPr>
                          <w:rFonts w:ascii="Cambria Math" w:hAnsi="Cambria Math"/>
                          <w:snapToGrid w:val="0"/>
                        </w:rPr>
                        <m:t>0.1</m:t>
                      </m:r>
                      <m:sSub>
                        <m:sSubPr>
                          <m:ctrlPr>
                            <w:rPr>
                              <w:rFonts w:ascii="Cambria Math" w:hAnsi="Cambria Math"/>
                              <w:snapToGrid w:val="0"/>
                              <w:lang w:val="en-US"/>
                            </w:rPr>
                          </m:ctrlPr>
                        </m:sSubPr>
                        <m:e>
                          <m:r>
                            <m:rPr/>
                            <w:rPr>
                              <w:rFonts w:ascii="Cambria Math" w:hAnsi="Cambria Math"/>
                              <w:snapToGrid w:val="0"/>
                            </w:rPr>
                            <m:t>L</m:t>
                          </m:r>
                          <m:ctrlPr>
                            <w:rPr>
                              <w:rFonts w:ascii="Cambria Math" w:hAnsi="Cambria Math"/>
                              <w:snapToGrid w:val="0"/>
                              <w:lang w:val="en-US"/>
                            </w:rPr>
                          </m:ctrlPr>
                        </m:e>
                        <m:sub>
                          <m:r>
                            <m:rPr/>
                            <w:rPr>
                              <w:rFonts w:ascii="Cambria Math" w:hAnsi="Cambria Math"/>
                              <w:snapToGrid w:val="0"/>
                            </w:rPr>
                            <m:t>A</m:t>
                          </m:r>
                          <m:r>
                            <m:rPr/>
                            <w:rPr>
                              <w:rFonts w:hint="eastAsia" w:ascii="Cambria Math" w:hAnsi="Cambria Math"/>
                              <w:snapToGrid w:val="0"/>
                            </w:rPr>
                            <m:t>j</m:t>
                          </m:r>
                          <m:ctrlPr>
                            <w:rPr>
                              <w:rFonts w:ascii="Cambria Math" w:hAnsi="Cambria Math"/>
                              <w:snapToGrid w:val="0"/>
                              <w:lang w:val="en-US"/>
                            </w:rPr>
                          </m:ctrlPr>
                        </m:sub>
                      </m:sSub>
                      <m:ctrlPr>
                        <w:rPr>
                          <w:rFonts w:ascii="Cambria Math" w:hAnsi="Cambria Math"/>
                          <w:snapToGrid w:val="0"/>
                          <w:lang w:val="en-US"/>
                        </w:rPr>
                      </m:ctrlPr>
                    </m:sup>
                  </m:sSup>
                  <m:ctrlPr>
                    <w:rPr>
                      <w:rFonts w:ascii="Cambria Math" w:hAnsi="Cambria Math"/>
                      <w:snapToGrid w:val="0"/>
                      <w:lang w:val="en-US"/>
                    </w:rPr>
                  </m:ctrlPr>
                </m:e>
              </m:nary>
              <m:ctrlPr>
                <w:rPr>
                  <w:rFonts w:ascii="Cambria Math" w:hAnsi="Cambria Math"/>
                  <w:snapToGrid w:val="0"/>
                  <w:lang w:val="en-US"/>
                </w:rPr>
              </m:ctrlPr>
            </m:e>
          </m:d>
        </m:oMath>
      </m:oMathPara>
    </w:p>
    <w:p w14:paraId="5FD306B4">
      <w:pPr>
        <w:pStyle w:val="85"/>
        <w:rPr>
          <w:snapToGrid w:val="0"/>
        </w:rPr>
      </w:pPr>
      <w:r>
        <w:rPr>
          <w:snapToGrid w:val="0"/>
        </w:rPr>
        <w:t>式中：T为计算等效声级的时间，N为室外声源个数，M为等效</w:t>
      </w:r>
      <w:r>
        <w:rPr>
          <w:rFonts w:hint="eastAsia"/>
          <w:snapToGrid w:val="0"/>
        </w:rPr>
        <w:t>室外</w:t>
      </w:r>
      <w:r>
        <w:rPr>
          <w:snapToGrid w:val="0"/>
        </w:rPr>
        <w:t>声源个数。</w:t>
      </w:r>
    </w:p>
    <w:p w14:paraId="63A684CD">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本项目噪声源主要为各生产设备生产过程产生的噪声，包括</w:t>
      </w:r>
      <w:r>
        <w:rPr>
          <w:rFonts w:hint="eastAsia"/>
          <w:color w:val="000000" w:themeColor="text1"/>
          <w:lang w:val="en-US" w:eastAsia="zh-CN"/>
          <w14:textFill>
            <w14:solidFill>
              <w14:schemeClr w14:val="tx1"/>
            </w14:solidFill>
          </w14:textFill>
        </w:rPr>
        <w:t>斗提机、</w:t>
      </w:r>
      <w:r>
        <w:rPr>
          <w:color w:val="000000" w:themeColor="text1"/>
          <w14:textFill>
            <w14:solidFill>
              <w14:schemeClr w14:val="tx1"/>
            </w14:solidFill>
          </w14:textFill>
        </w:rPr>
        <w:t>粉碎机、</w:t>
      </w:r>
      <w:r>
        <w:rPr>
          <w:rFonts w:ascii="Segoe UI Emoji" w:hAnsi="Segoe UI Emoji" w:eastAsia="Segoe UI Emoji" w:cs="Segoe UI Emoji"/>
          <w:i w:val="0"/>
          <w:iCs w:val="0"/>
          <w:caps w:val="0"/>
          <w:spacing w:val="0"/>
          <w:sz w:val="24"/>
          <w:szCs w:val="24"/>
        </w:rPr>
        <w:t>糊化锅</w:t>
      </w:r>
      <w:r>
        <w:rPr>
          <w:rFonts w:hint="eastAsia" w:ascii="Segoe UI Emoji" w:hAnsi="Segoe UI Emoji" w:eastAsia="宋体" w:cs="Segoe UI Emoji"/>
          <w:i w:val="0"/>
          <w:iCs w:val="0"/>
          <w:caps w:val="0"/>
          <w:spacing w:val="0"/>
          <w:sz w:val="24"/>
          <w:szCs w:val="24"/>
          <w:lang w:eastAsia="zh-CN"/>
        </w:rPr>
        <w:t>、</w:t>
      </w:r>
      <w:r>
        <w:rPr>
          <w:rFonts w:ascii="Segoe UI Emoji" w:hAnsi="Segoe UI Emoji" w:eastAsia="Segoe UI Emoji" w:cs="Segoe UI Emoji"/>
          <w:i w:val="0"/>
          <w:iCs w:val="0"/>
          <w:caps w:val="0"/>
          <w:spacing w:val="0"/>
          <w:sz w:val="24"/>
          <w:szCs w:val="24"/>
        </w:rPr>
        <w:t>糖化锅</w:t>
      </w:r>
      <w:r>
        <w:rPr>
          <w:rFonts w:hint="eastAsia" w:ascii="Segoe UI Emoji" w:hAnsi="Segoe UI Emoji" w:eastAsia="宋体" w:cs="Segoe UI Emoji"/>
          <w:i w:val="0"/>
          <w:iCs w:val="0"/>
          <w:caps w:val="0"/>
          <w:spacing w:val="0"/>
          <w:sz w:val="24"/>
          <w:szCs w:val="24"/>
          <w:lang w:eastAsia="zh-CN"/>
        </w:rPr>
        <w:t>、</w:t>
      </w:r>
      <w:r>
        <w:rPr>
          <w:rFonts w:hint="eastAsia"/>
          <w:color w:val="000000" w:themeColor="text1"/>
          <w:lang w:val="en-US" w:eastAsia="zh-CN"/>
          <w14:textFill>
            <w14:solidFill>
              <w14:schemeClr w14:val="tx1"/>
            </w14:solidFill>
          </w14:textFill>
        </w:rPr>
        <w:t>离心机、螺杆空压机、</w:t>
      </w:r>
      <w:r>
        <w:rPr>
          <w:snapToGrid w:val="0"/>
          <w:color w:val="000000" w:themeColor="text1"/>
          <w:kern w:val="0"/>
          <w:szCs w:val="21"/>
          <w:lang w:val="en-US" w:eastAsia="zh-CN"/>
          <w14:textFill>
            <w14:solidFill>
              <w14:schemeClr w14:val="tx1"/>
            </w14:solidFill>
          </w14:textFill>
        </w:rPr>
        <w:t>吸附式干燥机</w:t>
      </w:r>
      <w:r>
        <w:rPr>
          <w:rFonts w:hint="eastAsia"/>
          <w:snapToGrid w:val="0"/>
          <w:color w:val="000000" w:themeColor="text1"/>
          <w:kern w:val="0"/>
          <w:szCs w:val="21"/>
          <w:lang w:val="en-US" w:eastAsia="zh-CN"/>
          <w14:textFill>
            <w14:solidFill>
              <w14:schemeClr w14:val="tx1"/>
            </w14:solidFill>
          </w14:textFill>
        </w:rPr>
        <w:t>、</w:t>
      </w:r>
      <w:r>
        <w:rPr>
          <w:snapToGrid w:val="0"/>
          <w:color w:val="000000" w:themeColor="text1"/>
          <w:kern w:val="0"/>
          <w:szCs w:val="21"/>
          <w:lang w:val="en-US" w:eastAsia="zh-CN"/>
          <w14:textFill>
            <w14:solidFill>
              <w14:schemeClr w14:val="tx1"/>
            </w14:solidFill>
          </w14:textFill>
        </w:rPr>
        <w:t>制冷压缩机</w:t>
      </w:r>
      <w:r>
        <w:rPr>
          <w:rFonts w:hint="eastAsia"/>
          <w:snapToGrid w:val="0"/>
          <w:color w:val="000000" w:themeColor="text1"/>
          <w:kern w:val="0"/>
          <w:szCs w:val="21"/>
          <w:lang w:val="en-US" w:eastAsia="zh-CN"/>
          <w14:textFill>
            <w14:solidFill>
              <w14:schemeClr w14:val="tx1"/>
            </w14:solidFill>
          </w14:textFill>
        </w:rPr>
        <w:t>、</w:t>
      </w:r>
      <w:r>
        <w:rPr>
          <w:color w:val="000000" w:themeColor="text1"/>
          <w14:textFill>
            <w14:solidFill>
              <w14:schemeClr w14:val="tx1"/>
            </w14:solidFill>
          </w14:textFill>
        </w:rPr>
        <w:t>灌装机、风机、各种泵类等</w:t>
      </w:r>
      <w:r>
        <w:rPr>
          <w:snapToGrid w:val="0"/>
          <w:color w:val="000000" w:themeColor="text1"/>
          <w14:textFill>
            <w14:solidFill>
              <w14:schemeClr w14:val="tx1"/>
            </w14:solidFill>
          </w14:textFill>
        </w:rPr>
        <w:t>运行噪声</w:t>
      </w:r>
      <w:r>
        <w:rPr>
          <w:rFonts w:hint="eastAsia"/>
          <w:snapToGrid w:val="0"/>
          <w:color w:val="000000" w:themeColor="text1"/>
          <w14:textFill>
            <w14:solidFill>
              <w14:schemeClr w14:val="tx1"/>
            </w14:solidFill>
          </w14:textFill>
        </w:rPr>
        <w:t>，噪声在室内、室外空间的传播，由于受到遮挡物的隔断，各种介质的吸收与反射，以及空气介质的吸收等物理作用而逐渐减弱。为了简化计算条件并能考虑到最不利因素，计算时只考虑噪声随距离的衰减。</w:t>
      </w:r>
    </w:p>
    <w:p w14:paraId="3DE8174C">
      <w:pPr>
        <w:pStyle w:val="7"/>
        <w:rPr>
          <w:color w:val="000000" w:themeColor="text1"/>
          <w14:textFill>
            <w14:solidFill>
              <w14:schemeClr w14:val="tx1"/>
            </w14:solidFill>
          </w14:textFill>
        </w:rPr>
      </w:pPr>
      <w:bookmarkStart w:id="268" w:name="_Toc402353066"/>
      <w:bookmarkStart w:id="269" w:name="_Toc487803131"/>
      <w:r>
        <w:rPr>
          <w:color w:val="000000" w:themeColor="text1"/>
          <w14:textFill>
            <w14:solidFill>
              <w14:schemeClr w14:val="tx1"/>
            </w14:solidFill>
          </w14:textFill>
        </w:rPr>
        <w:t>5.2.4.3预测结果及分析</w:t>
      </w:r>
      <w:bookmarkEnd w:id="268"/>
      <w:bookmarkEnd w:id="269"/>
    </w:p>
    <w:p w14:paraId="0BD28DBD">
      <w:pPr>
        <w:spacing w:line="48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本</w:t>
      </w:r>
      <w:r>
        <w:rPr>
          <w:rFonts w:hint="eastAsia"/>
          <w:color w:val="000000" w:themeColor="text1"/>
          <w:lang w:val="en-US" w:eastAsia="zh-CN"/>
          <w14:textFill>
            <w14:solidFill>
              <w14:schemeClr w14:val="tx1"/>
            </w14:solidFill>
          </w14:textFill>
        </w:rPr>
        <w:t>项目</w:t>
      </w:r>
      <w:r>
        <w:rPr>
          <w:rFonts w:hint="eastAsia"/>
          <w:color w:val="000000" w:themeColor="text1"/>
          <w14:textFill>
            <w14:solidFill>
              <w14:schemeClr w14:val="tx1"/>
            </w14:solidFill>
          </w14:textFill>
        </w:rPr>
        <w:t>厂界噪声贡献值预测</w:t>
      </w:r>
      <w:r>
        <w:rPr>
          <w:color w:val="000000" w:themeColor="text1"/>
          <w14:textFill>
            <w14:solidFill>
              <w14:schemeClr w14:val="tx1"/>
            </w14:solidFill>
          </w14:textFill>
        </w:rPr>
        <w:t>结果见表5-2-1</w:t>
      </w:r>
      <w:r>
        <w:rPr>
          <w:rFonts w:hint="eastAsia"/>
          <w:color w:val="000000" w:themeColor="text1"/>
          <w:lang w:val="en-US" w:eastAsia="zh-CN"/>
          <w14:textFill>
            <w14:solidFill>
              <w14:schemeClr w14:val="tx1"/>
            </w14:solidFill>
          </w14:textFill>
        </w:rPr>
        <w:t>3</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评价范围内声环境敏感点预测结果见表5-2-14</w:t>
      </w:r>
      <w:r>
        <w:rPr>
          <w:color w:val="000000" w:themeColor="text1"/>
          <w14:textFill>
            <w14:solidFill>
              <w14:schemeClr w14:val="tx1"/>
            </w14:solidFill>
          </w14:textFill>
        </w:rPr>
        <w:t>。噪声</w:t>
      </w:r>
      <w:r>
        <w:rPr>
          <w:rFonts w:hint="eastAsia"/>
          <w:color w:val="000000" w:themeColor="text1"/>
          <w14:textFill>
            <w14:solidFill>
              <w14:schemeClr w14:val="tx1"/>
            </w14:solidFill>
          </w14:textFill>
        </w:rPr>
        <w:t>预测</w:t>
      </w:r>
      <w:r>
        <w:rPr>
          <w:color w:val="000000" w:themeColor="text1"/>
          <w14:textFill>
            <w14:solidFill>
              <w14:schemeClr w14:val="tx1"/>
            </w14:solidFill>
          </w14:textFill>
        </w:rPr>
        <w:t>等值线分布图见图5-2-</w:t>
      </w:r>
      <w:r>
        <w:rPr>
          <w:rFonts w:hint="eastAsia"/>
          <w:color w:val="000000" w:themeColor="text1"/>
          <w:lang w:val="en-US" w:eastAsia="zh-CN"/>
          <w14:textFill>
            <w14:solidFill>
              <w14:schemeClr w14:val="tx1"/>
            </w14:solidFill>
          </w14:textFill>
        </w:rPr>
        <w:t>7</w:t>
      </w:r>
      <w:r>
        <w:rPr>
          <w:color w:val="000000" w:themeColor="text1"/>
          <w14:textFill>
            <w14:solidFill>
              <w14:schemeClr w14:val="tx1"/>
            </w14:solidFill>
          </w14:textFill>
        </w:rPr>
        <w:t>。</w:t>
      </w:r>
    </w:p>
    <w:p w14:paraId="279437F2">
      <w:pPr>
        <w:pStyle w:val="206"/>
        <w:rPr>
          <w:color w:val="000000" w:themeColor="text1"/>
          <w:szCs w:val="20"/>
          <w:lang w:eastAsia="zh-CN"/>
          <w14:textFill>
            <w14:solidFill>
              <w14:schemeClr w14:val="tx1"/>
            </w14:solidFill>
          </w14:textFill>
        </w:rPr>
      </w:pPr>
      <w:r>
        <w:rPr>
          <w:color w:val="000000" w:themeColor="text1"/>
          <w14:textFill>
            <w14:solidFill>
              <w14:schemeClr w14:val="tx1"/>
            </w14:solidFill>
          </w14:textFill>
        </w:rPr>
        <w:t>表5-2-1</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厂界</w:t>
      </w:r>
      <w:r>
        <w:rPr>
          <w:color w:val="000000" w:themeColor="text1"/>
          <w14:textFill>
            <w14:solidFill>
              <w14:schemeClr w14:val="tx1"/>
            </w14:solidFill>
          </w14:textFill>
        </w:rPr>
        <w:t>噪声预测值一览表</w:t>
      </w:r>
    </w:p>
    <w:tbl>
      <w:tblPr>
        <w:tblStyle w:val="49"/>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838"/>
        <w:gridCol w:w="2588"/>
        <w:gridCol w:w="1944"/>
        <w:gridCol w:w="1942"/>
      </w:tblGrid>
      <w:tr w14:paraId="57550BB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3" w:hRule="atLeast"/>
          <w:jc w:val="center"/>
        </w:trPr>
        <w:tc>
          <w:tcPr>
            <w:tcW w:w="1105" w:type="pct"/>
            <w:vMerge w:val="restart"/>
            <w:vAlign w:val="center"/>
          </w:tcPr>
          <w:p w14:paraId="7C32FFCC">
            <w:pPr>
              <w:pStyle w:val="143"/>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预测点</w:t>
            </w:r>
          </w:p>
        </w:tc>
        <w:tc>
          <w:tcPr>
            <w:tcW w:w="1556" w:type="pct"/>
            <w:vAlign w:val="center"/>
          </w:tcPr>
          <w:p w14:paraId="4B8C40DA">
            <w:pPr>
              <w:pStyle w:val="143"/>
              <w:rPr>
                <w:color w:val="000000" w:themeColor="text1"/>
                <w14:textFill>
                  <w14:solidFill>
                    <w14:schemeClr w14:val="tx1"/>
                  </w14:solidFill>
                </w14:textFill>
              </w:rPr>
            </w:pPr>
            <w:r>
              <w:rPr>
                <w:color w:val="000000" w:themeColor="text1"/>
                <w14:textFill>
                  <w14:solidFill>
                    <w14:schemeClr w14:val="tx1"/>
                  </w14:solidFill>
                </w14:textFill>
              </w:rPr>
              <w:t>贡献值</w:t>
            </w:r>
            <w:r>
              <w:rPr>
                <w:rFonts w:hint="eastAsia"/>
                <w:color w:val="000000" w:themeColor="text1"/>
                <w:lang w:eastAsia="zh-CN"/>
                <w14:textFill>
                  <w14:solidFill>
                    <w14:schemeClr w14:val="tx1"/>
                  </w14:solidFill>
                </w14:textFill>
              </w:rPr>
              <w:t>（昼间）</w:t>
            </w:r>
          </w:p>
        </w:tc>
        <w:tc>
          <w:tcPr>
            <w:tcW w:w="1169" w:type="pct"/>
            <w:vAlign w:val="center"/>
          </w:tcPr>
          <w:p w14:paraId="2DE17CA2">
            <w:pPr>
              <w:pStyle w:val="143"/>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贡献值（夜间）</w:t>
            </w:r>
          </w:p>
        </w:tc>
        <w:tc>
          <w:tcPr>
            <w:tcW w:w="1168" w:type="pct"/>
            <w:vMerge w:val="restart"/>
            <w:vAlign w:val="center"/>
          </w:tcPr>
          <w:p w14:paraId="5EA0BBE4">
            <w:pPr>
              <w:pStyle w:val="143"/>
              <w:rPr>
                <w:color w:val="000000" w:themeColor="text1"/>
                <w14:textFill>
                  <w14:solidFill>
                    <w14:schemeClr w14:val="tx1"/>
                  </w14:solidFill>
                </w14:textFill>
              </w:rPr>
            </w:pPr>
            <w:r>
              <w:rPr>
                <w:color w:val="000000" w:themeColor="text1"/>
                <w14:textFill>
                  <w14:solidFill>
                    <w14:schemeClr w14:val="tx1"/>
                  </w14:solidFill>
                </w14:textFill>
              </w:rPr>
              <w:t>执行标准</w:t>
            </w:r>
          </w:p>
        </w:tc>
      </w:tr>
      <w:tr w14:paraId="3D4CD7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0" w:hRule="atLeast"/>
          <w:jc w:val="center"/>
        </w:trPr>
        <w:tc>
          <w:tcPr>
            <w:tcW w:w="1105" w:type="pct"/>
            <w:vMerge w:val="continue"/>
            <w:vAlign w:val="center"/>
          </w:tcPr>
          <w:p w14:paraId="74AF6F47">
            <w:pPr>
              <w:pStyle w:val="143"/>
              <w:rPr>
                <w:color w:val="000000" w:themeColor="text1"/>
                <w14:textFill>
                  <w14:solidFill>
                    <w14:schemeClr w14:val="tx1"/>
                  </w14:solidFill>
                </w14:textFill>
              </w:rPr>
            </w:pPr>
          </w:p>
        </w:tc>
        <w:tc>
          <w:tcPr>
            <w:tcW w:w="1556" w:type="pct"/>
            <w:vAlign w:val="center"/>
          </w:tcPr>
          <w:p w14:paraId="094CE40B">
            <w:pPr>
              <w:pStyle w:val="143"/>
              <w:rPr>
                <w:color w:val="000000" w:themeColor="text1"/>
                <w14:textFill>
                  <w14:solidFill>
                    <w14:schemeClr w14:val="tx1"/>
                  </w14:solidFill>
                </w14:textFill>
              </w:rPr>
            </w:pPr>
            <w:r>
              <w:rPr>
                <w:color w:val="000000" w:themeColor="text1"/>
                <w14:textFill>
                  <w14:solidFill>
                    <w14:schemeClr w14:val="tx1"/>
                  </w14:solidFill>
                </w14:textFill>
              </w:rPr>
              <w:t>dB(A)</w:t>
            </w:r>
          </w:p>
        </w:tc>
        <w:tc>
          <w:tcPr>
            <w:tcW w:w="1169" w:type="pct"/>
            <w:vAlign w:val="center"/>
          </w:tcPr>
          <w:p w14:paraId="78C74456">
            <w:pPr>
              <w:pStyle w:val="143"/>
              <w:rPr>
                <w:color w:val="000000" w:themeColor="text1"/>
                <w14:textFill>
                  <w14:solidFill>
                    <w14:schemeClr w14:val="tx1"/>
                  </w14:solidFill>
                </w14:textFill>
              </w:rPr>
            </w:pPr>
            <w:r>
              <w:rPr>
                <w:color w:val="000000" w:themeColor="text1"/>
                <w14:textFill>
                  <w14:solidFill>
                    <w14:schemeClr w14:val="tx1"/>
                  </w14:solidFill>
                </w14:textFill>
              </w:rPr>
              <w:t>dB(A)</w:t>
            </w:r>
          </w:p>
        </w:tc>
        <w:tc>
          <w:tcPr>
            <w:tcW w:w="1168" w:type="pct"/>
            <w:vMerge w:val="continue"/>
            <w:vAlign w:val="center"/>
          </w:tcPr>
          <w:p w14:paraId="65D5272D">
            <w:pPr>
              <w:pStyle w:val="143"/>
              <w:rPr>
                <w:color w:val="000000" w:themeColor="text1"/>
                <w14:textFill>
                  <w14:solidFill>
                    <w14:schemeClr w14:val="tx1"/>
                  </w14:solidFill>
                </w14:textFill>
              </w:rPr>
            </w:pPr>
          </w:p>
        </w:tc>
      </w:tr>
      <w:tr w14:paraId="6816EBA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3" w:hRule="atLeast"/>
          <w:jc w:val="center"/>
        </w:trPr>
        <w:tc>
          <w:tcPr>
            <w:tcW w:w="1105" w:type="pct"/>
            <w:vAlign w:val="center"/>
          </w:tcPr>
          <w:p w14:paraId="47F3D710">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厂界</w:t>
            </w:r>
            <w:r>
              <w:rPr>
                <w:color w:val="000000" w:themeColor="text1"/>
                <w14:textFill>
                  <w14:solidFill>
                    <w14:schemeClr w14:val="tx1"/>
                  </w14:solidFill>
                </w14:textFill>
              </w:rPr>
              <w:t>东</w:t>
            </w:r>
            <w:r>
              <w:rPr>
                <w:rFonts w:hint="eastAsia"/>
                <w:color w:val="000000" w:themeColor="text1"/>
                <w:lang w:eastAsia="zh-CN"/>
                <w14:textFill>
                  <w14:solidFill>
                    <w14:schemeClr w14:val="tx1"/>
                  </w14:solidFill>
                </w14:textFill>
              </w:rPr>
              <w:t>侧</w:t>
            </w:r>
          </w:p>
        </w:tc>
        <w:tc>
          <w:tcPr>
            <w:tcW w:w="1556" w:type="pct"/>
            <w:vAlign w:val="center"/>
          </w:tcPr>
          <w:p w14:paraId="708E55EE">
            <w:pPr>
              <w:pStyle w:val="143"/>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49.78</w:t>
            </w:r>
          </w:p>
        </w:tc>
        <w:tc>
          <w:tcPr>
            <w:tcW w:w="1169" w:type="pct"/>
            <w:vAlign w:val="center"/>
          </w:tcPr>
          <w:p w14:paraId="79D1374B">
            <w:pPr>
              <w:pStyle w:val="143"/>
              <w:ind w:firstLine="0" w:firstLineChars="0"/>
              <w:rPr>
                <w:b w:val="0"/>
                <w:bCs w:val="0"/>
                <w:color w:val="000000" w:themeColor="text1"/>
                <w14:textFill>
                  <w14:solidFill>
                    <w14:schemeClr w14:val="tx1"/>
                  </w14:solidFill>
                </w14:textFill>
              </w:rPr>
            </w:pPr>
            <w:r>
              <w:rPr>
                <w:rFonts w:hint="eastAsia"/>
                <w:b w:val="0"/>
                <w:bCs w:val="0"/>
                <w:color w:val="000000" w:themeColor="text1"/>
                <w:lang w:eastAsia="zh-CN"/>
                <w14:textFill>
                  <w14:solidFill>
                    <w14:schemeClr w14:val="tx1"/>
                  </w14:solidFill>
                </w14:textFill>
              </w:rPr>
              <w:t>49.78</w:t>
            </w:r>
          </w:p>
        </w:tc>
        <w:tc>
          <w:tcPr>
            <w:tcW w:w="1168" w:type="pct"/>
            <w:vMerge w:val="restart"/>
            <w:vAlign w:val="center"/>
          </w:tcPr>
          <w:p w14:paraId="29AFA45D">
            <w:pPr>
              <w:pStyle w:val="143"/>
              <w:rPr>
                <w:color w:val="000000" w:themeColor="text1"/>
                <w14:textFill>
                  <w14:solidFill>
                    <w14:schemeClr w14:val="tx1"/>
                  </w14:solidFill>
                </w14:textFill>
              </w:rPr>
            </w:pPr>
            <w:r>
              <w:rPr>
                <w:color w:val="000000" w:themeColor="text1"/>
                <w14:textFill>
                  <w14:solidFill>
                    <w14:schemeClr w14:val="tx1"/>
                  </w14:solidFill>
                </w14:textFill>
              </w:rPr>
              <w:t>昼间65dB(A)</w:t>
            </w:r>
          </w:p>
          <w:p w14:paraId="48C7878F">
            <w:pPr>
              <w:pStyle w:val="143"/>
              <w:rPr>
                <w:color w:val="000000" w:themeColor="text1"/>
                <w14:textFill>
                  <w14:solidFill>
                    <w14:schemeClr w14:val="tx1"/>
                  </w14:solidFill>
                </w14:textFill>
              </w:rPr>
            </w:pPr>
            <w:r>
              <w:rPr>
                <w:color w:val="000000" w:themeColor="text1"/>
                <w:lang w:val="en-US"/>
                <w14:textFill>
                  <w14:solidFill>
                    <w14:schemeClr w14:val="tx1"/>
                  </w14:solidFill>
                </w14:textFill>
              </w:rPr>
              <w:t>夜间55dB(A)</w:t>
            </w:r>
          </w:p>
        </w:tc>
      </w:tr>
      <w:tr w14:paraId="10A2328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105" w:type="pct"/>
            <w:vAlign w:val="center"/>
          </w:tcPr>
          <w:p w14:paraId="525C5EC8">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厂界</w:t>
            </w:r>
            <w:r>
              <w:rPr>
                <w:rFonts w:hint="eastAsia"/>
                <w:color w:val="000000" w:themeColor="text1"/>
                <w:lang w:eastAsia="zh-CN"/>
                <w14:textFill>
                  <w14:solidFill>
                    <w14:schemeClr w14:val="tx1"/>
                  </w14:solidFill>
                </w14:textFill>
              </w:rPr>
              <w:t>南侧</w:t>
            </w:r>
          </w:p>
        </w:tc>
        <w:tc>
          <w:tcPr>
            <w:tcW w:w="1556" w:type="pct"/>
            <w:vAlign w:val="center"/>
          </w:tcPr>
          <w:p w14:paraId="3CAD0010">
            <w:pPr>
              <w:pStyle w:val="143"/>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51.51</w:t>
            </w:r>
          </w:p>
        </w:tc>
        <w:tc>
          <w:tcPr>
            <w:tcW w:w="1169" w:type="pct"/>
            <w:vAlign w:val="center"/>
          </w:tcPr>
          <w:p w14:paraId="30B0FBE7">
            <w:pPr>
              <w:pStyle w:val="143"/>
              <w:ind w:firstLine="0" w:firstLineChars="0"/>
              <w:rPr>
                <w:b w:val="0"/>
                <w:bCs w:val="0"/>
                <w:color w:val="000000" w:themeColor="text1"/>
                <w14:textFill>
                  <w14:solidFill>
                    <w14:schemeClr w14:val="tx1"/>
                  </w14:solidFill>
                </w14:textFill>
              </w:rPr>
            </w:pPr>
            <w:r>
              <w:rPr>
                <w:rFonts w:hint="eastAsia"/>
                <w:b w:val="0"/>
                <w:bCs w:val="0"/>
                <w:color w:val="000000" w:themeColor="text1"/>
                <w:lang w:eastAsia="zh-CN"/>
                <w14:textFill>
                  <w14:solidFill>
                    <w14:schemeClr w14:val="tx1"/>
                  </w14:solidFill>
                </w14:textFill>
              </w:rPr>
              <w:t>51.51</w:t>
            </w:r>
          </w:p>
        </w:tc>
        <w:tc>
          <w:tcPr>
            <w:tcW w:w="1168" w:type="pct"/>
            <w:vMerge w:val="continue"/>
            <w:vAlign w:val="center"/>
          </w:tcPr>
          <w:p w14:paraId="0F5B91F5">
            <w:pPr>
              <w:pStyle w:val="143"/>
              <w:rPr>
                <w:color w:val="000000" w:themeColor="text1"/>
                <w14:textFill>
                  <w14:solidFill>
                    <w14:schemeClr w14:val="tx1"/>
                  </w14:solidFill>
                </w14:textFill>
              </w:rPr>
            </w:pPr>
          </w:p>
        </w:tc>
      </w:tr>
      <w:tr w14:paraId="7FC94C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3" w:hRule="atLeast"/>
          <w:jc w:val="center"/>
        </w:trPr>
        <w:tc>
          <w:tcPr>
            <w:tcW w:w="1105" w:type="pct"/>
            <w:vAlign w:val="center"/>
          </w:tcPr>
          <w:p w14:paraId="3979F290">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厂界</w:t>
            </w:r>
            <w:r>
              <w:rPr>
                <w:rFonts w:hint="eastAsia"/>
                <w:color w:val="000000" w:themeColor="text1"/>
                <w:lang w:eastAsia="zh-CN"/>
                <w14:textFill>
                  <w14:solidFill>
                    <w14:schemeClr w14:val="tx1"/>
                  </w14:solidFill>
                </w14:textFill>
              </w:rPr>
              <w:t>西侧</w:t>
            </w:r>
          </w:p>
        </w:tc>
        <w:tc>
          <w:tcPr>
            <w:tcW w:w="1556" w:type="pct"/>
            <w:vAlign w:val="center"/>
          </w:tcPr>
          <w:p w14:paraId="165B3FA7">
            <w:pPr>
              <w:pStyle w:val="143"/>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43.21</w:t>
            </w:r>
          </w:p>
        </w:tc>
        <w:tc>
          <w:tcPr>
            <w:tcW w:w="1169" w:type="pct"/>
            <w:vAlign w:val="center"/>
          </w:tcPr>
          <w:p w14:paraId="2C4880D6">
            <w:pPr>
              <w:pStyle w:val="143"/>
              <w:ind w:firstLine="0" w:firstLineChars="0"/>
              <w:rPr>
                <w:b w:val="0"/>
                <w:bCs w:val="0"/>
                <w:color w:val="000000" w:themeColor="text1"/>
                <w14:textFill>
                  <w14:solidFill>
                    <w14:schemeClr w14:val="tx1"/>
                  </w14:solidFill>
                </w14:textFill>
              </w:rPr>
            </w:pPr>
            <w:r>
              <w:rPr>
                <w:rFonts w:hint="eastAsia"/>
                <w:b w:val="0"/>
                <w:bCs w:val="0"/>
                <w:color w:val="000000" w:themeColor="text1"/>
                <w:lang w:eastAsia="zh-CN"/>
                <w14:textFill>
                  <w14:solidFill>
                    <w14:schemeClr w14:val="tx1"/>
                  </w14:solidFill>
                </w14:textFill>
              </w:rPr>
              <w:t>43.21</w:t>
            </w:r>
          </w:p>
        </w:tc>
        <w:tc>
          <w:tcPr>
            <w:tcW w:w="1168" w:type="pct"/>
            <w:vAlign w:val="center"/>
          </w:tcPr>
          <w:p w14:paraId="2493BB9B">
            <w:pPr>
              <w:pStyle w:val="143"/>
              <w:rPr>
                <w:color w:val="000000" w:themeColor="text1"/>
                <w14:textFill>
                  <w14:solidFill>
                    <w14:schemeClr w14:val="tx1"/>
                  </w14:solidFill>
                </w14:textFill>
              </w:rPr>
            </w:pPr>
            <w:r>
              <w:rPr>
                <w:color w:val="000000" w:themeColor="text1"/>
                <w14:textFill>
                  <w14:solidFill>
                    <w14:schemeClr w14:val="tx1"/>
                  </w14:solidFill>
                </w14:textFill>
              </w:rPr>
              <w:t>昼间</w:t>
            </w:r>
            <w:r>
              <w:rPr>
                <w:rFonts w:hint="eastAsia"/>
                <w:color w:val="000000" w:themeColor="text1"/>
                <w:lang w:val="en-US" w:eastAsia="zh-CN"/>
                <w14:textFill>
                  <w14:solidFill>
                    <w14:schemeClr w14:val="tx1"/>
                  </w14:solidFill>
                </w14:textFill>
              </w:rPr>
              <w:t>70</w:t>
            </w:r>
            <w:r>
              <w:rPr>
                <w:color w:val="000000" w:themeColor="text1"/>
                <w14:textFill>
                  <w14:solidFill>
                    <w14:schemeClr w14:val="tx1"/>
                  </w14:solidFill>
                </w14:textFill>
              </w:rPr>
              <w:t>dB(A)</w:t>
            </w:r>
          </w:p>
          <w:p w14:paraId="3937D4D8">
            <w:pPr>
              <w:pStyle w:val="143"/>
              <w:rPr>
                <w:color w:val="000000" w:themeColor="text1"/>
                <w14:textFill>
                  <w14:solidFill>
                    <w14:schemeClr w14:val="tx1"/>
                  </w14:solidFill>
                </w14:textFill>
              </w:rPr>
            </w:pPr>
            <w:r>
              <w:rPr>
                <w:color w:val="000000" w:themeColor="text1"/>
                <w:lang w:val="en-US"/>
                <w14:textFill>
                  <w14:solidFill>
                    <w14:schemeClr w14:val="tx1"/>
                  </w14:solidFill>
                </w14:textFill>
              </w:rPr>
              <w:t>夜间55dB(A)</w:t>
            </w:r>
          </w:p>
        </w:tc>
      </w:tr>
      <w:tr w14:paraId="29664B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105" w:type="pct"/>
            <w:vAlign w:val="center"/>
          </w:tcPr>
          <w:p w14:paraId="687EFA0E">
            <w:pPr>
              <w:pStyle w:val="143"/>
              <w:rPr>
                <w:color w:val="000000" w:themeColor="text1"/>
                <w14:textFill>
                  <w14:solidFill>
                    <w14:schemeClr w14:val="tx1"/>
                  </w14:solidFill>
                </w14:textFill>
              </w:rPr>
            </w:pPr>
            <w:r>
              <w:rPr>
                <w:rFonts w:hint="eastAsia"/>
                <w:color w:val="000000" w:themeColor="text1"/>
                <w14:textFill>
                  <w14:solidFill>
                    <w14:schemeClr w14:val="tx1"/>
                  </w14:solidFill>
                </w14:textFill>
              </w:rPr>
              <w:t>厂界</w:t>
            </w:r>
            <w:r>
              <w:rPr>
                <w:rFonts w:hint="eastAsia"/>
                <w:color w:val="000000" w:themeColor="text1"/>
                <w:lang w:eastAsia="zh-CN"/>
                <w14:textFill>
                  <w14:solidFill>
                    <w14:schemeClr w14:val="tx1"/>
                  </w14:solidFill>
                </w14:textFill>
              </w:rPr>
              <w:t>北侧</w:t>
            </w:r>
          </w:p>
        </w:tc>
        <w:tc>
          <w:tcPr>
            <w:tcW w:w="1556" w:type="pct"/>
            <w:vAlign w:val="center"/>
          </w:tcPr>
          <w:p w14:paraId="6A4BDDF3">
            <w:pPr>
              <w:pStyle w:val="143"/>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47.00</w:t>
            </w:r>
          </w:p>
        </w:tc>
        <w:tc>
          <w:tcPr>
            <w:tcW w:w="1169" w:type="pct"/>
            <w:vAlign w:val="center"/>
          </w:tcPr>
          <w:p w14:paraId="6F6CF430">
            <w:pPr>
              <w:pStyle w:val="143"/>
              <w:ind w:firstLine="0" w:firstLineChars="0"/>
              <w:rPr>
                <w:b w:val="0"/>
                <w:bCs w:val="0"/>
                <w:color w:val="000000" w:themeColor="text1"/>
                <w14:textFill>
                  <w14:solidFill>
                    <w14:schemeClr w14:val="tx1"/>
                  </w14:solidFill>
                </w14:textFill>
              </w:rPr>
            </w:pPr>
            <w:r>
              <w:rPr>
                <w:rFonts w:hint="eastAsia"/>
                <w:b w:val="0"/>
                <w:bCs w:val="0"/>
                <w:color w:val="000000" w:themeColor="text1"/>
                <w:lang w:eastAsia="zh-CN"/>
                <w14:textFill>
                  <w14:solidFill>
                    <w14:schemeClr w14:val="tx1"/>
                  </w14:solidFill>
                </w14:textFill>
              </w:rPr>
              <w:t>47.00</w:t>
            </w:r>
          </w:p>
        </w:tc>
        <w:tc>
          <w:tcPr>
            <w:tcW w:w="1168" w:type="pct"/>
            <w:vAlign w:val="center"/>
          </w:tcPr>
          <w:p w14:paraId="4A85EBC2">
            <w:pPr>
              <w:pStyle w:val="143"/>
              <w:rPr>
                <w:color w:val="000000" w:themeColor="text1"/>
                <w14:textFill>
                  <w14:solidFill>
                    <w14:schemeClr w14:val="tx1"/>
                  </w14:solidFill>
                </w14:textFill>
              </w:rPr>
            </w:pPr>
            <w:r>
              <w:rPr>
                <w:color w:val="000000" w:themeColor="text1"/>
                <w14:textFill>
                  <w14:solidFill>
                    <w14:schemeClr w14:val="tx1"/>
                  </w14:solidFill>
                </w14:textFill>
              </w:rPr>
              <w:t>昼间65dB(A)</w:t>
            </w:r>
          </w:p>
          <w:p w14:paraId="20E50A8A">
            <w:pPr>
              <w:pStyle w:val="143"/>
              <w:rPr>
                <w:color w:val="000000" w:themeColor="text1"/>
                <w14:textFill>
                  <w14:solidFill>
                    <w14:schemeClr w14:val="tx1"/>
                  </w14:solidFill>
                </w14:textFill>
              </w:rPr>
            </w:pPr>
            <w:r>
              <w:rPr>
                <w:color w:val="000000" w:themeColor="text1"/>
                <w:lang w:val="en-US"/>
                <w14:textFill>
                  <w14:solidFill>
                    <w14:schemeClr w14:val="tx1"/>
                  </w14:solidFill>
                </w14:textFill>
              </w:rPr>
              <w:t>夜间55dB(A)</w:t>
            </w:r>
          </w:p>
        </w:tc>
      </w:tr>
    </w:tbl>
    <w:p w14:paraId="29EE19C4">
      <w:pPr>
        <w:pStyle w:val="206"/>
        <w:rPr>
          <w:color w:val="000000" w:themeColor="text1"/>
          <w14:textFill>
            <w14:solidFill>
              <w14:schemeClr w14:val="tx1"/>
            </w14:solidFill>
          </w14:textFill>
        </w:rPr>
      </w:pPr>
      <w:bookmarkStart w:id="270" w:name="_Toc487803132"/>
      <w:bookmarkStart w:id="271" w:name="_Toc354132371"/>
      <w:bookmarkStart w:id="272" w:name="_Toc402165347"/>
    </w:p>
    <w:p w14:paraId="654B68BE">
      <w:pPr>
        <w:pStyle w:val="206"/>
        <w:rPr>
          <w:color w:val="000000" w:themeColor="text1"/>
          <w:szCs w:val="20"/>
          <w:lang w:eastAsia="zh-CN"/>
          <w14:textFill>
            <w14:solidFill>
              <w14:schemeClr w14:val="tx1"/>
            </w14:solidFill>
          </w14:textFill>
        </w:rPr>
      </w:pPr>
      <w:r>
        <w:rPr>
          <w:color w:val="000000" w:themeColor="text1"/>
          <w14:textFill>
            <w14:solidFill>
              <w14:schemeClr w14:val="tx1"/>
            </w14:solidFill>
          </w14:textFill>
        </w:rPr>
        <w:t>表5-2-1</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敏感点</w:t>
      </w:r>
      <w:r>
        <w:rPr>
          <w:color w:val="000000" w:themeColor="text1"/>
          <w14:textFill>
            <w14:solidFill>
              <w14:schemeClr w14:val="tx1"/>
            </w14:solidFill>
          </w14:textFill>
        </w:rPr>
        <w:t>噪声预测值一览表</w:t>
      </w:r>
    </w:p>
    <w:tbl>
      <w:tblPr>
        <w:tblStyle w:val="49"/>
        <w:tblW w:w="4995"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312"/>
        <w:gridCol w:w="738"/>
        <w:gridCol w:w="712"/>
        <w:gridCol w:w="736"/>
        <w:gridCol w:w="752"/>
        <w:gridCol w:w="787"/>
        <w:gridCol w:w="849"/>
        <w:gridCol w:w="789"/>
        <w:gridCol w:w="637"/>
        <w:gridCol w:w="688"/>
        <w:gridCol w:w="662"/>
        <w:gridCol w:w="642"/>
      </w:tblGrid>
      <w:tr w14:paraId="1A2145E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18" w:hRule="atLeast"/>
          <w:jc w:val="center"/>
        </w:trPr>
        <w:tc>
          <w:tcPr>
            <w:tcW w:w="187" w:type="pct"/>
            <w:vMerge w:val="restart"/>
            <w:noWrap w:val="0"/>
            <w:vAlign w:val="center"/>
          </w:tcPr>
          <w:p w14:paraId="5D2238D2">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序号</w:t>
            </w:r>
          </w:p>
        </w:tc>
        <w:tc>
          <w:tcPr>
            <w:tcW w:w="444" w:type="pct"/>
            <w:vMerge w:val="restart"/>
            <w:noWrap w:val="0"/>
            <w:vAlign w:val="center"/>
          </w:tcPr>
          <w:p w14:paraId="10831FFF">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名称</w:t>
            </w:r>
          </w:p>
        </w:tc>
        <w:tc>
          <w:tcPr>
            <w:tcW w:w="871" w:type="pct"/>
            <w:gridSpan w:val="2"/>
            <w:noWrap w:val="0"/>
            <w:vAlign w:val="center"/>
          </w:tcPr>
          <w:p w14:paraId="500DF24F">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贡献值</w:t>
            </w:r>
          </w:p>
        </w:tc>
        <w:tc>
          <w:tcPr>
            <w:tcW w:w="926" w:type="pct"/>
            <w:gridSpan w:val="2"/>
            <w:noWrap w:val="0"/>
            <w:vAlign w:val="center"/>
          </w:tcPr>
          <w:p w14:paraId="56ADBD03">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背景值</w:t>
            </w:r>
          </w:p>
        </w:tc>
        <w:tc>
          <w:tcPr>
            <w:tcW w:w="986" w:type="pct"/>
            <w:gridSpan w:val="2"/>
            <w:shd w:val="clear" w:color="auto" w:fill="auto"/>
            <w:noWrap w:val="0"/>
            <w:vAlign w:val="center"/>
          </w:tcPr>
          <w:p w14:paraId="3EA63B82">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预测值</w:t>
            </w:r>
          </w:p>
        </w:tc>
        <w:tc>
          <w:tcPr>
            <w:tcW w:w="797" w:type="pct"/>
            <w:gridSpan w:val="2"/>
            <w:shd w:val="clear" w:color="auto" w:fill="auto"/>
            <w:noWrap w:val="0"/>
            <w:vAlign w:val="center"/>
          </w:tcPr>
          <w:p w14:paraId="41234B73">
            <w:pPr>
              <w:pStyle w:val="143"/>
              <w:rPr>
                <w:rFonts w:hint="default" w:ascii="Times New Roman" w:hAnsi="Times New Roman" w:eastAsia="宋体"/>
                <w:color w:val="000000" w:themeColor="text1"/>
                <w:lang w:eastAsia="zh-CN"/>
                <w14:textFill>
                  <w14:solidFill>
                    <w14:schemeClr w14:val="tx1"/>
                  </w14:solidFill>
                </w14:textFill>
              </w:rPr>
            </w:pPr>
            <w:r>
              <w:rPr>
                <w:rFonts w:hint="default" w:ascii="Times New Roman" w:hAnsi="Times New Roman" w:eastAsia="宋体"/>
                <w:color w:val="000000" w:themeColor="text1"/>
                <w:lang w:eastAsia="zh-CN"/>
                <w14:textFill>
                  <w14:solidFill>
                    <w14:schemeClr w14:val="tx1"/>
                  </w14:solidFill>
                </w14:textFill>
              </w:rPr>
              <w:t>标准值</w:t>
            </w:r>
          </w:p>
        </w:tc>
        <w:tc>
          <w:tcPr>
            <w:tcW w:w="785" w:type="pct"/>
            <w:gridSpan w:val="2"/>
            <w:noWrap w:val="0"/>
            <w:vAlign w:val="center"/>
          </w:tcPr>
          <w:p w14:paraId="65287F87">
            <w:pPr>
              <w:pStyle w:val="143"/>
              <w:rPr>
                <w:rFonts w:hint="default" w:ascii="Times New Roman" w:hAnsi="Times New Roman" w:eastAsia="宋体"/>
                <w:color w:val="000000" w:themeColor="text1"/>
                <w:lang w:eastAsia="zh-CN"/>
                <w14:textFill>
                  <w14:solidFill>
                    <w14:schemeClr w14:val="tx1"/>
                  </w14:solidFill>
                </w14:textFill>
              </w:rPr>
            </w:pPr>
            <w:r>
              <w:rPr>
                <w:rFonts w:hint="default" w:ascii="Times New Roman" w:hAnsi="Times New Roman" w:eastAsia="宋体"/>
                <w:color w:val="000000" w:themeColor="text1"/>
                <w:lang w:eastAsia="zh-CN"/>
                <w14:textFill>
                  <w14:solidFill>
                    <w14:schemeClr w14:val="tx1"/>
                  </w14:solidFill>
                </w14:textFill>
              </w:rPr>
              <w:t>超标和达标情况</w:t>
            </w:r>
          </w:p>
        </w:tc>
      </w:tr>
      <w:tr w14:paraId="2A2BA2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187" w:type="pct"/>
            <w:vMerge w:val="continue"/>
            <w:noWrap w:val="0"/>
            <w:vAlign w:val="center"/>
          </w:tcPr>
          <w:p w14:paraId="4F70AE5B">
            <w:pPr>
              <w:pStyle w:val="143"/>
              <w:rPr>
                <w:rFonts w:hint="default" w:ascii="Times New Roman" w:hAnsi="Times New Roman" w:eastAsia="宋体"/>
                <w:color w:val="000000" w:themeColor="text1"/>
                <w:lang w:val="en-US" w:eastAsia="zh-CN"/>
                <w14:textFill>
                  <w14:solidFill>
                    <w14:schemeClr w14:val="tx1"/>
                  </w14:solidFill>
                </w14:textFill>
              </w:rPr>
            </w:pPr>
          </w:p>
        </w:tc>
        <w:tc>
          <w:tcPr>
            <w:tcW w:w="444" w:type="pct"/>
            <w:vMerge w:val="continue"/>
            <w:noWrap w:val="0"/>
            <w:vAlign w:val="center"/>
          </w:tcPr>
          <w:p w14:paraId="7E80308C">
            <w:pPr>
              <w:pStyle w:val="143"/>
              <w:rPr>
                <w:rFonts w:hint="default" w:ascii="Times New Roman" w:hAnsi="Times New Roman" w:eastAsia="宋体"/>
                <w:color w:val="000000" w:themeColor="text1"/>
                <w:lang w:val="en-US" w:eastAsia="zh-CN"/>
                <w14:textFill>
                  <w14:solidFill>
                    <w14:schemeClr w14:val="tx1"/>
                  </w14:solidFill>
                </w14:textFill>
              </w:rPr>
            </w:pPr>
          </w:p>
        </w:tc>
        <w:tc>
          <w:tcPr>
            <w:tcW w:w="428" w:type="pct"/>
            <w:noWrap w:val="0"/>
            <w:vAlign w:val="center"/>
          </w:tcPr>
          <w:p w14:paraId="7A878085">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昼间</w:t>
            </w:r>
          </w:p>
        </w:tc>
        <w:tc>
          <w:tcPr>
            <w:tcW w:w="443" w:type="pct"/>
            <w:noWrap w:val="0"/>
            <w:vAlign w:val="center"/>
          </w:tcPr>
          <w:p w14:paraId="38C61886">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夜间</w:t>
            </w:r>
          </w:p>
        </w:tc>
        <w:tc>
          <w:tcPr>
            <w:tcW w:w="452" w:type="pct"/>
            <w:noWrap w:val="0"/>
            <w:vAlign w:val="center"/>
          </w:tcPr>
          <w:p w14:paraId="38204D9E">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昼间</w:t>
            </w:r>
          </w:p>
        </w:tc>
        <w:tc>
          <w:tcPr>
            <w:tcW w:w="473" w:type="pct"/>
            <w:noWrap w:val="0"/>
            <w:vAlign w:val="center"/>
          </w:tcPr>
          <w:p w14:paraId="79FA384A">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夜间</w:t>
            </w:r>
          </w:p>
        </w:tc>
        <w:tc>
          <w:tcPr>
            <w:tcW w:w="511" w:type="pct"/>
            <w:noWrap w:val="0"/>
            <w:vAlign w:val="center"/>
          </w:tcPr>
          <w:p w14:paraId="0D6EF08B">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昼间</w:t>
            </w:r>
          </w:p>
        </w:tc>
        <w:tc>
          <w:tcPr>
            <w:tcW w:w="475" w:type="pct"/>
            <w:noWrap w:val="0"/>
            <w:vAlign w:val="center"/>
          </w:tcPr>
          <w:p w14:paraId="14CE8649">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夜间</w:t>
            </w:r>
          </w:p>
        </w:tc>
        <w:tc>
          <w:tcPr>
            <w:tcW w:w="383" w:type="pct"/>
            <w:noWrap w:val="0"/>
            <w:vAlign w:val="center"/>
          </w:tcPr>
          <w:p w14:paraId="225541C6">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昼间</w:t>
            </w:r>
          </w:p>
        </w:tc>
        <w:tc>
          <w:tcPr>
            <w:tcW w:w="414" w:type="pct"/>
            <w:noWrap w:val="0"/>
            <w:vAlign w:val="center"/>
          </w:tcPr>
          <w:p w14:paraId="596B7584">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夜间</w:t>
            </w:r>
          </w:p>
        </w:tc>
        <w:tc>
          <w:tcPr>
            <w:tcW w:w="398" w:type="pct"/>
            <w:noWrap w:val="0"/>
            <w:vAlign w:val="center"/>
          </w:tcPr>
          <w:p w14:paraId="425DB086">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eastAsia="zh-CN"/>
                <w14:textFill>
                  <w14:solidFill>
                    <w14:schemeClr w14:val="tx1"/>
                  </w14:solidFill>
                </w14:textFill>
              </w:rPr>
              <w:t>昼间</w:t>
            </w:r>
          </w:p>
        </w:tc>
        <w:tc>
          <w:tcPr>
            <w:tcW w:w="386" w:type="pct"/>
            <w:noWrap w:val="0"/>
            <w:vAlign w:val="center"/>
          </w:tcPr>
          <w:p w14:paraId="23BA60CD">
            <w:pPr>
              <w:pStyle w:val="143"/>
              <w:rPr>
                <w:rFonts w:hint="default" w:ascii="Times New Roman" w:hAnsi="Times New Roman" w:eastAsia="宋体"/>
                <w:color w:val="000000" w:themeColor="text1"/>
                <w:lang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夜间</w:t>
            </w:r>
          </w:p>
        </w:tc>
      </w:tr>
      <w:tr w14:paraId="100073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187" w:type="pct"/>
            <w:noWrap w:val="0"/>
            <w:vAlign w:val="center"/>
          </w:tcPr>
          <w:p w14:paraId="6A3A3236">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1</w:t>
            </w:r>
          </w:p>
        </w:tc>
        <w:tc>
          <w:tcPr>
            <w:tcW w:w="444" w:type="pct"/>
            <w:noWrap w:val="0"/>
            <w:vAlign w:val="top"/>
          </w:tcPr>
          <w:p w14:paraId="269B5F54">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eastAsia="zh-CN"/>
                <w14:textFill>
                  <w14:solidFill>
                    <w14:schemeClr w14:val="tx1"/>
                  </w14:solidFill>
                </w14:textFill>
              </w:rPr>
              <w:t>隆胜村小四队屯</w:t>
            </w:r>
          </w:p>
        </w:tc>
        <w:tc>
          <w:tcPr>
            <w:tcW w:w="428" w:type="pct"/>
            <w:noWrap w:val="0"/>
            <w:vAlign w:val="center"/>
          </w:tcPr>
          <w:p w14:paraId="2515E439">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39.76</w:t>
            </w:r>
          </w:p>
        </w:tc>
        <w:tc>
          <w:tcPr>
            <w:tcW w:w="443" w:type="pct"/>
            <w:noWrap w:val="0"/>
            <w:vAlign w:val="center"/>
          </w:tcPr>
          <w:p w14:paraId="5AB396BD">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39.76</w:t>
            </w:r>
          </w:p>
        </w:tc>
        <w:tc>
          <w:tcPr>
            <w:tcW w:w="452" w:type="pct"/>
            <w:noWrap w:val="0"/>
            <w:vAlign w:val="center"/>
          </w:tcPr>
          <w:p w14:paraId="304D1951">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47.5</w:t>
            </w:r>
          </w:p>
        </w:tc>
        <w:tc>
          <w:tcPr>
            <w:tcW w:w="473" w:type="pct"/>
            <w:noWrap w:val="0"/>
            <w:vAlign w:val="center"/>
          </w:tcPr>
          <w:p w14:paraId="1F81513A">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46.4</w:t>
            </w:r>
          </w:p>
        </w:tc>
        <w:tc>
          <w:tcPr>
            <w:tcW w:w="511" w:type="pct"/>
            <w:noWrap w:val="0"/>
            <w:vAlign w:val="center"/>
          </w:tcPr>
          <w:p w14:paraId="351AA34E">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48.18</w:t>
            </w:r>
          </w:p>
        </w:tc>
        <w:tc>
          <w:tcPr>
            <w:tcW w:w="475" w:type="pct"/>
            <w:noWrap w:val="0"/>
            <w:vAlign w:val="center"/>
          </w:tcPr>
          <w:p w14:paraId="44D0D1E7">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47.25</w:t>
            </w:r>
          </w:p>
        </w:tc>
        <w:tc>
          <w:tcPr>
            <w:tcW w:w="383" w:type="pct"/>
            <w:noWrap w:val="0"/>
            <w:vAlign w:val="center"/>
          </w:tcPr>
          <w:p w14:paraId="65AAC81D">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60</w:t>
            </w:r>
          </w:p>
        </w:tc>
        <w:tc>
          <w:tcPr>
            <w:tcW w:w="414" w:type="pct"/>
            <w:noWrap w:val="0"/>
            <w:vAlign w:val="center"/>
          </w:tcPr>
          <w:p w14:paraId="434A651F">
            <w:pPr>
              <w:pStyle w:val="143"/>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50</w:t>
            </w:r>
          </w:p>
        </w:tc>
        <w:tc>
          <w:tcPr>
            <w:tcW w:w="398" w:type="pct"/>
            <w:noWrap w:val="0"/>
            <w:vAlign w:val="center"/>
          </w:tcPr>
          <w:p w14:paraId="51C82AAD">
            <w:pPr>
              <w:pStyle w:val="143"/>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eastAsia="zh-CN"/>
                <w14:textFill>
                  <w14:solidFill>
                    <w14:schemeClr w14:val="tx1"/>
                  </w14:solidFill>
                </w14:textFill>
              </w:rPr>
              <w:t>达标</w:t>
            </w:r>
          </w:p>
        </w:tc>
        <w:tc>
          <w:tcPr>
            <w:tcW w:w="386" w:type="pct"/>
            <w:noWrap w:val="0"/>
            <w:vAlign w:val="center"/>
          </w:tcPr>
          <w:p w14:paraId="0ACB0945">
            <w:pPr>
              <w:pStyle w:val="143"/>
              <w:rPr>
                <w:rFonts w:hint="default" w:ascii="Times New Roman" w:hAnsi="Times New Roman" w:eastAsia="宋体"/>
                <w:color w:val="000000" w:themeColor="text1"/>
                <w:lang w:eastAsia="zh-CN"/>
                <w14:textFill>
                  <w14:solidFill>
                    <w14:schemeClr w14:val="tx1"/>
                  </w14:solidFill>
                </w14:textFill>
              </w:rPr>
            </w:pPr>
            <w:r>
              <w:rPr>
                <w:rFonts w:hint="default" w:ascii="Times New Roman" w:hAnsi="Times New Roman" w:eastAsia="宋体"/>
                <w:color w:val="000000" w:themeColor="text1"/>
                <w:lang w:eastAsia="zh-CN"/>
                <w14:textFill>
                  <w14:solidFill>
                    <w14:schemeClr w14:val="tx1"/>
                  </w14:solidFill>
                </w14:textFill>
              </w:rPr>
              <w:t>达标</w:t>
            </w:r>
          </w:p>
        </w:tc>
      </w:tr>
    </w:tbl>
    <w:p w14:paraId="3EABBF4C">
      <w:pPr>
        <w:pStyle w:val="206"/>
        <w:jc w:val="both"/>
        <w:rPr>
          <w:color w:val="000000" w:themeColor="text1"/>
          <w14:textFill>
            <w14:solidFill>
              <w14:schemeClr w14:val="tx1"/>
            </w14:solidFill>
          </w14:textFill>
        </w:rPr>
      </w:pPr>
    </w:p>
    <w:p w14:paraId="103E72FA">
      <w:pPr>
        <w:pStyle w:val="206"/>
        <w:jc w:val="both"/>
        <w:rPr>
          <w:color w:val="000000" w:themeColor="text1"/>
          <w14:textFill>
            <w14:solidFill>
              <w14:schemeClr w14:val="tx1"/>
            </w14:solidFill>
          </w14:textFill>
        </w:rPr>
      </w:pPr>
      <w:r>
        <w:drawing>
          <wp:inline distT="0" distB="0" distL="114300" distR="114300">
            <wp:extent cx="5274945" cy="2991485"/>
            <wp:effectExtent l="9525" t="9525" r="11430" b="27940"/>
            <wp:docPr id="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6"/>
                    <pic:cNvPicPr>
                      <a:picLocks noChangeAspect="1"/>
                    </pic:cNvPicPr>
                  </pic:nvPicPr>
                  <pic:blipFill>
                    <a:blip r:embed="rId124"/>
                    <a:stretch>
                      <a:fillRect/>
                    </a:stretch>
                  </pic:blipFill>
                  <pic:spPr>
                    <a:xfrm>
                      <a:off x="0" y="0"/>
                      <a:ext cx="5274945" cy="2991485"/>
                    </a:xfrm>
                    <a:prstGeom prst="rect">
                      <a:avLst/>
                    </a:prstGeom>
                    <a:noFill/>
                    <a:ln>
                      <a:solidFill>
                        <a:schemeClr val="tx1"/>
                      </a:solidFill>
                    </a:ln>
                  </pic:spPr>
                </pic:pic>
              </a:graphicData>
            </a:graphic>
          </wp:inline>
        </w:drawing>
      </w:r>
    </w:p>
    <w:p w14:paraId="17E03D94">
      <w:pPr>
        <w:pStyle w:val="206"/>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图5</w:t>
      </w:r>
      <w:r>
        <w:rPr>
          <w:color w:val="000000" w:themeColor="text1"/>
          <w:lang w:eastAsia="zh-CN"/>
          <w14:textFill>
            <w14:solidFill>
              <w14:schemeClr w14:val="tx1"/>
            </w14:solidFill>
          </w14:textFill>
        </w:rPr>
        <w:t>-2-</w:t>
      </w:r>
      <w:r>
        <w:rPr>
          <w:rFonts w:hint="eastAsia"/>
          <w:color w:val="000000" w:themeColor="text1"/>
          <w:lang w:val="en-US" w:eastAsia="zh-CN"/>
          <w14:textFill>
            <w14:solidFill>
              <w14:schemeClr w14:val="tx1"/>
            </w14:solidFill>
          </w14:textFill>
        </w:rPr>
        <w:t>7</w:t>
      </w:r>
      <w:r>
        <w:rPr>
          <w:color w:val="000000" w:themeColor="text1"/>
          <w:lang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噪声预测等值线图</w:t>
      </w:r>
    </w:p>
    <w:p w14:paraId="2969D418">
      <w:pPr>
        <w:pStyle w:val="7"/>
        <w:rPr>
          <w:color w:val="000000" w:themeColor="text1"/>
          <w:lang w:eastAsia="zh-CN"/>
          <w14:textFill>
            <w14:solidFill>
              <w14:schemeClr w14:val="tx1"/>
            </w14:solidFill>
          </w14:textFill>
        </w:rPr>
      </w:pPr>
      <w:r>
        <w:rPr>
          <w:color w:val="000000" w:themeColor="text1"/>
          <w14:textFill>
            <w14:solidFill>
              <w14:schemeClr w14:val="tx1"/>
            </w14:solidFill>
          </w14:textFill>
        </w:rPr>
        <w:t>5.2.4.4声环境影响评价结论</w:t>
      </w:r>
      <w:bookmarkEnd w:id="270"/>
      <w:bookmarkEnd w:id="271"/>
      <w:bookmarkEnd w:id="272"/>
    </w:p>
    <w:p w14:paraId="5BFA6E3D">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由表5-2-11可知，</w:t>
      </w:r>
      <w:r>
        <w:rPr>
          <w:rFonts w:hint="eastAsia"/>
          <w:color w:val="000000" w:themeColor="text1"/>
          <w14:textFill>
            <w14:solidFill>
              <w14:schemeClr w14:val="tx1"/>
            </w14:solidFill>
          </w14:textFill>
        </w:rPr>
        <w:t>运营期昼间</w:t>
      </w:r>
      <w:r>
        <w:rPr>
          <w:rFonts w:hint="eastAsia"/>
          <w:color w:val="000000" w:themeColor="text1"/>
          <w:lang w:val="en-US" w:eastAsia="zh-CN"/>
          <w14:textFill>
            <w14:solidFill>
              <w14:schemeClr w14:val="tx1"/>
            </w14:solidFill>
          </w14:textFill>
        </w:rPr>
        <w:t>及夜间</w:t>
      </w:r>
      <w:r>
        <w:rPr>
          <w:rFonts w:hint="eastAsia"/>
          <w:color w:val="000000" w:themeColor="text1"/>
          <w14:textFill>
            <w14:solidFill>
              <w14:schemeClr w14:val="tx1"/>
            </w14:solidFill>
          </w14:textFill>
        </w:rPr>
        <w:t>厂界</w:t>
      </w:r>
      <w:r>
        <w:rPr>
          <w:color w:val="000000" w:themeColor="text1"/>
          <w14:textFill>
            <w14:solidFill>
              <w14:schemeClr w14:val="tx1"/>
            </w14:solidFill>
          </w14:textFill>
        </w:rPr>
        <w:t>噪声贡献值在4</w:t>
      </w:r>
      <w:r>
        <w:rPr>
          <w:rFonts w:hint="eastAsia"/>
          <w:color w:val="000000" w:themeColor="text1"/>
          <w:lang w:val="en-US" w:eastAsia="zh-CN"/>
          <w14:textFill>
            <w14:solidFill>
              <w14:schemeClr w14:val="tx1"/>
            </w14:solidFill>
          </w14:textFill>
        </w:rPr>
        <w:t>3.21</w:t>
      </w:r>
      <w:r>
        <w:rPr>
          <w:color w:val="000000" w:themeColor="text1"/>
          <w14:textFill>
            <w14:solidFill>
              <w14:schemeClr w14:val="tx1"/>
            </w14:solidFill>
          </w14:textFill>
        </w:rPr>
        <w:t>dB(A)~</w:t>
      </w:r>
      <w:r>
        <w:rPr>
          <w:rFonts w:hint="eastAsia"/>
          <w:color w:val="000000" w:themeColor="text1"/>
          <w:lang w:val="en-US" w:eastAsia="zh-CN"/>
          <w14:textFill>
            <w14:solidFill>
              <w14:schemeClr w14:val="tx1"/>
            </w14:solidFill>
          </w14:textFill>
        </w:rPr>
        <w:t>51.51</w:t>
      </w:r>
      <w:r>
        <w:rPr>
          <w:color w:val="000000" w:themeColor="text1"/>
          <w14:textFill>
            <w14:solidFill>
              <w14:schemeClr w14:val="tx1"/>
            </w14:solidFill>
          </w14:textFill>
        </w:rPr>
        <w:t>dB(A)之间。</w:t>
      </w:r>
      <w:r>
        <w:rPr>
          <w:rFonts w:hint="eastAsia"/>
          <w:snapToGrid w:val="0"/>
          <w:color w:val="000000" w:themeColor="text1"/>
          <w:kern w:val="0"/>
          <w14:textFill>
            <w14:solidFill>
              <w14:schemeClr w14:val="tx1"/>
            </w14:solidFill>
          </w14:textFill>
        </w:rPr>
        <w:t>本项目厂区</w:t>
      </w:r>
      <w:r>
        <w:rPr>
          <w:snapToGrid w:val="0"/>
          <w:color w:val="000000" w:themeColor="text1"/>
          <w:kern w:val="0"/>
          <w14:textFill>
            <w14:solidFill>
              <w14:schemeClr w14:val="tx1"/>
            </w14:solidFill>
          </w14:textFill>
        </w:rPr>
        <w:t>规划合理，</w:t>
      </w:r>
      <w:r>
        <w:rPr>
          <w:rFonts w:hint="eastAsia"/>
          <w:snapToGrid w:val="0"/>
          <w:color w:val="000000" w:themeColor="text1"/>
          <w:kern w:val="2"/>
          <w14:textFill>
            <w14:solidFill>
              <w14:schemeClr w14:val="tx1"/>
            </w14:solidFill>
          </w14:textFill>
        </w:rPr>
        <w:t>选用低噪声设备、基础减振、</w:t>
      </w:r>
      <w:r>
        <w:rPr>
          <w:rFonts w:hint="eastAsia"/>
          <w:snapToGrid w:val="0"/>
          <w:color w:val="000000" w:themeColor="text1"/>
          <w:kern w:val="2"/>
          <w:lang w:val="en-US" w:eastAsia="zh-CN"/>
          <w14:textFill>
            <w14:solidFill>
              <w14:schemeClr w14:val="tx1"/>
            </w14:solidFill>
          </w14:textFill>
        </w:rPr>
        <w:t>水泵及风机设置隔声罩、</w:t>
      </w:r>
      <w:r>
        <w:rPr>
          <w:rFonts w:hint="eastAsia"/>
          <w:snapToGrid w:val="0"/>
          <w:color w:val="000000" w:themeColor="text1"/>
          <w:kern w:val="2"/>
          <w14:textFill>
            <w14:solidFill>
              <w14:schemeClr w14:val="tx1"/>
            </w14:solidFill>
          </w14:textFill>
        </w:rPr>
        <w:t>加强厂区绿化</w:t>
      </w:r>
      <w:r>
        <w:rPr>
          <w:rFonts w:hint="eastAsia"/>
          <w:snapToGrid w:val="0"/>
          <w:color w:val="000000" w:themeColor="text1"/>
          <w:kern w:val="0"/>
          <w14:textFill>
            <w14:solidFill>
              <w14:schemeClr w14:val="tx1"/>
            </w14:solidFill>
          </w14:textFill>
        </w:rPr>
        <w:t>，厂区内车辆低速行驶等措施</w:t>
      </w:r>
      <w:r>
        <w:rPr>
          <w:snapToGrid w:val="0"/>
          <w:color w:val="000000" w:themeColor="text1"/>
          <w:kern w:val="0"/>
          <w14:textFill>
            <w14:solidFill>
              <w14:schemeClr w14:val="tx1"/>
            </w14:solidFill>
          </w14:textFill>
        </w:rPr>
        <w:t>。项目</w:t>
      </w:r>
      <w:r>
        <w:rPr>
          <w:rFonts w:hint="eastAsia"/>
          <w:snapToGrid w:val="0"/>
          <w:color w:val="000000" w:themeColor="text1"/>
          <w:kern w:val="0"/>
          <w14:textFill>
            <w14:solidFill>
              <w14:schemeClr w14:val="tx1"/>
            </w14:solidFill>
          </w14:textFill>
        </w:rPr>
        <w:t>运营期</w:t>
      </w:r>
      <w:r>
        <w:rPr>
          <w:rFonts w:hint="eastAsia" w:ascii="Times New Roman" w:hAnsi="Times New Roman"/>
          <w:color w:val="000000" w:themeColor="text1"/>
          <w:szCs w:val="24"/>
          <w:highlight w:val="none"/>
          <w14:textFill>
            <w14:solidFill>
              <w14:schemeClr w14:val="tx1"/>
            </w14:solidFill>
          </w14:textFill>
        </w:rPr>
        <w:t>北侧、南侧、</w:t>
      </w:r>
      <w:r>
        <w:rPr>
          <w:rFonts w:hint="eastAsia"/>
          <w:color w:val="000000" w:themeColor="text1"/>
          <w:szCs w:val="24"/>
          <w:highlight w:val="none"/>
          <w:lang w:val="en-US" w:eastAsia="zh-CN"/>
          <w14:textFill>
            <w14:solidFill>
              <w14:schemeClr w14:val="tx1"/>
            </w14:solidFill>
          </w14:textFill>
        </w:rPr>
        <w:t>东</w:t>
      </w:r>
      <w:r>
        <w:rPr>
          <w:rFonts w:hint="eastAsia" w:ascii="Times New Roman" w:hAnsi="Times New Roman"/>
          <w:color w:val="000000" w:themeColor="text1"/>
          <w:szCs w:val="24"/>
          <w:highlight w:val="none"/>
          <w14:textFill>
            <w14:solidFill>
              <w14:schemeClr w14:val="tx1"/>
            </w14:solidFill>
          </w14:textFill>
        </w:rPr>
        <w:t>侧</w:t>
      </w:r>
      <w:r>
        <w:rPr>
          <w:rFonts w:hint="eastAsia"/>
          <w:snapToGrid w:val="0"/>
          <w:color w:val="000000" w:themeColor="text1"/>
          <w:kern w:val="0"/>
          <w14:textFill>
            <w14:solidFill>
              <w14:schemeClr w14:val="tx1"/>
            </w14:solidFill>
          </w14:textFill>
        </w:rPr>
        <w:t>厂界外1</w:t>
      </w:r>
      <w:r>
        <w:rPr>
          <w:snapToGrid w:val="0"/>
          <w:color w:val="000000" w:themeColor="text1"/>
          <w:kern w:val="0"/>
          <w14:textFill>
            <w14:solidFill>
              <w14:schemeClr w14:val="tx1"/>
            </w14:solidFill>
          </w14:textFill>
        </w:rPr>
        <w:t>m</w:t>
      </w:r>
      <w:r>
        <w:rPr>
          <w:rFonts w:hint="eastAsia"/>
          <w:snapToGrid w:val="0"/>
          <w:color w:val="000000" w:themeColor="text1"/>
          <w:kern w:val="0"/>
          <w14:textFill>
            <w14:solidFill>
              <w14:schemeClr w14:val="tx1"/>
            </w14:solidFill>
          </w14:textFill>
        </w:rPr>
        <w:t>处</w:t>
      </w:r>
      <w:r>
        <w:rPr>
          <w:rFonts w:hint="eastAsia"/>
          <w:snapToGrid w:val="0"/>
          <w:color w:val="000000" w:themeColor="text1"/>
          <w:kern w:val="0"/>
          <w:lang w:val="en-US" w:eastAsia="zh-CN"/>
          <w14:textFill>
            <w14:solidFill>
              <w14:schemeClr w14:val="tx1"/>
            </w14:solidFill>
          </w14:textFill>
        </w:rPr>
        <w:t>噪声贡献值</w:t>
      </w:r>
      <w:r>
        <w:rPr>
          <w:snapToGrid w:val="0"/>
          <w:color w:val="000000" w:themeColor="text1"/>
          <w:kern w:val="0"/>
          <w14:textFill>
            <w14:solidFill>
              <w14:schemeClr w14:val="tx1"/>
            </w14:solidFill>
          </w14:textFill>
        </w:rPr>
        <w:t>满足《工业企业厂界环境噪声排放标准》（GB12348-2008）</w:t>
      </w:r>
      <w:r>
        <w:rPr>
          <w:rFonts w:hint="eastAsia"/>
          <w:snapToGrid w:val="0"/>
          <w:color w:val="000000" w:themeColor="text1"/>
          <w:kern w:val="0"/>
          <w14:textFill>
            <w14:solidFill>
              <w14:schemeClr w14:val="tx1"/>
            </w14:solidFill>
          </w14:textFill>
        </w:rPr>
        <w:t>表1中</w:t>
      </w:r>
      <w:r>
        <w:rPr>
          <w:snapToGrid w:val="0"/>
          <w:color w:val="000000" w:themeColor="text1"/>
          <w:kern w:val="0"/>
          <w14:textFill>
            <w14:solidFill>
              <w14:schemeClr w14:val="tx1"/>
            </w14:solidFill>
          </w14:textFill>
        </w:rPr>
        <w:t>的3类标准限值</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西</w:t>
      </w:r>
      <w:r>
        <w:rPr>
          <w:rFonts w:hint="eastAsia" w:ascii="Times New Roman" w:hAnsi="Times New Roman"/>
          <w:color w:val="000000" w:themeColor="text1"/>
          <w:szCs w:val="24"/>
          <w:highlight w:val="none"/>
          <w14:textFill>
            <w14:solidFill>
              <w14:schemeClr w14:val="tx1"/>
            </w14:solidFill>
          </w14:textFill>
        </w:rPr>
        <w:t>侧</w:t>
      </w:r>
      <w:r>
        <w:rPr>
          <w:rFonts w:hint="eastAsia"/>
          <w:snapToGrid w:val="0"/>
          <w:color w:val="000000" w:themeColor="text1"/>
          <w:kern w:val="0"/>
          <w14:textFill>
            <w14:solidFill>
              <w14:schemeClr w14:val="tx1"/>
            </w14:solidFill>
          </w14:textFill>
        </w:rPr>
        <w:t>厂界外1</w:t>
      </w:r>
      <w:r>
        <w:rPr>
          <w:snapToGrid w:val="0"/>
          <w:color w:val="000000" w:themeColor="text1"/>
          <w:kern w:val="0"/>
          <w14:textFill>
            <w14:solidFill>
              <w14:schemeClr w14:val="tx1"/>
            </w14:solidFill>
          </w14:textFill>
        </w:rPr>
        <w:t>m</w:t>
      </w:r>
      <w:r>
        <w:rPr>
          <w:rFonts w:hint="eastAsia"/>
          <w:snapToGrid w:val="0"/>
          <w:color w:val="000000" w:themeColor="text1"/>
          <w:kern w:val="0"/>
          <w14:textFill>
            <w14:solidFill>
              <w14:schemeClr w14:val="tx1"/>
            </w14:solidFill>
          </w14:textFill>
        </w:rPr>
        <w:t>处</w:t>
      </w:r>
      <w:r>
        <w:rPr>
          <w:rFonts w:hint="eastAsia"/>
          <w:snapToGrid w:val="0"/>
          <w:color w:val="000000" w:themeColor="text1"/>
          <w:kern w:val="0"/>
          <w:lang w:val="en-US" w:eastAsia="zh-CN"/>
          <w14:textFill>
            <w14:solidFill>
              <w14:schemeClr w14:val="tx1"/>
            </w14:solidFill>
          </w14:textFill>
        </w:rPr>
        <w:t>噪声贡献值</w:t>
      </w:r>
      <w:r>
        <w:rPr>
          <w:snapToGrid w:val="0"/>
          <w:color w:val="000000" w:themeColor="text1"/>
          <w:kern w:val="0"/>
          <w14:textFill>
            <w14:solidFill>
              <w14:schemeClr w14:val="tx1"/>
            </w14:solidFill>
          </w14:textFill>
        </w:rPr>
        <w:t>满足《工业企业厂界环境噪声排放标准》（GB12348-2008）</w:t>
      </w:r>
      <w:r>
        <w:rPr>
          <w:rFonts w:hint="eastAsia"/>
          <w:snapToGrid w:val="0"/>
          <w:color w:val="000000" w:themeColor="text1"/>
          <w:kern w:val="0"/>
          <w14:textFill>
            <w14:solidFill>
              <w14:schemeClr w14:val="tx1"/>
            </w14:solidFill>
          </w14:textFill>
        </w:rPr>
        <w:t>表1中</w:t>
      </w:r>
      <w:r>
        <w:rPr>
          <w:snapToGrid w:val="0"/>
          <w:color w:val="000000" w:themeColor="text1"/>
          <w:kern w:val="0"/>
          <w14:textFill>
            <w14:solidFill>
              <w14:schemeClr w14:val="tx1"/>
            </w14:solidFill>
          </w14:textFill>
        </w:rPr>
        <w:t>的</w:t>
      </w:r>
      <w:r>
        <w:rPr>
          <w:rFonts w:hint="eastAsia"/>
          <w:snapToGrid w:val="0"/>
          <w:color w:val="000000" w:themeColor="text1"/>
          <w:kern w:val="0"/>
          <w:lang w:val="en-US" w:eastAsia="zh-CN"/>
          <w14:textFill>
            <w14:solidFill>
              <w14:schemeClr w14:val="tx1"/>
            </w14:solidFill>
          </w14:textFill>
        </w:rPr>
        <w:t>4</w:t>
      </w:r>
      <w:r>
        <w:rPr>
          <w:snapToGrid w:val="0"/>
          <w:color w:val="000000" w:themeColor="text1"/>
          <w:kern w:val="0"/>
          <w14:textFill>
            <w14:solidFill>
              <w14:schemeClr w14:val="tx1"/>
            </w14:solidFill>
          </w14:textFill>
        </w:rPr>
        <w:t>类标准限值</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14:textFill>
            <w14:solidFill>
              <w14:schemeClr w14:val="tx1"/>
            </w14:solidFill>
          </w14:textFill>
        </w:rPr>
        <w:t>本项目</w:t>
      </w:r>
      <w:r>
        <w:rPr>
          <w:rFonts w:hint="eastAsia"/>
          <w:snapToGrid w:val="0"/>
          <w:color w:val="000000" w:themeColor="text1"/>
          <w:kern w:val="0"/>
          <w:lang w:val="en-US" w:eastAsia="zh-CN"/>
          <w14:textFill>
            <w14:solidFill>
              <w14:schemeClr w14:val="tx1"/>
            </w14:solidFill>
          </w14:textFill>
        </w:rPr>
        <w:t>东北侧声环境敏感点</w:t>
      </w:r>
      <w:r>
        <w:rPr>
          <w:rFonts w:hint="default" w:ascii="Times New Roman" w:hAnsi="Times New Roman" w:eastAsia="宋体"/>
          <w:color w:val="000000" w:themeColor="text1"/>
          <w:lang w:eastAsia="zh-CN"/>
          <w14:textFill>
            <w14:solidFill>
              <w14:schemeClr w14:val="tx1"/>
            </w14:solidFill>
          </w14:textFill>
        </w:rPr>
        <w:t>隆胜村小四队屯</w:t>
      </w:r>
      <w:r>
        <w:rPr>
          <w:rFonts w:hint="eastAsia" w:ascii="Times New Roman" w:hAnsi="Times New Roman" w:eastAsia="宋体"/>
          <w:color w:val="000000" w:themeColor="text1"/>
          <w:lang w:val="en-US" w:eastAsia="zh-CN"/>
          <w14:textFill>
            <w14:solidFill>
              <w14:schemeClr w14:val="tx1"/>
            </w14:solidFill>
          </w14:textFill>
        </w:rPr>
        <w:t>昼间及夜间噪声预测值</w:t>
      </w:r>
      <w:r>
        <w:rPr>
          <w:rFonts w:hint="eastAsia"/>
          <w:color w:val="auto"/>
          <w:szCs w:val="24"/>
          <w:highlight w:val="none"/>
          <w:lang w:val="zh-CN"/>
        </w:rPr>
        <w:t>满足《声环境质量标准》（GB3096-2008）2类标准。</w:t>
      </w:r>
      <w:r>
        <w:rPr>
          <w:snapToGrid w:val="0"/>
          <w:color w:val="000000" w:themeColor="text1"/>
          <w:kern w:val="0"/>
          <w14:textFill>
            <w14:solidFill>
              <w14:schemeClr w14:val="tx1"/>
            </w14:solidFill>
          </w14:textFill>
        </w:rPr>
        <w:t>区域声环境功能不下降</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14:textFill>
            <w14:solidFill>
              <w14:schemeClr w14:val="tx1"/>
            </w14:solidFill>
          </w14:textFill>
        </w:rPr>
        <w:t>因此本项目产生噪声</w:t>
      </w:r>
      <w:r>
        <w:rPr>
          <w:rFonts w:hint="eastAsia"/>
          <w:snapToGrid w:val="0"/>
          <w:color w:val="000000" w:themeColor="text1"/>
          <w:kern w:val="0"/>
          <w14:textFill>
            <w14:solidFill>
              <w14:schemeClr w14:val="tx1"/>
            </w14:solidFill>
          </w14:textFill>
        </w:rPr>
        <w:t>对周边环境影响较小</w:t>
      </w:r>
      <w:r>
        <w:rPr>
          <w:snapToGrid w:val="0"/>
          <w:color w:val="000000" w:themeColor="text1"/>
          <w:kern w:val="0"/>
          <w14:textFill>
            <w14:solidFill>
              <w14:schemeClr w14:val="tx1"/>
            </w14:solidFill>
          </w14:textFill>
        </w:rPr>
        <w:t>。</w:t>
      </w:r>
    </w:p>
    <w:p w14:paraId="31640BFA">
      <w:pPr>
        <w:pStyle w:val="6"/>
        <w:rPr>
          <w:snapToGrid w:val="0"/>
          <w:color w:val="000000" w:themeColor="text1"/>
          <w14:textFill>
            <w14:solidFill>
              <w14:schemeClr w14:val="tx1"/>
            </w14:solidFill>
          </w14:textFill>
        </w:rPr>
      </w:pPr>
      <w:bookmarkStart w:id="273" w:name="_Toc20783"/>
      <w:r>
        <w:rPr>
          <w:snapToGrid w:val="0"/>
          <w:color w:val="000000" w:themeColor="text1"/>
          <w14:textFill>
            <w14:solidFill>
              <w14:schemeClr w14:val="tx1"/>
            </w14:solidFill>
          </w14:textFill>
        </w:rPr>
        <w:t>5.2.5固废影响预测评价</w:t>
      </w:r>
      <w:bookmarkEnd w:id="273"/>
    </w:p>
    <w:p w14:paraId="4CA869DB">
      <w:pPr>
        <w:spacing w:line="48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本项目固体废物主要为</w:t>
      </w:r>
      <w:r>
        <w:rPr>
          <w:rFonts w:hint="eastAsia"/>
          <w:color w:val="000000" w:themeColor="text1"/>
          <w:lang w:val="en-US" w:eastAsia="zh-CN"/>
          <w14:textFill>
            <w14:solidFill>
              <w14:schemeClr w14:val="tx1"/>
            </w14:solidFill>
          </w14:textFill>
        </w:rPr>
        <w:t>生活垃圾、餐厨废弃物以及废油脂、</w:t>
      </w:r>
      <w:r>
        <w:rPr>
          <w:color w:val="000000" w:themeColor="text1"/>
          <w14:textFill>
            <w14:solidFill>
              <w14:schemeClr w14:val="tx1"/>
            </w14:solidFill>
          </w14:textFill>
        </w:rPr>
        <w:t>杂质、酒糟及废酵母、除尘器收尘、废布袋、污水处理站污泥、废脱硫剂、废包装物、废活性炭、化验室废液、废过滤材料、废离子交换树脂</w:t>
      </w:r>
      <w:r>
        <w:rPr>
          <w:rFonts w:hint="eastAsia"/>
          <w:color w:val="000000" w:themeColor="text1"/>
          <w14:textFill>
            <w14:solidFill>
              <w14:schemeClr w14:val="tx1"/>
            </w14:solidFill>
          </w14:textFill>
        </w:rPr>
        <w:t>等。</w:t>
      </w:r>
    </w:p>
    <w:p w14:paraId="1DD770F1">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.2.5.1</w:t>
      </w:r>
      <w:r>
        <w:rPr>
          <w:rFonts w:hint="eastAsia"/>
          <w:color w:val="000000" w:themeColor="text1"/>
          <w14:textFill>
            <w14:solidFill>
              <w14:schemeClr w14:val="tx1"/>
            </w14:solidFill>
          </w14:textFill>
        </w:rPr>
        <w:t>固体废物处置情况</w:t>
      </w:r>
    </w:p>
    <w:p w14:paraId="0F84F92C">
      <w:pPr>
        <w:spacing w:line="480" w:lineRule="exact"/>
        <w:rPr>
          <w:rFonts w:hint="default"/>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一、生活垃圾及餐厨废弃物</w:t>
      </w:r>
    </w:p>
    <w:p w14:paraId="00B07F2B">
      <w:pPr>
        <w:spacing w:line="480" w:lineRule="exact"/>
        <w:rPr>
          <w:rFonts w:hint="default"/>
          <w:b w:val="0"/>
          <w:bCs w:val="0"/>
          <w:color w:val="000000" w:themeColor="text1"/>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1、生活垃圾</w:t>
      </w:r>
    </w:p>
    <w:p w14:paraId="04E61DC7">
      <w:pPr>
        <w:spacing w:line="480" w:lineRule="exact"/>
        <w:rPr>
          <w:rFonts w:hint="eastAsia"/>
          <w:b w:val="0"/>
          <w:bCs w:val="0"/>
          <w:color w:val="000000" w:themeColor="text1"/>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本项目生活垃圾产生量16.5t/a，经垃圾桶收集暂存后委托环卫部门集中处理。</w:t>
      </w:r>
    </w:p>
    <w:p w14:paraId="0C7B36C9">
      <w:pPr>
        <w:numPr>
          <w:ilvl w:val="0"/>
          <w:numId w:val="0"/>
        </w:numPr>
        <w:spacing w:line="480" w:lineRule="exact"/>
        <w:ind w:leftChars="200"/>
        <w:rPr>
          <w:rFonts w:hint="default"/>
          <w:b w:val="0"/>
          <w:bCs w:val="0"/>
          <w:color w:val="000000" w:themeColor="text1"/>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2、餐厨垃圾</w:t>
      </w:r>
    </w:p>
    <w:p w14:paraId="7DF31E95">
      <w:pPr>
        <w:pStyle w:val="29"/>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eastAsia="宋体"/>
          <w:color w:val="000000" w:themeColor="text1"/>
          <w:highlight w:val="none"/>
          <w:lang w:val="en-US" w:eastAsia="zh-CN"/>
          <w14:textFill>
            <w14:solidFill>
              <w14:schemeClr w14:val="tx1"/>
            </w14:solidFill>
          </w14:textFill>
        </w:rPr>
      </w:pPr>
      <w:r>
        <w:rPr>
          <w:rFonts w:hint="eastAsia"/>
          <w:b w:val="0"/>
          <w:bCs w:val="0"/>
          <w:color w:val="000000" w:themeColor="text1"/>
          <w:lang w:val="en-US" w:eastAsia="zh-CN"/>
          <w14:textFill>
            <w14:solidFill>
              <w14:schemeClr w14:val="tx1"/>
            </w14:solidFill>
          </w14:textFill>
        </w:rPr>
        <w:t>本项目</w:t>
      </w:r>
      <w:r>
        <w:rPr>
          <w:rFonts w:hint="eastAsia"/>
          <w:color w:val="000000" w:themeColor="text1"/>
          <w:highlight w:val="none"/>
          <w14:textFill>
            <w14:solidFill>
              <w14:schemeClr w14:val="tx1"/>
            </w14:solidFill>
          </w14:textFill>
        </w:rPr>
        <w:t>餐厨垃圾产生量为</w:t>
      </w:r>
      <w:r>
        <w:rPr>
          <w:rFonts w:hint="eastAsia"/>
          <w:color w:val="000000" w:themeColor="text1"/>
          <w:highlight w:val="none"/>
          <w:lang w:val="en-US" w:eastAsia="zh-CN"/>
          <w14:textFill>
            <w14:solidFill>
              <w14:schemeClr w14:val="tx1"/>
            </w14:solidFill>
          </w14:textFill>
        </w:rPr>
        <w:t>16.5</w:t>
      </w:r>
      <w:r>
        <w:rPr>
          <w:rFonts w:hint="eastAsia"/>
          <w:color w:val="000000" w:themeColor="text1"/>
          <w:highlight w:val="none"/>
          <w14:textFill>
            <w14:solidFill>
              <w14:schemeClr w14:val="tx1"/>
            </w14:solidFill>
          </w14:textFill>
        </w:rPr>
        <w:t>t/a</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14:textFill>
            <w14:solidFill>
              <w14:schemeClr w14:val="tx1"/>
            </w14:solidFill>
          </w14:textFill>
        </w:rPr>
        <w:t>本项目废油脂产生量为0.0</w:t>
      </w:r>
      <w:r>
        <w:rPr>
          <w:rFonts w:hint="eastAsia"/>
          <w:color w:val="000000" w:themeColor="text1"/>
          <w:highlight w:val="none"/>
          <w:lang w:val="en-US" w:eastAsia="zh-CN"/>
          <w14:textFill>
            <w14:solidFill>
              <w14:schemeClr w14:val="tx1"/>
            </w14:solidFill>
          </w14:textFill>
        </w:rPr>
        <w:t>3</w:t>
      </w:r>
      <w:r>
        <w:rPr>
          <w:rFonts w:hint="eastAsia"/>
          <w:color w:val="000000" w:themeColor="text1"/>
          <w:highlight w:val="none"/>
          <w14:textFill>
            <w14:solidFill>
              <w14:schemeClr w14:val="tx1"/>
            </w14:solidFill>
          </w14:textFill>
        </w:rPr>
        <w:t>t/a。</w:t>
      </w:r>
      <w:r>
        <w:rPr>
          <w:rFonts w:hint="eastAsia"/>
          <w:color w:val="000000" w:themeColor="text1"/>
          <w:highlight w:val="none"/>
          <w:lang w:val="en-US" w:eastAsia="zh-CN"/>
          <w14:textFill>
            <w14:solidFill>
              <w14:schemeClr w14:val="tx1"/>
            </w14:solidFill>
          </w14:textFill>
        </w:rPr>
        <w:t>集中收集，交由有资质单位处理。</w:t>
      </w:r>
    </w:p>
    <w:p w14:paraId="5BF1D4D6">
      <w:pPr>
        <w:spacing w:line="480" w:lineRule="exact"/>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二、一般工业固体废物</w:t>
      </w:r>
    </w:p>
    <w:p w14:paraId="5E1EEDB9">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1、杂质</w:t>
      </w:r>
    </w:p>
    <w:p w14:paraId="2917124D">
      <w:pPr>
        <w:spacing w:line="360" w:lineRule="auto"/>
        <w:rPr>
          <w:color w:val="auto"/>
        </w:rPr>
      </w:pPr>
      <w:r>
        <w:rPr>
          <w:rFonts w:hint="eastAsia"/>
          <w:color w:val="auto"/>
        </w:rPr>
        <w:t>本项目原料投料间加工麦芽</w:t>
      </w:r>
      <w:r>
        <w:rPr>
          <w:rFonts w:hint="eastAsia"/>
          <w:color w:val="auto"/>
          <w:lang w:eastAsia="zh-CN"/>
        </w:rPr>
        <w:t>、</w:t>
      </w:r>
      <w:r>
        <w:rPr>
          <w:rFonts w:hint="eastAsia"/>
          <w:color w:val="auto"/>
          <w:lang w:val="en-US" w:eastAsia="zh-CN"/>
        </w:rPr>
        <w:t>大米</w:t>
      </w:r>
      <w:r>
        <w:rPr>
          <w:rFonts w:hint="eastAsia"/>
          <w:color w:val="auto"/>
        </w:rPr>
        <w:t>产生杂质，根据物料平衡，本项目产生杂质</w:t>
      </w:r>
      <w:r>
        <w:rPr>
          <w:rFonts w:hint="eastAsia"/>
          <w:color w:val="auto"/>
          <w:lang w:val="en-US" w:eastAsia="zh-CN"/>
        </w:rPr>
        <w:t>199.92</w:t>
      </w:r>
      <w:r>
        <w:rPr>
          <w:rFonts w:hint="eastAsia"/>
          <w:color w:val="auto"/>
        </w:rPr>
        <w:t>t/a，集中收集，外售有机肥厂生产有机肥。</w:t>
      </w:r>
    </w:p>
    <w:p w14:paraId="1233D852">
      <w:pPr>
        <w:spacing w:line="360" w:lineRule="auto"/>
        <w:rPr>
          <w:color w:val="auto"/>
        </w:rPr>
      </w:pPr>
      <w:r>
        <w:rPr>
          <w:color w:val="auto"/>
        </w:rPr>
        <w:t>2</w:t>
      </w:r>
      <w:r>
        <w:rPr>
          <w:rFonts w:hint="eastAsia"/>
          <w:color w:val="auto"/>
        </w:rPr>
        <w:t>、</w:t>
      </w:r>
      <w:r>
        <w:rPr>
          <w:rFonts w:hint="eastAsia"/>
          <w:color w:val="auto"/>
          <w:lang w:val="en-US" w:eastAsia="zh-CN"/>
        </w:rPr>
        <w:t>废</w:t>
      </w:r>
      <w:r>
        <w:rPr>
          <w:color w:val="auto"/>
        </w:rPr>
        <w:t>酒糟及废酵母</w:t>
      </w:r>
    </w:p>
    <w:p w14:paraId="4C134A2A">
      <w:pPr>
        <w:spacing w:line="360" w:lineRule="auto"/>
        <w:rPr>
          <w:color w:val="auto"/>
        </w:rPr>
      </w:pPr>
      <w:r>
        <w:rPr>
          <w:rFonts w:hint="eastAsia"/>
          <w:color w:val="auto"/>
        </w:rPr>
        <w:t>根据物料平衡，本项目产生</w:t>
      </w:r>
      <w:r>
        <w:rPr>
          <w:rFonts w:hint="eastAsia"/>
          <w:color w:val="auto"/>
          <w:lang w:val="en-US" w:eastAsia="zh-CN"/>
        </w:rPr>
        <w:t>废</w:t>
      </w:r>
      <w:r>
        <w:rPr>
          <w:rFonts w:hint="eastAsia"/>
          <w:color w:val="auto"/>
        </w:rPr>
        <w:t>酒糟</w:t>
      </w:r>
      <w:r>
        <w:rPr>
          <w:rFonts w:hint="eastAsia"/>
          <w:color w:val="auto"/>
          <w:lang w:val="en-US" w:eastAsia="zh-CN"/>
        </w:rPr>
        <w:t>1635.09</w:t>
      </w:r>
      <w:r>
        <w:rPr>
          <w:rFonts w:hint="eastAsia"/>
          <w:color w:val="auto"/>
        </w:rPr>
        <w:t>t/a</w:t>
      </w:r>
      <w:r>
        <w:rPr>
          <w:rFonts w:hint="eastAsia"/>
          <w:color w:val="auto"/>
          <w:lang w:eastAsia="zh-CN"/>
        </w:rPr>
        <w:t>、</w:t>
      </w:r>
      <w:r>
        <w:rPr>
          <w:rFonts w:hint="eastAsia"/>
          <w:color w:val="auto"/>
        </w:rPr>
        <w:t>废酵母</w:t>
      </w:r>
      <w:r>
        <w:rPr>
          <w:rFonts w:hint="eastAsia"/>
          <w:color w:val="auto"/>
          <w:lang w:val="en-US" w:eastAsia="zh-CN"/>
        </w:rPr>
        <w:t>570</w:t>
      </w:r>
      <w:r>
        <w:rPr>
          <w:rFonts w:hint="eastAsia"/>
          <w:color w:val="auto"/>
        </w:rPr>
        <w:t>t/a。本项目产生的</w:t>
      </w:r>
      <w:r>
        <w:rPr>
          <w:rFonts w:hint="eastAsia"/>
          <w:color w:val="auto"/>
          <w:lang w:val="en-US" w:eastAsia="zh-CN"/>
        </w:rPr>
        <w:t>废</w:t>
      </w:r>
      <w:r>
        <w:rPr>
          <w:color w:val="auto"/>
        </w:rPr>
        <w:t>酒糟及废酵母采用专用容器收集并加盖密封，外售作饲料，日产日清</w:t>
      </w:r>
      <w:r>
        <w:rPr>
          <w:rFonts w:hint="eastAsia"/>
          <w:color w:val="auto"/>
        </w:rPr>
        <w:t>。</w:t>
      </w:r>
    </w:p>
    <w:p w14:paraId="5F43BCCD">
      <w:pPr>
        <w:numPr>
          <w:ilvl w:val="0"/>
          <w:numId w:val="0"/>
        </w:numPr>
        <w:spacing w:line="360" w:lineRule="auto"/>
        <w:ind w:left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3、废硅藻土</w:t>
      </w:r>
    </w:p>
    <w:p w14:paraId="32504616">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啤酒过滤产生废硅藻土</w:t>
      </w:r>
      <w:r>
        <w:rPr>
          <w:rFonts w:hint="eastAsia"/>
          <w:color w:val="000000" w:themeColor="text1"/>
          <w:lang w:val="en-US" w:eastAsia="zh-CN"/>
          <w14:textFill>
            <w14:solidFill>
              <w14:schemeClr w14:val="tx1"/>
            </w14:solidFill>
          </w14:textFill>
        </w:rPr>
        <w:t>5</w:t>
      </w:r>
      <w:r>
        <w:rPr>
          <w:rFonts w:hint="default"/>
          <w:color w:val="000000" w:themeColor="text1"/>
          <w:lang w:val="en-US" w:eastAsia="zh-CN"/>
          <w14:textFill>
            <w14:solidFill>
              <w14:schemeClr w14:val="tx1"/>
            </w14:solidFill>
          </w14:textFill>
        </w:rPr>
        <w:t>0t/a，为一般工业固体废物，废硅藻土在过滤酒液时附着固态有机物质，含有一定量的有机物，该硅藻土是弱粘结分子组成的块状物，呈灰色，比重较轻，其化学组成为 SiO</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：79.92%、Al</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：6.58%、Fe</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：3.56%、MnO：9.98%、CaO：1.43%、Ti</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：0.48%，不含有毒有害成分，</w:t>
      </w:r>
      <w:r>
        <w:rPr>
          <w:rFonts w:hint="eastAsia"/>
          <w:color w:val="000000" w:themeColor="text1"/>
          <w:lang w:val="en-US" w:eastAsia="zh-CN"/>
          <w14:textFill>
            <w14:solidFill>
              <w14:schemeClr w14:val="tx1"/>
            </w14:solidFill>
          </w14:textFill>
        </w:rPr>
        <w:t>暂存在密闭废土罐中</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外售综合利用</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定期转运</w:t>
      </w:r>
      <w:r>
        <w:rPr>
          <w:rFonts w:hint="default"/>
          <w:color w:val="000000" w:themeColor="text1"/>
          <w:lang w:val="en-US" w:eastAsia="zh-CN"/>
          <w14:textFill>
            <w14:solidFill>
              <w14:schemeClr w14:val="tx1"/>
            </w14:solidFill>
          </w14:textFill>
        </w:rPr>
        <w:t>不在厂区长时间贮存。</w:t>
      </w:r>
    </w:p>
    <w:p w14:paraId="72FB6144">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w:t>
      </w:r>
      <w:r>
        <w:rPr>
          <w:rFonts w:hint="eastAsia"/>
          <w:color w:val="000000" w:themeColor="text1"/>
          <w14:textFill>
            <w14:solidFill>
              <w14:schemeClr w14:val="tx1"/>
            </w14:solidFill>
          </w14:textFill>
        </w:rPr>
        <w:t>、除尘器收尘</w:t>
      </w:r>
    </w:p>
    <w:p w14:paraId="1A5972A5">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t>根据前文分析，</w:t>
      </w:r>
      <w:r>
        <w:rPr>
          <w:rFonts w:hint="eastAsia"/>
          <w:color w:val="000000" w:themeColor="text1"/>
          <w14:textFill>
            <w14:solidFill>
              <w14:schemeClr w14:val="tx1"/>
            </w14:solidFill>
          </w14:textFill>
        </w:rPr>
        <w:t>本项目处理原料处理间粉尘的布袋除尘器收尘产生量为</w:t>
      </w:r>
      <w:r>
        <w:rPr>
          <w:rFonts w:hint="eastAsia"/>
          <w:color w:val="000000" w:themeColor="text1"/>
          <w:lang w:val="en-US" w:eastAsia="zh-CN"/>
          <w14:textFill>
            <w14:solidFill>
              <w14:schemeClr w14:val="tx1"/>
            </w14:solidFill>
          </w14:textFill>
        </w:rPr>
        <w:t>2.059</w:t>
      </w:r>
      <w:r>
        <w:rPr>
          <w:rFonts w:hint="eastAsia"/>
          <w:color w:val="000000" w:themeColor="text1"/>
          <w14:textFill>
            <w14:solidFill>
              <w14:schemeClr w14:val="tx1"/>
            </w14:solidFill>
          </w14:textFill>
        </w:rPr>
        <w:t>t/a，集中收集，外售有机肥厂生产有机肥。</w:t>
      </w:r>
    </w:p>
    <w:p w14:paraId="3A23DB4A">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、废布袋</w:t>
      </w:r>
    </w:p>
    <w:p w14:paraId="634C5E66">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本项目废布袋产生量约为0</w:t>
      </w:r>
      <w:r>
        <w:rPr>
          <w:color w:val="000000" w:themeColor="text1"/>
          <w14:textFill>
            <w14:solidFill>
              <w14:schemeClr w14:val="tx1"/>
            </w14:solidFill>
          </w14:textFill>
        </w:rPr>
        <w:t>.0</w:t>
      </w: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t/a，更换时交厂家回收处置。</w:t>
      </w:r>
    </w:p>
    <w:p w14:paraId="273EC2E2">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6</w:t>
      </w:r>
      <w:r>
        <w:rPr>
          <w:rFonts w:hint="eastAsia"/>
          <w:color w:val="000000" w:themeColor="text1"/>
          <w14:textFill>
            <w14:solidFill>
              <w14:schemeClr w14:val="tx1"/>
            </w14:solidFill>
          </w14:textFill>
        </w:rPr>
        <w:t>、污水处理站污泥</w:t>
      </w:r>
    </w:p>
    <w:p w14:paraId="522E4D30">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t>项目厂区设有一座一体化污水处理站，对生产废水进行预处理，处理过程会产生污泥。</w:t>
      </w:r>
      <w:r>
        <w:rPr>
          <w:rFonts w:hint="eastAsia"/>
          <w:color w:val="000000" w:themeColor="text1"/>
          <w14:textFill>
            <w14:solidFill>
              <w14:schemeClr w14:val="tx1"/>
            </w14:solidFill>
          </w14:textFill>
        </w:rPr>
        <w:t>污水处理站产生的污泥外运前应采取压滤脱水处理，确保含水率低于</w:t>
      </w:r>
      <w:r>
        <w:rPr>
          <w:color w:val="000000" w:themeColor="text1"/>
          <w14:textFill>
            <w14:solidFill>
              <w14:schemeClr w14:val="tx1"/>
            </w14:solidFill>
          </w14:textFill>
        </w:rPr>
        <w:t>60%</w:t>
      </w:r>
      <w:r>
        <w:rPr>
          <w:rFonts w:hint="eastAsia"/>
          <w:color w:val="000000" w:themeColor="text1"/>
          <w14:textFill>
            <w14:solidFill>
              <w14:schemeClr w14:val="tx1"/>
            </w14:solidFill>
          </w14:textFill>
        </w:rPr>
        <w:t>，本项目污水处理站污泥产生量为</w:t>
      </w:r>
      <w:r>
        <w:rPr>
          <w:rFonts w:hint="eastAsia"/>
          <w:color w:val="000000" w:themeColor="text1"/>
          <w:lang w:val="en-US" w:eastAsia="zh-CN"/>
          <w14:textFill>
            <w14:solidFill>
              <w14:schemeClr w14:val="tx1"/>
            </w14:solidFill>
          </w14:textFill>
        </w:rPr>
        <w:t>8.395</w:t>
      </w:r>
      <w:r>
        <w:rPr>
          <w:rFonts w:hint="eastAsia"/>
          <w:color w:val="000000" w:themeColor="text1"/>
          <w14:textFill>
            <w14:solidFill>
              <w14:schemeClr w14:val="tx1"/>
            </w14:solidFill>
          </w14:textFill>
        </w:rPr>
        <w:t>t/a，定期</w:t>
      </w:r>
      <w:r>
        <w:rPr>
          <w:color w:val="000000" w:themeColor="text1"/>
          <w14:textFill>
            <w14:solidFill>
              <w14:schemeClr w14:val="tx1"/>
            </w14:solidFill>
          </w14:textFill>
        </w:rPr>
        <w:t>交由</w:t>
      </w:r>
      <w:r>
        <w:rPr>
          <w:rFonts w:hint="eastAsia"/>
          <w:color w:val="000000" w:themeColor="text1"/>
          <w14:textFill>
            <w14:solidFill>
              <w14:schemeClr w14:val="tx1"/>
            </w14:solidFill>
          </w14:textFill>
        </w:rPr>
        <w:t>市政部门统一处理。</w:t>
      </w:r>
    </w:p>
    <w:p w14:paraId="5D3DB456">
      <w:pPr>
        <w:spacing w:line="360" w:lineRule="auto"/>
        <w:rPr>
          <w:color w:val="000000" w:themeColor="text1"/>
          <w:highlight w:val="none"/>
          <w14:textFill>
            <w14:solidFill>
              <w14:schemeClr w14:val="tx1"/>
            </w14:solidFill>
          </w14:textFill>
        </w:rPr>
      </w:pPr>
      <w:r>
        <w:rPr>
          <w:rFonts w:hint="eastAsia"/>
          <w:color w:val="000000" w:themeColor="text1"/>
          <w:highlight w:val="none"/>
          <w:lang w:val="en-US" w:eastAsia="zh-CN"/>
          <w14:textFill>
            <w14:solidFill>
              <w14:schemeClr w14:val="tx1"/>
            </w14:solidFill>
          </w14:textFill>
        </w:rPr>
        <w:t>7</w:t>
      </w:r>
      <w:r>
        <w:rPr>
          <w:rFonts w:hint="eastAsia"/>
          <w:color w:val="000000" w:themeColor="text1"/>
          <w:highlight w:val="none"/>
          <w14:textFill>
            <w14:solidFill>
              <w14:schemeClr w14:val="tx1"/>
            </w14:solidFill>
          </w14:textFill>
        </w:rPr>
        <w:t>、废脱硫剂</w:t>
      </w:r>
    </w:p>
    <w:p w14:paraId="399B4F20">
      <w:pPr>
        <w:pStyle w:val="85"/>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本项目废脱硫剂量产生</w:t>
      </w:r>
      <w:r>
        <w:rPr>
          <w:rFonts w:hint="eastAsia"/>
          <w:color w:val="000000" w:themeColor="text1"/>
          <w:lang w:val="en-US" w:eastAsia="zh-CN"/>
          <w14:textFill>
            <w14:solidFill>
              <w14:schemeClr w14:val="tx1"/>
            </w14:solidFill>
          </w14:textFill>
        </w:rPr>
        <w:t>0.1212</w:t>
      </w:r>
      <w:r>
        <w:rPr>
          <w:rFonts w:hint="eastAsia"/>
          <w:color w:val="000000" w:themeColor="text1"/>
          <w14:textFill>
            <w14:solidFill>
              <w14:schemeClr w14:val="tx1"/>
            </w14:solidFill>
          </w14:textFill>
        </w:rPr>
        <w:t>t/a，脱硫剂每年需更换2次，废脱硫剂</w:t>
      </w:r>
      <w:r>
        <w:rPr>
          <w:rFonts w:hint="eastAsia"/>
          <w:color w:val="000000" w:themeColor="text1"/>
          <w:lang w:val="en-US" w:eastAsia="zh-CN"/>
          <w14:textFill>
            <w14:solidFill>
              <w14:schemeClr w14:val="tx1"/>
            </w14:solidFill>
          </w14:textFill>
        </w:rPr>
        <w:t>更换时</w:t>
      </w:r>
      <w:r>
        <w:rPr>
          <w:rFonts w:hint="eastAsia"/>
          <w:color w:val="000000" w:themeColor="text1"/>
          <w14:textFill>
            <w14:solidFill>
              <w14:schemeClr w14:val="tx1"/>
            </w14:solidFill>
          </w14:textFill>
        </w:rPr>
        <w:t>由厂家回收。</w:t>
      </w:r>
    </w:p>
    <w:p w14:paraId="37436251">
      <w:pPr>
        <w:pStyle w:val="85"/>
        <w:spacing w:line="360" w:lineRule="auto"/>
        <w:rPr>
          <w:color w:val="000000" w:themeColor="text1"/>
          <w:highlight w:val="none"/>
          <w14:textFill>
            <w14:solidFill>
              <w14:schemeClr w14:val="tx1"/>
            </w14:solidFill>
          </w14:textFill>
        </w:rPr>
      </w:pPr>
      <w:r>
        <w:rPr>
          <w:rFonts w:hint="eastAsia"/>
          <w:color w:val="000000" w:themeColor="text1"/>
          <w:highlight w:val="none"/>
          <w:lang w:val="en-US" w:eastAsia="zh-CN"/>
          <w14:textFill>
            <w14:solidFill>
              <w14:schemeClr w14:val="tx1"/>
            </w14:solidFill>
          </w14:textFill>
        </w:rPr>
        <w:t>8</w:t>
      </w:r>
      <w:r>
        <w:rPr>
          <w:rFonts w:hint="eastAsia"/>
          <w:color w:val="000000" w:themeColor="text1"/>
          <w:highlight w:val="none"/>
          <w14:textFill>
            <w14:solidFill>
              <w14:schemeClr w14:val="tx1"/>
            </w14:solidFill>
          </w14:textFill>
        </w:rPr>
        <w:t>、废包装物</w:t>
      </w:r>
    </w:p>
    <w:p w14:paraId="1359421D">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本项目包装车间每年产生废酒瓶、废纸箱、废标签等废包装物</w:t>
      </w:r>
      <w:r>
        <w:rPr>
          <w:rFonts w:hint="eastAsia"/>
          <w:color w:val="000000" w:themeColor="text1"/>
          <w:lang w:val="en-US" w:eastAsia="zh-CN"/>
          <w14:textFill>
            <w14:solidFill>
              <w14:schemeClr w14:val="tx1"/>
            </w14:solidFill>
          </w14:textFill>
        </w:rPr>
        <w:t>约500</w:t>
      </w:r>
      <w:r>
        <w:rPr>
          <w:rFonts w:hint="eastAsia"/>
          <w:color w:val="000000" w:themeColor="text1"/>
          <w14:textFill>
            <w14:solidFill>
              <w14:schemeClr w14:val="tx1"/>
            </w14:solidFill>
          </w14:textFill>
        </w:rPr>
        <w:t>t/a，集中收集，外售废品收购站综合利用。</w:t>
      </w:r>
    </w:p>
    <w:p w14:paraId="2411ABF2">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w:t>
      </w:r>
      <w:r>
        <w:rPr>
          <w:rFonts w:hint="eastAsia"/>
          <w:color w:val="000000" w:themeColor="text1"/>
          <w14:textFill>
            <w14:solidFill>
              <w14:schemeClr w14:val="tx1"/>
            </w14:solidFill>
          </w14:textFill>
        </w:rPr>
        <w:t>、废过滤材料</w:t>
      </w:r>
    </w:p>
    <w:p w14:paraId="5BBE330B">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项目纯水制备设备在运行过程中产生的废过滤材料（废石英砂、废活性炭、废滤膜），收集后交由纯水设备公司回收处理。石英砂、活性炭、滤膜每半年更换一次，每次更换量约为0.1t，则废石英砂、废活性炭、废滤膜产生量约为0.2t/a，由纯水设备公司</w:t>
      </w:r>
      <w:r>
        <w:rPr>
          <w:rFonts w:hint="eastAsia"/>
          <w:color w:val="000000" w:themeColor="text1"/>
          <w:lang w:val="en-US" w:eastAsia="zh-CN"/>
          <w14:textFill>
            <w14:solidFill>
              <w14:schemeClr w14:val="tx1"/>
            </w14:solidFill>
          </w14:textFill>
        </w:rPr>
        <w:t>定期更换时</w:t>
      </w:r>
      <w:r>
        <w:rPr>
          <w:rFonts w:hint="eastAsia"/>
          <w:color w:val="000000" w:themeColor="text1"/>
          <w14:textFill>
            <w14:solidFill>
              <w14:schemeClr w14:val="tx1"/>
            </w14:solidFill>
          </w14:textFill>
        </w:rPr>
        <w:t>回收处理。</w:t>
      </w:r>
    </w:p>
    <w:p w14:paraId="56715FB0">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0</w:t>
      </w:r>
      <w:r>
        <w:rPr>
          <w:rFonts w:hint="eastAsia"/>
          <w:color w:val="000000" w:themeColor="text1"/>
          <w14:textFill>
            <w14:solidFill>
              <w14:schemeClr w14:val="tx1"/>
            </w14:solidFill>
          </w14:textFill>
        </w:rPr>
        <w:t>、废离子交换树脂</w:t>
      </w:r>
    </w:p>
    <w:p w14:paraId="37B0E02C">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t>项目锅炉所用软水通过软水设备制备，离子交换树脂定期更换。树脂每半年更换一次，每次更换量约为0.025t，则废离子交换树脂产生量约0.05t/a，由软水设备</w:t>
      </w:r>
      <w:r>
        <w:rPr>
          <w:rFonts w:hint="eastAsia"/>
          <w:color w:val="000000" w:themeColor="text1"/>
          <w:lang w:val="en-US" w:eastAsia="zh-CN"/>
          <w14:textFill>
            <w14:solidFill>
              <w14:schemeClr w14:val="tx1"/>
            </w14:solidFill>
          </w14:textFill>
        </w:rPr>
        <w:t>公司更换时</w:t>
      </w:r>
      <w:r>
        <w:rPr>
          <w:color w:val="000000" w:themeColor="text1"/>
          <w14:textFill>
            <w14:solidFill>
              <w14:schemeClr w14:val="tx1"/>
            </w14:solidFill>
          </w14:textFill>
        </w:rPr>
        <w:t>回收处理。</w:t>
      </w:r>
    </w:p>
    <w:p w14:paraId="67F1AF97">
      <w:pPr>
        <w:keepNext w:val="0"/>
        <w:keepLines w:val="0"/>
        <w:widowControl/>
        <w:suppressLineNumbers w:val="0"/>
        <w:spacing w:line="360" w:lineRule="auto"/>
        <w:jc w:val="left"/>
      </w:pPr>
      <w:r>
        <w:rPr>
          <w:rFonts w:hint="eastAsia"/>
          <w:color w:val="000000" w:themeColor="text1"/>
          <w:lang w:val="en-US" w:eastAsia="zh-CN"/>
          <w14:textFill>
            <w14:solidFill>
              <w14:schemeClr w14:val="tx1"/>
            </w14:solidFill>
          </w14:textFill>
        </w:rPr>
        <w:t>11、</w:t>
      </w:r>
      <w:r>
        <w:rPr>
          <w:rFonts w:hint="default" w:ascii="Times New Roman" w:hAnsi="Times New Roman" w:eastAsia="宋体" w:cs="Times New Roman"/>
          <w:b w:val="0"/>
          <w:bCs w:val="0"/>
          <w:color w:val="000000"/>
          <w:kern w:val="0"/>
          <w:sz w:val="24"/>
          <w:szCs w:val="24"/>
          <w:lang w:val="en-US" w:eastAsia="zh-CN" w:bidi="ar"/>
        </w:rPr>
        <w:t>CO</w:t>
      </w:r>
      <w:r>
        <w:rPr>
          <w:rFonts w:hint="default" w:ascii="Times New Roman" w:hAnsi="Times New Roman" w:eastAsia="宋体" w:cs="Times New Roman"/>
          <w:b w:val="0"/>
          <w:bCs w:val="0"/>
          <w:color w:val="000000"/>
          <w:kern w:val="0"/>
          <w:sz w:val="15"/>
          <w:szCs w:val="15"/>
          <w:lang w:val="en-US" w:eastAsia="zh-CN" w:bidi="ar"/>
        </w:rPr>
        <w:t>2</w:t>
      </w:r>
      <w:r>
        <w:rPr>
          <w:rFonts w:hint="eastAsia" w:ascii="宋体" w:hAnsi="宋体" w:eastAsia="宋体" w:cs="宋体"/>
          <w:b w:val="0"/>
          <w:bCs w:val="0"/>
          <w:color w:val="000000"/>
          <w:kern w:val="0"/>
          <w:sz w:val="24"/>
          <w:szCs w:val="24"/>
          <w:lang w:val="en-US" w:eastAsia="zh-CN" w:bidi="ar"/>
        </w:rPr>
        <w:t>回收系统的废吸附剂和干燥剂</w:t>
      </w:r>
    </w:p>
    <w:p w14:paraId="4DE08DE6">
      <w:pPr>
        <w:keepNext w:val="0"/>
        <w:keepLines w:val="0"/>
        <w:widowControl/>
        <w:suppressLineNumbers w:val="0"/>
        <w:spacing w:line="360" w:lineRule="auto"/>
        <w:jc w:val="left"/>
      </w:pPr>
      <w:r>
        <w:rPr>
          <w:rFonts w:hint="eastAsia" w:ascii="宋体" w:hAnsi="宋体" w:eastAsia="宋体" w:cs="宋体"/>
          <w:color w:val="000000"/>
          <w:kern w:val="0"/>
          <w:sz w:val="24"/>
          <w:szCs w:val="24"/>
          <w:lang w:val="en-US" w:eastAsia="zh-CN" w:bidi="ar"/>
        </w:rPr>
        <w:t xml:space="preserve">项目 </w:t>
      </w:r>
      <w:r>
        <w:rPr>
          <w:rFonts w:hint="default" w:ascii="Times New Roman" w:hAnsi="Times New Roman" w:eastAsia="宋体" w:cs="Times New Roman"/>
          <w:color w:val="000000"/>
          <w:kern w:val="0"/>
          <w:sz w:val="24"/>
          <w:szCs w:val="24"/>
          <w:lang w:val="en-US" w:eastAsia="zh-CN" w:bidi="ar"/>
        </w:rPr>
        <w:t>CO</w:t>
      </w:r>
      <w:r>
        <w:rPr>
          <w:rFonts w:hint="default" w:ascii="Times New Roman" w:hAnsi="Times New Roman" w:eastAsia="宋体" w:cs="Times New Roman"/>
          <w:color w:val="000000"/>
          <w:kern w:val="0"/>
          <w:sz w:val="15"/>
          <w:szCs w:val="15"/>
          <w:lang w:val="en-US" w:eastAsia="zh-CN" w:bidi="ar"/>
        </w:rPr>
        <w:t>2</w:t>
      </w:r>
      <w:r>
        <w:rPr>
          <w:rFonts w:hint="eastAsia" w:ascii="宋体" w:hAnsi="宋体" w:eastAsia="宋体" w:cs="宋体"/>
          <w:color w:val="000000"/>
          <w:kern w:val="0"/>
          <w:sz w:val="24"/>
          <w:szCs w:val="24"/>
          <w:lang w:val="en-US" w:eastAsia="zh-CN" w:bidi="ar"/>
        </w:rPr>
        <w:t>回收系统吸附剂采用活性炭，每年更换一次，吸附剂填装量约为</w:t>
      </w:r>
      <w:r>
        <w:rPr>
          <w:rFonts w:hint="default" w:ascii="Times New Roman" w:hAnsi="Times New Roman" w:eastAsia="宋体" w:cs="Times New Roman"/>
          <w:color w:val="000000"/>
          <w:kern w:val="0"/>
          <w:sz w:val="24"/>
          <w:szCs w:val="24"/>
          <w:lang w:val="en-US" w:eastAsia="zh-CN" w:bidi="ar"/>
        </w:rPr>
        <w:t xml:space="preserve">0.5 </w:t>
      </w:r>
      <w:r>
        <w:rPr>
          <w:rFonts w:hint="eastAsia" w:ascii="宋体" w:hAnsi="宋体" w:eastAsia="宋体" w:cs="宋体"/>
          <w:color w:val="000000"/>
          <w:kern w:val="0"/>
          <w:sz w:val="24"/>
          <w:szCs w:val="24"/>
          <w:lang w:val="en-US" w:eastAsia="zh-CN" w:bidi="ar"/>
        </w:rPr>
        <w:t>吨，则废吸附剂（废活性炭）产生量为</w:t>
      </w:r>
      <w:r>
        <w:rPr>
          <w:rFonts w:hint="default" w:ascii="Times New Roman" w:hAnsi="Times New Roman" w:eastAsia="宋体" w:cs="Times New Roman"/>
          <w:color w:val="000000"/>
          <w:kern w:val="0"/>
          <w:sz w:val="24"/>
          <w:szCs w:val="24"/>
          <w:lang w:val="en-US" w:eastAsia="zh-CN" w:bidi="ar"/>
        </w:rPr>
        <w:t>0.5t/a</w:t>
      </w:r>
      <w:r>
        <w:rPr>
          <w:rFonts w:hint="eastAsia" w:ascii="宋体" w:hAnsi="宋体" w:eastAsia="宋体" w:cs="宋体"/>
          <w:color w:val="000000"/>
          <w:kern w:val="0"/>
          <w:sz w:val="24"/>
          <w:szCs w:val="24"/>
          <w:lang w:val="en-US" w:eastAsia="zh-CN" w:bidi="ar"/>
        </w:rPr>
        <w:t xml:space="preserve">。 </w:t>
      </w:r>
    </w:p>
    <w:p w14:paraId="08AA8EA9">
      <w:pPr>
        <w:keepNext w:val="0"/>
        <w:keepLines w:val="0"/>
        <w:widowControl/>
        <w:suppressLineNumbers w:val="0"/>
        <w:spacing w:line="360" w:lineRule="auto"/>
        <w:jc w:val="left"/>
      </w:pPr>
      <w:r>
        <w:rPr>
          <w:rFonts w:hint="eastAsia" w:ascii="宋体" w:hAnsi="宋体" w:eastAsia="宋体" w:cs="宋体"/>
          <w:color w:val="000000"/>
          <w:kern w:val="0"/>
          <w:sz w:val="24"/>
          <w:szCs w:val="24"/>
          <w:lang w:val="en-US" w:eastAsia="zh-CN" w:bidi="ar"/>
        </w:rPr>
        <w:t xml:space="preserve">项目 </w:t>
      </w:r>
      <w:r>
        <w:rPr>
          <w:rFonts w:hint="default" w:ascii="Times New Roman" w:hAnsi="Times New Roman" w:eastAsia="宋体" w:cs="Times New Roman"/>
          <w:color w:val="000000"/>
          <w:kern w:val="0"/>
          <w:sz w:val="24"/>
          <w:szCs w:val="24"/>
          <w:lang w:val="en-US" w:eastAsia="zh-CN" w:bidi="ar"/>
        </w:rPr>
        <w:t>CO</w:t>
      </w:r>
      <w:r>
        <w:rPr>
          <w:rFonts w:hint="default" w:ascii="Times New Roman" w:hAnsi="Times New Roman" w:eastAsia="宋体" w:cs="Times New Roman"/>
          <w:color w:val="000000"/>
          <w:kern w:val="0"/>
          <w:sz w:val="15"/>
          <w:szCs w:val="15"/>
          <w:lang w:val="en-US" w:eastAsia="zh-CN" w:bidi="ar"/>
        </w:rPr>
        <w:t>2</w:t>
      </w:r>
      <w:r>
        <w:rPr>
          <w:rFonts w:hint="eastAsia" w:ascii="宋体" w:hAnsi="宋体" w:eastAsia="宋体" w:cs="宋体"/>
          <w:color w:val="000000"/>
          <w:kern w:val="0"/>
          <w:sz w:val="24"/>
          <w:szCs w:val="24"/>
          <w:lang w:val="en-US" w:eastAsia="zh-CN" w:bidi="ar"/>
        </w:rPr>
        <w:t>回收系统采用分子筛干燥剂，</w:t>
      </w:r>
      <w:r>
        <w:rPr>
          <w:rFonts w:hint="eastAsia" w:ascii="宋体" w:hAnsi="宋体" w:cs="宋体"/>
          <w:color w:val="000000"/>
          <w:kern w:val="0"/>
          <w:sz w:val="24"/>
          <w:szCs w:val="24"/>
          <w:lang w:val="en-US" w:eastAsia="zh-CN" w:bidi="ar"/>
        </w:rPr>
        <w:t>分子筛</w:t>
      </w:r>
      <w:r>
        <w:rPr>
          <w:rFonts w:hint="eastAsia" w:ascii="宋体" w:hAnsi="宋体" w:eastAsia="宋体" w:cs="宋体"/>
          <w:color w:val="000000"/>
          <w:kern w:val="0"/>
          <w:sz w:val="24"/>
          <w:szCs w:val="24"/>
          <w:lang w:val="en-US" w:eastAsia="zh-CN" w:bidi="ar"/>
        </w:rPr>
        <w:t>是一种碱金属硅铝酸盐</w:t>
      </w:r>
      <w:r>
        <w:rPr>
          <w:rFonts w:hint="eastAsia" w:ascii="宋体" w:hAnsi="宋体" w:cs="宋体"/>
          <w:color w:val="000000"/>
          <w:kern w:val="0"/>
          <w:sz w:val="24"/>
          <w:szCs w:val="24"/>
          <w:lang w:val="en-US" w:eastAsia="zh-CN" w:bidi="ar"/>
        </w:rPr>
        <w:t>，具有立方晶格、微孔结构的白色粉末或颗粒，无味、无臭、无毒、无腐蚀性。</w:t>
      </w:r>
      <w:r>
        <w:rPr>
          <w:rFonts w:hint="eastAsia" w:ascii="宋体" w:hAnsi="宋体" w:eastAsia="宋体" w:cs="宋体"/>
          <w:color w:val="000000"/>
          <w:kern w:val="0"/>
          <w:sz w:val="24"/>
          <w:szCs w:val="24"/>
          <w:lang w:val="en-US" w:eastAsia="zh-CN" w:bidi="ar"/>
        </w:rPr>
        <w:t xml:space="preserve">废干燥剂产生量为 </w:t>
      </w:r>
      <w:r>
        <w:rPr>
          <w:rFonts w:hint="default" w:ascii="Times New Roman" w:hAnsi="Times New Roman" w:eastAsia="宋体" w:cs="Times New Roman"/>
          <w:color w:val="000000"/>
          <w:kern w:val="0"/>
          <w:sz w:val="24"/>
          <w:szCs w:val="24"/>
          <w:lang w:val="en-US" w:eastAsia="zh-CN" w:bidi="ar"/>
        </w:rPr>
        <w:t>0.5t/a</w:t>
      </w:r>
      <w:r>
        <w:rPr>
          <w:rFonts w:hint="eastAsia" w:ascii="宋体" w:hAnsi="宋体" w:eastAsia="宋体" w:cs="宋体"/>
          <w:color w:val="000000"/>
          <w:kern w:val="0"/>
          <w:sz w:val="24"/>
          <w:szCs w:val="24"/>
          <w:lang w:val="en-US" w:eastAsia="zh-CN" w:bidi="ar"/>
        </w:rPr>
        <w:t>。废分子筛和废活性炭属于一般固废，</w:t>
      </w: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r>
        <w:rPr>
          <w:rFonts w:hint="eastAsia" w:ascii="宋体" w:hAnsi="宋体" w:eastAsia="宋体" w:cs="宋体"/>
          <w:color w:val="000000"/>
          <w:kern w:val="0"/>
          <w:sz w:val="24"/>
          <w:szCs w:val="24"/>
          <w:lang w:val="en-US" w:eastAsia="zh-CN" w:bidi="ar"/>
        </w:rPr>
        <w:t>。</w:t>
      </w:r>
    </w:p>
    <w:p w14:paraId="5E19AE8D">
      <w:pPr>
        <w:spacing w:line="360" w:lineRule="auto"/>
        <w:rPr>
          <w:rFonts w:hint="eastAsia"/>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三、危险废物</w:t>
      </w:r>
    </w:p>
    <w:p w14:paraId="3F6E833C">
      <w:pPr>
        <w:spacing w:line="360" w:lineRule="auto"/>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1、废危化品包装材料</w:t>
      </w:r>
    </w:p>
    <w:p w14:paraId="7BA3B403">
      <w:pPr>
        <w:keepNext w:val="0"/>
        <w:keepLines w:val="0"/>
        <w:widowControl/>
        <w:suppressLineNumbers w:val="0"/>
        <w:jc w:val="left"/>
      </w:pPr>
      <w:r>
        <w:rPr>
          <w:rFonts w:hint="eastAsia" w:ascii="宋体" w:hAnsi="宋体" w:eastAsia="宋体" w:cs="宋体"/>
          <w:color w:val="000000"/>
          <w:kern w:val="0"/>
          <w:sz w:val="24"/>
          <w:szCs w:val="24"/>
          <w:lang w:val="en-US" w:eastAsia="zh-CN" w:bidi="ar"/>
        </w:rPr>
        <w:t xml:space="preserve">本项目使用的氢氧化钠、硝酸、过氧乙酸、盐酸等属于危化品，废危化品包装材料总重量约为 </w:t>
      </w:r>
      <w:r>
        <w:rPr>
          <w:rFonts w:hint="default" w:ascii="Times New Roman" w:hAnsi="Times New Roman" w:eastAsia="宋体" w:cs="Times New Roman"/>
          <w:color w:val="000000"/>
          <w:kern w:val="0"/>
          <w:sz w:val="24"/>
          <w:szCs w:val="24"/>
          <w:lang w:val="en-US" w:eastAsia="zh-CN" w:bidi="ar"/>
        </w:rPr>
        <w:t>0.5t/a</w:t>
      </w:r>
      <w:r>
        <w:rPr>
          <w:rFonts w:hint="eastAsia" w:ascii="宋体" w:hAnsi="宋体" w:eastAsia="宋体" w:cs="宋体"/>
          <w:color w:val="000000"/>
          <w:kern w:val="0"/>
          <w:sz w:val="24"/>
          <w:szCs w:val="24"/>
          <w:lang w:val="en-US" w:eastAsia="zh-CN" w:bidi="ar"/>
        </w:rPr>
        <w:t xml:space="preserve">。 </w:t>
      </w:r>
    </w:p>
    <w:p w14:paraId="7C0AA272">
      <w:pPr>
        <w:spacing w:line="360" w:lineRule="auto"/>
        <w:rPr>
          <w:color w:val="000000" w:themeColor="text1"/>
          <w14:textFill>
            <w14:solidFill>
              <w14:schemeClr w14:val="tx1"/>
            </w14:solidFill>
          </w14:textFill>
        </w:rPr>
      </w:pPr>
      <w:r>
        <w:rPr>
          <w:rFonts w:hint="eastAsia" w:ascii="宋体" w:hAnsi="宋体" w:eastAsia="宋体" w:cs="宋体"/>
          <w:color w:val="000000"/>
          <w:kern w:val="0"/>
          <w:sz w:val="24"/>
          <w:szCs w:val="24"/>
          <w:lang w:val="en-US" w:eastAsia="zh-CN" w:bidi="ar"/>
        </w:rPr>
        <w:t>根据《国家危险废物名录》（</w:t>
      </w:r>
      <w:r>
        <w:rPr>
          <w:rFonts w:hint="default" w:ascii="Times New Roman" w:hAnsi="Times New Roman" w:eastAsia="宋体" w:cs="Times New Roman"/>
          <w:color w:val="000000"/>
          <w:kern w:val="0"/>
          <w:sz w:val="24"/>
          <w:szCs w:val="24"/>
          <w:lang w:val="en-US" w:eastAsia="zh-CN" w:bidi="ar"/>
        </w:rPr>
        <w:t xml:space="preserve">2025 </w:t>
      </w:r>
      <w:r>
        <w:rPr>
          <w:rFonts w:hint="eastAsia" w:ascii="宋体" w:hAnsi="宋体" w:eastAsia="宋体" w:cs="宋体"/>
          <w:color w:val="000000"/>
          <w:kern w:val="0"/>
          <w:sz w:val="24"/>
          <w:szCs w:val="24"/>
          <w:lang w:val="en-US" w:eastAsia="zh-CN" w:bidi="ar"/>
        </w:rPr>
        <w:t xml:space="preserve">年版），废危化品包装材料属于危险废物，危废代码为 </w:t>
      </w:r>
      <w:r>
        <w:rPr>
          <w:rFonts w:hint="default" w:ascii="Times New Roman" w:hAnsi="Times New Roman" w:eastAsia="宋体" w:cs="Times New Roman"/>
          <w:color w:val="000000"/>
          <w:kern w:val="0"/>
          <w:sz w:val="24"/>
          <w:szCs w:val="24"/>
          <w:lang w:val="en-US" w:eastAsia="zh-CN" w:bidi="ar"/>
        </w:rPr>
        <w:t>900-041-49</w:t>
      </w:r>
      <w:r>
        <w:rPr>
          <w:rFonts w:hint="eastAsia" w:ascii="宋体" w:hAnsi="宋体" w:eastAsia="宋体" w:cs="宋体"/>
          <w:color w:val="000000"/>
          <w:kern w:val="0"/>
          <w:sz w:val="24"/>
          <w:szCs w:val="24"/>
          <w:lang w:val="en-US" w:eastAsia="zh-CN" w:bidi="ar"/>
        </w:rPr>
        <w:t>，</w:t>
      </w:r>
      <w:r>
        <w:rPr>
          <w:rFonts w:hint="eastAsia"/>
          <w:color w:val="000000" w:themeColor="text1"/>
          <w14:textFill>
            <w14:solidFill>
              <w14:schemeClr w14:val="tx1"/>
            </w14:solidFill>
          </w14:textFill>
        </w:rPr>
        <w:t>暂存于危险废物贮存点，定期委托有资质单位处置。</w:t>
      </w:r>
    </w:p>
    <w:p w14:paraId="67937C47">
      <w:pPr>
        <w:spacing w:line="360" w:lineRule="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化验室废液</w:t>
      </w:r>
    </w:p>
    <w:p w14:paraId="1528A226">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本项目化验室废液产生量约为0.</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t/a，暂存于危险废物贮存点，定期委托有资质单位处置。</w:t>
      </w:r>
      <w:r>
        <w:rPr>
          <w:rFonts w:hint="eastAsia"/>
          <w:color w:val="000000" w:themeColor="text1"/>
          <w:lang w:val="en-US" w:eastAsia="zh-CN"/>
          <w14:textFill>
            <w14:solidFill>
              <w14:schemeClr w14:val="tx1"/>
            </w14:solidFill>
          </w14:textFill>
        </w:rPr>
        <w:t>根据《国家危险废物名录》（</w:t>
      </w:r>
      <w:r>
        <w:rPr>
          <w:rFonts w:hint="default"/>
          <w:color w:val="000000" w:themeColor="text1"/>
          <w:lang w:val="en-US" w:eastAsia="zh-CN"/>
          <w14:textFill>
            <w14:solidFill>
              <w14:schemeClr w14:val="tx1"/>
            </w14:solidFill>
          </w14:textFill>
        </w:rPr>
        <w:t xml:space="preserve">2025 </w:t>
      </w:r>
      <w:r>
        <w:rPr>
          <w:rFonts w:hint="eastAsia"/>
          <w:color w:val="000000" w:themeColor="text1"/>
          <w:lang w:val="en-US" w:eastAsia="zh-CN"/>
          <w14:textFill>
            <w14:solidFill>
              <w14:schemeClr w14:val="tx1"/>
            </w14:solidFill>
          </w14:textFill>
        </w:rPr>
        <w:t xml:space="preserve">年版），废危化品包装材料属于危险废物，危废代码为 </w:t>
      </w:r>
      <w:r>
        <w:rPr>
          <w:rFonts w:hint="default"/>
          <w:color w:val="000000" w:themeColor="text1"/>
          <w:lang w:val="en-US" w:eastAsia="zh-CN"/>
          <w14:textFill>
            <w14:solidFill>
              <w14:schemeClr w14:val="tx1"/>
            </w14:solidFill>
          </w14:textFill>
        </w:rPr>
        <w:t>900-04</w:t>
      </w:r>
      <w:r>
        <w:rPr>
          <w:rFonts w:hint="eastAsia"/>
          <w:color w:val="000000" w:themeColor="text1"/>
          <w:lang w:val="en-US" w:eastAsia="zh-CN"/>
          <w14:textFill>
            <w14:solidFill>
              <w14:schemeClr w14:val="tx1"/>
            </w14:solidFill>
          </w14:textFill>
        </w:rPr>
        <w:t>7</w:t>
      </w:r>
      <w:r>
        <w:rPr>
          <w:rFonts w:hint="default"/>
          <w:color w:val="000000" w:themeColor="text1"/>
          <w:lang w:val="en-US" w:eastAsia="zh-CN"/>
          <w14:textFill>
            <w14:solidFill>
              <w14:schemeClr w14:val="tx1"/>
            </w14:solidFill>
          </w14:textFill>
        </w:rPr>
        <w:t>-49</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暂存于危险废物贮存点，定期委托有资质单位处置。</w:t>
      </w:r>
    </w:p>
    <w:p w14:paraId="2052A67C">
      <w:pPr>
        <w:spacing w:line="360" w:lineRule="auto"/>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3、废机油</w:t>
      </w:r>
    </w:p>
    <w:p w14:paraId="4D55DCC9">
      <w:pPr>
        <w:keepNext w:val="0"/>
        <w:keepLines w:val="0"/>
        <w:widowControl/>
        <w:suppressLineNumbers w:val="0"/>
        <w:jc w:val="both"/>
        <w:rPr>
          <w:color w:val="000000" w:themeColor="text1"/>
          <w14:textFill>
            <w14:solidFill>
              <w14:schemeClr w14:val="tx1"/>
            </w14:solidFill>
          </w14:textFill>
        </w:rPr>
      </w:pPr>
      <w:r>
        <w:rPr>
          <w:rFonts w:hint="eastAsia" w:ascii="宋体" w:hAnsi="宋体" w:eastAsia="宋体" w:cs="宋体"/>
          <w:color w:val="000000"/>
          <w:kern w:val="0"/>
          <w:sz w:val="24"/>
          <w:szCs w:val="24"/>
          <w:lang w:val="en-US" w:eastAsia="zh-CN" w:bidi="ar"/>
        </w:rPr>
        <w:t xml:space="preserve">本项目废机油产生量约为 </w:t>
      </w:r>
      <w:r>
        <w:rPr>
          <w:rFonts w:hint="default" w:ascii="Times New Roman" w:hAnsi="Times New Roman" w:eastAsia="宋体" w:cs="Times New Roman"/>
          <w:color w:val="000000"/>
          <w:kern w:val="0"/>
          <w:sz w:val="24"/>
          <w:szCs w:val="24"/>
          <w:lang w:val="en-US" w:eastAsia="zh-CN" w:bidi="ar"/>
        </w:rPr>
        <w:t>0.8t/a</w:t>
      </w:r>
      <w:r>
        <w:rPr>
          <w:rFonts w:hint="eastAsia" w:ascii="宋体" w:hAnsi="宋体" w:eastAsia="宋体" w:cs="宋体"/>
          <w:color w:val="000000"/>
          <w:kern w:val="0"/>
          <w:sz w:val="24"/>
          <w:szCs w:val="24"/>
          <w:lang w:val="en-US" w:eastAsia="zh-CN" w:bidi="ar"/>
        </w:rPr>
        <w:t>。根据《国家危险废物名录》（</w:t>
      </w:r>
      <w:r>
        <w:rPr>
          <w:rFonts w:hint="default" w:ascii="Times New Roman" w:hAnsi="Times New Roman" w:eastAsia="宋体" w:cs="Times New Roman"/>
          <w:color w:val="000000"/>
          <w:kern w:val="0"/>
          <w:sz w:val="24"/>
          <w:szCs w:val="24"/>
          <w:lang w:val="en-US" w:eastAsia="zh-CN" w:bidi="ar"/>
        </w:rPr>
        <w:t xml:space="preserve">2025 </w:t>
      </w:r>
      <w:r>
        <w:rPr>
          <w:rFonts w:hint="eastAsia" w:ascii="宋体" w:hAnsi="宋体" w:eastAsia="宋体" w:cs="宋体"/>
          <w:color w:val="000000"/>
          <w:kern w:val="0"/>
          <w:sz w:val="24"/>
          <w:szCs w:val="24"/>
          <w:lang w:val="en-US" w:eastAsia="zh-CN" w:bidi="ar"/>
        </w:rPr>
        <w:t>年版），废机油属于危险废物，</w:t>
      </w:r>
      <w:r>
        <w:rPr>
          <w:rFonts w:hint="eastAsia"/>
          <w:color w:val="000000" w:themeColor="text1"/>
          <w:lang w:val="en-US" w:eastAsia="zh-CN"/>
          <w14:textFill>
            <w14:solidFill>
              <w14:schemeClr w14:val="tx1"/>
            </w14:solidFill>
          </w14:textFill>
        </w:rPr>
        <w:t xml:space="preserve">危废代码为 </w:t>
      </w:r>
      <w:r>
        <w:rPr>
          <w:rFonts w:hint="default"/>
          <w:color w:val="000000" w:themeColor="text1"/>
          <w:lang w:val="en-US" w:eastAsia="zh-CN"/>
          <w14:textFill>
            <w14:solidFill>
              <w14:schemeClr w14:val="tx1"/>
            </w14:solidFill>
          </w14:textFill>
        </w:rPr>
        <w:t>900-2</w:t>
      </w:r>
      <w:r>
        <w:rPr>
          <w:rFonts w:hint="eastAsia"/>
          <w:color w:val="000000" w:themeColor="text1"/>
          <w:lang w:val="en-US" w:eastAsia="zh-CN"/>
          <w14:textFill>
            <w14:solidFill>
              <w14:schemeClr w14:val="tx1"/>
            </w14:solidFill>
          </w14:textFill>
        </w:rPr>
        <w:t>14</w:t>
      </w:r>
      <w:r>
        <w:rPr>
          <w:rFonts w:hint="default"/>
          <w:color w:val="000000" w:themeColor="text1"/>
          <w:lang w:val="en-US" w:eastAsia="zh-CN"/>
          <w14:textFill>
            <w14:solidFill>
              <w14:schemeClr w14:val="tx1"/>
            </w14:solidFill>
          </w14:textFill>
        </w:rPr>
        <w:t>-08</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暂存于危险废物贮存点，定期委托有资质单位处置。</w:t>
      </w:r>
    </w:p>
    <w:p w14:paraId="78698274">
      <w:pPr>
        <w:numPr>
          <w:ilvl w:val="0"/>
          <w:numId w:val="0"/>
        </w:numPr>
        <w:spacing w:line="360" w:lineRule="auto"/>
        <w:ind w:left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4、废机油桶</w:t>
      </w:r>
    </w:p>
    <w:p w14:paraId="09B8A132">
      <w:pPr>
        <w:keepNext w:val="0"/>
        <w:keepLines w:val="0"/>
        <w:widowControl/>
        <w:suppressLineNumbers w:val="0"/>
        <w:jc w:val="both"/>
      </w:pPr>
      <w:r>
        <w:rPr>
          <w:rFonts w:hint="eastAsia" w:ascii="宋体" w:hAnsi="宋体" w:eastAsia="宋体" w:cs="宋体"/>
          <w:color w:val="000000"/>
          <w:kern w:val="0"/>
          <w:sz w:val="24"/>
          <w:szCs w:val="24"/>
          <w:lang w:val="en-US" w:eastAsia="zh-CN" w:bidi="ar"/>
        </w:rPr>
        <w:t xml:space="preserve">机油使用完后将产生一定量的废机油桶（铁质桶），年产生废机油桶 </w:t>
      </w:r>
      <w:r>
        <w:rPr>
          <w:rFonts w:hint="default" w:ascii="Times New Roman" w:hAnsi="Times New Roman" w:eastAsia="宋体" w:cs="Times New Roman"/>
          <w:color w:val="000000"/>
          <w:kern w:val="0"/>
          <w:sz w:val="24"/>
          <w:szCs w:val="24"/>
          <w:lang w:val="en-US" w:eastAsia="zh-CN" w:bidi="ar"/>
        </w:rPr>
        <w:t>0.1t/a</w:t>
      </w:r>
      <w:r>
        <w:rPr>
          <w:rFonts w:hint="eastAsia" w:ascii="宋体" w:hAnsi="宋体" w:eastAsia="宋体" w:cs="宋体"/>
          <w:color w:val="000000"/>
          <w:kern w:val="0"/>
          <w:sz w:val="24"/>
          <w:szCs w:val="24"/>
          <w:lang w:val="en-US" w:eastAsia="zh-CN" w:bidi="ar"/>
        </w:rPr>
        <w:t>。根据《国家危险废物名录》（</w:t>
      </w:r>
      <w:r>
        <w:rPr>
          <w:rFonts w:hint="default" w:ascii="Times New Roman" w:hAnsi="Times New Roman" w:eastAsia="宋体" w:cs="Times New Roman"/>
          <w:color w:val="000000"/>
          <w:kern w:val="0"/>
          <w:sz w:val="24"/>
          <w:szCs w:val="24"/>
          <w:lang w:val="en-US" w:eastAsia="zh-CN" w:bidi="ar"/>
        </w:rPr>
        <w:t xml:space="preserve">2025 </w:t>
      </w:r>
      <w:r>
        <w:rPr>
          <w:rFonts w:hint="eastAsia" w:ascii="宋体" w:hAnsi="宋体" w:eastAsia="宋体" w:cs="宋体"/>
          <w:color w:val="000000"/>
          <w:kern w:val="0"/>
          <w:sz w:val="24"/>
          <w:szCs w:val="24"/>
          <w:lang w:val="en-US" w:eastAsia="zh-CN" w:bidi="ar"/>
        </w:rPr>
        <w:t xml:space="preserve">年版），废机油桶属于危险废物，危废代码为 </w:t>
      </w:r>
      <w:r>
        <w:rPr>
          <w:rFonts w:hint="default" w:ascii="Times New Roman" w:hAnsi="Times New Roman" w:eastAsia="宋体" w:cs="Times New Roman"/>
          <w:color w:val="000000"/>
          <w:kern w:val="0"/>
          <w:sz w:val="24"/>
          <w:szCs w:val="24"/>
          <w:lang w:val="en-US" w:eastAsia="zh-CN" w:bidi="ar"/>
        </w:rPr>
        <w:t>900-249-08</w:t>
      </w:r>
      <w:r>
        <w:rPr>
          <w:rFonts w:hint="eastAsia" w:ascii="宋体" w:hAnsi="宋体" w:eastAsia="宋体" w:cs="宋体"/>
          <w:color w:val="000000"/>
          <w:kern w:val="0"/>
          <w:sz w:val="24"/>
          <w:szCs w:val="24"/>
          <w:lang w:val="en-US" w:eastAsia="zh-CN" w:bidi="ar"/>
        </w:rPr>
        <w:t>，</w:t>
      </w:r>
      <w:r>
        <w:rPr>
          <w:rFonts w:hint="eastAsia"/>
          <w:color w:val="000000" w:themeColor="text1"/>
          <w14:textFill>
            <w14:solidFill>
              <w14:schemeClr w14:val="tx1"/>
            </w14:solidFill>
          </w14:textFill>
        </w:rPr>
        <w:t>暂存于危险废物贮存点，定期委托有资质单位处置</w:t>
      </w:r>
      <w:r>
        <w:rPr>
          <w:rFonts w:hint="eastAsia" w:ascii="宋体" w:hAnsi="宋体" w:eastAsia="宋体" w:cs="宋体"/>
          <w:color w:val="000000"/>
          <w:kern w:val="0"/>
          <w:sz w:val="24"/>
          <w:szCs w:val="24"/>
          <w:lang w:val="en-US" w:eastAsia="zh-CN" w:bidi="ar"/>
        </w:rPr>
        <w:t>。</w:t>
      </w:r>
    </w:p>
    <w:p w14:paraId="56BDE966">
      <w:pPr>
        <w:spacing w:line="360" w:lineRule="auto"/>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5、废含油抹布手套</w:t>
      </w:r>
    </w:p>
    <w:p w14:paraId="1D126B54">
      <w:pPr>
        <w:keepNext w:val="0"/>
        <w:keepLines w:val="0"/>
        <w:widowControl/>
        <w:suppressLineNumbers w:val="0"/>
        <w:jc w:val="left"/>
      </w:pPr>
      <w:r>
        <w:rPr>
          <w:rFonts w:hint="eastAsia" w:ascii="宋体" w:hAnsi="宋体" w:eastAsia="宋体" w:cs="宋体"/>
          <w:color w:val="000000"/>
          <w:kern w:val="0"/>
          <w:sz w:val="24"/>
          <w:szCs w:val="24"/>
          <w:lang w:val="en-US" w:eastAsia="zh-CN" w:bidi="ar"/>
        </w:rPr>
        <w:t xml:space="preserve">本项目在设备维修和保养过程将产生一定量的含机油抹布手套，年产生量约为 </w:t>
      </w:r>
      <w:r>
        <w:rPr>
          <w:rFonts w:hint="default" w:ascii="Times New Roman" w:hAnsi="Times New Roman" w:eastAsia="宋体" w:cs="Times New Roman"/>
          <w:color w:val="000000"/>
          <w:kern w:val="0"/>
          <w:sz w:val="24"/>
          <w:szCs w:val="24"/>
          <w:lang w:val="en-US" w:eastAsia="zh-CN" w:bidi="ar"/>
        </w:rPr>
        <w:t>0.2t/a</w:t>
      </w:r>
      <w:r>
        <w:rPr>
          <w:rFonts w:hint="eastAsia" w:ascii="宋体" w:hAnsi="宋体" w:eastAsia="宋体" w:cs="宋体"/>
          <w:color w:val="000000"/>
          <w:kern w:val="0"/>
          <w:sz w:val="24"/>
          <w:szCs w:val="24"/>
          <w:lang w:val="en-US" w:eastAsia="zh-CN" w:bidi="ar"/>
        </w:rPr>
        <w:t xml:space="preserve">。 </w:t>
      </w:r>
    </w:p>
    <w:p w14:paraId="74B25FC3">
      <w:pPr>
        <w:keepNext w:val="0"/>
        <w:keepLines w:val="0"/>
        <w:widowControl/>
        <w:suppressLineNumbers w:val="0"/>
        <w:jc w:val="left"/>
      </w:pPr>
      <w:r>
        <w:rPr>
          <w:rFonts w:hint="eastAsia" w:ascii="宋体" w:hAnsi="宋体" w:eastAsia="宋体" w:cs="宋体"/>
          <w:color w:val="000000"/>
          <w:kern w:val="0"/>
          <w:sz w:val="24"/>
          <w:szCs w:val="24"/>
          <w:lang w:val="en-US" w:eastAsia="zh-CN" w:bidi="ar"/>
        </w:rPr>
        <w:t>根据《国家危险废物名录》（</w:t>
      </w:r>
      <w:r>
        <w:rPr>
          <w:rFonts w:hint="default" w:ascii="Times New Roman" w:hAnsi="Times New Roman" w:eastAsia="宋体" w:cs="Times New Roman"/>
          <w:color w:val="000000"/>
          <w:kern w:val="0"/>
          <w:sz w:val="24"/>
          <w:szCs w:val="24"/>
          <w:lang w:val="en-US" w:eastAsia="zh-CN" w:bidi="ar"/>
        </w:rPr>
        <w:t xml:space="preserve">2025 </w:t>
      </w:r>
      <w:r>
        <w:rPr>
          <w:rFonts w:hint="eastAsia" w:ascii="宋体" w:hAnsi="宋体" w:eastAsia="宋体" w:cs="宋体"/>
          <w:color w:val="000000"/>
          <w:kern w:val="0"/>
          <w:sz w:val="24"/>
          <w:szCs w:val="24"/>
          <w:lang w:val="en-US" w:eastAsia="zh-CN" w:bidi="ar"/>
        </w:rPr>
        <w:t>年版），废含油抹布手套属于危险废物，</w:t>
      </w:r>
      <w:r>
        <w:rPr>
          <w:rFonts w:hint="eastAsia"/>
          <w:color w:val="000000" w:themeColor="text1"/>
          <w:lang w:val="en-US" w:eastAsia="zh-CN"/>
          <w14:textFill>
            <w14:solidFill>
              <w14:schemeClr w14:val="tx1"/>
            </w14:solidFill>
          </w14:textFill>
        </w:rPr>
        <w:t xml:space="preserve">危废代码为 </w:t>
      </w:r>
      <w:r>
        <w:rPr>
          <w:rFonts w:hint="default"/>
          <w:color w:val="000000" w:themeColor="text1"/>
          <w:lang w:val="en-US" w:eastAsia="zh-CN"/>
          <w14:textFill>
            <w14:solidFill>
              <w14:schemeClr w14:val="tx1"/>
            </w14:solidFill>
          </w14:textFill>
        </w:rPr>
        <w:t>900-</w:t>
      </w:r>
      <w:r>
        <w:rPr>
          <w:rFonts w:hint="eastAsia"/>
          <w:color w:val="000000" w:themeColor="text1"/>
          <w:lang w:val="en-US" w:eastAsia="zh-CN"/>
          <w14:textFill>
            <w14:solidFill>
              <w14:schemeClr w14:val="tx1"/>
            </w14:solidFill>
          </w14:textFill>
        </w:rPr>
        <w:t>249</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08，</w:t>
      </w:r>
      <w:r>
        <w:rPr>
          <w:rFonts w:hint="eastAsia"/>
          <w:color w:val="000000" w:themeColor="text1"/>
          <w14:textFill>
            <w14:solidFill>
              <w14:schemeClr w14:val="tx1"/>
            </w14:solidFill>
          </w14:textFill>
        </w:rPr>
        <w:t>暂存于危险废物贮存点，定期委托有资质单位处置</w:t>
      </w:r>
      <w:r>
        <w:rPr>
          <w:color w:val="000000" w:themeColor="text1"/>
          <w14:textFill>
            <w14:solidFill>
              <w14:schemeClr w14:val="tx1"/>
            </w14:solidFill>
          </w14:textFill>
        </w:rPr>
        <w:t>。</w:t>
      </w:r>
    </w:p>
    <w:p w14:paraId="778BDE13">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.2.5.2</w:t>
      </w:r>
      <w:r>
        <w:rPr>
          <w:rFonts w:hint="eastAsia"/>
          <w:color w:val="000000" w:themeColor="text1"/>
          <w14:textFill>
            <w14:solidFill>
              <w14:schemeClr w14:val="tx1"/>
            </w14:solidFill>
          </w14:textFill>
        </w:rPr>
        <w:t>一般工业固体废物影响分析</w:t>
      </w:r>
    </w:p>
    <w:p w14:paraId="0887A8B1">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根据《一般工业固体废物贮存和填埋污染控制标准》（GB18599-2020）及《中华人民共和国固体废物污染环境防治法》（2020.4.29发布）要求，本项目建成后，应建立一般固体废物暂存区，应一并建立健全工业固体废物产生、收集、贮存、运输、利用、处置全过程的污染环境防治责任制度，建立工业固体废物管理台账，如实记录产生工业固体废物的种类、数量、流向、贮存、利用、处置等信息，实现工业固体废物可追溯、可查询，并采取如下防治工业固体废物污染环境的措施：</w:t>
      </w:r>
    </w:p>
    <w:p w14:paraId="575F48A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（1）贮存场所应采取防雨淋、扬散、流失、渗漏等防范措施；</w:t>
      </w:r>
    </w:p>
    <w:p w14:paraId="7D73B510">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（2）建立检查维护制度。定期检查，发现有损坏可能或异常，及时采取必要处理，以保障正常运行；</w:t>
      </w:r>
    </w:p>
    <w:p w14:paraId="17283DF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（3）各单元一般工业固体废物的产生、贮存及处置处理情况建立相应台账；</w:t>
      </w:r>
    </w:p>
    <w:p w14:paraId="6AE88209">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.2.5.3</w:t>
      </w:r>
      <w:r>
        <w:rPr>
          <w:rFonts w:hint="eastAsia"/>
          <w:color w:val="000000" w:themeColor="text1"/>
          <w14:textFill>
            <w14:solidFill>
              <w14:schemeClr w14:val="tx1"/>
            </w14:solidFill>
          </w14:textFill>
        </w:rPr>
        <w:t>危险废物影响分析</w:t>
      </w:r>
    </w:p>
    <w:p w14:paraId="4AFB87FA">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根据H</w:t>
      </w:r>
      <w:r>
        <w:rPr>
          <w:color w:val="000000" w:themeColor="text1"/>
          <w14:textFill>
            <w14:solidFill>
              <w14:schemeClr w14:val="tx1"/>
            </w14:solidFill>
          </w14:textFill>
        </w:rPr>
        <w:t>J1259</w:t>
      </w:r>
      <w:r>
        <w:rPr>
          <w:rFonts w:hint="eastAsia"/>
          <w:color w:val="000000" w:themeColor="text1"/>
          <w14:textFill>
            <w14:solidFill>
              <w14:schemeClr w14:val="tx1"/>
            </w14:solidFill>
          </w14:textFill>
        </w:rPr>
        <w:t>规定，本项目属于同一生产经营场所危险废物年产生量10t以下且未纳入危险废物环境重点监管单位的单位，因此属于《危险废物贮存污染控制标准》（GB 18597-2023）中“贮存点”类别，本项目设立危险废物贮存点1处，实时贮存量不应超过3吨，建筑面积为</w:t>
      </w:r>
      <w:r>
        <w:rPr>
          <w:color w:val="000000" w:themeColor="text1"/>
          <w14:textFill>
            <w14:solidFill>
              <w14:schemeClr w14:val="tx1"/>
            </w14:solidFill>
          </w14:textFill>
        </w:rPr>
        <w:t>6</w:t>
      </w:r>
      <w:r>
        <w:rPr>
          <w:rFonts w:hint="eastAsia"/>
          <w:color w:val="000000" w:themeColor="text1"/>
          <w14:textFill>
            <w14:solidFill>
              <w14:schemeClr w14:val="tx1"/>
            </w14:solidFill>
          </w14:textFill>
        </w:rPr>
        <w:t>m</w:t>
      </w:r>
      <w:r>
        <w:rPr>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。根据《危险废物贮存污染控制标准》（GB 18597-2023），本项目危险废物贮存点建设及运营期环境管理要求如下。</w:t>
      </w:r>
    </w:p>
    <w:p w14:paraId="3EC5B95E">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1、危险废物的贮存场所环境影响分析</w:t>
      </w:r>
    </w:p>
    <w:p w14:paraId="434652C1">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本项目产生的危险废物贮存于危废贮存</w:t>
      </w:r>
      <w:r>
        <w:rPr>
          <w:rFonts w:hint="eastAsia"/>
          <w:color w:val="000000" w:themeColor="text1"/>
          <w:lang w:val="en-US" w:eastAsia="zh-CN"/>
          <w14:textFill>
            <w14:solidFill>
              <w14:schemeClr w14:val="tx1"/>
            </w14:solidFill>
          </w14:textFill>
        </w:rPr>
        <w:t>点</w:t>
      </w:r>
      <w:r>
        <w:rPr>
          <w:rFonts w:hint="eastAsia"/>
          <w:color w:val="000000" w:themeColor="text1"/>
          <w14:textFill>
            <w14:solidFill>
              <w14:schemeClr w14:val="tx1"/>
            </w14:solidFill>
          </w14:textFill>
        </w:rPr>
        <w:t>，位于</w:t>
      </w:r>
      <w:r>
        <w:rPr>
          <w:rFonts w:hint="eastAsia"/>
          <w:color w:val="000000" w:themeColor="text1"/>
          <w:lang w:val="en-US" w:eastAsia="zh-CN"/>
          <w14:textFill>
            <w14:solidFill>
              <w14:schemeClr w14:val="tx1"/>
            </w14:solidFill>
          </w14:textFill>
        </w:rPr>
        <w:t>包装</w:t>
      </w:r>
      <w:r>
        <w:rPr>
          <w:rFonts w:hint="eastAsia"/>
          <w:color w:val="000000" w:themeColor="text1"/>
          <w14:textFill>
            <w14:solidFill>
              <w14:schemeClr w14:val="tx1"/>
            </w14:solidFill>
          </w14:textFill>
        </w:rPr>
        <w:t>车间内</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项目产生的危险废物进行分类堆放，有明显的危险废物识别标志，通过专用容器及防渗胶袋密封，不同危险废物堆放保持一定的间距，不相容的危险废物堆放区必须有隔离区隔断，同时加强管理，降低异味对周围大气环境的影响。本项目危险废物产生总量约为1</w:t>
      </w:r>
      <w:r>
        <w:rPr>
          <w:rFonts w:hint="eastAsia"/>
          <w:color w:val="000000" w:themeColor="text1"/>
          <w:lang w:val="en-US" w:eastAsia="zh-CN"/>
          <w14:textFill>
            <w14:solidFill>
              <w14:schemeClr w14:val="tx1"/>
            </w14:solidFill>
          </w14:textFill>
        </w:rPr>
        <w:t>.7</w:t>
      </w:r>
      <w:r>
        <w:rPr>
          <w:rFonts w:hint="eastAsia"/>
          <w:color w:val="000000" w:themeColor="text1"/>
          <w14:textFill>
            <w14:solidFill>
              <w14:schemeClr w14:val="tx1"/>
            </w14:solidFill>
          </w14:textFill>
        </w:rPr>
        <w:t>t/a，项目建设的</w:t>
      </w:r>
      <w:r>
        <w:rPr>
          <w:rFonts w:hint="eastAsia"/>
          <w:color w:val="000000" w:themeColor="text1"/>
          <w:lang w:eastAsia="zh-CN"/>
          <w14:textFill>
            <w14:solidFill>
              <w14:schemeClr w14:val="tx1"/>
            </w14:solidFill>
          </w14:textFill>
        </w:rPr>
        <w:t>危废贮存点</w:t>
      </w:r>
      <w:r>
        <w:rPr>
          <w:rFonts w:hint="eastAsia"/>
          <w:color w:val="000000" w:themeColor="text1"/>
          <w14:textFill>
            <w14:solidFill>
              <w14:schemeClr w14:val="tx1"/>
            </w14:solidFill>
          </w14:textFill>
        </w:rPr>
        <w:t>贮存能力为</w:t>
      </w:r>
      <w:r>
        <w:rPr>
          <w:rFonts w:hint="eastAsia"/>
          <w:color w:val="000000" w:themeColor="text1"/>
          <w:lang w:val="en-US" w:eastAsia="zh-CN"/>
          <w14:textFill>
            <w14:solidFill>
              <w14:schemeClr w14:val="tx1"/>
            </w14:solidFill>
          </w14:textFill>
        </w:rPr>
        <w:t>3</w:t>
      </w:r>
      <w:r>
        <w:rPr>
          <w:rFonts w:hint="eastAsia"/>
          <w:color w:val="000000" w:themeColor="text1"/>
          <w14:textFill>
            <w14:solidFill>
              <w14:schemeClr w14:val="tx1"/>
            </w14:solidFill>
          </w14:textFill>
        </w:rPr>
        <w:t>t，本项目危险废物转运次数约为4次，约3个月外运处置一次，一次最大储存量</w:t>
      </w:r>
      <w:r>
        <w:rPr>
          <w:rFonts w:hint="eastAsia"/>
          <w:color w:val="000000" w:themeColor="text1"/>
          <w:lang w:val="en-US" w:eastAsia="zh-CN"/>
          <w14:textFill>
            <w14:solidFill>
              <w14:schemeClr w14:val="tx1"/>
            </w14:solidFill>
          </w14:textFill>
        </w:rPr>
        <w:t>0.425</w:t>
      </w:r>
      <w:r>
        <w:rPr>
          <w:rFonts w:hint="eastAsia"/>
          <w:color w:val="000000" w:themeColor="text1"/>
          <w14:textFill>
            <w14:solidFill>
              <w14:schemeClr w14:val="tx1"/>
            </w14:solidFill>
          </w14:textFill>
        </w:rPr>
        <w:t>t。故危废贮存</w:t>
      </w:r>
      <w:r>
        <w:rPr>
          <w:rFonts w:hint="eastAsia"/>
          <w:color w:val="000000" w:themeColor="text1"/>
          <w:lang w:val="en-US" w:eastAsia="zh-CN"/>
          <w14:textFill>
            <w14:solidFill>
              <w14:schemeClr w14:val="tx1"/>
            </w14:solidFill>
          </w14:textFill>
        </w:rPr>
        <w:t>点</w:t>
      </w:r>
      <w:r>
        <w:rPr>
          <w:rFonts w:hint="eastAsia"/>
          <w:color w:val="000000" w:themeColor="text1"/>
          <w14:textFill>
            <w14:solidFill>
              <w14:schemeClr w14:val="tx1"/>
            </w14:solidFill>
          </w14:textFill>
        </w:rPr>
        <w:t>的容积可满足贮存项目产生的危险废物。</w:t>
      </w:r>
    </w:p>
    <w:p w14:paraId="2E9C6F9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贮存点环境管理要求：贮存点应具有固定的区域边界，并应采取与其他区域进行隔离的措施。贮存点应采取防风、防雨、防晒和防止危险废物流失、扬散等措施。贮存点贮存的危险废物应置于容器或包装物中，不应直接散堆。贮存点应根据危险废物的形态、物理化学性质、包装形式等，采取防渗、防漏等污染防治措施或采用具有相应功能的装置。贮存点应及时清运贮存的危险废物，实时贮存量不应超过3吨。</w:t>
      </w:r>
    </w:p>
    <w:p w14:paraId="4271D1AA">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容器和包装物污染控制要求：容器和包装物材质、内衬应与盛装的危险废物相容。针对不同类别、形态、物理化学性质的危险废物，其容器和包装物应满足相应的防渗、防漏、防腐和强度等要求。硬质容器和包装物及其支护结构堆叠码放时不应有明显变形，无破损泄漏。柔性容器和包装物堆叠码放时应封口严密，无破损泄漏。使用容器盛装液态、半固态危险废物时，容器内部应留有适当的空间，以适应因温度变化等可能引发的收缩和膨胀，防止其导致容器渗漏或永久变形。容器和包装物外表面应保持清洁。</w:t>
      </w:r>
    </w:p>
    <w:p w14:paraId="2385507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rFonts w:hint="eastAsia"/>
          <w:color w:val="000000" w:themeColor="text1"/>
          <w:vertAlign w:val="superscript"/>
          <w14:textFill>
            <w14:solidFill>
              <w14:schemeClr w14:val="tx1"/>
            </w14:solidFill>
          </w14:textFill>
        </w:rPr>
        <w:t>-7</w:t>
      </w:r>
      <w:r>
        <w:rPr>
          <w:rFonts w:hint="eastAsia"/>
          <w:color w:val="000000" w:themeColor="text1"/>
          <w14:textFill>
            <w14:solidFill>
              <w14:schemeClr w14:val="tx1"/>
            </w14:solidFill>
          </w14:textFill>
        </w:rPr>
        <w:t>cm/s），或至少2mm厚高密度聚乙烯膜等人工防渗材料（渗透系数不大于10</w:t>
      </w:r>
      <w:r>
        <w:rPr>
          <w:rFonts w:hint="eastAsia"/>
          <w:color w:val="000000" w:themeColor="text1"/>
          <w:vertAlign w:val="superscript"/>
          <w14:textFill>
            <w14:solidFill>
              <w14:schemeClr w14:val="tx1"/>
            </w14:solidFill>
          </w14:textFill>
        </w:rPr>
        <w:t>-10</w:t>
      </w:r>
      <w:r>
        <w:rPr>
          <w:rFonts w:hint="eastAsia"/>
          <w:color w:val="000000" w:themeColor="text1"/>
          <w14:textFill>
            <w14:solidFill>
              <w14:schemeClr w14:val="tx1"/>
            </w14:solidFill>
          </w14:textFill>
        </w:rPr>
        <w:t>cm/s），或其他防渗性能等效的材料。本项目可选取2mm厚高密度聚乙烯膜等人工防渗材料。</w:t>
      </w:r>
    </w:p>
    <w:p w14:paraId="4C6D63D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危险废物贮存点应根据危险废物的形态、物理化学性质、包装形式和污染物迁移途径，采取必要的防风、防晒、防雨、防漏、防渗、防腐以及其他环境污染防治措施，不应露天堆放危险废物。应具有固定的区域边界，并应采取与其他区域进行隔离的措施。应采取防风、防雨、防晒和防止危险废物流失、扬散等措施。贮存的危险废物应置于容器或包装物中，不应直接散堆。应根据危险废物的形态、物理化学性质、包装形式等，采取防渗、防漏等污染防治措施或采用具有相应功能的装置。</w:t>
      </w:r>
    </w:p>
    <w:p w14:paraId="1B9BEAD3">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污染防控技术要求：包装容器应达到相应的强度要求并完好无损，禁止混合贮存性质不相容而未经安全性处置的危险废物；危险废物容器和包装物以及危险废物贮存设施、场所应按规定设置危险废物识别标志；仓库式贮存设施应分开存放不相容危险废物，按危险废物的种类和特性进行分区贮存，采用防腐、防渗地面和裙脚，设置防止泄露物质扩散至外环境的拦截、导流、收集设施。</w:t>
      </w:r>
    </w:p>
    <w:p w14:paraId="478C7193">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本项目危险废物处置过程应签署回收处理协议，在全国固体废物管理信息系统中申请危废转移联单，危险废物转移前启动联单，运输过程中携带打印盖章的转移联单，转移完成后将联单各联交由对应单位留存，并且建立台账，确保危险废物委托有资质单位统一处理。</w:t>
      </w:r>
    </w:p>
    <w:p w14:paraId="58339780">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危废采用密闭容器包装，采用密闭容器封装后装车运输，委托有资质单位进行集中处置。本项目危险废物采用密闭容器封装，严格执行《危险废物收集贮存 运输技术规范》（HJ2025-2012）中的要求和规定，正常情况下不会产生新的次生污染，运输过程中，主要为运输车辆尾气及扬尘、噪声对周围环境的影响。</w:t>
      </w:r>
    </w:p>
    <w:p w14:paraId="3C4EFC71">
      <w:pPr>
        <w:pStyle w:val="85"/>
        <w:rPr>
          <w:rFonts w:cs="Times New Roman"/>
          <w:snapToGrid w:val="0"/>
          <w:color w:val="000000" w:themeColor="text1"/>
          <w:kern w:val="0"/>
          <w14:textFill>
            <w14:solidFill>
              <w14:schemeClr w14:val="tx1"/>
            </w14:solidFill>
          </w14:textFill>
        </w:rPr>
      </w:pPr>
      <w:r>
        <w:rPr>
          <w:color w:val="000000" w:themeColor="text1"/>
          <w14:textFill>
            <w14:solidFill>
              <w14:schemeClr w14:val="tx1"/>
            </w14:solidFill>
          </w14:textFill>
        </w:rPr>
        <w:t>综上所述，本项目固体废物全部得到妥善处理，不直接排入外环境，满足《一般工业固体废物贮存和填埋污染控制标准》（GB18599-2020）、《危险废物贮存污染控制标准》（GB 18597-2023）中要求。</w:t>
      </w:r>
      <w:r>
        <w:rPr>
          <w:rFonts w:hint="eastAsia"/>
          <w:color w:val="000000" w:themeColor="text1"/>
          <w14:textFill>
            <w14:solidFill>
              <w14:schemeClr w14:val="tx1"/>
            </w14:solidFill>
          </w14:textFill>
        </w:rPr>
        <w:t>因此本项目产生的固废均可得到有效的处置和利用，不会产生二次污染，对项目周围环境不会产生明显不良影响。</w:t>
      </w:r>
    </w:p>
    <w:p w14:paraId="001E647C">
      <w:pPr>
        <w:pStyle w:val="6"/>
        <w:rPr>
          <w:snapToGrid w:val="0"/>
          <w:color w:val="000000" w:themeColor="text1"/>
          <w14:textFill>
            <w14:solidFill>
              <w14:schemeClr w14:val="tx1"/>
            </w14:solidFill>
          </w14:textFill>
        </w:rPr>
      </w:pPr>
      <w:bookmarkStart w:id="274" w:name="_Toc19250"/>
      <w:r>
        <w:rPr>
          <w:snapToGrid w:val="0"/>
          <w:color w:val="000000" w:themeColor="text1"/>
          <w14:textFill>
            <w14:solidFill>
              <w14:schemeClr w14:val="tx1"/>
            </w14:solidFill>
          </w14:textFill>
        </w:rPr>
        <w:t>5.2.6生态影响预测评价</w:t>
      </w:r>
      <w:bookmarkEnd w:id="274"/>
    </w:p>
    <w:p w14:paraId="29B488BD">
      <w:pPr>
        <w:pStyle w:val="85"/>
        <w:rPr>
          <w:rFonts w:hint="eastAsia" w:cs="Times New Roman"/>
          <w:snapToGrid w:val="0"/>
          <w:color w:val="000000" w:themeColor="text1"/>
          <w:kern w:val="0"/>
          <w14:textFill>
            <w14:solidFill>
              <w14:schemeClr w14:val="tx1"/>
            </w14:solidFill>
          </w14:textFill>
        </w:rPr>
      </w:pPr>
      <w:r>
        <w:rPr>
          <w:rFonts w:hint="eastAsia" w:cs="Times New Roman"/>
          <w:snapToGrid w:val="0"/>
          <w:color w:val="000000" w:themeColor="text1"/>
          <w:kern w:val="0"/>
          <w14:textFill>
            <w14:solidFill>
              <w14:schemeClr w14:val="tx1"/>
            </w14:solidFill>
          </w14:textFill>
        </w:rPr>
        <w:t>本项目用地属于</w:t>
      </w:r>
      <w:r>
        <w:rPr>
          <w:rFonts w:hint="eastAsia" w:cs="Times New Roman"/>
          <w:snapToGrid w:val="0"/>
          <w:color w:val="000000" w:themeColor="text1"/>
          <w:kern w:val="0"/>
          <w:lang w:val="en-US" w:eastAsia="zh-CN"/>
          <w14:textFill>
            <w14:solidFill>
              <w14:schemeClr w14:val="tx1"/>
            </w14:solidFill>
          </w14:textFill>
        </w:rPr>
        <w:t>工业</w:t>
      </w:r>
      <w:r>
        <w:rPr>
          <w:rFonts w:hint="eastAsia" w:cs="Times New Roman"/>
          <w:snapToGrid w:val="0"/>
          <w:color w:val="000000" w:themeColor="text1"/>
          <w:kern w:val="0"/>
          <w14:textFill>
            <w14:solidFill>
              <w14:schemeClr w14:val="tx1"/>
            </w14:solidFill>
          </w14:textFill>
        </w:rPr>
        <w:t>用地，位于园区内。区域内无珍稀、濒危动植物，生态环境比较简单，生态功能不明显，生态效益较低。通过及时恢复地表植被，对屠宰场周围进行绿化、美化，对保持和改善区域生态环境具有积极作用。本项目周边为农田生态系统，受人为活动影响较大。项目建成后对植被、植物种类和群落分布以及动物区系的基本组成和性质不会发生变化。</w:t>
      </w:r>
    </w:p>
    <w:p w14:paraId="6BDC83FA">
      <w:pPr>
        <w:pStyle w:val="85"/>
        <w:rPr>
          <w:rFonts w:hint="eastAsia" w:cs="Times New Roman"/>
          <w:snapToGrid w:val="0"/>
          <w:color w:val="000000" w:themeColor="text1"/>
          <w:kern w:val="0"/>
          <w14:textFill>
            <w14:solidFill>
              <w14:schemeClr w14:val="tx1"/>
            </w14:solidFill>
          </w14:textFill>
        </w:rPr>
      </w:pPr>
      <w:r>
        <w:rPr>
          <w:rFonts w:hint="eastAsia" w:cs="Times New Roman"/>
          <w:snapToGrid w:val="0"/>
          <w:color w:val="000000" w:themeColor="text1"/>
          <w:kern w:val="0"/>
          <w14:textFill>
            <w14:solidFill>
              <w14:schemeClr w14:val="tx1"/>
            </w14:solidFill>
          </w14:textFill>
        </w:rPr>
        <w:t>（1）评价区内主要生态过程过去、现在和将来都将以人为控制为主。自然植被、村庄、乡镇企业、农田、经济林等景观格局也不会明显改变。</w:t>
      </w:r>
    </w:p>
    <w:p w14:paraId="5F334D04">
      <w:pPr>
        <w:pStyle w:val="85"/>
        <w:rPr>
          <w:rFonts w:hint="eastAsia" w:cs="Times New Roman"/>
          <w:snapToGrid w:val="0"/>
          <w:color w:val="000000" w:themeColor="text1"/>
          <w:kern w:val="0"/>
          <w14:textFill>
            <w14:solidFill>
              <w14:schemeClr w14:val="tx1"/>
            </w14:solidFill>
          </w14:textFill>
        </w:rPr>
      </w:pPr>
      <w:r>
        <w:rPr>
          <w:rFonts w:hint="eastAsia" w:cs="Times New Roman"/>
          <w:snapToGrid w:val="0"/>
          <w:color w:val="000000" w:themeColor="text1"/>
          <w:kern w:val="0"/>
          <w14:textFill>
            <w14:solidFill>
              <w14:schemeClr w14:val="tx1"/>
            </w14:solidFill>
          </w14:textFill>
        </w:rPr>
        <w:t>（2）运营期排放废气等各项污染物的排放在严格的控制措施下，排放量不大，排放浓度达到了相应标准限值的要求，可被环境接受。</w:t>
      </w:r>
    </w:p>
    <w:p w14:paraId="62A5878C">
      <w:pPr>
        <w:pStyle w:val="85"/>
        <w:rPr>
          <w:rFonts w:hint="eastAsia" w:cs="Times New Roman"/>
          <w:snapToGrid w:val="0"/>
          <w:color w:val="000000" w:themeColor="text1"/>
          <w:kern w:val="0"/>
          <w14:textFill>
            <w14:solidFill>
              <w14:schemeClr w14:val="tx1"/>
            </w14:solidFill>
          </w14:textFill>
        </w:rPr>
      </w:pPr>
      <w:r>
        <w:rPr>
          <w:rFonts w:hint="eastAsia" w:cs="Times New Roman"/>
          <w:snapToGrid w:val="0"/>
          <w:color w:val="000000" w:themeColor="text1"/>
          <w:kern w:val="0"/>
          <w14:textFill>
            <w14:solidFill>
              <w14:schemeClr w14:val="tx1"/>
            </w14:solidFill>
          </w14:textFill>
        </w:rPr>
        <w:t>（3）运营期间项目运行过程中产生的废水经污水处理站处理后，不会对区域的生态环境造成严重影响。</w:t>
      </w:r>
    </w:p>
    <w:p w14:paraId="6AA08879">
      <w:pPr>
        <w:pStyle w:val="6"/>
        <w:rPr>
          <w:snapToGrid w:val="0"/>
          <w:color w:val="000000" w:themeColor="text1"/>
          <w14:textFill>
            <w14:solidFill>
              <w14:schemeClr w14:val="tx1"/>
            </w14:solidFill>
          </w14:textFill>
        </w:rPr>
      </w:pPr>
      <w:bookmarkStart w:id="275" w:name="_Toc11758539"/>
      <w:bookmarkStart w:id="276" w:name="_Toc2983"/>
      <w:bookmarkStart w:id="277" w:name="_Toc17466843"/>
      <w:r>
        <w:rPr>
          <w:snapToGrid w:val="0"/>
          <w:color w:val="000000" w:themeColor="text1"/>
          <w14:textFill>
            <w14:solidFill>
              <w14:schemeClr w14:val="tx1"/>
            </w14:solidFill>
          </w14:textFill>
        </w:rPr>
        <w:t>5.2.7环境风险</w:t>
      </w:r>
      <w:bookmarkEnd w:id="275"/>
      <w:r>
        <w:rPr>
          <w:snapToGrid w:val="0"/>
          <w:color w:val="000000" w:themeColor="text1"/>
          <w14:textFill>
            <w14:solidFill>
              <w14:schemeClr w14:val="tx1"/>
            </w14:solidFill>
          </w14:textFill>
        </w:rPr>
        <w:t>预测评价</w:t>
      </w:r>
      <w:bookmarkEnd w:id="276"/>
      <w:bookmarkEnd w:id="277"/>
    </w:p>
    <w:p w14:paraId="2E549830">
      <w:pPr>
        <w:pStyle w:val="85"/>
        <w:spacing w:line="360" w:lineRule="auto"/>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环境风险评价的目的是分析和预测建设项目存在的潜在危险、有害因素、项目建设和运行期间可能发生的突发性事件或事故（一般不包括人为破坏及自然灾害），引起的有毒有害和易燃易爆等物质泄漏，所造成的人身安全与环境影响和损害程度，提出合理可行的防范、应急与减缓措施，以使建设项目事故率、损失和环境影响达到可接收水平。</w:t>
      </w:r>
    </w:p>
    <w:p w14:paraId="3EAB332C">
      <w:pPr>
        <w:keepNext w:val="0"/>
        <w:keepLines w:val="0"/>
        <w:widowControl/>
        <w:suppressLineNumbers w:val="0"/>
        <w:spacing w:line="360" w:lineRule="auto"/>
        <w:ind w:left="0" w:leftChars="0" w:firstLine="0" w:firstLineChars="0"/>
        <w:jc w:val="left"/>
      </w:pPr>
      <w:r>
        <w:rPr>
          <w:rFonts w:hint="eastAsia"/>
          <w:color w:val="000000" w:themeColor="text1"/>
          <w:lang w:val="en-US" w:eastAsia="zh-CN"/>
          <w14:textFill>
            <w14:solidFill>
              <w14:schemeClr w14:val="tx1"/>
            </w14:solidFill>
          </w14:textFill>
        </w:rPr>
        <w:t>5.2.7.1</w:t>
      </w:r>
      <w:r>
        <w:rPr>
          <w:rFonts w:hint="eastAsia" w:ascii="宋体" w:hAnsi="宋体" w:eastAsia="宋体" w:cs="宋体"/>
          <w:color w:val="000000"/>
          <w:kern w:val="0"/>
          <w:sz w:val="24"/>
          <w:szCs w:val="24"/>
          <w:lang w:val="en-US" w:eastAsia="zh-CN" w:bidi="ar"/>
        </w:rPr>
        <w:t xml:space="preserve">建设项目风险源调查 </w:t>
      </w:r>
    </w:p>
    <w:p w14:paraId="4C84D17D">
      <w:pPr>
        <w:keepNext w:val="0"/>
        <w:keepLines w:val="0"/>
        <w:widowControl/>
        <w:suppressLineNumbers w:val="0"/>
        <w:spacing w:line="360" w:lineRule="auto"/>
        <w:jc w:val="left"/>
      </w:pPr>
      <w:r>
        <w:rPr>
          <w:rFonts w:hint="eastAsia" w:ascii="宋体" w:hAnsi="宋体" w:eastAsia="宋体" w:cs="宋体"/>
          <w:color w:val="000000"/>
          <w:kern w:val="0"/>
          <w:sz w:val="24"/>
          <w:szCs w:val="24"/>
          <w:lang w:val="en-US" w:eastAsia="zh-CN" w:bidi="ar"/>
        </w:rPr>
        <w:t xml:space="preserve">1、环境风险物质 </w:t>
      </w:r>
    </w:p>
    <w:p w14:paraId="562E5F3D">
      <w:pPr>
        <w:keepNext w:val="0"/>
        <w:keepLines w:val="0"/>
        <w:widowControl/>
        <w:suppressLineNumbers w:val="0"/>
        <w:spacing w:line="360" w:lineRule="auto"/>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物质危险性识别包括主要原辅材料、燃料、中间产品、副产品、最终产品、污染物、火灾和爆炸伴生</w:t>
      </w:r>
      <w:r>
        <w:rPr>
          <w:rFonts w:hint="default" w:ascii="Times New Roman" w:hAnsi="Times New Roman" w:eastAsia="宋体" w:cs="Times New Roman"/>
          <w:color w:val="000000"/>
          <w:kern w:val="0"/>
          <w:sz w:val="24"/>
          <w:szCs w:val="24"/>
          <w:lang w:val="en-US" w:eastAsia="zh-CN" w:bidi="ar"/>
        </w:rPr>
        <w:t>/</w:t>
      </w:r>
      <w:r>
        <w:rPr>
          <w:rFonts w:hint="eastAsia" w:ascii="宋体" w:hAnsi="宋体" w:eastAsia="宋体" w:cs="宋体"/>
          <w:color w:val="000000"/>
          <w:kern w:val="0"/>
          <w:sz w:val="24"/>
          <w:szCs w:val="24"/>
          <w:lang w:val="en-US" w:eastAsia="zh-CN" w:bidi="ar"/>
        </w:rPr>
        <w:t>次生物等。根据企业提供原辅材料情况，对照《危险化学品目录（</w:t>
      </w:r>
      <w:r>
        <w:rPr>
          <w:rFonts w:hint="default" w:ascii="Times New Roman" w:hAnsi="Times New Roman" w:eastAsia="宋体" w:cs="Times New Roman"/>
          <w:color w:val="000000"/>
          <w:kern w:val="0"/>
          <w:sz w:val="24"/>
          <w:szCs w:val="24"/>
          <w:lang w:val="en-US" w:eastAsia="zh-CN" w:bidi="ar"/>
        </w:rPr>
        <w:t xml:space="preserve">2022 </w:t>
      </w:r>
      <w:r>
        <w:rPr>
          <w:rFonts w:hint="eastAsia" w:ascii="宋体" w:hAnsi="宋体" w:eastAsia="宋体" w:cs="宋体"/>
          <w:color w:val="000000"/>
          <w:kern w:val="0"/>
          <w:sz w:val="24"/>
          <w:szCs w:val="24"/>
          <w:lang w:val="en-US" w:eastAsia="zh-CN" w:bidi="ar"/>
        </w:rPr>
        <w:t>调整版）》、《建设项目环境风险评价技术导则》（</w:t>
      </w:r>
      <w:r>
        <w:rPr>
          <w:rFonts w:hint="default" w:ascii="Times New Roman" w:hAnsi="Times New Roman" w:eastAsia="宋体" w:cs="Times New Roman"/>
          <w:color w:val="000000"/>
          <w:kern w:val="0"/>
          <w:sz w:val="24"/>
          <w:szCs w:val="24"/>
          <w:lang w:val="en-US" w:eastAsia="zh-CN" w:bidi="ar"/>
        </w:rPr>
        <w:t>HJ169-2018</w:t>
      </w:r>
      <w:r>
        <w:rPr>
          <w:rFonts w:hint="eastAsia" w:ascii="宋体" w:hAnsi="宋体" w:eastAsia="宋体" w:cs="宋体"/>
          <w:color w:val="000000"/>
          <w:kern w:val="0"/>
          <w:sz w:val="24"/>
          <w:szCs w:val="24"/>
          <w:lang w:val="en-US" w:eastAsia="zh-CN" w:bidi="ar"/>
        </w:rPr>
        <w:t xml:space="preserve">），本项目环境风险物质识别见表 </w:t>
      </w:r>
      <w:r>
        <w:rPr>
          <w:rFonts w:hint="default" w:ascii="Times New Roman" w:hAnsi="Times New Roman" w:eastAsia="宋体" w:cs="Times New Roman"/>
          <w:color w:val="000000"/>
          <w:kern w:val="0"/>
          <w:sz w:val="24"/>
          <w:szCs w:val="24"/>
          <w:lang w:val="en-US" w:eastAsia="zh-CN" w:bidi="ar"/>
        </w:rPr>
        <w:t>5</w:t>
      </w:r>
      <w:r>
        <w:rPr>
          <w:rFonts w:hint="eastAsia" w:cs="Times New Roman"/>
          <w:color w:val="000000"/>
          <w:kern w:val="0"/>
          <w:sz w:val="24"/>
          <w:szCs w:val="24"/>
          <w:lang w:val="en-US" w:eastAsia="zh-CN" w:bidi="ar"/>
        </w:rPr>
        <w:t>-2-15</w:t>
      </w:r>
      <w:r>
        <w:rPr>
          <w:rFonts w:hint="eastAsia" w:ascii="宋体" w:hAnsi="宋体" w:eastAsia="宋体" w:cs="宋体"/>
          <w:color w:val="000000"/>
          <w:kern w:val="0"/>
          <w:sz w:val="24"/>
          <w:szCs w:val="24"/>
          <w:lang w:val="en-US" w:eastAsia="zh-CN" w:bidi="ar"/>
        </w:rPr>
        <w:t>。</w:t>
      </w:r>
    </w:p>
    <w:p w14:paraId="11E3737C">
      <w:pPr>
        <w:pStyle w:val="206"/>
        <w:rPr>
          <w:snapToGrid w:val="0"/>
          <w:color w:val="000000" w:themeColor="text1"/>
          <w:vertAlign w:val="baseline"/>
          <w14:textFill>
            <w14:solidFill>
              <w14:schemeClr w14:val="tx1"/>
            </w14:solidFill>
          </w14:textFill>
        </w:rPr>
      </w:pPr>
      <w:r>
        <w:rPr>
          <w:snapToGrid w:val="0"/>
          <w:color w:val="000000" w:themeColor="text1"/>
          <w14:textFill>
            <w14:solidFill>
              <w14:schemeClr w14:val="tx1"/>
            </w14:solidFill>
          </w14:textFill>
        </w:rPr>
        <w:t>表</w:t>
      </w:r>
      <w:r>
        <w:rPr>
          <w:rFonts w:hint="eastAsia"/>
          <w:snapToGrid w:val="0"/>
          <w:color w:val="000000" w:themeColor="text1"/>
          <w:lang w:val="en-US" w:eastAsia="zh-CN"/>
          <w14:textFill>
            <w14:solidFill>
              <w14:schemeClr w14:val="tx1"/>
            </w14:solidFill>
          </w14:textFill>
        </w:rPr>
        <w:t>5-2-15</w:t>
      </w:r>
      <w:r>
        <w:rPr>
          <w:snapToGrid w:val="0"/>
          <w:color w:val="000000" w:themeColor="text1"/>
          <w14:textFill>
            <w14:solidFill>
              <w14:schemeClr w14:val="tx1"/>
            </w14:solidFill>
          </w14:textFill>
        </w:rPr>
        <w:t xml:space="preserve">  主要</w:t>
      </w:r>
      <w:r>
        <w:rPr>
          <w:rFonts w:hint="eastAsia"/>
          <w:snapToGrid w:val="0"/>
          <w:color w:val="000000" w:themeColor="text1"/>
          <w:lang w:val="en-US" w:eastAsia="zh-CN"/>
          <w14:textFill>
            <w14:solidFill>
              <w14:schemeClr w14:val="tx1"/>
            </w14:solidFill>
          </w14:textFill>
        </w:rPr>
        <w:t>环境风险物质</w:t>
      </w:r>
    </w:p>
    <w:tbl>
      <w:tblPr>
        <w:tblStyle w:val="50"/>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5"/>
        <w:gridCol w:w="2338"/>
        <w:gridCol w:w="2187"/>
        <w:gridCol w:w="2642"/>
      </w:tblGrid>
      <w:tr w14:paraId="43DCBB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tcBorders>
              <w:tl2br w:val="nil"/>
              <w:tr2bl w:val="nil"/>
            </w:tcBorders>
            <w:vAlign w:val="center"/>
          </w:tcPr>
          <w:p w14:paraId="2656937B">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序号</w:t>
            </w:r>
          </w:p>
        </w:tc>
        <w:tc>
          <w:tcPr>
            <w:tcW w:w="2338" w:type="dxa"/>
            <w:tcBorders>
              <w:tl2br w:val="nil"/>
              <w:tr2bl w:val="nil"/>
            </w:tcBorders>
            <w:vAlign w:val="center"/>
          </w:tcPr>
          <w:p w14:paraId="78401EB6">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名称</w:t>
            </w:r>
          </w:p>
        </w:tc>
        <w:tc>
          <w:tcPr>
            <w:tcW w:w="2187" w:type="dxa"/>
            <w:tcBorders>
              <w:tl2br w:val="nil"/>
              <w:tr2bl w:val="nil"/>
            </w:tcBorders>
            <w:vAlign w:val="center"/>
          </w:tcPr>
          <w:p w14:paraId="659D1906">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主要成分</w:t>
            </w:r>
          </w:p>
        </w:tc>
        <w:tc>
          <w:tcPr>
            <w:tcW w:w="2642" w:type="dxa"/>
            <w:tcBorders>
              <w:tl2br w:val="nil"/>
              <w:tr2bl w:val="nil"/>
            </w:tcBorders>
            <w:vAlign w:val="center"/>
          </w:tcPr>
          <w:p w14:paraId="4EC935F3">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含量</w:t>
            </w:r>
          </w:p>
        </w:tc>
      </w:tr>
      <w:tr w14:paraId="6AC09E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tcBorders>
              <w:tl2br w:val="nil"/>
              <w:tr2bl w:val="nil"/>
            </w:tcBorders>
            <w:vAlign w:val="center"/>
          </w:tcPr>
          <w:p w14:paraId="0ECC50FE">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1</w:t>
            </w:r>
          </w:p>
        </w:tc>
        <w:tc>
          <w:tcPr>
            <w:tcW w:w="2338" w:type="dxa"/>
            <w:tcBorders>
              <w:tl2br w:val="nil"/>
              <w:tr2bl w:val="nil"/>
            </w:tcBorders>
            <w:vAlign w:val="center"/>
          </w:tcPr>
          <w:p w14:paraId="36354D2B">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氢氧化钠</w:t>
            </w:r>
          </w:p>
        </w:tc>
        <w:tc>
          <w:tcPr>
            <w:tcW w:w="2187" w:type="dxa"/>
            <w:tcBorders>
              <w:tl2br w:val="nil"/>
              <w:tr2bl w:val="nil"/>
            </w:tcBorders>
            <w:vAlign w:val="top"/>
          </w:tcPr>
          <w:p w14:paraId="13F8F17B">
            <w:pPr>
              <w:pStyle w:val="143"/>
              <w:ind w:firstLine="0" w:firstLineChars="0"/>
              <w:rPr>
                <w:rFonts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氢氧化钠</w:t>
            </w:r>
          </w:p>
        </w:tc>
        <w:tc>
          <w:tcPr>
            <w:tcW w:w="2642" w:type="dxa"/>
            <w:tcBorders>
              <w:tl2br w:val="nil"/>
              <w:tr2bl w:val="nil"/>
            </w:tcBorders>
            <w:vAlign w:val="center"/>
          </w:tcPr>
          <w:p w14:paraId="7EFC7BE3">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氢氧化钠96%</w:t>
            </w:r>
          </w:p>
        </w:tc>
      </w:tr>
      <w:tr w14:paraId="3E2CA9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tcBorders>
              <w:tl2br w:val="nil"/>
              <w:tr2bl w:val="nil"/>
            </w:tcBorders>
            <w:vAlign w:val="center"/>
          </w:tcPr>
          <w:p w14:paraId="25D2B95A">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2</w:t>
            </w:r>
          </w:p>
        </w:tc>
        <w:tc>
          <w:tcPr>
            <w:tcW w:w="2338" w:type="dxa"/>
            <w:tcBorders>
              <w:tl2br w:val="nil"/>
              <w:tr2bl w:val="nil"/>
            </w:tcBorders>
            <w:vAlign w:val="center"/>
          </w:tcPr>
          <w:p w14:paraId="458334C9">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硝酸</w:t>
            </w:r>
          </w:p>
        </w:tc>
        <w:tc>
          <w:tcPr>
            <w:tcW w:w="2187" w:type="dxa"/>
            <w:tcBorders>
              <w:tl2br w:val="nil"/>
              <w:tr2bl w:val="nil"/>
            </w:tcBorders>
            <w:vAlign w:val="top"/>
          </w:tcPr>
          <w:p w14:paraId="2886717A">
            <w:pPr>
              <w:pStyle w:val="143"/>
              <w:ind w:firstLine="0" w:firstLineChars="0"/>
              <w:rPr>
                <w:rFonts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硝酸</w:t>
            </w:r>
          </w:p>
        </w:tc>
        <w:tc>
          <w:tcPr>
            <w:tcW w:w="2642" w:type="dxa"/>
            <w:tcBorders>
              <w:tl2br w:val="nil"/>
              <w:tr2bl w:val="nil"/>
            </w:tcBorders>
            <w:vAlign w:val="center"/>
          </w:tcPr>
          <w:p w14:paraId="08CEA98E">
            <w:pPr>
              <w:pStyle w:val="143"/>
              <w:rPr>
                <w:rFonts w:hint="default" w:ascii="Times New Roman" w:hAnsi="Times New Roman" w:eastAsia="宋体"/>
                <w:snapToGrid w:val="0"/>
                <w:color w:val="000000" w:themeColor="text1"/>
                <w:lang w:val="en-US"/>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硝酸60%</w:t>
            </w:r>
          </w:p>
        </w:tc>
      </w:tr>
      <w:tr w14:paraId="56E6B6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tcBorders>
              <w:tl2br w:val="nil"/>
              <w:tr2bl w:val="nil"/>
            </w:tcBorders>
            <w:vAlign w:val="center"/>
          </w:tcPr>
          <w:p w14:paraId="2629009E">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3</w:t>
            </w:r>
          </w:p>
        </w:tc>
        <w:tc>
          <w:tcPr>
            <w:tcW w:w="2338" w:type="dxa"/>
            <w:tcBorders>
              <w:tl2br w:val="nil"/>
              <w:tr2bl w:val="nil"/>
            </w:tcBorders>
            <w:vAlign w:val="center"/>
          </w:tcPr>
          <w:p w14:paraId="6421480A">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过氧乙酸</w:t>
            </w:r>
          </w:p>
        </w:tc>
        <w:tc>
          <w:tcPr>
            <w:tcW w:w="2187" w:type="dxa"/>
            <w:tcBorders>
              <w:tl2br w:val="nil"/>
              <w:tr2bl w:val="nil"/>
            </w:tcBorders>
            <w:vAlign w:val="top"/>
          </w:tcPr>
          <w:p w14:paraId="34C37C07">
            <w:pPr>
              <w:pStyle w:val="143"/>
              <w:ind w:firstLine="0" w:firstLineChars="0"/>
              <w:rPr>
                <w:rFonts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过氧乙酸</w:t>
            </w:r>
          </w:p>
        </w:tc>
        <w:tc>
          <w:tcPr>
            <w:tcW w:w="2642" w:type="dxa"/>
            <w:tcBorders>
              <w:tl2br w:val="nil"/>
              <w:tr2bl w:val="nil"/>
            </w:tcBorders>
            <w:vAlign w:val="center"/>
          </w:tcPr>
          <w:p w14:paraId="63096674">
            <w:pPr>
              <w:pStyle w:val="143"/>
              <w:rPr>
                <w:rFonts w:hint="default" w:ascii="Times New Roman" w:hAnsi="Times New Roman" w:eastAsia="宋体"/>
                <w:snapToGrid w:val="0"/>
                <w:color w:val="000000" w:themeColor="text1"/>
                <w:lang w:val="en-US"/>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过氧乙酸15%</w:t>
            </w:r>
          </w:p>
        </w:tc>
      </w:tr>
      <w:tr w14:paraId="710937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tcBorders>
              <w:tl2br w:val="nil"/>
              <w:tr2bl w:val="nil"/>
            </w:tcBorders>
            <w:vAlign w:val="center"/>
          </w:tcPr>
          <w:p w14:paraId="1EE1D5AB">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4</w:t>
            </w:r>
          </w:p>
        </w:tc>
        <w:tc>
          <w:tcPr>
            <w:tcW w:w="2338" w:type="dxa"/>
            <w:tcBorders>
              <w:tl2br w:val="nil"/>
              <w:tr2bl w:val="nil"/>
            </w:tcBorders>
            <w:vAlign w:val="center"/>
          </w:tcPr>
          <w:p w14:paraId="23E8296B">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柴油</w:t>
            </w:r>
          </w:p>
        </w:tc>
        <w:tc>
          <w:tcPr>
            <w:tcW w:w="2187" w:type="dxa"/>
            <w:tcBorders>
              <w:tl2br w:val="nil"/>
              <w:tr2bl w:val="nil"/>
            </w:tcBorders>
            <w:vAlign w:val="top"/>
          </w:tcPr>
          <w:p w14:paraId="3E3AD4DA">
            <w:pPr>
              <w:pStyle w:val="143"/>
              <w:ind w:firstLine="0" w:firstLineChars="0"/>
              <w:rPr>
                <w:rFonts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矿物油</w:t>
            </w:r>
          </w:p>
        </w:tc>
        <w:tc>
          <w:tcPr>
            <w:tcW w:w="2642" w:type="dxa"/>
            <w:tcBorders>
              <w:tl2br w:val="nil"/>
              <w:tr2bl w:val="nil"/>
            </w:tcBorders>
            <w:vAlign w:val="center"/>
          </w:tcPr>
          <w:p w14:paraId="36A900E1">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100%</w:t>
            </w:r>
          </w:p>
        </w:tc>
      </w:tr>
      <w:tr w14:paraId="5FF5C2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tcBorders>
              <w:tl2br w:val="nil"/>
              <w:tr2bl w:val="nil"/>
            </w:tcBorders>
            <w:vAlign w:val="center"/>
          </w:tcPr>
          <w:p w14:paraId="60ECD029">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5</w:t>
            </w:r>
          </w:p>
        </w:tc>
        <w:tc>
          <w:tcPr>
            <w:tcW w:w="2338" w:type="dxa"/>
            <w:tcBorders>
              <w:tl2br w:val="nil"/>
              <w:tr2bl w:val="nil"/>
            </w:tcBorders>
            <w:vAlign w:val="center"/>
          </w:tcPr>
          <w:p w14:paraId="799A4988">
            <w:pPr>
              <w:pStyle w:val="143"/>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机油</w:t>
            </w:r>
          </w:p>
        </w:tc>
        <w:tc>
          <w:tcPr>
            <w:tcW w:w="2187" w:type="dxa"/>
            <w:tcBorders>
              <w:tl2br w:val="nil"/>
              <w:tr2bl w:val="nil"/>
            </w:tcBorders>
            <w:vAlign w:val="top"/>
          </w:tcPr>
          <w:p w14:paraId="4BFEC0CF">
            <w:pPr>
              <w:pStyle w:val="143"/>
              <w:ind w:firstLine="0" w:firstLineChars="0"/>
              <w:rPr>
                <w:rFonts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矿物油</w:t>
            </w:r>
          </w:p>
        </w:tc>
        <w:tc>
          <w:tcPr>
            <w:tcW w:w="2642" w:type="dxa"/>
            <w:tcBorders>
              <w:tl2br w:val="nil"/>
              <w:tr2bl w:val="nil"/>
            </w:tcBorders>
            <w:vAlign w:val="center"/>
          </w:tcPr>
          <w:p w14:paraId="1882DED1">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100%</w:t>
            </w:r>
          </w:p>
        </w:tc>
      </w:tr>
      <w:tr w14:paraId="7899BB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tcBorders>
              <w:tl2br w:val="nil"/>
              <w:tr2bl w:val="nil"/>
            </w:tcBorders>
            <w:vAlign w:val="center"/>
          </w:tcPr>
          <w:p w14:paraId="05451531">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6</w:t>
            </w:r>
          </w:p>
        </w:tc>
        <w:tc>
          <w:tcPr>
            <w:tcW w:w="2338" w:type="dxa"/>
            <w:tcBorders>
              <w:tl2br w:val="nil"/>
              <w:tr2bl w:val="nil"/>
            </w:tcBorders>
            <w:vAlign w:val="center"/>
          </w:tcPr>
          <w:p w14:paraId="2EFC3AF7">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沼气</w:t>
            </w:r>
          </w:p>
        </w:tc>
        <w:tc>
          <w:tcPr>
            <w:tcW w:w="2187" w:type="dxa"/>
            <w:tcBorders>
              <w:tl2br w:val="nil"/>
              <w:tr2bl w:val="nil"/>
            </w:tcBorders>
            <w:vAlign w:val="top"/>
          </w:tcPr>
          <w:p w14:paraId="13CC3FA1">
            <w:pPr>
              <w:pStyle w:val="143"/>
              <w:ind w:firstLine="0" w:firstLineChars="0"/>
              <w:rPr>
                <w:rFonts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甲烷</w:t>
            </w:r>
          </w:p>
        </w:tc>
        <w:tc>
          <w:tcPr>
            <w:tcW w:w="2642" w:type="dxa"/>
            <w:tcBorders>
              <w:tl2br w:val="nil"/>
              <w:tr2bl w:val="nil"/>
            </w:tcBorders>
            <w:vAlign w:val="center"/>
          </w:tcPr>
          <w:p w14:paraId="0B295337">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69%</w:t>
            </w:r>
          </w:p>
        </w:tc>
      </w:tr>
      <w:tr w14:paraId="6CBEB2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tcBorders>
              <w:tl2br w:val="nil"/>
              <w:tr2bl w:val="nil"/>
            </w:tcBorders>
            <w:vAlign w:val="center"/>
          </w:tcPr>
          <w:p w14:paraId="597FB454">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7</w:t>
            </w:r>
          </w:p>
        </w:tc>
        <w:tc>
          <w:tcPr>
            <w:tcW w:w="2338" w:type="dxa"/>
            <w:tcBorders>
              <w:tl2br w:val="nil"/>
              <w:tr2bl w:val="nil"/>
            </w:tcBorders>
            <w:vAlign w:val="center"/>
          </w:tcPr>
          <w:p w14:paraId="5016ABA0">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危险废物</w:t>
            </w:r>
          </w:p>
        </w:tc>
        <w:tc>
          <w:tcPr>
            <w:tcW w:w="2187" w:type="dxa"/>
            <w:tcBorders>
              <w:tl2br w:val="nil"/>
              <w:tr2bl w:val="nil"/>
            </w:tcBorders>
            <w:vAlign w:val="top"/>
          </w:tcPr>
          <w:p w14:paraId="114D4266">
            <w:pPr>
              <w:pStyle w:val="143"/>
              <w:ind w:firstLine="0" w:firstLineChars="0"/>
              <w:rPr>
                <w:rFonts w:ascii="Times New Roman" w:hAnsi="Times New Roman" w:eastAsia="宋体"/>
                <w:snapToGrid w:val="0"/>
                <w:color w:val="000000" w:themeColor="text1"/>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危险废物</w:t>
            </w:r>
          </w:p>
        </w:tc>
        <w:tc>
          <w:tcPr>
            <w:tcW w:w="2642" w:type="dxa"/>
            <w:tcBorders>
              <w:tl2br w:val="nil"/>
              <w:tr2bl w:val="nil"/>
            </w:tcBorders>
            <w:vAlign w:val="center"/>
          </w:tcPr>
          <w:p w14:paraId="1E25ACC2">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各类危废</w:t>
            </w:r>
          </w:p>
        </w:tc>
      </w:tr>
    </w:tbl>
    <w:p w14:paraId="7501F027">
      <w:pPr>
        <w:pStyle w:val="85"/>
        <w:spacing w:line="360" w:lineRule="auto"/>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本项目环境风险物质储存情况见下表。</w:t>
      </w:r>
    </w:p>
    <w:p w14:paraId="3838B8B4">
      <w:pPr>
        <w:pStyle w:val="206"/>
        <w:rPr>
          <w:rFonts w:hint="default"/>
          <w:snapToGrid w:val="0"/>
          <w:color w:val="000000" w:themeColor="text1"/>
          <w:vertAlign w:val="baseline"/>
          <w:lang w:val="en-US"/>
          <w14:textFill>
            <w14:solidFill>
              <w14:schemeClr w14:val="tx1"/>
            </w14:solidFill>
          </w14:textFill>
        </w:rPr>
      </w:pPr>
      <w:r>
        <w:rPr>
          <w:snapToGrid w:val="0"/>
          <w:color w:val="000000" w:themeColor="text1"/>
          <w14:textFill>
            <w14:solidFill>
              <w14:schemeClr w14:val="tx1"/>
            </w14:solidFill>
          </w14:textFill>
        </w:rPr>
        <w:t>表</w:t>
      </w:r>
      <w:r>
        <w:rPr>
          <w:rFonts w:hint="eastAsia"/>
          <w:snapToGrid w:val="0"/>
          <w:color w:val="000000" w:themeColor="text1"/>
          <w:lang w:val="en-US" w:eastAsia="zh-CN"/>
          <w14:textFill>
            <w14:solidFill>
              <w14:schemeClr w14:val="tx1"/>
            </w14:solidFill>
          </w14:textFill>
        </w:rPr>
        <w:t>5-2-16</w:t>
      </w:r>
      <w:r>
        <w:rPr>
          <w:snapToGrid w:val="0"/>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环境风险物质储存情况一览表</w:t>
      </w:r>
    </w:p>
    <w:tbl>
      <w:tblPr>
        <w:tblStyle w:val="5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078"/>
        <w:gridCol w:w="2078"/>
        <w:gridCol w:w="2078"/>
        <w:gridCol w:w="2078"/>
      </w:tblGrid>
      <w:tr w14:paraId="1B1252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Borders>
              <w:tl2br w:val="nil"/>
              <w:tr2bl w:val="nil"/>
            </w:tcBorders>
            <w:vAlign w:val="center"/>
          </w:tcPr>
          <w:p w14:paraId="46A1008D">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序号</w:t>
            </w:r>
          </w:p>
        </w:tc>
        <w:tc>
          <w:tcPr>
            <w:tcW w:w="1250" w:type="pct"/>
            <w:tcBorders>
              <w:tl2br w:val="nil"/>
              <w:tr2bl w:val="nil"/>
            </w:tcBorders>
            <w:vAlign w:val="center"/>
          </w:tcPr>
          <w:p w14:paraId="6D15BEE3">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名称</w:t>
            </w:r>
          </w:p>
        </w:tc>
        <w:tc>
          <w:tcPr>
            <w:tcW w:w="1250" w:type="pct"/>
            <w:tcBorders>
              <w:tl2br w:val="nil"/>
              <w:tr2bl w:val="nil"/>
            </w:tcBorders>
            <w:vAlign w:val="center"/>
          </w:tcPr>
          <w:p w14:paraId="043188C7">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最大存储量</w:t>
            </w:r>
          </w:p>
        </w:tc>
        <w:tc>
          <w:tcPr>
            <w:tcW w:w="1250" w:type="pct"/>
            <w:tcBorders>
              <w:tl2br w:val="nil"/>
              <w:tr2bl w:val="nil"/>
            </w:tcBorders>
            <w:vAlign w:val="center"/>
          </w:tcPr>
          <w:p w14:paraId="5E30FAC4">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储存地点</w:t>
            </w:r>
          </w:p>
        </w:tc>
      </w:tr>
      <w:tr w14:paraId="7647A2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Borders>
              <w:tl2br w:val="nil"/>
              <w:tr2bl w:val="nil"/>
            </w:tcBorders>
            <w:vAlign w:val="center"/>
          </w:tcPr>
          <w:p w14:paraId="5D933B7E">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1</w:t>
            </w:r>
          </w:p>
        </w:tc>
        <w:tc>
          <w:tcPr>
            <w:tcW w:w="2075" w:type="dxa"/>
            <w:tcBorders>
              <w:tl2br w:val="nil"/>
              <w:tr2bl w:val="nil"/>
            </w:tcBorders>
            <w:vAlign w:val="top"/>
          </w:tcPr>
          <w:p w14:paraId="014BA4F9">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氢氧化钠</w:t>
            </w:r>
          </w:p>
        </w:tc>
        <w:tc>
          <w:tcPr>
            <w:tcW w:w="1250" w:type="pct"/>
            <w:tcBorders>
              <w:tl2br w:val="nil"/>
              <w:tr2bl w:val="nil"/>
            </w:tcBorders>
            <w:vAlign w:val="center"/>
          </w:tcPr>
          <w:p w14:paraId="3B1F91D8">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1.44</w:t>
            </w:r>
          </w:p>
        </w:tc>
        <w:tc>
          <w:tcPr>
            <w:tcW w:w="1250" w:type="pct"/>
            <w:tcBorders>
              <w:tl2br w:val="nil"/>
              <w:tr2bl w:val="nil"/>
            </w:tcBorders>
            <w:vAlign w:val="center"/>
          </w:tcPr>
          <w:p w14:paraId="75741BF6">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酿造车间</w:t>
            </w:r>
          </w:p>
        </w:tc>
      </w:tr>
      <w:tr w14:paraId="256FBC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Borders>
              <w:tl2br w:val="nil"/>
              <w:tr2bl w:val="nil"/>
            </w:tcBorders>
            <w:vAlign w:val="center"/>
          </w:tcPr>
          <w:p w14:paraId="57214D3E">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2</w:t>
            </w:r>
          </w:p>
        </w:tc>
        <w:tc>
          <w:tcPr>
            <w:tcW w:w="2075" w:type="dxa"/>
            <w:tcBorders>
              <w:tl2br w:val="nil"/>
              <w:tr2bl w:val="nil"/>
            </w:tcBorders>
            <w:vAlign w:val="top"/>
          </w:tcPr>
          <w:p w14:paraId="66531612">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硝酸</w:t>
            </w:r>
          </w:p>
        </w:tc>
        <w:tc>
          <w:tcPr>
            <w:tcW w:w="1250" w:type="pct"/>
            <w:tcBorders>
              <w:tl2br w:val="nil"/>
              <w:tr2bl w:val="nil"/>
            </w:tcBorders>
            <w:vAlign w:val="center"/>
          </w:tcPr>
          <w:p w14:paraId="290984D9">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0.72</w:t>
            </w:r>
          </w:p>
        </w:tc>
        <w:tc>
          <w:tcPr>
            <w:tcW w:w="1250" w:type="pct"/>
            <w:tcBorders>
              <w:tl2br w:val="nil"/>
              <w:tr2bl w:val="nil"/>
            </w:tcBorders>
            <w:vAlign w:val="center"/>
          </w:tcPr>
          <w:p w14:paraId="007EE075">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酿造车间</w:t>
            </w:r>
          </w:p>
        </w:tc>
      </w:tr>
      <w:tr w14:paraId="2508DC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Borders>
              <w:tl2br w:val="nil"/>
              <w:tr2bl w:val="nil"/>
            </w:tcBorders>
            <w:vAlign w:val="center"/>
          </w:tcPr>
          <w:p w14:paraId="794CD20D">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3</w:t>
            </w:r>
          </w:p>
        </w:tc>
        <w:tc>
          <w:tcPr>
            <w:tcW w:w="2075" w:type="dxa"/>
            <w:tcBorders>
              <w:tl2br w:val="nil"/>
              <w:tr2bl w:val="nil"/>
            </w:tcBorders>
            <w:vAlign w:val="top"/>
          </w:tcPr>
          <w:p w14:paraId="6C0E4A19">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过氧乙酸</w:t>
            </w:r>
          </w:p>
        </w:tc>
        <w:tc>
          <w:tcPr>
            <w:tcW w:w="1250" w:type="pct"/>
            <w:tcBorders>
              <w:tl2br w:val="nil"/>
              <w:tr2bl w:val="nil"/>
            </w:tcBorders>
            <w:vAlign w:val="center"/>
          </w:tcPr>
          <w:p w14:paraId="62B39F54">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0.018</w:t>
            </w:r>
          </w:p>
        </w:tc>
        <w:tc>
          <w:tcPr>
            <w:tcW w:w="1250" w:type="pct"/>
            <w:tcBorders>
              <w:tl2br w:val="nil"/>
              <w:tr2bl w:val="nil"/>
            </w:tcBorders>
            <w:vAlign w:val="center"/>
          </w:tcPr>
          <w:p w14:paraId="712D5207">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酿造车间</w:t>
            </w:r>
          </w:p>
        </w:tc>
      </w:tr>
      <w:tr w14:paraId="60283E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Borders>
              <w:tl2br w:val="nil"/>
              <w:tr2bl w:val="nil"/>
            </w:tcBorders>
            <w:vAlign w:val="center"/>
          </w:tcPr>
          <w:p w14:paraId="639E4A48">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4</w:t>
            </w:r>
          </w:p>
        </w:tc>
        <w:tc>
          <w:tcPr>
            <w:tcW w:w="2075" w:type="dxa"/>
            <w:tcBorders>
              <w:tl2br w:val="nil"/>
              <w:tr2bl w:val="nil"/>
            </w:tcBorders>
            <w:vAlign w:val="top"/>
          </w:tcPr>
          <w:p w14:paraId="0CDBC7A1">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柴油</w:t>
            </w:r>
          </w:p>
        </w:tc>
        <w:tc>
          <w:tcPr>
            <w:tcW w:w="1250" w:type="pct"/>
            <w:tcBorders>
              <w:tl2br w:val="nil"/>
              <w:tr2bl w:val="nil"/>
            </w:tcBorders>
            <w:vAlign w:val="center"/>
          </w:tcPr>
          <w:p w14:paraId="42DC39AA">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0.0017</w:t>
            </w:r>
          </w:p>
        </w:tc>
        <w:tc>
          <w:tcPr>
            <w:tcW w:w="1250" w:type="pct"/>
            <w:tcBorders>
              <w:tl2br w:val="nil"/>
              <w:tr2bl w:val="nil"/>
            </w:tcBorders>
            <w:vAlign w:val="center"/>
          </w:tcPr>
          <w:p w14:paraId="7FDAEA4B">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柴油发电机房</w:t>
            </w:r>
          </w:p>
        </w:tc>
      </w:tr>
      <w:tr w14:paraId="4EC6F2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Borders>
              <w:tl2br w:val="nil"/>
              <w:tr2bl w:val="nil"/>
            </w:tcBorders>
            <w:vAlign w:val="center"/>
          </w:tcPr>
          <w:p w14:paraId="779D1D76">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5</w:t>
            </w:r>
          </w:p>
        </w:tc>
        <w:tc>
          <w:tcPr>
            <w:tcW w:w="2075" w:type="dxa"/>
            <w:tcBorders>
              <w:tl2br w:val="nil"/>
              <w:tr2bl w:val="nil"/>
            </w:tcBorders>
            <w:vAlign w:val="top"/>
          </w:tcPr>
          <w:p w14:paraId="2C2487F5">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机油</w:t>
            </w:r>
          </w:p>
        </w:tc>
        <w:tc>
          <w:tcPr>
            <w:tcW w:w="1250" w:type="pct"/>
            <w:tcBorders>
              <w:tl2br w:val="nil"/>
              <w:tr2bl w:val="nil"/>
            </w:tcBorders>
            <w:vAlign w:val="center"/>
          </w:tcPr>
          <w:p w14:paraId="44829253">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1.0</w:t>
            </w:r>
          </w:p>
        </w:tc>
        <w:tc>
          <w:tcPr>
            <w:tcW w:w="1250" w:type="pct"/>
            <w:tcBorders>
              <w:tl2br w:val="nil"/>
              <w:tr2bl w:val="nil"/>
            </w:tcBorders>
            <w:vAlign w:val="center"/>
          </w:tcPr>
          <w:p w14:paraId="7F8F45FA">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酿造车间</w:t>
            </w:r>
          </w:p>
        </w:tc>
      </w:tr>
      <w:tr w14:paraId="2055E4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Borders>
              <w:tl2br w:val="nil"/>
              <w:tr2bl w:val="nil"/>
            </w:tcBorders>
            <w:vAlign w:val="center"/>
          </w:tcPr>
          <w:p w14:paraId="0E673FCC">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6</w:t>
            </w:r>
          </w:p>
        </w:tc>
        <w:tc>
          <w:tcPr>
            <w:tcW w:w="2075" w:type="dxa"/>
            <w:tcBorders>
              <w:tl2br w:val="nil"/>
              <w:tr2bl w:val="nil"/>
            </w:tcBorders>
            <w:vAlign w:val="top"/>
          </w:tcPr>
          <w:p w14:paraId="0B3E32B9">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甲烷</w:t>
            </w:r>
          </w:p>
        </w:tc>
        <w:tc>
          <w:tcPr>
            <w:tcW w:w="1250" w:type="pct"/>
            <w:tcBorders>
              <w:tl2br w:val="nil"/>
              <w:tr2bl w:val="nil"/>
            </w:tcBorders>
            <w:vAlign w:val="center"/>
          </w:tcPr>
          <w:p w14:paraId="0C9C1457">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0.0255</w:t>
            </w:r>
          </w:p>
        </w:tc>
        <w:tc>
          <w:tcPr>
            <w:tcW w:w="1250" w:type="pct"/>
            <w:tcBorders>
              <w:tl2br w:val="nil"/>
              <w:tr2bl w:val="nil"/>
            </w:tcBorders>
            <w:vAlign w:val="center"/>
          </w:tcPr>
          <w:p w14:paraId="3331B44F">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沼气气室</w:t>
            </w:r>
          </w:p>
        </w:tc>
      </w:tr>
      <w:tr w14:paraId="6122DB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Borders>
              <w:tl2br w:val="nil"/>
              <w:tr2bl w:val="nil"/>
            </w:tcBorders>
            <w:vAlign w:val="center"/>
          </w:tcPr>
          <w:p w14:paraId="3A27B2F6">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7</w:t>
            </w:r>
          </w:p>
        </w:tc>
        <w:tc>
          <w:tcPr>
            <w:tcW w:w="2075" w:type="dxa"/>
            <w:tcBorders>
              <w:tl2br w:val="nil"/>
              <w:tr2bl w:val="nil"/>
            </w:tcBorders>
            <w:vAlign w:val="top"/>
          </w:tcPr>
          <w:p w14:paraId="1E9AF8F6">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危险废物</w:t>
            </w:r>
          </w:p>
        </w:tc>
        <w:tc>
          <w:tcPr>
            <w:tcW w:w="1250" w:type="pct"/>
            <w:tcBorders>
              <w:tl2br w:val="nil"/>
              <w:tr2bl w:val="nil"/>
            </w:tcBorders>
            <w:vAlign w:val="center"/>
          </w:tcPr>
          <w:p w14:paraId="1C9F99CD">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1.7</w:t>
            </w:r>
          </w:p>
        </w:tc>
        <w:tc>
          <w:tcPr>
            <w:tcW w:w="1250" w:type="pct"/>
            <w:tcBorders>
              <w:tl2br w:val="nil"/>
              <w:tr2bl w:val="nil"/>
            </w:tcBorders>
            <w:vAlign w:val="center"/>
          </w:tcPr>
          <w:p w14:paraId="3E542CFD">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危废贮存点</w:t>
            </w:r>
          </w:p>
        </w:tc>
      </w:tr>
    </w:tbl>
    <w:p w14:paraId="5519F8AA">
      <w:pPr>
        <w:pStyle w:val="85"/>
        <w:spacing w:line="360" w:lineRule="auto"/>
        <w:ind w:left="0" w:leftChars="0" w:firstLine="480" w:firstLineChars="200"/>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2、环境风险潜势初判</w:t>
      </w:r>
    </w:p>
    <w:p w14:paraId="4C91E813">
      <w:pPr>
        <w:pStyle w:val="85"/>
        <w:spacing w:line="360" w:lineRule="auto"/>
        <w:ind w:left="0" w:leftChars="0" w:firstLine="480" w:firstLineChars="20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根据3.6.3.2章节，本项目危险物质数量与临界量比值Q小于1，则本项目环境风险潜势为I。根据下表评价工作等级划分，风险潜势为Ⅰ的项目可开展简单分析。</w:t>
      </w:r>
    </w:p>
    <w:p w14:paraId="6C3608FF">
      <w:pPr>
        <w:pStyle w:val="85"/>
        <w:spacing w:line="360" w:lineRule="auto"/>
        <w:ind w:left="0" w:leftChars="0" w:firstLine="0" w:firstLineChars="0"/>
        <w:jc w:val="center"/>
        <w:rPr>
          <w:rFonts w:hint="eastAsia" w:ascii="Times New Roman" w:hAnsi="Times New Roman" w:eastAsia="黑体" w:cstheme="minorBidi"/>
          <w:snapToGrid w:val="0"/>
          <w:color w:val="000000" w:themeColor="text1"/>
          <w:kern w:val="2"/>
          <w:sz w:val="24"/>
          <w:szCs w:val="22"/>
          <w:lang w:val="en-US" w:eastAsia="zh-CN" w:bidi="ar-SA"/>
          <w14:textFill>
            <w14:solidFill>
              <w14:schemeClr w14:val="tx1"/>
            </w14:solidFill>
          </w14:textFill>
        </w:rPr>
      </w:pPr>
      <w:r>
        <w:rPr>
          <w:rFonts w:hint="eastAsia" w:ascii="Times New Roman" w:hAnsi="Times New Roman" w:eastAsia="黑体" w:cstheme="minorBidi"/>
          <w:snapToGrid w:val="0"/>
          <w:color w:val="000000" w:themeColor="text1"/>
          <w:kern w:val="2"/>
          <w:sz w:val="24"/>
          <w:szCs w:val="22"/>
          <w:lang w:val="en-US" w:eastAsia="zh-CN" w:bidi="ar-SA"/>
          <w14:textFill>
            <w14:solidFill>
              <w14:schemeClr w14:val="tx1"/>
            </w14:solidFill>
          </w14:textFill>
        </w:rPr>
        <w:t>表5-6-2  环境风险物质储存情况一览表</w:t>
      </w:r>
    </w:p>
    <w:tbl>
      <w:tblPr>
        <w:tblStyle w:val="50"/>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662"/>
        <w:gridCol w:w="1662"/>
        <w:gridCol w:w="1663"/>
        <w:gridCol w:w="1663"/>
      </w:tblGrid>
      <w:tr w14:paraId="693FDC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tcBorders>
              <w:tl2br w:val="nil"/>
              <w:tr2bl w:val="nil"/>
            </w:tcBorders>
            <w:vAlign w:val="center"/>
          </w:tcPr>
          <w:p w14:paraId="55219023">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环境风险潜势</w:t>
            </w:r>
          </w:p>
        </w:tc>
        <w:tc>
          <w:tcPr>
            <w:tcW w:w="1662" w:type="dxa"/>
            <w:tcBorders>
              <w:tl2br w:val="nil"/>
              <w:tr2bl w:val="nil"/>
            </w:tcBorders>
            <w:vAlign w:val="center"/>
          </w:tcPr>
          <w:p w14:paraId="0E3C9393">
            <w:pPr>
              <w:pStyle w:val="143"/>
              <w:rPr>
                <w:rFonts w:hint="default" w:ascii="Times New Roman" w:hAnsi="Times New Roman" w:eastAsia="宋体"/>
                <w:snapToGrid w:val="0"/>
                <w:color w:val="000000" w:themeColor="text1"/>
                <w:vertAlign w:val="superscript"/>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IV、IV</w:t>
            </w:r>
            <w:r>
              <w:rPr>
                <w:rFonts w:hint="eastAsia" w:ascii="Times New Roman" w:hAnsi="Times New Roman" w:eastAsia="宋体"/>
                <w:snapToGrid w:val="0"/>
                <w:color w:val="000000" w:themeColor="text1"/>
                <w:vertAlign w:val="superscript"/>
                <w:lang w:val="en-US" w:eastAsia="zh-CN"/>
                <w14:textFill>
                  <w14:solidFill>
                    <w14:schemeClr w14:val="tx1"/>
                  </w14:solidFill>
                </w14:textFill>
              </w:rPr>
              <w:t>+</w:t>
            </w:r>
          </w:p>
        </w:tc>
        <w:tc>
          <w:tcPr>
            <w:tcW w:w="1662" w:type="dxa"/>
            <w:tcBorders>
              <w:tl2br w:val="nil"/>
              <w:tr2bl w:val="nil"/>
            </w:tcBorders>
            <w:vAlign w:val="center"/>
          </w:tcPr>
          <w:p w14:paraId="3DBA95B6">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III</w:t>
            </w:r>
          </w:p>
        </w:tc>
        <w:tc>
          <w:tcPr>
            <w:tcW w:w="1663" w:type="dxa"/>
            <w:tcBorders>
              <w:tl2br w:val="nil"/>
              <w:tr2bl w:val="nil"/>
            </w:tcBorders>
            <w:vAlign w:val="center"/>
          </w:tcPr>
          <w:p w14:paraId="7C904497">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II</w:t>
            </w:r>
          </w:p>
        </w:tc>
        <w:tc>
          <w:tcPr>
            <w:tcW w:w="1663" w:type="dxa"/>
            <w:tcBorders>
              <w:tl2br w:val="nil"/>
              <w:tr2bl w:val="nil"/>
            </w:tcBorders>
            <w:vAlign w:val="center"/>
          </w:tcPr>
          <w:p w14:paraId="035D2AAC">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I</w:t>
            </w:r>
          </w:p>
        </w:tc>
      </w:tr>
      <w:tr w14:paraId="639FD6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tcBorders>
              <w:tl2br w:val="nil"/>
              <w:tr2bl w:val="nil"/>
            </w:tcBorders>
            <w:vAlign w:val="center"/>
          </w:tcPr>
          <w:p w14:paraId="21253B7C">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评价工作等级</w:t>
            </w:r>
          </w:p>
        </w:tc>
        <w:tc>
          <w:tcPr>
            <w:tcW w:w="1662" w:type="dxa"/>
            <w:tcBorders>
              <w:tl2br w:val="nil"/>
              <w:tr2bl w:val="nil"/>
            </w:tcBorders>
            <w:vAlign w:val="center"/>
          </w:tcPr>
          <w:p w14:paraId="32A31FAF">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一</w:t>
            </w:r>
          </w:p>
        </w:tc>
        <w:tc>
          <w:tcPr>
            <w:tcW w:w="1662" w:type="dxa"/>
            <w:tcBorders>
              <w:tl2br w:val="nil"/>
              <w:tr2bl w:val="nil"/>
            </w:tcBorders>
            <w:vAlign w:val="center"/>
          </w:tcPr>
          <w:p w14:paraId="1E50826E">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二</w:t>
            </w:r>
          </w:p>
        </w:tc>
        <w:tc>
          <w:tcPr>
            <w:tcW w:w="1663" w:type="dxa"/>
            <w:tcBorders>
              <w:tl2br w:val="nil"/>
              <w:tr2bl w:val="nil"/>
            </w:tcBorders>
            <w:vAlign w:val="center"/>
          </w:tcPr>
          <w:p w14:paraId="2B5BD94E">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三</w:t>
            </w:r>
          </w:p>
        </w:tc>
        <w:tc>
          <w:tcPr>
            <w:tcW w:w="1663" w:type="dxa"/>
            <w:tcBorders>
              <w:tl2br w:val="nil"/>
              <w:tr2bl w:val="nil"/>
            </w:tcBorders>
            <w:vAlign w:val="center"/>
          </w:tcPr>
          <w:p w14:paraId="643885A4">
            <w:pPr>
              <w:pStyle w:val="143"/>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简单分析</w:t>
            </w:r>
          </w:p>
        </w:tc>
      </w:tr>
    </w:tbl>
    <w:p w14:paraId="5F818715">
      <w:pPr>
        <w:pStyle w:val="85"/>
        <w:spacing w:line="360" w:lineRule="auto"/>
        <w:ind w:left="0" w:leftChars="0" w:firstLine="0" w:firstLineChars="0"/>
        <w:rPr>
          <w:rFonts w:hint="eastAsia" w:ascii="宋体" w:hAnsi="宋体" w:eastAsia="宋体" w:cs="宋体"/>
          <w:color w:val="000000"/>
          <w:kern w:val="0"/>
          <w:sz w:val="24"/>
          <w:szCs w:val="24"/>
          <w:lang w:val="en-US" w:eastAsia="zh-CN" w:bidi="ar"/>
        </w:rPr>
      </w:pPr>
      <w:r>
        <w:rPr>
          <w:rFonts w:hint="eastAsia"/>
          <w:color w:val="000000" w:themeColor="text1"/>
          <w:lang w:val="en-US" w:eastAsia="zh-CN"/>
          <w14:textFill>
            <w14:solidFill>
              <w14:schemeClr w14:val="tx1"/>
            </w14:solidFill>
          </w14:textFill>
        </w:rPr>
        <w:t>5.2.7.3</w:t>
      </w:r>
      <w:r>
        <w:rPr>
          <w:rFonts w:hint="eastAsia" w:ascii="宋体" w:hAnsi="宋体" w:eastAsia="宋体" w:cs="宋体"/>
          <w:color w:val="000000"/>
          <w:kern w:val="0"/>
          <w:sz w:val="24"/>
          <w:szCs w:val="24"/>
          <w:lang w:val="en-US" w:eastAsia="zh-CN" w:bidi="ar"/>
        </w:rPr>
        <w:t>风险识别</w:t>
      </w:r>
    </w:p>
    <w:p w14:paraId="514CA1B5">
      <w:pPr>
        <w:pStyle w:val="85"/>
        <w:spacing w:line="360" w:lineRule="auto"/>
        <w:ind w:left="0" w:leftChars="0" w:firstLine="0" w:firstLineChars="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    1、物质危险性识别</w:t>
      </w:r>
    </w:p>
    <w:p w14:paraId="3151EE0A">
      <w:pPr>
        <w:keepNext w:val="0"/>
        <w:keepLines w:val="0"/>
        <w:widowControl/>
        <w:suppressLineNumbers w:val="0"/>
        <w:jc w:val="both"/>
      </w:pPr>
      <w:r>
        <w:rPr>
          <w:rFonts w:hint="eastAsia" w:ascii="宋体" w:hAnsi="宋体" w:eastAsia="宋体" w:cs="宋体"/>
          <w:color w:val="000000"/>
          <w:kern w:val="0"/>
          <w:sz w:val="24"/>
          <w:szCs w:val="24"/>
          <w:lang w:val="en-US" w:eastAsia="zh-CN" w:bidi="ar"/>
        </w:rPr>
        <w:t>根据项目化学品主要成分，对照《建设项目环境风险评价技术导则》（</w:t>
      </w:r>
      <w:r>
        <w:rPr>
          <w:rFonts w:hint="default" w:ascii="Times New Roman" w:hAnsi="Times New Roman" w:eastAsia="宋体" w:cs="Times New Roman"/>
          <w:color w:val="000000"/>
          <w:kern w:val="0"/>
          <w:sz w:val="24"/>
          <w:szCs w:val="24"/>
          <w:lang w:val="en-US" w:eastAsia="zh-CN" w:bidi="ar"/>
        </w:rPr>
        <w:t>HJ169-2018</w:t>
      </w:r>
      <w:r>
        <w:rPr>
          <w:rFonts w:hint="eastAsia" w:ascii="宋体" w:hAnsi="宋体" w:eastAsia="宋体" w:cs="宋体"/>
          <w:color w:val="000000"/>
          <w:kern w:val="0"/>
          <w:sz w:val="24"/>
          <w:szCs w:val="24"/>
          <w:lang w:val="en-US" w:eastAsia="zh-CN" w:bidi="ar"/>
        </w:rPr>
        <w:t xml:space="preserve">）附录 </w:t>
      </w:r>
      <w:r>
        <w:rPr>
          <w:rFonts w:hint="default" w:ascii="Times New Roman" w:hAnsi="Times New Roman" w:eastAsia="宋体" w:cs="Times New Roman"/>
          <w:color w:val="000000"/>
          <w:kern w:val="0"/>
          <w:sz w:val="24"/>
          <w:szCs w:val="24"/>
          <w:lang w:val="en-US" w:eastAsia="zh-CN" w:bidi="ar"/>
        </w:rPr>
        <w:t xml:space="preserve">B </w:t>
      </w:r>
      <w:r>
        <w:rPr>
          <w:rFonts w:hint="eastAsia" w:ascii="宋体" w:hAnsi="宋体" w:eastAsia="宋体" w:cs="宋体"/>
          <w:color w:val="000000"/>
          <w:kern w:val="0"/>
          <w:sz w:val="24"/>
          <w:szCs w:val="24"/>
          <w:lang w:val="en-US" w:eastAsia="zh-CN" w:bidi="ar"/>
        </w:rPr>
        <w:t xml:space="preserve">等相关资料来对本工程主要物料的毒性及其风险危害特性进行识别，本项目涉及的危险物质为氢氧化钠、硝酸、盐酸、过氧乙酸、机油、柴油、天然气、危险废物等。主要物质理化性质如下： </w:t>
      </w:r>
    </w:p>
    <w:p w14:paraId="78A3D039">
      <w:pPr>
        <w:keepNext w:val="0"/>
        <w:keepLines w:val="0"/>
        <w:widowControl/>
        <w:suppressLineNumbers w:val="0"/>
        <w:jc w:val="left"/>
      </w:pP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1</w:t>
      </w:r>
      <w:r>
        <w:rPr>
          <w:rFonts w:hint="eastAsia" w:ascii="宋体" w:hAnsi="宋体" w:eastAsia="宋体" w:cs="宋体"/>
          <w:color w:val="000000"/>
          <w:kern w:val="0"/>
          <w:sz w:val="24"/>
          <w:szCs w:val="24"/>
          <w:lang w:val="en-US" w:eastAsia="zh-CN" w:bidi="ar"/>
        </w:rPr>
        <w:t xml:space="preserve">）氢氧化钠 </w:t>
      </w:r>
    </w:p>
    <w:p w14:paraId="1AB5FED7">
      <w:pPr>
        <w:keepNext w:val="0"/>
        <w:keepLines w:val="0"/>
        <w:widowControl/>
        <w:suppressLineNumbers w:val="0"/>
        <w:jc w:val="both"/>
      </w:pPr>
      <w:r>
        <w:rPr>
          <w:rFonts w:hint="eastAsia" w:ascii="宋体" w:hAnsi="宋体" w:eastAsia="宋体" w:cs="宋体"/>
          <w:color w:val="000000"/>
          <w:kern w:val="0"/>
          <w:sz w:val="24"/>
          <w:szCs w:val="24"/>
          <w:lang w:val="en-US" w:eastAsia="zh-CN" w:bidi="ar"/>
        </w:rPr>
        <w:t>氢氧化钠，也称苛性钠、烧碱、火碱、片碱，氢氧化钠对纤维、皮肤、玻璃、陶瓷等有腐蚀作用，溶解或浓溶液稀释时会放出热量。密度：</w:t>
      </w:r>
      <w:r>
        <w:rPr>
          <w:rFonts w:hint="default" w:ascii="Times New Roman" w:hAnsi="Times New Roman" w:eastAsia="宋体" w:cs="Times New Roman"/>
          <w:color w:val="000000"/>
          <w:kern w:val="0"/>
          <w:sz w:val="24"/>
          <w:szCs w:val="24"/>
          <w:lang w:val="en-US" w:eastAsia="zh-CN" w:bidi="ar"/>
        </w:rPr>
        <w:t>2.130g/cm</w:t>
      </w:r>
      <w:r>
        <w:rPr>
          <w:rFonts w:hint="eastAsia" w:ascii="宋体" w:hAnsi="宋体" w:eastAsia="宋体" w:cs="宋体"/>
          <w:color w:val="000000"/>
          <w:kern w:val="0"/>
          <w:sz w:val="24"/>
          <w:szCs w:val="24"/>
          <w:lang w:val="en-US" w:eastAsia="zh-CN" w:bidi="ar"/>
        </w:rPr>
        <w:t>³，熔点：</w:t>
      </w:r>
      <w:r>
        <w:rPr>
          <w:rFonts w:hint="default" w:ascii="Times New Roman" w:hAnsi="Times New Roman" w:eastAsia="宋体" w:cs="Times New Roman"/>
          <w:color w:val="000000"/>
          <w:kern w:val="0"/>
          <w:sz w:val="24"/>
          <w:szCs w:val="24"/>
          <w:lang w:val="en-US" w:eastAsia="zh-CN" w:bidi="ar"/>
        </w:rPr>
        <w:t>318.4</w:t>
      </w: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(591 K)</w:t>
      </w:r>
      <w:r>
        <w:rPr>
          <w:rFonts w:hint="eastAsia" w:ascii="宋体" w:hAnsi="宋体" w:eastAsia="宋体" w:cs="宋体"/>
          <w:color w:val="000000"/>
          <w:kern w:val="0"/>
          <w:sz w:val="24"/>
          <w:szCs w:val="24"/>
          <w:lang w:val="en-US" w:eastAsia="zh-CN" w:bidi="ar"/>
        </w:rPr>
        <w:t>，沸点：</w:t>
      </w:r>
      <w:r>
        <w:rPr>
          <w:rFonts w:hint="default" w:ascii="Times New Roman" w:hAnsi="Times New Roman" w:eastAsia="宋体" w:cs="Times New Roman"/>
          <w:color w:val="000000"/>
          <w:kern w:val="0"/>
          <w:sz w:val="24"/>
          <w:szCs w:val="24"/>
          <w:lang w:val="en-US" w:eastAsia="zh-CN" w:bidi="ar"/>
        </w:rPr>
        <w:t>1390</w:t>
      </w: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(1663K)</w:t>
      </w:r>
      <w:r>
        <w:rPr>
          <w:rFonts w:hint="eastAsia" w:ascii="宋体" w:hAnsi="宋体" w:eastAsia="宋体" w:cs="宋体"/>
          <w:color w:val="000000"/>
          <w:kern w:val="0"/>
          <w:sz w:val="24"/>
          <w:szCs w:val="24"/>
          <w:lang w:val="en-US" w:eastAsia="zh-CN" w:bidi="ar"/>
        </w:rPr>
        <w:t>，蒸气压：</w:t>
      </w:r>
      <w:r>
        <w:rPr>
          <w:rFonts w:hint="default" w:ascii="Times New Roman" w:hAnsi="Times New Roman" w:eastAsia="宋体" w:cs="Times New Roman"/>
          <w:color w:val="000000"/>
          <w:kern w:val="0"/>
          <w:sz w:val="24"/>
          <w:szCs w:val="24"/>
          <w:lang w:val="en-US" w:eastAsia="zh-CN" w:bidi="ar"/>
        </w:rPr>
        <w:t>24.5mmHg(25</w:t>
      </w: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w:t>
      </w:r>
      <w:r>
        <w:rPr>
          <w:rFonts w:hint="eastAsia" w:ascii="宋体" w:hAnsi="宋体" w:eastAsia="宋体" w:cs="宋体"/>
          <w:color w:val="000000"/>
          <w:kern w:val="0"/>
          <w:sz w:val="24"/>
          <w:szCs w:val="24"/>
          <w:lang w:val="en-US" w:eastAsia="zh-CN" w:bidi="ar"/>
        </w:rPr>
        <w:t>，饱和蒸气压：</w:t>
      </w:r>
      <w:r>
        <w:rPr>
          <w:rFonts w:hint="default" w:ascii="Times New Roman" w:hAnsi="Times New Roman" w:eastAsia="宋体" w:cs="Times New Roman"/>
          <w:color w:val="000000"/>
          <w:kern w:val="0"/>
          <w:sz w:val="24"/>
          <w:szCs w:val="24"/>
          <w:lang w:val="en-US" w:eastAsia="zh-CN" w:bidi="ar"/>
        </w:rPr>
        <w:t>0.13Kpa</w:t>
      </w: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739</w:t>
      </w:r>
      <w:r>
        <w:rPr>
          <w:rFonts w:hint="eastAsia" w:ascii="宋体" w:hAnsi="宋体" w:eastAsia="宋体" w:cs="宋体"/>
          <w:color w:val="000000"/>
          <w:kern w:val="0"/>
          <w:sz w:val="24"/>
          <w:szCs w:val="24"/>
          <w:lang w:val="en-US" w:eastAsia="zh-CN" w:bidi="ar"/>
        </w:rPr>
        <w:t xml:space="preserve">℃），外观：白色结晶性粉末。溶解性：易溶于水、乙醇、甘油，不溶于丙酮、乙醚。 </w:t>
      </w:r>
    </w:p>
    <w:p w14:paraId="5ACEC3AA">
      <w:pPr>
        <w:keepNext w:val="0"/>
        <w:keepLines w:val="0"/>
        <w:widowControl/>
        <w:suppressLineNumbers w:val="0"/>
        <w:jc w:val="left"/>
      </w:pPr>
      <w:r>
        <w:rPr>
          <w:rFonts w:hint="eastAsia" w:ascii="宋体" w:hAnsi="宋体" w:eastAsia="宋体" w:cs="宋体"/>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2</w:t>
      </w:r>
      <w:r>
        <w:rPr>
          <w:rFonts w:hint="eastAsia" w:ascii="宋体" w:hAnsi="宋体" w:eastAsia="宋体" w:cs="宋体"/>
          <w:color w:val="000000"/>
          <w:kern w:val="0"/>
          <w:sz w:val="24"/>
          <w:szCs w:val="24"/>
          <w:lang w:val="en-US" w:eastAsia="zh-CN" w:bidi="ar"/>
        </w:rPr>
        <w:t>）硝酸</w:t>
      </w:r>
    </w:p>
    <w:p w14:paraId="2B0CEB3A">
      <w:pPr>
        <w:keepNext w:val="0"/>
        <w:keepLines w:val="0"/>
        <w:widowControl/>
        <w:suppressLineNumbers w:val="0"/>
        <w:jc w:val="left"/>
      </w:pPr>
      <w:r>
        <w:rPr>
          <w:rFonts w:hint="eastAsia" w:ascii="宋体" w:hAnsi="宋体" w:eastAsia="宋体" w:cs="宋体"/>
          <w:color w:val="000000"/>
          <w:kern w:val="0"/>
          <w:sz w:val="24"/>
          <w:szCs w:val="24"/>
          <w:lang w:val="en-US" w:eastAsia="zh-CN" w:bidi="ar"/>
        </w:rPr>
        <w:t xml:space="preserve">是一种具有强氧化性、腐蚀性的一元无机强酸。是六大无机强酸之一，也是一种重要的化工原料，化学式为 </w:t>
      </w:r>
      <w:r>
        <w:rPr>
          <w:rFonts w:hint="default" w:ascii="Times New Roman" w:hAnsi="Times New Roman" w:eastAsia="宋体" w:cs="Times New Roman"/>
          <w:color w:val="000000"/>
          <w:kern w:val="0"/>
          <w:sz w:val="24"/>
          <w:szCs w:val="24"/>
          <w:lang w:val="en-US" w:eastAsia="zh-CN" w:bidi="ar"/>
        </w:rPr>
        <w:t>HNO</w:t>
      </w:r>
      <w:r>
        <w:rPr>
          <w:rFonts w:hint="default" w:ascii="Times New Roman" w:hAnsi="Times New Roman" w:eastAsia="宋体" w:cs="Times New Roman"/>
          <w:color w:val="000000"/>
          <w:kern w:val="0"/>
          <w:sz w:val="15"/>
          <w:szCs w:val="15"/>
          <w:lang w:val="en-US" w:eastAsia="zh-CN" w:bidi="ar"/>
        </w:rPr>
        <w:t>3</w:t>
      </w:r>
      <w:r>
        <w:rPr>
          <w:rFonts w:hint="eastAsia" w:ascii="宋体" w:hAnsi="宋体" w:eastAsia="宋体" w:cs="宋体"/>
          <w:color w:val="000000"/>
          <w:kern w:val="0"/>
          <w:sz w:val="24"/>
          <w:szCs w:val="24"/>
          <w:lang w:val="en-US" w:eastAsia="zh-CN" w:bidi="ar"/>
        </w:rPr>
        <w:t xml:space="preserve">，分子量为 </w:t>
      </w:r>
      <w:r>
        <w:rPr>
          <w:rFonts w:hint="default" w:ascii="Times New Roman" w:hAnsi="Times New Roman" w:eastAsia="宋体" w:cs="Times New Roman"/>
          <w:color w:val="000000"/>
          <w:kern w:val="0"/>
          <w:sz w:val="24"/>
          <w:szCs w:val="24"/>
          <w:lang w:val="en-US" w:eastAsia="zh-CN" w:bidi="ar"/>
        </w:rPr>
        <w:t>63.01</w:t>
      </w:r>
      <w:r>
        <w:rPr>
          <w:rFonts w:hint="eastAsia" w:ascii="宋体" w:hAnsi="宋体" w:eastAsia="宋体" w:cs="宋体"/>
          <w:color w:val="000000"/>
          <w:kern w:val="0"/>
          <w:sz w:val="24"/>
          <w:szCs w:val="24"/>
          <w:lang w:val="en-US" w:eastAsia="zh-CN" w:bidi="ar"/>
        </w:rPr>
        <w:t>，其水溶液俗称硝镪水或氨氮水，纯品为无色透明发烟液体，有酸味。在工业上可用于制化肥、农药、炸药、染料等</w:t>
      </w:r>
      <w:r>
        <w:rPr>
          <w:rFonts w:hint="eastAsia" w:ascii="宋体" w:hAnsi="宋体" w:cs="宋体"/>
          <w:color w:val="000000"/>
          <w:kern w:val="0"/>
          <w:sz w:val="24"/>
          <w:szCs w:val="24"/>
          <w:lang w:val="en-US" w:eastAsia="zh-CN" w:bidi="ar"/>
        </w:rPr>
        <w:t>。</w:t>
      </w:r>
    </w:p>
    <w:p w14:paraId="0E34467B">
      <w:pPr>
        <w:pStyle w:val="85"/>
        <w:spacing w:line="360" w:lineRule="auto"/>
        <w:ind w:left="0" w:leftChars="0" w:firstLine="480" w:firstLineChars="20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2、生产系统危险性识别</w:t>
      </w:r>
    </w:p>
    <w:p w14:paraId="5E3B0653">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根据《国家安全监管总局关于公布首批重点监管的危险化工工艺目录的通知》(安监总管三[2009]116 号)、《国家安全监管总局关于公布第二批重点监管危险化工工艺目录和调整首批重点监管危险化工工艺中部分典型工艺的通知》（安监总管三〔2013〕3 号）可知，本项目不涉及重点监管的危险化工工艺。</w:t>
      </w:r>
    </w:p>
    <w:p w14:paraId="76C9983F">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 xml:space="preserve">（1）出现物料泄漏的可能性分析 </w:t>
      </w:r>
    </w:p>
    <w:p w14:paraId="3DEDD151">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在正常操作状态下，生产系统基本不会出现物料的泄漏，只有在设备、管道、阀门、管件发生破裂的情况下，会出现物料泄漏。另外，在人员误操作或生产系统发生故障时，也有发生泄漏的可能性。</w:t>
      </w:r>
    </w:p>
    <w:p w14:paraId="776DA7EA">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 xml:space="preserve">1)设计失误 </w:t>
      </w:r>
    </w:p>
    <w:p w14:paraId="4851FDEA">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基础设计错误，如地基下沉，造成容器底部产生裂缝，或者设备变形、错位等；选材不当，如强度不够，耐腐蚀性差、规格不符等；布置不合理，选用机械不合格，如转速过高、耐压性能差等；选用计测仪器不合适等。</w:t>
      </w:r>
    </w:p>
    <w:p w14:paraId="29C5A447">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 xml:space="preserve">2)设备原因 </w:t>
      </w:r>
    </w:p>
    <w:p w14:paraId="17165AD6">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 xml:space="preserve">加工不符合要求，或者未经检验擅自采用代用材料；加工质量差，特别是不具有操作证的焊工焊接质量差；施工和安装的精度不高，如泵和电机不同轴、机械设备不平衡、管道连接不严密；选用的标准定型产品质量不合格；对安装的设备未按有关标准验收；设备长期使用后未按规定进行检修，或检修质量差造成泄漏；计测仪表未定期校验，造成计量不准；阀门损坏或开关泄漏，又未及时更换；设备附件质量差，或长期使用后材料变质、腐蚀或破裂等。 </w:t>
      </w:r>
    </w:p>
    <w:p w14:paraId="13FDCDAF">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 xml:space="preserve">3)管理原因 </w:t>
      </w:r>
    </w:p>
    <w:p w14:paraId="0941B89D">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 xml:space="preserve">没有制定完善的安全操作规程；已发现的问题不及时解决；没有严格执行监督检查制度；指挥失误，甚至违章指挥；让未经培训的工人上岗，知识不足，不能判断错误；检修制度不严，没有及时检修已出现故障的设备，使设备带病运转。 </w:t>
      </w:r>
    </w:p>
    <w:p w14:paraId="745FF0A2">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4)人为失误</w:t>
      </w:r>
    </w:p>
    <w:p w14:paraId="00681568">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误操作，违反操作规程；判断错误，如记错阀门位置而开错阀门；擅自脱岗；思想不集中；发现异常现象不知如何处理。设计、设备、管理和人员等一个环节出现问题，都可能导致具有爆炸性、可燃性的化学品泄漏。</w:t>
      </w:r>
    </w:p>
    <w:p w14:paraId="31021789">
      <w:pPr>
        <w:keepNext w:val="0"/>
        <w:keepLines w:val="0"/>
        <w:widowControl/>
        <w:suppressLineNumbers w:val="0"/>
        <w:jc w:val="left"/>
        <w:rPr>
          <w:b w:val="0"/>
          <w:bCs w:val="0"/>
        </w:rPr>
      </w:pPr>
      <w:r>
        <w:rPr>
          <w:rFonts w:hint="eastAsia" w:ascii="宋体" w:hAnsi="宋体" w:eastAsia="宋体" w:cs="宋体"/>
          <w:b w:val="0"/>
          <w:bCs w:val="0"/>
          <w:color w:val="000000"/>
          <w:kern w:val="0"/>
          <w:sz w:val="24"/>
          <w:szCs w:val="24"/>
          <w:lang w:val="en-US" w:eastAsia="zh-CN" w:bidi="ar"/>
        </w:rPr>
        <w:t>（</w:t>
      </w:r>
      <w:r>
        <w:rPr>
          <w:rFonts w:hint="default" w:ascii="Times New Roman" w:hAnsi="Times New Roman" w:eastAsia="宋体" w:cs="Times New Roman"/>
          <w:b w:val="0"/>
          <w:bCs w:val="0"/>
          <w:color w:val="000000"/>
          <w:kern w:val="0"/>
          <w:sz w:val="24"/>
          <w:szCs w:val="24"/>
          <w:lang w:val="en-US" w:eastAsia="zh-CN" w:bidi="ar"/>
        </w:rPr>
        <w:t>2</w:t>
      </w:r>
      <w:r>
        <w:rPr>
          <w:rFonts w:hint="eastAsia" w:ascii="宋体" w:hAnsi="宋体" w:eastAsia="宋体" w:cs="宋体"/>
          <w:b w:val="0"/>
          <w:bCs w:val="0"/>
          <w:color w:val="000000"/>
          <w:kern w:val="0"/>
          <w:sz w:val="24"/>
          <w:szCs w:val="24"/>
          <w:lang w:val="en-US" w:eastAsia="zh-CN" w:bidi="ar"/>
        </w:rPr>
        <w:t xml:space="preserve">）物料泄漏后可能造成爆炸、火灾事故的条件分析 </w:t>
      </w:r>
    </w:p>
    <w:p w14:paraId="3E0B1B84">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本项目天然气、沼气若发生泄漏，可能会导致爆炸、火灾的发生。当可燃气体的蒸汽浓度在其爆炸极限范围内时，遇激发能源即可发生爆炸事故。另外，其蒸汽浓度在爆炸极限范围上限以上时，存在空气立即对其浓度进行稀释的可能，致使其处于爆炸极限范围内，因此也应特别引起重视。 </w:t>
      </w:r>
    </w:p>
    <w:p w14:paraId="7C324D0A">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导致本项目燃爆可能的激发能源如下所述： </w:t>
      </w:r>
    </w:p>
    <w:p w14:paraId="5DA6711C">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①明火：如火柴、打火机灯焰、油灯火、气焊火等。 </w:t>
      </w:r>
    </w:p>
    <w:p w14:paraId="3AFBE0ED">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②电气火花：如各种开关触头火花、保险丝熔断火花、线路短路以及接触不良的跳火等。 </w:t>
      </w:r>
    </w:p>
    <w:p w14:paraId="01A5F727">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③撞击、摩擦发生的火花：如铁锤等撞击火花以及穿带钉鞋摩擦、撞击火花。 </w:t>
      </w:r>
    </w:p>
    <w:p w14:paraId="55A6FE00">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④静电火花：易燃、易爆的物料在储运过程中要发生流动、喷射、冲击、灌注和剧烈晃动等一系列接触、分离现象，这就使易燃易爆物料在储运过程中产生静电。当静电聚集到一定程度时，就会放电产生静电火花。另外，化纤服装穿脱也能产生静电火花等。 </w:t>
      </w:r>
    </w:p>
    <w:p w14:paraId="50B339AC">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⑤雷电火花：包括直击雷和感应雷。 </w:t>
      </w:r>
    </w:p>
    <w:p w14:paraId="239E2577">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⑥火星：烟囱冒出的火星、排气管放出的火星等。 </w:t>
      </w:r>
    </w:p>
    <w:p w14:paraId="3DF1E021">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⑦电磁火花：如手机电磁火花。 </w:t>
      </w:r>
    </w:p>
    <w:p w14:paraId="0F19833D">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⑧炽热表面：工作着的电器、炽热排气管等。</w:t>
      </w:r>
    </w:p>
    <w:p w14:paraId="1EF1992B">
      <w:pPr>
        <w:keepNext w:val="0"/>
        <w:keepLines w:val="0"/>
        <w:widowControl/>
        <w:suppressLineNumbers w:val="0"/>
        <w:jc w:val="left"/>
        <w:rPr>
          <w:b w:val="0"/>
          <w:bCs w:val="0"/>
        </w:rPr>
      </w:pPr>
      <w:r>
        <w:rPr>
          <w:rFonts w:hint="eastAsia" w:ascii="宋体" w:hAnsi="宋体" w:eastAsia="宋体" w:cs="宋体"/>
          <w:b w:val="0"/>
          <w:bCs w:val="0"/>
          <w:color w:val="000000"/>
          <w:kern w:val="0"/>
          <w:sz w:val="24"/>
          <w:szCs w:val="24"/>
          <w:lang w:val="en-US" w:eastAsia="zh-CN" w:bidi="ar"/>
        </w:rPr>
        <w:t>（</w:t>
      </w:r>
      <w:r>
        <w:rPr>
          <w:rFonts w:hint="eastAsia" w:ascii="Times New Roman" w:hAnsi="Times New Roman" w:eastAsia="宋体" w:cs="Times New Roman"/>
          <w:b w:val="0"/>
          <w:bCs w:val="0"/>
          <w:color w:val="000000"/>
          <w:kern w:val="0"/>
          <w:sz w:val="24"/>
          <w:szCs w:val="24"/>
          <w:lang w:val="en-US" w:eastAsia="zh-CN" w:bidi="ar"/>
        </w:rPr>
        <w:t>3</w:t>
      </w:r>
      <w:r>
        <w:rPr>
          <w:rFonts w:hint="eastAsia" w:ascii="宋体" w:hAnsi="宋体" w:eastAsia="宋体" w:cs="宋体"/>
          <w:b w:val="0"/>
          <w:bCs w:val="0"/>
          <w:color w:val="000000"/>
          <w:kern w:val="0"/>
          <w:sz w:val="24"/>
          <w:szCs w:val="24"/>
          <w:lang w:val="en-US" w:eastAsia="zh-CN" w:bidi="ar"/>
        </w:rPr>
        <w:t xml:space="preserve">）化学品物料装卸、储存过程泄漏 </w:t>
      </w:r>
    </w:p>
    <w:p w14:paraId="14F87BD5">
      <w:pPr>
        <w:keepNext w:val="0"/>
        <w:keepLines w:val="0"/>
        <w:widowControl/>
        <w:suppressLineNumbers w:val="0"/>
        <w:jc w:val="both"/>
      </w:pPr>
      <w:r>
        <w:rPr>
          <w:rFonts w:hint="eastAsia" w:ascii="宋体" w:hAnsi="宋体" w:eastAsia="宋体" w:cs="宋体"/>
          <w:color w:val="000000"/>
          <w:kern w:val="0"/>
          <w:sz w:val="24"/>
          <w:szCs w:val="24"/>
          <w:lang w:val="en-US" w:eastAsia="zh-CN" w:bidi="ar"/>
        </w:rPr>
        <w:t xml:space="preserve">化学品在装卸储运过程中因包装损坏、破裂以及其它一些人为因素的原因，有可能发生化学品的泄漏事故。如果发生较大规模的泄漏事故，还将对周围环境造成严重污染。本项目使用的硝酸溶液、过氧化氢等原料在物料装卸过程中，存在由于操作不当会存在泄漏等风险。危险货物运输中，由于经受多次装卸，因温度、压力的变化；重装重卸、操作不当；容器多次回收利用，强度下降，安全阀开启，阀门变形断裂等原因，均可能造成液体滴漏、固体散落以及气体扩散，出现不同程度的泄漏，引起环境污染。 </w:t>
      </w:r>
    </w:p>
    <w:p w14:paraId="1D5B6F73">
      <w:pPr>
        <w:keepNext w:val="0"/>
        <w:keepLines w:val="0"/>
        <w:widowControl/>
        <w:suppressLineNumbers w:val="0"/>
        <w:jc w:val="both"/>
      </w:pPr>
      <w:r>
        <w:rPr>
          <w:rFonts w:hint="eastAsia" w:ascii="宋体" w:hAnsi="宋体" w:eastAsia="宋体" w:cs="宋体"/>
          <w:color w:val="000000"/>
          <w:kern w:val="0"/>
          <w:sz w:val="24"/>
          <w:szCs w:val="24"/>
          <w:lang w:val="en-US" w:eastAsia="zh-CN" w:bidi="ar"/>
        </w:rPr>
        <w:t xml:space="preserve">天然气、沼气若发生泄露可能是由于管道连接处螺丝松动、出现裂纹，或管道出现腐蚀。甲烷基本无毒，但当空气中甲烷的含量达到 </w:t>
      </w:r>
      <w:r>
        <w:rPr>
          <w:rFonts w:hint="default" w:ascii="Times New Roman" w:hAnsi="Times New Roman" w:eastAsia="宋体" w:cs="Times New Roman"/>
          <w:color w:val="000000"/>
          <w:kern w:val="0"/>
          <w:sz w:val="24"/>
          <w:szCs w:val="24"/>
          <w:lang w:val="en-US" w:eastAsia="zh-CN" w:bidi="ar"/>
        </w:rPr>
        <w:t>25%~30%</w:t>
      </w:r>
      <w:r>
        <w:rPr>
          <w:rFonts w:hint="eastAsia" w:ascii="宋体" w:hAnsi="宋体" w:eastAsia="宋体" w:cs="宋体"/>
          <w:color w:val="000000"/>
          <w:kern w:val="0"/>
          <w:sz w:val="24"/>
          <w:szCs w:val="24"/>
          <w:lang w:val="en-US" w:eastAsia="zh-CN" w:bidi="ar"/>
        </w:rPr>
        <w:t>时，人会头痛、头晕、乏力、注意力不集中、呼吸和心跳加速，若不及时远离，可致窒息死亡。</w:t>
      </w:r>
    </w:p>
    <w:p w14:paraId="6354F7D0">
      <w:pPr>
        <w:pStyle w:val="85"/>
        <w:spacing w:line="360" w:lineRule="auto"/>
        <w:rPr>
          <w:rFonts w:hint="eastAsia" w:ascii="宋体" w:hAnsi="宋体" w:eastAsia="宋体" w:cs="宋体"/>
          <w:b w:val="0"/>
          <w:bCs w:val="0"/>
          <w:color w:val="000000"/>
          <w:kern w:val="0"/>
          <w:sz w:val="24"/>
          <w:szCs w:val="24"/>
          <w:lang w:val="en-US" w:eastAsia="zh-CN" w:bidi="ar"/>
        </w:rPr>
      </w:pPr>
      <w:r>
        <w:rPr>
          <w:rFonts w:hint="eastAsia" w:ascii="宋体" w:hAnsi="宋体" w:eastAsia="宋体" w:cs="宋体"/>
          <w:b w:val="0"/>
          <w:bCs w:val="0"/>
          <w:color w:val="000000"/>
          <w:kern w:val="0"/>
          <w:sz w:val="24"/>
          <w:szCs w:val="24"/>
          <w:lang w:val="en-US" w:eastAsia="zh-CN" w:bidi="ar"/>
        </w:rPr>
        <w:t>（</w:t>
      </w:r>
      <w:r>
        <w:rPr>
          <w:rFonts w:hint="eastAsia" w:ascii="Times New Roman" w:hAnsi="Times New Roman" w:eastAsia="宋体" w:cs="Times New Roman"/>
          <w:b w:val="0"/>
          <w:bCs w:val="0"/>
          <w:color w:val="000000"/>
          <w:kern w:val="0"/>
          <w:sz w:val="24"/>
          <w:szCs w:val="24"/>
          <w:lang w:val="en-US" w:eastAsia="zh-CN" w:bidi="ar"/>
        </w:rPr>
        <w:t>4</w:t>
      </w:r>
      <w:r>
        <w:rPr>
          <w:rFonts w:hint="eastAsia" w:ascii="宋体" w:hAnsi="宋体" w:eastAsia="宋体" w:cs="宋体"/>
          <w:b w:val="0"/>
          <w:bCs w:val="0"/>
          <w:color w:val="000000"/>
          <w:kern w:val="0"/>
          <w:sz w:val="24"/>
          <w:szCs w:val="24"/>
          <w:lang w:val="en-US" w:eastAsia="zh-CN" w:bidi="ar"/>
        </w:rPr>
        <w:t>）废水事故排放风险</w:t>
      </w:r>
    </w:p>
    <w:p w14:paraId="6A97514D">
      <w:pPr>
        <w:keepNext w:val="0"/>
        <w:keepLines w:val="0"/>
        <w:widowControl/>
        <w:suppressLineNumbers w:val="0"/>
        <w:jc w:val="left"/>
      </w:pPr>
      <w:r>
        <w:rPr>
          <w:rFonts w:hint="eastAsia" w:ascii="宋体" w:hAnsi="宋体" w:eastAsia="宋体" w:cs="宋体"/>
          <w:color w:val="000000"/>
          <w:kern w:val="0"/>
          <w:sz w:val="24"/>
          <w:szCs w:val="24"/>
          <w:lang w:val="en-US" w:eastAsia="zh-CN" w:bidi="ar"/>
        </w:rPr>
        <w:t>废水事故排放主要包括两种情况：①厂区发生火灾、爆炸或泄漏事故，在消防灭火过程中产生的地面冲洗水或泄漏事故中产生的喷淋废水等未经收集直接排放，导致事故废水可能进入雨水系统而污染附近水体。②废水处理设施发生事故不能正常运行或污水管线发生破裂，废水未经处理或有效处理直接排放，对污水处理厂造成冲击。</w:t>
      </w:r>
    </w:p>
    <w:p w14:paraId="3CED5D67">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5</w:t>
      </w:r>
      <w:r>
        <w:rPr>
          <w:rFonts w:hint="eastAsia" w:eastAsia="宋体"/>
          <w:color w:val="000000" w:themeColor="text1"/>
          <w:lang w:val="en-US" w:eastAsia="zh-CN"/>
          <w14:textFill>
            <w14:solidFill>
              <w14:schemeClr w14:val="tx1"/>
            </w14:solidFill>
          </w14:textFill>
        </w:rPr>
        <w:t xml:space="preserve">）废气事故排放风险 </w:t>
      </w:r>
    </w:p>
    <w:p w14:paraId="47545C34">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本项目废气事故排放风险主要考虑废气处理设施发生故障，如风机、废气处理设施出现停电、失效等非正常工况，导致废气未经处理直接排放或超标排放，对大气环境造成影响。若企业废气收集、处理系统等设计不当或者员工操作不当等原因，也会导致废气处理装置发生火灾等生产安全事故。</w:t>
      </w:r>
    </w:p>
    <w:p w14:paraId="484623C6">
      <w:pPr>
        <w:pStyle w:val="85"/>
        <w:spacing w:line="360" w:lineRule="auto"/>
        <w:ind w:left="0" w:leftChars="0" w:firstLine="0" w:firstLineChars="0"/>
        <w:rPr>
          <w:rFonts w:hint="default" w:ascii="宋体" w:hAnsi="宋体" w:eastAsia="宋体" w:cs="宋体"/>
          <w:color w:val="000000"/>
          <w:kern w:val="0"/>
          <w:sz w:val="24"/>
          <w:szCs w:val="24"/>
          <w:lang w:val="en-US" w:eastAsia="zh-CN" w:bidi="ar"/>
        </w:rPr>
      </w:pPr>
      <w:r>
        <w:rPr>
          <w:rFonts w:hint="eastAsia"/>
          <w:color w:val="000000" w:themeColor="text1"/>
          <w:lang w:val="en-US" w:eastAsia="zh-CN"/>
          <w14:textFill>
            <w14:solidFill>
              <w14:schemeClr w14:val="tx1"/>
            </w14:solidFill>
          </w14:textFill>
        </w:rPr>
        <w:t>5.2.7.4环境</w:t>
      </w:r>
      <w:r>
        <w:rPr>
          <w:rFonts w:hint="eastAsia" w:ascii="宋体" w:hAnsi="宋体" w:eastAsia="宋体" w:cs="宋体"/>
          <w:color w:val="000000"/>
          <w:kern w:val="0"/>
          <w:sz w:val="24"/>
          <w:szCs w:val="24"/>
          <w:lang w:val="en-US" w:eastAsia="zh-CN" w:bidi="ar"/>
        </w:rPr>
        <w:t>风险分析</w:t>
      </w:r>
    </w:p>
    <w:p w14:paraId="782C0371">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 xml:space="preserve">1、火灾爆炸风险 </w:t>
      </w:r>
    </w:p>
    <w:p w14:paraId="3AA57FC7">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根据目前国内发生火灾爆炸事故的特征，发生爆炸事故一般是伴随在火灾事故中，储罐内液体泄漏遇火源发生火灾后，储罐被严重破坏，液体不断涌出，蒸发加快，在空中形成蒸气云，当物质与空气的体积比达到爆炸下限时即发生爆炸；另一种情形就是液体泄漏后，蒸气马上遇火源发生爆炸，事实上前者较为常见，火灾发生后，爆炸事故是连锁进行的，造成的后果往往要比后者严重。</w:t>
      </w:r>
    </w:p>
    <w:p w14:paraId="33D69351">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本项目危险物质机油、柴油、天然气</w:t>
      </w:r>
      <w:r>
        <w:rPr>
          <w:rFonts w:hint="eastAsia"/>
          <w:color w:val="000000" w:themeColor="text1"/>
          <w:lang w:val="en-US" w:eastAsia="zh-CN"/>
          <w14:textFill>
            <w14:solidFill>
              <w14:schemeClr w14:val="tx1"/>
            </w14:solidFill>
          </w14:textFill>
        </w:rPr>
        <w:t>、沼气</w:t>
      </w:r>
      <w:r>
        <w:rPr>
          <w:rFonts w:hint="eastAsia" w:eastAsia="宋体"/>
          <w:color w:val="000000" w:themeColor="text1"/>
          <w:lang w:val="en-US" w:eastAsia="zh-CN"/>
          <w14:textFill>
            <w14:solidFill>
              <w14:schemeClr w14:val="tx1"/>
            </w14:solidFill>
          </w14:textFill>
        </w:rPr>
        <w:t>等都易燃，遇明火、高热可能引起燃烧爆炸。在火场中，受热的容器有爆炸危险。</w:t>
      </w:r>
    </w:p>
    <w:p w14:paraId="14738294">
      <w:pPr>
        <w:pStyle w:val="85"/>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2、泄漏事故风险</w:t>
      </w:r>
    </w:p>
    <w:p w14:paraId="635EAF43">
      <w:pPr>
        <w:pStyle w:val="85"/>
        <w:spacing w:line="360" w:lineRule="auto"/>
        <w:rPr>
          <w:rFonts w:hint="eastAsia"/>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微量的泄漏损耗是任何设备客观存在的现象，事故风险评价所指的泄漏是指规模较大、造成一定环境影响的小概率事件。根据相关资料统计，工厂中易发生泄漏的设备归纳为以下十类：管道、挠性连接器、过滤器、阀门、压力容器或反应釜、泵、压缩机、储罐、加压或冷冻气体容器及火炬燃烧装置或放散管等。根据导则，泄漏事故类型如容器、管道、泵体、压缩机、装卸臂和装卸软管的泄漏和破裂等</w:t>
      </w:r>
      <w:r>
        <w:rPr>
          <w:rFonts w:hint="eastAsia"/>
          <w:color w:val="000000" w:themeColor="text1"/>
          <w:lang w:val="en-US" w:eastAsia="zh-CN"/>
          <w14:textFill>
            <w14:solidFill>
              <w14:schemeClr w14:val="tx1"/>
            </w14:solidFill>
          </w14:textFill>
        </w:rPr>
        <w:t>。本项目危险物质氢氧化钠、硝酸、盐酸、过氧乙酸、机油、柴油、沼气、天然气、危险废物等都具有泄漏风险。污水处理站中含有氨、硫化氢等有毒气体泄漏可能会引起人员中毒、窒息死亡的风险。</w:t>
      </w:r>
    </w:p>
    <w:p w14:paraId="11B2C055">
      <w:pPr>
        <w:pStyle w:val="85"/>
        <w:spacing w:line="360" w:lineRule="auto"/>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3、废水事故性排放环境风险</w:t>
      </w:r>
    </w:p>
    <w:p w14:paraId="6A3AB255">
      <w:pPr>
        <w:pStyle w:val="85"/>
        <w:spacing w:line="360" w:lineRule="auto"/>
        <w:rPr>
          <w:rFonts w:hint="default" w:eastAsia="宋体"/>
          <w:color w:val="000000" w:themeColor="text1"/>
          <w:lang w:val="en-US" w:eastAsia="zh-CN"/>
          <w14:textFill>
            <w14:solidFill>
              <w14:schemeClr w14:val="tx1"/>
            </w14:solidFill>
          </w14:textFill>
        </w:rPr>
      </w:pPr>
      <w:r>
        <w:rPr>
          <w:rFonts w:hint="default" w:eastAsia="宋体"/>
          <w:color w:val="000000" w:themeColor="text1"/>
          <w:lang w:val="en-US" w:eastAsia="zh-CN"/>
          <w14:textFill>
            <w14:solidFill>
              <w14:schemeClr w14:val="tx1"/>
            </w14:solidFill>
          </w14:textFill>
        </w:rPr>
        <w:t>废水事故性排放主要包括两种情况：</w:t>
      </w:r>
    </w:p>
    <w:p w14:paraId="796FE4CE">
      <w:pPr>
        <w:pStyle w:val="85"/>
        <w:spacing w:line="360" w:lineRule="auto"/>
        <w:rPr>
          <w:rFonts w:hint="default" w:eastAsia="宋体"/>
          <w:color w:val="000000" w:themeColor="text1"/>
          <w:lang w:val="en-US" w:eastAsia="zh-CN"/>
          <w14:textFill>
            <w14:solidFill>
              <w14:schemeClr w14:val="tx1"/>
            </w14:solidFill>
          </w14:textFill>
        </w:rPr>
      </w:pPr>
      <w:r>
        <w:rPr>
          <w:rFonts w:hint="default" w:eastAsia="宋体"/>
          <w:color w:val="000000" w:themeColor="text1"/>
          <w:lang w:val="en-US" w:eastAsia="zh-CN"/>
          <w14:textFill>
            <w14:solidFill>
              <w14:schemeClr w14:val="tx1"/>
            </w14:solidFill>
          </w14:textFill>
        </w:rPr>
        <w:t xml:space="preserve">A、若厂区发生火灾、爆炸或泄漏事故，则物料可能进入周边水体；在消防灭火过程中产生的地面冲洗水或泄漏事故中产生的喷淋废水等未经收集直接排放，导致事故废水可能进入雨水系统而污染附近水体。并且通过土壤或地表水和地下水交换污染地下水，造成严重的水体污染。 </w:t>
      </w:r>
    </w:p>
    <w:p w14:paraId="772C242A">
      <w:pPr>
        <w:pStyle w:val="85"/>
        <w:spacing w:line="360" w:lineRule="auto"/>
        <w:rPr>
          <w:rFonts w:hint="default" w:eastAsia="宋体"/>
          <w:color w:val="000000" w:themeColor="text1"/>
          <w:lang w:val="en-US" w:eastAsia="zh-CN"/>
          <w14:textFill>
            <w14:solidFill>
              <w14:schemeClr w14:val="tx1"/>
            </w14:solidFill>
          </w14:textFill>
        </w:rPr>
      </w:pPr>
      <w:r>
        <w:rPr>
          <w:rFonts w:hint="default" w:eastAsia="宋体"/>
          <w:color w:val="000000" w:themeColor="text1"/>
          <w:lang w:val="en-US" w:eastAsia="zh-CN"/>
          <w14:textFill>
            <w14:solidFill>
              <w14:schemeClr w14:val="tx1"/>
            </w14:solidFill>
          </w14:textFill>
        </w:rPr>
        <w:t xml:space="preserve">B、废水处理设施发生事故不能正常运行或污水管线发生破裂，废水未经处理或有效处理直接排放，对污水处理厂造成冲击。本项目排放生产废水、生活污水，污水水质浓度较高，因此本项目废水事故排放对污水处理厂会造成较大影响。 </w:t>
      </w:r>
    </w:p>
    <w:p w14:paraId="3C220F1E">
      <w:pPr>
        <w:pStyle w:val="85"/>
        <w:spacing w:line="360" w:lineRule="auto"/>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w:t>
      </w:r>
      <w:r>
        <w:rPr>
          <w:rFonts w:hint="default" w:eastAsia="宋体"/>
          <w:color w:val="000000" w:themeColor="text1"/>
          <w:lang w:val="en-US" w:eastAsia="zh-CN"/>
          <w14:textFill>
            <w14:solidFill>
              <w14:schemeClr w14:val="tx1"/>
            </w14:solidFill>
          </w14:textFill>
        </w:rPr>
        <w:t xml:space="preserve">废气事故性排放环境风险 </w:t>
      </w:r>
    </w:p>
    <w:p w14:paraId="5F6DB102">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eastAsia="宋体"/>
          <w:color w:val="000000" w:themeColor="text1"/>
          <w:lang w:val="en-US" w:eastAsia="zh-CN"/>
          <w14:textFill>
            <w14:solidFill>
              <w14:schemeClr w14:val="tx1"/>
            </w14:solidFill>
          </w14:textFill>
        </w:rPr>
        <w:t>本项目废气事故排放风险主要考虑废气处理设施发生故障，如</w:t>
      </w:r>
      <w:r>
        <w:rPr>
          <w:rFonts w:hint="eastAsia"/>
          <w:color w:val="000000" w:themeColor="text1"/>
          <w:lang w:val="en-US" w:eastAsia="zh-CN"/>
          <w14:textFill>
            <w14:solidFill>
              <w14:schemeClr w14:val="tx1"/>
            </w14:solidFill>
          </w14:textFill>
        </w:rPr>
        <w:t>废气处理设备故障</w:t>
      </w:r>
      <w:r>
        <w:rPr>
          <w:rFonts w:hint="default" w:eastAsia="宋体"/>
          <w:color w:val="000000" w:themeColor="text1"/>
          <w:lang w:val="en-US" w:eastAsia="zh-CN"/>
          <w14:textFill>
            <w14:solidFill>
              <w14:schemeClr w14:val="tx1"/>
            </w14:solidFill>
          </w14:textFill>
        </w:rPr>
        <w:t>，导致废气超标排放；如风机、废气处理设施出现停电、失效等事故情况，导致废气未经处理直接排放或超标排放，对大气环境造成影响。若企业废气收集、处理系统等设计不当或者员工操作不当等原因，也会导致废气处理装置发生火灾</w:t>
      </w:r>
      <w:r>
        <w:rPr>
          <w:rFonts w:hint="default" w:ascii="Times New Roman" w:hAnsi="Times New Roman" w:eastAsia="宋体"/>
          <w:color w:val="000000" w:themeColor="text1"/>
          <w:lang w:val="en-US" w:eastAsia="zh-CN"/>
          <w14:textFill>
            <w14:solidFill>
              <w14:schemeClr w14:val="tx1"/>
            </w14:solidFill>
          </w14:textFill>
        </w:rPr>
        <w:t xml:space="preserve">等生产安全事故。 </w:t>
      </w:r>
    </w:p>
    <w:p w14:paraId="3A9FA4DB">
      <w:pPr>
        <w:pStyle w:val="85"/>
        <w:spacing w:line="360" w:lineRule="auto"/>
        <w:ind w:left="0" w:leftChars="0" w:firstLine="0" w:firstLineChars="0"/>
        <w:rPr>
          <w:rFonts w:hint="default" w:ascii="宋体" w:hAnsi="宋体" w:eastAsia="宋体" w:cs="宋体"/>
          <w:color w:val="000000"/>
          <w:kern w:val="0"/>
          <w:sz w:val="24"/>
          <w:szCs w:val="24"/>
          <w:lang w:val="en-US" w:eastAsia="zh-CN" w:bidi="ar"/>
        </w:rPr>
      </w:pPr>
      <w:r>
        <w:rPr>
          <w:rFonts w:hint="eastAsia"/>
          <w:color w:val="000000" w:themeColor="text1"/>
          <w:lang w:val="en-US" w:eastAsia="zh-CN"/>
          <w14:textFill>
            <w14:solidFill>
              <w14:schemeClr w14:val="tx1"/>
            </w14:solidFill>
          </w14:textFill>
        </w:rPr>
        <w:t>5.2.7.5环境风险防范措施及应急要求</w:t>
      </w:r>
    </w:p>
    <w:p w14:paraId="06C0DE4C">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 xml:space="preserve">针对企业污染物来源及其特性，以实现达标排放和满足应急处置为原则，建立污染源头、过程处理和最终排放的“三级”防控机制。 </w:t>
      </w:r>
    </w:p>
    <w:p w14:paraId="17705D59">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 xml:space="preserve">一级防控措施：将污染物控制在生产车间、装置区。 </w:t>
      </w:r>
    </w:p>
    <w:p w14:paraId="6ADE115D">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 xml:space="preserve">二级防控措施：将污染物控制在排水系统事故缓冲池。 </w:t>
      </w:r>
    </w:p>
    <w:p w14:paraId="7176A844">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 xml:space="preserve">三级防控措施：将污染物控制在终端污水处理站，确保生产非正常状态下不发生污染事件。 </w:t>
      </w:r>
    </w:p>
    <w:p w14:paraId="5DF1D309">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 xml:space="preserve">本项目的第一级防控措施是储罐区设置导流渠、环形沟等，可有效收集泄漏物料，避免泄漏物料污染外界环境。厂区内设施雨污分流切换系统。第一级防控措施是构筑生产过程中环境安全的第一层防控网，使泄漏物料切换到处理系统，防止污染雨水和轻微事故泄漏造成的环境污染。 </w:t>
      </w:r>
    </w:p>
    <w:p w14:paraId="6ECAEC6F">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本项目的第二级防控措施是生产车间的装置区外建设一定容积的事故缓冲池以及配套事故导排系统等，切断污染物与外部的通道、导入污水处理系统，将污染控制在厂内</w:t>
      </w:r>
      <w:r>
        <w:rPr>
          <w:rFonts w:hint="eastAsia"/>
          <w:color w:val="000000" w:themeColor="text1"/>
          <w:lang w:val="en-US" w:eastAsia="zh-CN"/>
          <w14:textFill>
            <w14:solidFill>
              <w14:schemeClr w14:val="tx1"/>
            </w14:solidFill>
          </w14:textFill>
        </w:rPr>
        <w:t>，</w:t>
      </w:r>
      <w:r>
        <w:rPr>
          <w:rFonts w:hint="default" w:ascii="Times New Roman" w:hAnsi="Times New Roman" w:eastAsia="宋体"/>
          <w:color w:val="000000" w:themeColor="text1"/>
          <w:lang w:val="en-US" w:eastAsia="zh-CN"/>
          <w14:textFill>
            <w14:solidFill>
              <w14:schemeClr w14:val="tx1"/>
            </w14:solidFill>
          </w14:textFill>
        </w:rPr>
        <w:t xml:space="preserve">防止单套生产装置较大事故泄漏物料和消防废水造成的环境污染。 </w:t>
      </w:r>
    </w:p>
    <w:p w14:paraId="0DF3D531">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本项目的第三级防控措施是在厂区污水及雨水总排口设置切断措施，防止事故情况下物料经雨水及污水管线进入地表水水体。作为终端防控措施建设的事故应急池，一方面作为污水处理站的事故贮池，另一方面风险事故情况下，二级防控措施不能满足使用要求时，将物料及消防水等引入该事故应急池，防止污染物进入地表水水体。</w:t>
      </w:r>
    </w:p>
    <w:p w14:paraId="7F699CF5">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 xml:space="preserve">火灾爆炸过程中产生的有毒有害物质及水等通过消防水吸收或消防泡沫覆盖，减少对大气环境的污染。 </w:t>
      </w:r>
    </w:p>
    <w:p w14:paraId="1AD36967">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对于小量的泄漏可用砂土或其它不燃材料吸附，也可用大量水冲洗，冲洗后的污染物须分批排入废水处理系统处理；对于泄漏量大的，应构筑围堤或挖坑收容，也可用泡沫覆盖，降低蒸气灾害，用防爆泵转移至槽车或专用收集器内，回收或运至废物处理场所处置。</w:t>
      </w:r>
    </w:p>
    <w:p w14:paraId="56FB9DC7">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本项目实施后，紧急撤离主要是针对厂区内的工作人员、厂区周边的敏感点。事故时，环境风险防范区内的人群应作为紧急撤离目标，并确保能够在30min内撤离至安全地点。</w:t>
      </w:r>
    </w:p>
    <w:p w14:paraId="1830D4B5">
      <w:pPr>
        <w:pStyle w:val="85"/>
        <w:spacing w:line="360" w:lineRule="auto"/>
        <w:rPr>
          <w:rFonts w:hint="default" w:ascii="Times New Roman" w:hAnsi="Times New Roman" w:eastAsia="宋体"/>
          <w:color w:val="000000" w:themeColor="text1"/>
          <w:lang w:val="en-US" w:eastAsia="zh-CN"/>
          <w14:textFill>
            <w14:solidFill>
              <w14:schemeClr w14:val="tx1"/>
            </w14:solidFill>
          </w14:textFill>
        </w:rPr>
      </w:pPr>
      <w:r>
        <w:rPr>
          <w:rFonts w:hint="default" w:ascii="Times New Roman" w:hAnsi="Times New Roman" w:eastAsia="宋体"/>
          <w:color w:val="000000" w:themeColor="text1"/>
          <w:lang w:val="en-US" w:eastAsia="zh-CN"/>
          <w14:textFill>
            <w14:solidFill>
              <w14:schemeClr w14:val="tx1"/>
            </w14:solidFill>
          </w14:textFill>
        </w:rPr>
        <w:t>现场紧急撤离时，应按照事故现场、工厂临近区的区域人员及公众对毒物应急剂量控制的规定，制定人员紧急撤离、疏散计划和医疗救护程序。同时厂内需要设立明显的风向标，确定安全疏散路线。事故发生后，应根据化学品泄漏的扩散情况及时通知政府相关部门，并通过厂区高音喇叭通知周边居民及时疏散。</w:t>
      </w:r>
    </w:p>
    <w:p w14:paraId="69D17BE0">
      <w:pPr>
        <w:pStyle w:val="85"/>
        <w:spacing w:line="360" w:lineRule="auto"/>
        <w:ind w:left="0" w:leftChars="0" w:firstLine="0" w:firstLineChars="0"/>
        <w:rPr>
          <w:rFonts w:hint="eastAsia" w:ascii="Times New Roman" w:hAnsi="Times New Roman"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5.2.7.6 </w:t>
      </w:r>
      <w:r>
        <w:rPr>
          <w:rFonts w:hint="eastAsia" w:ascii="Times New Roman" w:hAnsi="Times New Roman" w:eastAsia="宋体"/>
          <w:color w:val="000000" w:themeColor="text1"/>
          <w:lang w:val="en-US" w:eastAsia="zh-CN"/>
          <w14:textFill>
            <w14:solidFill>
              <w14:schemeClr w14:val="tx1"/>
            </w14:solidFill>
          </w14:textFill>
        </w:rPr>
        <w:t>环境风险评价结论</w:t>
      </w:r>
    </w:p>
    <w:p w14:paraId="2C08D6EC">
      <w:pPr>
        <w:pStyle w:val="85"/>
        <w:spacing w:line="360" w:lineRule="auto"/>
        <w:rPr>
          <w:rFonts w:hint="eastAsia"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项目的实施存在一定的潜在环境风险，在项目建设过程中应认真落实各项风险防范措施，通过相应技术手段降低风险发生概率，并在风险事故发生后，及时启动应急预案，采取相应风险防范措施，使风险事故对环境的危害得到有效控制，本项目风险可控。</w:t>
      </w:r>
    </w:p>
    <w:p w14:paraId="541B6872">
      <w:pPr>
        <w:pStyle w:val="2"/>
        <w:spacing w:line="360" w:lineRule="auto"/>
        <w:jc w:val="center"/>
        <w:rPr>
          <w:rFonts w:ascii="Times New Roman" w:hAnsi="Times New Roman" w:eastAsia="黑体"/>
          <w:color w:val="000000"/>
        </w:rPr>
      </w:pPr>
      <w:r>
        <w:rPr>
          <w:rFonts w:ascii="Times New Roman" w:hAnsi="Times New Roman" w:eastAsia="黑体"/>
          <w:color w:val="000000"/>
        </w:rPr>
        <w:t>表5-2-</w:t>
      </w:r>
      <w:r>
        <w:rPr>
          <w:rFonts w:hint="eastAsia" w:ascii="Times New Roman" w:eastAsia="黑体"/>
          <w:color w:val="000000"/>
          <w:lang w:val="en-US" w:eastAsia="zh-CN"/>
        </w:rPr>
        <w:t>17</w:t>
      </w:r>
      <w:r>
        <w:rPr>
          <w:rFonts w:ascii="Times New Roman" w:hAnsi="Times New Roman" w:eastAsia="黑体"/>
          <w:color w:val="000000"/>
        </w:rPr>
        <w:t xml:space="preserve">  建设项目环境风险简单分析内容表</w:t>
      </w:r>
    </w:p>
    <w:tbl>
      <w:tblPr>
        <w:tblStyle w:val="49"/>
        <w:tblW w:w="4999"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911"/>
        <w:gridCol w:w="1582"/>
        <w:gridCol w:w="1217"/>
        <w:gridCol w:w="754"/>
        <w:gridCol w:w="1153"/>
        <w:gridCol w:w="1663"/>
      </w:tblGrid>
      <w:tr w14:paraId="44EAC30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63" w:hRule="atLeast"/>
          <w:jc w:val="center"/>
        </w:trPr>
        <w:tc>
          <w:tcPr>
            <w:tcW w:w="1154" w:type="pct"/>
            <w:tcBorders>
              <w:left w:val="nil"/>
              <w:bottom w:val="single" w:color="000000" w:sz="4" w:space="0"/>
              <w:right w:val="single" w:color="000000" w:sz="4" w:space="0"/>
            </w:tcBorders>
            <w:noWrap w:val="0"/>
            <w:vAlign w:val="center"/>
          </w:tcPr>
          <w:p w14:paraId="487FE679">
            <w:pPr>
              <w:pStyle w:val="406"/>
              <w:adjustRightInd/>
              <w:jc w:val="center"/>
              <w:rPr>
                <w:rFonts w:ascii="Times New Roman"/>
                <w:bCs/>
                <w:color w:val="000000"/>
                <w:spacing w:val="-2"/>
                <w:sz w:val="21"/>
              </w:rPr>
            </w:pPr>
            <w:r>
              <w:rPr>
                <w:rFonts w:ascii="Times New Roman"/>
                <w:bCs/>
                <w:color w:val="000000"/>
                <w:spacing w:val="-2"/>
                <w:sz w:val="21"/>
              </w:rPr>
              <w:t>建设项目名称</w:t>
            </w:r>
          </w:p>
        </w:tc>
        <w:tc>
          <w:tcPr>
            <w:tcW w:w="3845" w:type="pct"/>
            <w:gridSpan w:val="5"/>
            <w:tcBorders>
              <w:left w:val="single" w:color="000000" w:sz="4" w:space="0"/>
              <w:bottom w:val="single" w:color="000000" w:sz="4" w:space="0"/>
              <w:right w:val="nil"/>
            </w:tcBorders>
            <w:noWrap w:val="0"/>
            <w:vAlign w:val="center"/>
          </w:tcPr>
          <w:p w14:paraId="05E1733E">
            <w:pPr>
              <w:pStyle w:val="406"/>
              <w:adjustRightInd/>
              <w:jc w:val="center"/>
              <w:rPr>
                <w:rFonts w:hint="eastAsia" w:ascii="Times New Roman"/>
                <w:bCs/>
                <w:color w:val="000000"/>
                <w:spacing w:val="-2"/>
                <w:sz w:val="21"/>
              </w:rPr>
            </w:pPr>
            <w:r>
              <w:rPr>
                <w:rFonts w:hint="eastAsia" w:ascii="Times New Roman"/>
                <w:bCs/>
                <w:color w:val="000000"/>
                <w:spacing w:val="-2"/>
                <w:sz w:val="21"/>
                <w:lang w:eastAsia="zh-CN"/>
              </w:rPr>
              <w:t>年产30000吨紫苏精酿啤酒生产线建设项目</w:t>
            </w:r>
          </w:p>
        </w:tc>
      </w:tr>
      <w:tr w14:paraId="452A365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2" w:hRule="atLeast"/>
          <w:jc w:val="center"/>
        </w:trPr>
        <w:tc>
          <w:tcPr>
            <w:tcW w:w="1154" w:type="pct"/>
            <w:tcBorders>
              <w:top w:val="single" w:color="000000" w:sz="4" w:space="0"/>
              <w:left w:val="nil"/>
              <w:bottom w:val="single" w:color="000000" w:sz="4" w:space="0"/>
              <w:right w:val="single" w:color="000000" w:sz="4" w:space="0"/>
            </w:tcBorders>
            <w:noWrap w:val="0"/>
            <w:vAlign w:val="center"/>
          </w:tcPr>
          <w:p w14:paraId="075EE42F">
            <w:pPr>
              <w:pStyle w:val="406"/>
              <w:adjustRightInd/>
              <w:jc w:val="center"/>
              <w:rPr>
                <w:rFonts w:ascii="Times New Roman"/>
                <w:bCs/>
                <w:color w:val="000000"/>
                <w:spacing w:val="-2"/>
                <w:sz w:val="21"/>
              </w:rPr>
            </w:pPr>
            <w:r>
              <w:rPr>
                <w:rFonts w:ascii="Times New Roman"/>
                <w:bCs/>
                <w:color w:val="000000"/>
                <w:spacing w:val="-2"/>
                <w:sz w:val="21"/>
              </w:rPr>
              <w:t>建设地点</w:t>
            </w:r>
          </w:p>
        </w:tc>
        <w:tc>
          <w:tcPr>
            <w:tcW w:w="955" w:type="pct"/>
            <w:tcBorders>
              <w:top w:val="single" w:color="000000" w:sz="4" w:space="0"/>
              <w:left w:val="single" w:color="000000" w:sz="4" w:space="0"/>
              <w:bottom w:val="single" w:color="000000" w:sz="4" w:space="0"/>
              <w:right w:val="single" w:color="000000" w:sz="4" w:space="0"/>
            </w:tcBorders>
            <w:noWrap w:val="0"/>
            <w:vAlign w:val="center"/>
          </w:tcPr>
          <w:p w14:paraId="6627CCD5">
            <w:pPr>
              <w:pStyle w:val="406"/>
              <w:adjustRightInd/>
              <w:jc w:val="center"/>
              <w:rPr>
                <w:rFonts w:ascii="Times New Roman"/>
                <w:bCs/>
                <w:color w:val="000000"/>
                <w:spacing w:val="-2"/>
                <w:sz w:val="21"/>
              </w:rPr>
            </w:pPr>
            <w:r>
              <w:rPr>
                <w:rFonts w:ascii="Times New Roman"/>
                <w:bCs/>
                <w:color w:val="000000"/>
                <w:spacing w:val="-2"/>
                <w:sz w:val="21"/>
              </w:rPr>
              <w:t>黑龙江省</w:t>
            </w:r>
          </w:p>
        </w:tc>
        <w:tc>
          <w:tcPr>
            <w:tcW w:w="735" w:type="pct"/>
            <w:tcBorders>
              <w:top w:val="single" w:color="000000" w:sz="4" w:space="0"/>
              <w:left w:val="single" w:color="000000" w:sz="4" w:space="0"/>
              <w:bottom w:val="single" w:color="000000" w:sz="4" w:space="0"/>
              <w:right w:val="single" w:color="000000" w:sz="4" w:space="0"/>
            </w:tcBorders>
            <w:noWrap w:val="0"/>
            <w:vAlign w:val="center"/>
          </w:tcPr>
          <w:p w14:paraId="1ED80564">
            <w:pPr>
              <w:pStyle w:val="406"/>
              <w:adjustRightInd/>
              <w:jc w:val="center"/>
              <w:rPr>
                <w:rFonts w:ascii="Times New Roman"/>
                <w:bCs/>
                <w:color w:val="000000"/>
                <w:spacing w:val="-2"/>
                <w:sz w:val="21"/>
              </w:rPr>
            </w:pPr>
            <w:r>
              <w:rPr>
                <w:rFonts w:hint="eastAsia" w:ascii="Times New Roman"/>
                <w:bCs/>
                <w:color w:val="000000"/>
                <w:spacing w:val="-2"/>
                <w:sz w:val="21"/>
                <w:lang w:val="en-US" w:eastAsia="zh-CN"/>
              </w:rPr>
              <w:t>佳木斯</w:t>
            </w:r>
            <w:r>
              <w:rPr>
                <w:rFonts w:ascii="Times New Roman"/>
                <w:bCs/>
                <w:color w:val="000000"/>
                <w:spacing w:val="-2"/>
                <w:sz w:val="21"/>
              </w:rPr>
              <w:t>市</w:t>
            </w:r>
          </w:p>
        </w:tc>
        <w:tc>
          <w:tcPr>
            <w:tcW w:w="455" w:type="pct"/>
            <w:tcBorders>
              <w:top w:val="single" w:color="000000" w:sz="4" w:space="0"/>
              <w:left w:val="single" w:color="000000" w:sz="4" w:space="0"/>
              <w:bottom w:val="single" w:color="000000" w:sz="4" w:space="0"/>
              <w:right w:val="single" w:color="000000" w:sz="4" w:space="0"/>
            </w:tcBorders>
            <w:noWrap w:val="0"/>
            <w:vAlign w:val="center"/>
          </w:tcPr>
          <w:p w14:paraId="6E62A4CE">
            <w:pPr>
              <w:pStyle w:val="406"/>
              <w:adjustRightInd/>
              <w:jc w:val="center"/>
              <w:rPr>
                <w:rFonts w:ascii="Times New Roman"/>
                <w:bCs/>
                <w:color w:val="000000"/>
                <w:spacing w:val="-2"/>
                <w:sz w:val="21"/>
              </w:rPr>
            </w:pPr>
            <w:r>
              <w:rPr>
                <w:rFonts w:hint="eastAsia" w:ascii="Times New Roman" w:eastAsia="宋体" w:cs="Times New Roman"/>
                <w:bCs/>
                <w:color w:val="000000"/>
                <w:spacing w:val="-2"/>
                <w:sz w:val="21"/>
                <w:lang w:val="en-US" w:eastAsia="zh-CN"/>
              </w:rPr>
              <w:t>/</w:t>
            </w:r>
          </w:p>
        </w:tc>
        <w:tc>
          <w:tcPr>
            <w:tcW w:w="696" w:type="pct"/>
            <w:tcBorders>
              <w:top w:val="single" w:color="000000" w:sz="4" w:space="0"/>
              <w:left w:val="single" w:color="000000" w:sz="4" w:space="0"/>
              <w:bottom w:val="single" w:color="000000" w:sz="4" w:space="0"/>
              <w:right w:val="single" w:color="000000" w:sz="4" w:space="0"/>
            </w:tcBorders>
            <w:noWrap w:val="0"/>
            <w:vAlign w:val="center"/>
          </w:tcPr>
          <w:p w14:paraId="3F1895BF">
            <w:pPr>
              <w:pStyle w:val="406"/>
              <w:adjustRightInd/>
              <w:jc w:val="center"/>
              <w:rPr>
                <w:rFonts w:ascii="Times New Roman"/>
                <w:bCs/>
                <w:color w:val="000000"/>
                <w:spacing w:val="-2"/>
                <w:sz w:val="21"/>
              </w:rPr>
            </w:pPr>
            <w:r>
              <w:rPr>
                <w:rFonts w:hint="eastAsia" w:ascii="Times New Roman"/>
                <w:bCs/>
                <w:color w:val="000000"/>
                <w:spacing w:val="-2"/>
                <w:sz w:val="21"/>
                <w:lang w:val="en-US" w:eastAsia="zh-CN"/>
              </w:rPr>
              <w:t>桦南</w:t>
            </w:r>
            <w:r>
              <w:rPr>
                <w:rFonts w:hint="eastAsia" w:ascii="Times New Roman"/>
                <w:bCs/>
                <w:color w:val="000000"/>
                <w:spacing w:val="-2"/>
                <w:sz w:val="21"/>
              </w:rPr>
              <w:t>县</w:t>
            </w:r>
          </w:p>
        </w:tc>
        <w:tc>
          <w:tcPr>
            <w:tcW w:w="1003" w:type="pct"/>
            <w:tcBorders>
              <w:top w:val="single" w:color="000000" w:sz="4" w:space="0"/>
              <w:left w:val="single" w:color="000000" w:sz="4" w:space="0"/>
              <w:bottom w:val="single" w:color="000000" w:sz="4" w:space="0"/>
              <w:right w:val="nil"/>
            </w:tcBorders>
            <w:noWrap w:val="0"/>
            <w:vAlign w:val="center"/>
          </w:tcPr>
          <w:p w14:paraId="0CEAB1E5">
            <w:pPr>
              <w:pStyle w:val="406"/>
              <w:adjustRightInd/>
              <w:jc w:val="center"/>
              <w:rPr>
                <w:rFonts w:ascii="Times New Roman"/>
                <w:bCs/>
                <w:color w:val="000000"/>
                <w:spacing w:val="-2"/>
                <w:sz w:val="21"/>
              </w:rPr>
            </w:pPr>
            <w:r>
              <w:rPr>
                <w:rFonts w:hint="eastAsia" w:ascii="Times New Roman"/>
                <w:bCs/>
                <w:color w:val="000000"/>
                <w:spacing w:val="-2"/>
                <w:sz w:val="21"/>
                <w:lang w:eastAsia="zh-CN"/>
              </w:rPr>
              <w:t>桦南县经济开发区</w:t>
            </w:r>
            <w:r>
              <w:rPr>
                <w:rFonts w:hint="eastAsia" w:ascii="Times New Roman"/>
                <w:bCs/>
                <w:color w:val="000000"/>
                <w:spacing w:val="-2"/>
                <w:sz w:val="21"/>
              </w:rPr>
              <w:t>内</w:t>
            </w:r>
          </w:p>
        </w:tc>
      </w:tr>
      <w:tr w14:paraId="78B3D35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3" w:hRule="atLeast"/>
          <w:jc w:val="center"/>
        </w:trPr>
        <w:tc>
          <w:tcPr>
            <w:tcW w:w="1154" w:type="pct"/>
            <w:tcBorders>
              <w:top w:val="single" w:color="000000" w:sz="4" w:space="0"/>
              <w:left w:val="nil"/>
              <w:bottom w:val="single" w:color="000000" w:sz="4" w:space="0"/>
              <w:right w:val="single" w:color="000000" w:sz="4" w:space="0"/>
            </w:tcBorders>
            <w:noWrap w:val="0"/>
            <w:vAlign w:val="center"/>
          </w:tcPr>
          <w:p w14:paraId="0384F1A8">
            <w:pPr>
              <w:pStyle w:val="406"/>
              <w:adjustRightInd/>
              <w:jc w:val="center"/>
              <w:rPr>
                <w:rFonts w:ascii="Times New Roman"/>
                <w:bCs/>
                <w:color w:val="000000"/>
                <w:spacing w:val="-2"/>
                <w:sz w:val="21"/>
              </w:rPr>
            </w:pPr>
            <w:r>
              <w:rPr>
                <w:rFonts w:ascii="Times New Roman"/>
                <w:bCs/>
                <w:color w:val="000000"/>
                <w:spacing w:val="-2"/>
                <w:sz w:val="21"/>
              </w:rPr>
              <w:t>地理坐标</w:t>
            </w:r>
          </w:p>
        </w:tc>
        <w:tc>
          <w:tcPr>
            <w:tcW w:w="955" w:type="pct"/>
            <w:tcBorders>
              <w:top w:val="single" w:color="000000" w:sz="4" w:space="0"/>
              <w:left w:val="single" w:color="000000" w:sz="4" w:space="0"/>
              <w:bottom w:val="single" w:color="000000" w:sz="4" w:space="0"/>
              <w:right w:val="single" w:color="000000" w:sz="4" w:space="0"/>
            </w:tcBorders>
            <w:noWrap w:val="0"/>
            <w:vAlign w:val="center"/>
          </w:tcPr>
          <w:p w14:paraId="050C591F">
            <w:pPr>
              <w:pStyle w:val="406"/>
              <w:adjustRightInd/>
              <w:jc w:val="center"/>
              <w:rPr>
                <w:rFonts w:ascii="Times New Roman"/>
                <w:bCs/>
                <w:color w:val="000000"/>
                <w:spacing w:val="-2"/>
                <w:sz w:val="21"/>
                <w:szCs w:val="21"/>
              </w:rPr>
            </w:pPr>
            <w:r>
              <w:rPr>
                <w:rFonts w:ascii="Times New Roman"/>
                <w:bCs/>
                <w:color w:val="000000"/>
                <w:spacing w:val="-2"/>
                <w:sz w:val="21"/>
                <w:szCs w:val="21"/>
              </w:rPr>
              <w:t>经度</w:t>
            </w:r>
          </w:p>
        </w:tc>
        <w:tc>
          <w:tcPr>
            <w:tcW w:w="1190" w:type="pct"/>
            <w:gridSpan w:val="2"/>
            <w:tcBorders>
              <w:top w:val="single" w:color="000000" w:sz="4" w:space="0"/>
              <w:left w:val="single" w:color="000000" w:sz="4" w:space="0"/>
              <w:bottom w:val="single" w:color="000000" w:sz="4" w:space="0"/>
              <w:right w:val="single" w:color="000000" w:sz="4" w:space="0"/>
            </w:tcBorders>
            <w:noWrap w:val="0"/>
            <w:vAlign w:val="center"/>
          </w:tcPr>
          <w:p w14:paraId="181778F9">
            <w:pPr>
              <w:pStyle w:val="406"/>
              <w:adjustRightInd/>
              <w:jc w:val="center"/>
              <w:rPr>
                <w:rFonts w:ascii="Times New Roman"/>
                <w:bCs/>
                <w:color w:val="000000"/>
                <w:spacing w:val="-2"/>
                <w:sz w:val="21"/>
                <w:szCs w:val="21"/>
              </w:rPr>
            </w:pPr>
            <w:r>
              <w:rPr>
                <w:rFonts w:hint="eastAsia" w:ascii="Times New Roman"/>
                <w:bCs/>
                <w:color w:val="000000"/>
                <w:spacing w:val="-2"/>
                <w:sz w:val="21"/>
                <w:szCs w:val="21"/>
              </w:rPr>
              <w:t>130.57549348</w:t>
            </w:r>
          </w:p>
        </w:tc>
        <w:tc>
          <w:tcPr>
            <w:tcW w:w="696" w:type="pct"/>
            <w:tcBorders>
              <w:top w:val="single" w:color="000000" w:sz="4" w:space="0"/>
              <w:left w:val="single" w:color="000000" w:sz="4" w:space="0"/>
              <w:bottom w:val="single" w:color="000000" w:sz="4" w:space="0"/>
              <w:right w:val="single" w:color="000000" w:sz="4" w:space="0"/>
            </w:tcBorders>
            <w:noWrap w:val="0"/>
            <w:vAlign w:val="center"/>
          </w:tcPr>
          <w:p w14:paraId="0EA75C59">
            <w:pPr>
              <w:pStyle w:val="406"/>
              <w:adjustRightInd/>
              <w:jc w:val="center"/>
              <w:rPr>
                <w:rFonts w:ascii="Times New Roman"/>
                <w:bCs/>
                <w:color w:val="000000"/>
                <w:spacing w:val="-2"/>
                <w:sz w:val="21"/>
                <w:szCs w:val="21"/>
              </w:rPr>
            </w:pPr>
            <w:r>
              <w:rPr>
                <w:rFonts w:ascii="Times New Roman"/>
                <w:bCs/>
                <w:color w:val="000000"/>
                <w:spacing w:val="-2"/>
                <w:sz w:val="21"/>
                <w:szCs w:val="21"/>
              </w:rPr>
              <w:t>纬度</w:t>
            </w:r>
          </w:p>
        </w:tc>
        <w:tc>
          <w:tcPr>
            <w:tcW w:w="1003" w:type="pct"/>
            <w:tcBorders>
              <w:top w:val="single" w:color="000000" w:sz="4" w:space="0"/>
              <w:left w:val="single" w:color="000000" w:sz="4" w:space="0"/>
              <w:bottom w:val="single" w:color="000000" w:sz="4" w:space="0"/>
              <w:right w:val="nil"/>
            </w:tcBorders>
            <w:noWrap w:val="0"/>
            <w:vAlign w:val="center"/>
          </w:tcPr>
          <w:p w14:paraId="636EAD4A">
            <w:pPr>
              <w:pStyle w:val="406"/>
              <w:adjustRightInd/>
              <w:jc w:val="center"/>
              <w:rPr>
                <w:rFonts w:ascii="Times New Roman"/>
                <w:bCs/>
                <w:color w:val="000000"/>
                <w:spacing w:val="-2"/>
                <w:sz w:val="21"/>
                <w:szCs w:val="21"/>
              </w:rPr>
            </w:pPr>
            <w:r>
              <w:rPr>
                <w:rFonts w:hint="eastAsia" w:ascii="Times New Roman"/>
                <w:bCs/>
                <w:color w:val="000000"/>
                <w:spacing w:val="-2"/>
                <w:sz w:val="21"/>
                <w:szCs w:val="21"/>
              </w:rPr>
              <w:t>46.26930122</w:t>
            </w:r>
          </w:p>
        </w:tc>
      </w:tr>
      <w:tr w14:paraId="72A3122D">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2" w:hRule="atLeast"/>
          <w:jc w:val="center"/>
        </w:trPr>
        <w:tc>
          <w:tcPr>
            <w:tcW w:w="1154" w:type="pct"/>
            <w:tcBorders>
              <w:top w:val="single" w:color="000000" w:sz="4" w:space="0"/>
              <w:left w:val="nil"/>
              <w:bottom w:val="single" w:color="000000" w:sz="4" w:space="0"/>
              <w:right w:val="single" w:color="000000" w:sz="4" w:space="0"/>
            </w:tcBorders>
            <w:noWrap w:val="0"/>
            <w:vAlign w:val="center"/>
          </w:tcPr>
          <w:p w14:paraId="4CDA8EC8">
            <w:pPr>
              <w:pStyle w:val="406"/>
              <w:adjustRightInd/>
              <w:jc w:val="center"/>
              <w:rPr>
                <w:rFonts w:ascii="Times New Roman"/>
                <w:bCs/>
                <w:color w:val="000000"/>
                <w:spacing w:val="-2"/>
                <w:sz w:val="21"/>
              </w:rPr>
            </w:pPr>
            <w:r>
              <w:rPr>
                <w:rFonts w:ascii="Times New Roman"/>
                <w:bCs/>
                <w:color w:val="000000"/>
                <w:spacing w:val="-2"/>
                <w:sz w:val="21"/>
              </w:rPr>
              <w:t>主要危险物质及分布</w:t>
            </w:r>
          </w:p>
        </w:tc>
        <w:tc>
          <w:tcPr>
            <w:tcW w:w="3845" w:type="pct"/>
            <w:gridSpan w:val="5"/>
            <w:tcBorders>
              <w:top w:val="single" w:color="000000" w:sz="4" w:space="0"/>
              <w:left w:val="single" w:color="000000" w:sz="4" w:space="0"/>
              <w:bottom w:val="single" w:color="000000" w:sz="4" w:space="0"/>
              <w:right w:val="nil"/>
            </w:tcBorders>
            <w:noWrap w:val="0"/>
            <w:vAlign w:val="center"/>
          </w:tcPr>
          <w:p w14:paraId="5B4A3536">
            <w:pPr>
              <w:pStyle w:val="406"/>
              <w:adjustRightInd/>
              <w:jc w:val="center"/>
              <w:rPr>
                <w:rFonts w:ascii="Times New Roman"/>
                <w:bCs/>
                <w:color w:val="000000"/>
                <w:spacing w:val="-2"/>
                <w:sz w:val="21"/>
              </w:rPr>
            </w:pPr>
            <w:r>
              <w:rPr>
                <w:rFonts w:hint="eastAsia" w:ascii="Times New Roman"/>
                <w:bCs/>
                <w:color w:val="000000"/>
                <w:spacing w:val="-2"/>
                <w:sz w:val="21"/>
                <w:lang w:val="en-US" w:eastAsia="zh-CN"/>
              </w:rPr>
              <w:t>氢氧化钠、硝酸、过氧乙酸、机油</w:t>
            </w:r>
            <w:r>
              <w:rPr>
                <w:rFonts w:hint="eastAsia" w:ascii="Times New Roman"/>
                <w:bCs/>
                <w:color w:val="000000"/>
                <w:spacing w:val="-2"/>
                <w:sz w:val="21"/>
              </w:rPr>
              <w:t>（</w:t>
            </w:r>
            <w:r>
              <w:rPr>
                <w:rFonts w:hint="eastAsia" w:ascii="Times New Roman"/>
                <w:color w:val="000000"/>
                <w:sz w:val="21"/>
                <w:szCs w:val="21"/>
                <w:lang w:val="en-US" w:eastAsia="zh-CN"/>
              </w:rPr>
              <w:t>酿造车间</w:t>
            </w:r>
            <w:r>
              <w:rPr>
                <w:rFonts w:hint="eastAsia" w:ascii="Times New Roman"/>
                <w:bCs/>
                <w:color w:val="000000"/>
                <w:spacing w:val="-2"/>
                <w:sz w:val="21"/>
              </w:rPr>
              <w:t>）、柴油（柴油发电机</w:t>
            </w:r>
            <w:r>
              <w:rPr>
                <w:rFonts w:hint="eastAsia" w:ascii="Times New Roman"/>
                <w:bCs/>
                <w:color w:val="000000"/>
                <w:spacing w:val="-2"/>
                <w:sz w:val="21"/>
                <w:lang w:val="en-US" w:eastAsia="zh-CN"/>
              </w:rPr>
              <w:t>房</w:t>
            </w:r>
            <w:r>
              <w:rPr>
                <w:rFonts w:hint="eastAsia" w:ascii="Times New Roman"/>
                <w:bCs/>
                <w:color w:val="000000"/>
                <w:spacing w:val="-2"/>
                <w:sz w:val="21"/>
              </w:rPr>
              <w:t>）</w:t>
            </w:r>
            <w:r>
              <w:rPr>
                <w:rFonts w:hint="eastAsia" w:ascii="Times New Roman"/>
                <w:bCs/>
                <w:color w:val="000000"/>
                <w:spacing w:val="-2"/>
                <w:sz w:val="21"/>
                <w:lang w:eastAsia="zh-CN"/>
              </w:rPr>
              <w:t>、</w:t>
            </w:r>
            <w:r>
              <w:rPr>
                <w:rFonts w:hint="eastAsia" w:ascii="Times New Roman"/>
                <w:bCs/>
                <w:color w:val="000000"/>
                <w:spacing w:val="-2"/>
                <w:sz w:val="21"/>
                <w:lang w:val="en-US" w:eastAsia="zh-CN"/>
              </w:rPr>
              <w:t>甲烷</w:t>
            </w:r>
            <w:r>
              <w:rPr>
                <w:rFonts w:hint="eastAsia" w:ascii="Times New Roman"/>
                <w:bCs/>
                <w:color w:val="000000"/>
                <w:spacing w:val="-2"/>
                <w:sz w:val="21"/>
              </w:rPr>
              <w:t>（</w:t>
            </w:r>
            <w:r>
              <w:rPr>
                <w:rFonts w:hint="eastAsia" w:ascii="Times New Roman"/>
                <w:bCs/>
                <w:color w:val="000000"/>
                <w:spacing w:val="-2"/>
                <w:sz w:val="21"/>
                <w:lang w:val="en-US" w:eastAsia="zh-CN"/>
              </w:rPr>
              <w:t>沼气气室</w:t>
            </w:r>
            <w:r>
              <w:rPr>
                <w:rFonts w:hint="eastAsia" w:ascii="Times New Roman"/>
                <w:bCs/>
                <w:color w:val="000000"/>
                <w:spacing w:val="-2"/>
                <w:sz w:val="21"/>
              </w:rPr>
              <w:t>）、</w:t>
            </w:r>
            <w:r>
              <w:rPr>
                <w:rFonts w:hint="eastAsia" w:ascii="Times New Roman"/>
                <w:bCs/>
                <w:color w:val="000000"/>
                <w:spacing w:val="-2"/>
                <w:sz w:val="21"/>
                <w:lang w:val="en-US" w:eastAsia="zh-CN"/>
              </w:rPr>
              <w:t>危险废物</w:t>
            </w:r>
            <w:r>
              <w:rPr>
                <w:rFonts w:hint="eastAsia" w:ascii="Times New Roman"/>
                <w:bCs/>
                <w:color w:val="000000"/>
                <w:spacing w:val="-2"/>
                <w:sz w:val="21"/>
              </w:rPr>
              <w:t>（</w:t>
            </w:r>
            <w:r>
              <w:rPr>
                <w:rFonts w:hint="eastAsia" w:ascii="Times New Roman"/>
                <w:bCs/>
                <w:color w:val="000000"/>
                <w:spacing w:val="-2"/>
                <w:sz w:val="21"/>
                <w:lang w:val="en-US" w:eastAsia="zh-CN"/>
              </w:rPr>
              <w:t>危废贮存点</w:t>
            </w:r>
            <w:r>
              <w:rPr>
                <w:rFonts w:hint="eastAsia" w:ascii="Times New Roman"/>
                <w:bCs/>
                <w:color w:val="000000"/>
                <w:spacing w:val="-2"/>
                <w:sz w:val="21"/>
              </w:rPr>
              <w:t>）</w:t>
            </w:r>
          </w:p>
        </w:tc>
      </w:tr>
      <w:tr w14:paraId="50930D7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817" w:hRule="atLeast"/>
          <w:jc w:val="center"/>
        </w:trPr>
        <w:tc>
          <w:tcPr>
            <w:tcW w:w="1154" w:type="pct"/>
            <w:tcBorders>
              <w:top w:val="single" w:color="000000" w:sz="4" w:space="0"/>
              <w:left w:val="nil"/>
              <w:bottom w:val="single" w:color="000000" w:sz="4" w:space="0"/>
              <w:right w:val="single" w:color="000000" w:sz="4" w:space="0"/>
            </w:tcBorders>
            <w:noWrap w:val="0"/>
            <w:vAlign w:val="center"/>
          </w:tcPr>
          <w:p w14:paraId="6B76703B">
            <w:pPr>
              <w:pStyle w:val="406"/>
              <w:adjustRightInd/>
              <w:jc w:val="center"/>
              <w:rPr>
                <w:rFonts w:ascii="Times New Roman"/>
                <w:bCs/>
                <w:color w:val="000000"/>
                <w:spacing w:val="-2"/>
                <w:sz w:val="21"/>
              </w:rPr>
            </w:pPr>
            <w:r>
              <w:rPr>
                <w:rFonts w:ascii="Times New Roman"/>
                <w:bCs/>
                <w:color w:val="000000"/>
                <w:spacing w:val="-2"/>
                <w:sz w:val="21"/>
              </w:rPr>
              <w:t>环境影响途径及危害后果（大气、地表水、地下水等）</w:t>
            </w:r>
          </w:p>
        </w:tc>
        <w:tc>
          <w:tcPr>
            <w:tcW w:w="3845" w:type="pct"/>
            <w:gridSpan w:val="5"/>
            <w:tcBorders>
              <w:top w:val="single" w:color="000000" w:sz="4" w:space="0"/>
              <w:left w:val="single" w:color="000000" w:sz="4" w:space="0"/>
              <w:bottom w:val="single" w:color="000000" w:sz="4" w:space="0"/>
              <w:right w:val="nil"/>
            </w:tcBorders>
            <w:noWrap w:val="0"/>
            <w:vAlign w:val="center"/>
          </w:tcPr>
          <w:p w14:paraId="73697F20">
            <w:pPr>
              <w:pStyle w:val="406"/>
              <w:adjustRightInd/>
              <w:jc w:val="center"/>
              <w:rPr>
                <w:rFonts w:ascii="Times New Roman"/>
                <w:bCs/>
                <w:color w:val="000000"/>
                <w:spacing w:val="-2"/>
                <w:sz w:val="21"/>
              </w:rPr>
            </w:pPr>
            <w:r>
              <w:rPr>
                <w:rFonts w:ascii="Times New Roman"/>
                <w:bCs/>
                <w:color w:val="000000"/>
                <w:spacing w:val="-2"/>
                <w:sz w:val="21"/>
              </w:rPr>
              <w:t>泄漏后主要影响在项目厂界范围内</w:t>
            </w:r>
          </w:p>
        </w:tc>
      </w:tr>
      <w:tr w14:paraId="1B256188">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2" w:hRule="atLeast"/>
          <w:jc w:val="center"/>
        </w:trPr>
        <w:tc>
          <w:tcPr>
            <w:tcW w:w="1154" w:type="pct"/>
            <w:tcBorders>
              <w:top w:val="single" w:color="000000" w:sz="4" w:space="0"/>
              <w:left w:val="nil"/>
              <w:bottom w:val="single" w:color="000000" w:sz="4" w:space="0"/>
              <w:right w:val="single" w:color="000000" w:sz="4" w:space="0"/>
            </w:tcBorders>
            <w:noWrap w:val="0"/>
            <w:vAlign w:val="center"/>
          </w:tcPr>
          <w:p w14:paraId="0DB7C829">
            <w:pPr>
              <w:pStyle w:val="406"/>
              <w:adjustRightInd/>
              <w:jc w:val="center"/>
              <w:rPr>
                <w:rFonts w:ascii="Times New Roman"/>
                <w:bCs/>
                <w:color w:val="000000"/>
                <w:spacing w:val="-2"/>
                <w:sz w:val="21"/>
              </w:rPr>
            </w:pPr>
            <w:r>
              <w:rPr>
                <w:rFonts w:ascii="Times New Roman"/>
                <w:bCs/>
                <w:color w:val="000000"/>
                <w:spacing w:val="-2"/>
                <w:sz w:val="21"/>
              </w:rPr>
              <w:t>风险防范措施要求</w:t>
            </w:r>
          </w:p>
        </w:tc>
        <w:tc>
          <w:tcPr>
            <w:tcW w:w="3845" w:type="pct"/>
            <w:gridSpan w:val="5"/>
            <w:tcBorders>
              <w:top w:val="single" w:color="000000" w:sz="4" w:space="0"/>
              <w:left w:val="single" w:color="000000" w:sz="4" w:space="0"/>
              <w:bottom w:val="single" w:color="000000" w:sz="4" w:space="0"/>
              <w:right w:val="nil"/>
            </w:tcBorders>
            <w:noWrap w:val="0"/>
            <w:vAlign w:val="center"/>
          </w:tcPr>
          <w:p w14:paraId="33B8ABA3">
            <w:pPr>
              <w:pStyle w:val="406"/>
              <w:adjustRightInd/>
              <w:jc w:val="center"/>
              <w:rPr>
                <w:rFonts w:ascii="Times New Roman"/>
                <w:bCs/>
                <w:color w:val="000000"/>
                <w:spacing w:val="-2"/>
                <w:sz w:val="21"/>
              </w:rPr>
            </w:pPr>
            <w:r>
              <w:rPr>
                <w:rFonts w:hint="eastAsia" w:ascii="Times New Roman"/>
                <w:bCs/>
                <w:color w:val="000000"/>
                <w:spacing w:val="-2"/>
                <w:sz w:val="21"/>
                <w:lang w:val="zh-CN" w:eastAsia="zh-CN"/>
              </w:rPr>
              <w:t>建立污染源头、过程处理和最终排放的“三级”防控机制；火灾爆炸过程中产生的有毒有害物质及水等通过消防水吸收或消防泡沫覆盖，减少对大气环境的污染；紧急撤离主要是针对厂区内的工作人员、厂区周边的敏感点。事故时，环境风险防范区内的人群应作为紧急撤离目标，并确保能够在30min内撤离至安全地点。事故发生后，应根据化学品泄漏的扩散情况及时通知政府相关部门，并通过厂区高音喇叭通知周边居民及时疏散</w:t>
            </w:r>
            <w:r>
              <w:rPr>
                <w:rFonts w:hint="eastAsia" w:ascii="Times New Roman"/>
                <w:bCs/>
                <w:color w:val="000000"/>
                <w:spacing w:val="-2"/>
                <w:sz w:val="21"/>
                <w:lang w:val="zh-CN"/>
              </w:rPr>
              <w:t>。</w:t>
            </w:r>
          </w:p>
        </w:tc>
      </w:tr>
      <w:tr w14:paraId="42095B3E">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816" w:hRule="atLeast"/>
          <w:jc w:val="center"/>
        </w:trPr>
        <w:tc>
          <w:tcPr>
            <w:tcW w:w="1154" w:type="pct"/>
            <w:tcBorders>
              <w:top w:val="single" w:color="000000" w:sz="4" w:space="0"/>
              <w:left w:val="nil"/>
              <w:right w:val="single" w:color="000000" w:sz="4" w:space="0"/>
            </w:tcBorders>
            <w:noWrap w:val="0"/>
            <w:vAlign w:val="center"/>
          </w:tcPr>
          <w:p w14:paraId="3FBA48A7">
            <w:pPr>
              <w:pStyle w:val="406"/>
              <w:adjustRightInd/>
              <w:jc w:val="center"/>
              <w:rPr>
                <w:rFonts w:ascii="Times New Roman"/>
                <w:bCs/>
                <w:color w:val="000000"/>
                <w:spacing w:val="-2"/>
                <w:sz w:val="21"/>
              </w:rPr>
            </w:pPr>
            <w:r>
              <w:rPr>
                <w:rFonts w:ascii="Times New Roman"/>
                <w:bCs/>
                <w:color w:val="000000"/>
                <w:spacing w:val="-2"/>
                <w:sz w:val="21"/>
              </w:rPr>
              <w:t>填表说明（列出项目相关信息及评价说明）</w:t>
            </w:r>
          </w:p>
        </w:tc>
        <w:tc>
          <w:tcPr>
            <w:tcW w:w="3845" w:type="pct"/>
            <w:gridSpan w:val="5"/>
            <w:tcBorders>
              <w:top w:val="single" w:color="000000" w:sz="4" w:space="0"/>
              <w:left w:val="single" w:color="000000" w:sz="4" w:space="0"/>
              <w:right w:val="nil"/>
            </w:tcBorders>
            <w:noWrap w:val="0"/>
            <w:vAlign w:val="center"/>
          </w:tcPr>
          <w:p w14:paraId="75821A7D">
            <w:pPr>
              <w:pStyle w:val="406"/>
              <w:adjustRightInd/>
              <w:jc w:val="center"/>
              <w:rPr>
                <w:rFonts w:hint="eastAsia" w:ascii="Times New Roman"/>
                <w:bCs/>
                <w:color w:val="000000"/>
                <w:spacing w:val="-2"/>
                <w:sz w:val="21"/>
              </w:rPr>
            </w:pPr>
            <w:r>
              <w:rPr>
                <w:rFonts w:ascii="Times New Roman"/>
                <w:bCs/>
                <w:color w:val="000000"/>
                <w:spacing w:val="-2"/>
                <w:sz w:val="21"/>
              </w:rPr>
              <w:t>项目评价等级属于简单分析，总体上环境风险很小且易于控制，只要做好泄漏风险事故后的收集、</w:t>
            </w:r>
            <w:r>
              <w:rPr>
                <w:rFonts w:hint="eastAsia" w:ascii="Times New Roman"/>
                <w:bCs/>
                <w:color w:val="000000"/>
                <w:spacing w:val="-2"/>
                <w:sz w:val="21"/>
              </w:rPr>
              <w:t>处理</w:t>
            </w:r>
            <w:r>
              <w:rPr>
                <w:rFonts w:ascii="Times New Roman"/>
                <w:bCs/>
                <w:color w:val="000000"/>
                <w:spacing w:val="-2"/>
                <w:sz w:val="21"/>
              </w:rPr>
              <w:t>工作，环境风险影响范围主要在</w:t>
            </w:r>
            <w:r>
              <w:rPr>
                <w:rFonts w:hint="eastAsia" w:ascii="Times New Roman"/>
                <w:bCs/>
                <w:color w:val="000000"/>
                <w:spacing w:val="-2"/>
                <w:sz w:val="21"/>
              </w:rPr>
              <w:t>厂界</w:t>
            </w:r>
            <w:r>
              <w:rPr>
                <w:rFonts w:ascii="Times New Roman"/>
                <w:bCs/>
                <w:color w:val="000000"/>
                <w:spacing w:val="-2"/>
                <w:sz w:val="21"/>
              </w:rPr>
              <w:t>内，对环境影响很小</w:t>
            </w:r>
            <w:r>
              <w:rPr>
                <w:rFonts w:hint="eastAsia" w:ascii="Times New Roman"/>
                <w:bCs/>
                <w:color w:val="000000"/>
                <w:spacing w:val="-2"/>
                <w:sz w:val="21"/>
              </w:rPr>
              <w:t>。</w:t>
            </w:r>
          </w:p>
        </w:tc>
      </w:tr>
    </w:tbl>
    <w:p w14:paraId="5692CCBD">
      <w:pPr>
        <w:pStyle w:val="4"/>
        <w:rPr>
          <w:snapToGrid w:val="0"/>
          <w:color w:val="000000" w:themeColor="text1"/>
          <w14:textFill>
            <w14:solidFill>
              <w14:schemeClr w14:val="tx1"/>
            </w14:solidFill>
          </w14:textFill>
        </w:rPr>
      </w:pPr>
      <w:bookmarkStart w:id="278" w:name="_Toc480447673"/>
      <w:bookmarkStart w:id="279" w:name="_Toc10557"/>
      <w:r>
        <w:rPr>
          <w:snapToGrid w:val="0"/>
          <w:color w:val="000000" w:themeColor="text1"/>
          <w14:textFill>
            <w14:solidFill>
              <w14:schemeClr w14:val="tx1"/>
            </w14:solidFill>
          </w14:textFill>
        </w:rPr>
        <w:t>6</w:t>
      </w:r>
      <w:bookmarkEnd w:id="278"/>
      <w:r>
        <w:rPr>
          <w:rFonts w:hint="eastAsia"/>
          <w:snapToGrid w:val="0"/>
          <w:color w:val="000000" w:themeColor="text1"/>
          <w14:textFill>
            <w14:solidFill>
              <w14:schemeClr w14:val="tx1"/>
            </w14:solidFill>
          </w14:textFill>
        </w:rPr>
        <w:t>环境保护措施及其可行性论证</w:t>
      </w:r>
      <w:bookmarkEnd w:id="279"/>
    </w:p>
    <w:p w14:paraId="58C54367">
      <w:pPr>
        <w:pStyle w:val="5"/>
        <w:rPr>
          <w:snapToGrid w:val="0"/>
          <w:color w:val="000000" w:themeColor="text1"/>
          <w14:textFill>
            <w14:solidFill>
              <w14:schemeClr w14:val="tx1"/>
            </w14:solidFill>
          </w14:textFill>
        </w:rPr>
      </w:pPr>
      <w:bookmarkStart w:id="280" w:name="_Toc480447674"/>
      <w:bookmarkStart w:id="281" w:name="_Toc225741621"/>
      <w:bookmarkStart w:id="282" w:name="_Toc255202308"/>
      <w:bookmarkStart w:id="283" w:name="_Toc277178439"/>
      <w:bookmarkStart w:id="284" w:name="_Toc19019"/>
      <w:bookmarkStart w:id="285" w:name="_Toc237081935"/>
      <w:bookmarkStart w:id="286" w:name="_Toc241305662"/>
      <w:bookmarkStart w:id="287" w:name="_Toc98920169"/>
      <w:bookmarkStart w:id="288" w:name="_Toc83525150"/>
      <w:r>
        <w:rPr>
          <w:snapToGrid w:val="0"/>
          <w:color w:val="000000" w:themeColor="text1"/>
          <w14:textFill>
            <w14:solidFill>
              <w14:schemeClr w14:val="tx1"/>
            </w14:solidFill>
          </w14:textFill>
        </w:rPr>
        <w:t>6.1施工期污染防治措施</w:t>
      </w:r>
      <w:bookmarkEnd w:id="280"/>
      <w:bookmarkEnd w:id="281"/>
      <w:bookmarkEnd w:id="282"/>
      <w:bookmarkEnd w:id="283"/>
      <w:bookmarkEnd w:id="284"/>
      <w:bookmarkEnd w:id="285"/>
      <w:bookmarkEnd w:id="286"/>
    </w:p>
    <w:p w14:paraId="7C0CD8CE">
      <w:pPr>
        <w:pStyle w:val="6"/>
        <w:rPr>
          <w:snapToGrid w:val="0"/>
          <w:color w:val="000000" w:themeColor="text1"/>
          <w14:textFill>
            <w14:solidFill>
              <w14:schemeClr w14:val="tx1"/>
            </w14:solidFill>
          </w14:textFill>
        </w:rPr>
      </w:pPr>
      <w:bookmarkStart w:id="289" w:name="_Toc225741622"/>
      <w:bookmarkStart w:id="290" w:name="_Toc200952545"/>
      <w:bookmarkStart w:id="291" w:name="_Toc201330163"/>
      <w:bookmarkStart w:id="292" w:name="_Toc203113620"/>
      <w:bookmarkStart w:id="293" w:name="_Toc200162117"/>
      <w:bookmarkStart w:id="294" w:name="_Toc203373353"/>
      <w:bookmarkStart w:id="295" w:name="_Toc204572392"/>
      <w:bookmarkStart w:id="296" w:name="_Toc200162814"/>
      <w:bookmarkStart w:id="297" w:name="_Toc30117"/>
      <w:r>
        <w:rPr>
          <w:snapToGrid w:val="0"/>
          <w:color w:val="000000" w:themeColor="text1"/>
          <w14:textFill>
            <w14:solidFill>
              <w14:schemeClr w14:val="tx1"/>
            </w14:solidFill>
          </w14:textFill>
        </w:rPr>
        <w:t>6.1.1</w:t>
      </w:r>
      <w:r>
        <w:rPr>
          <w:rFonts w:hint="eastAsia"/>
          <w:snapToGrid w:val="0"/>
          <w:color w:val="000000" w:themeColor="text1"/>
          <w14:textFill>
            <w14:solidFill>
              <w14:schemeClr w14:val="tx1"/>
            </w14:solidFill>
          </w14:textFill>
        </w:rPr>
        <w:t>废</w:t>
      </w:r>
      <w:r>
        <w:rPr>
          <w:snapToGrid w:val="0"/>
          <w:color w:val="000000" w:themeColor="text1"/>
          <w14:textFill>
            <w14:solidFill>
              <w14:schemeClr w14:val="tx1"/>
            </w14:solidFill>
          </w14:textFill>
        </w:rPr>
        <w:t>水污染防治措施</w:t>
      </w:r>
      <w:bookmarkEnd w:id="289"/>
      <w:bookmarkEnd w:id="290"/>
      <w:bookmarkEnd w:id="291"/>
      <w:bookmarkEnd w:id="292"/>
      <w:bookmarkEnd w:id="293"/>
      <w:bookmarkEnd w:id="294"/>
      <w:bookmarkEnd w:id="295"/>
      <w:bookmarkEnd w:id="296"/>
      <w:bookmarkEnd w:id="297"/>
    </w:p>
    <w:p w14:paraId="298C69BC">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工程施工期间，严禁污水乱排和污染</w:t>
      </w:r>
      <w:r>
        <w:rPr>
          <w:rFonts w:hint="eastAsia"/>
          <w:snapToGrid w:val="0"/>
          <w:color w:val="000000" w:themeColor="text1"/>
          <w14:textFill>
            <w14:solidFill>
              <w14:schemeClr w14:val="tx1"/>
            </w14:solidFill>
          </w14:textFill>
        </w:rPr>
        <w:t>农田</w:t>
      </w:r>
      <w:r>
        <w:rPr>
          <w:snapToGrid w:val="0"/>
          <w:color w:val="000000" w:themeColor="text1"/>
          <w14:textFill>
            <w14:solidFill>
              <w14:schemeClr w14:val="tx1"/>
            </w14:solidFill>
          </w14:textFill>
        </w:rPr>
        <w:t>、环境等。</w:t>
      </w:r>
    </w:p>
    <w:p w14:paraId="0AC1205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同时应做好建筑材料和建筑废料的管理，避免地面水体二次污染。在施工过程中</w:t>
      </w:r>
      <w:r>
        <w:rPr>
          <w:rFonts w:hint="eastAsia"/>
          <w:snapToGrid w:val="0"/>
          <w:color w:val="000000" w:themeColor="text1"/>
          <w14:textFill>
            <w14:solidFill>
              <w14:schemeClr w14:val="tx1"/>
            </w14:solidFill>
          </w14:textFill>
        </w:rPr>
        <w:t>不</w:t>
      </w:r>
      <w:r>
        <w:rPr>
          <w:snapToGrid w:val="0"/>
          <w:color w:val="000000" w:themeColor="text1"/>
          <w14:textFill>
            <w14:solidFill>
              <w14:schemeClr w14:val="tx1"/>
            </w14:solidFill>
          </w14:textFill>
        </w:rPr>
        <w:t>对机械设备的检修</w:t>
      </w:r>
      <w:r>
        <w:rPr>
          <w:rFonts w:hint="eastAsia"/>
          <w:snapToGrid w:val="0"/>
          <w:color w:val="000000" w:themeColor="text1"/>
          <w14:textFill>
            <w14:solidFill>
              <w14:schemeClr w14:val="tx1"/>
            </w14:solidFill>
          </w14:textFill>
        </w:rPr>
        <w:t>及</w:t>
      </w:r>
      <w:r>
        <w:rPr>
          <w:snapToGrid w:val="0"/>
          <w:color w:val="000000" w:themeColor="text1"/>
          <w14:textFill>
            <w14:solidFill>
              <w14:schemeClr w14:val="tx1"/>
            </w14:solidFill>
          </w14:textFill>
        </w:rPr>
        <w:t>冲洗，以防止设备漏油现象的发生；施工机械设备的维修应在专业厂家进行，防止施工现场地表油类污染。</w:t>
      </w:r>
    </w:p>
    <w:p w14:paraId="79144DDD">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施工现场</w:t>
      </w:r>
      <w:r>
        <w:rPr>
          <w:rFonts w:hint="eastAsia" w:ascii="Times New Roman" w:hAnsi="Times New Roman" w:eastAsia="宋体"/>
          <w:bCs/>
          <w:color w:val="000000" w:themeColor="text1"/>
          <w:sz w:val="24"/>
          <w:szCs w:val="24"/>
          <w:lang w:val="en-US" w:eastAsia="zh-CN"/>
          <w14:textFill>
            <w14:solidFill>
              <w14:schemeClr w14:val="tx1"/>
            </w14:solidFill>
          </w14:textFill>
        </w:rPr>
        <w:t>设置</w:t>
      </w:r>
      <w:r>
        <w:rPr>
          <w:rFonts w:hint="eastAsia"/>
          <w:bCs/>
          <w:color w:val="000000" w:themeColor="text1"/>
          <w:sz w:val="24"/>
          <w:szCs w:val="24"/>
          <w:lang w:val="en-US" w:eastAsia="zh-CN"/>
          <w14:textFill>
            <w14:solidFill>
              <w14:schemeClr w14:val="tx1"/>
            </w14:solidFill>
          </w14:textFill>
        </w:rPr>
        <w:t>临时防渗旱厕</w:t>
      </w:r>
      <w:r>
        <w:rPr>
          <w:rFonts w:hint="eastAsia" w:ascii="Times New Roman" w:hAnsi="Times New Roman" w:eastAsia="宋体"/>
          <w:bCs/>
          <w:color w:val="000000" w:themeColor="text1"/>
          <w:sz w:val="24"/>
          <w:szCs w:val="24"/>
          <w:lang w:val="en-US" w:eastAsia="zh-CN"/>
          <w14:textFill>
            <w14:solidFill>
              <w14:schemeClr w14:val="tx1"/>
            </w14:solidFill>
          </w14:textFill>
        </w:rPr>
        <w:t>，</w:t>
      </w:r>
      <w:r>
        <w:rPr>
          <w:rFonts w:hint="eastAsia"/>
          <w:bCs/>
          <w:color w:val="000000" w:themeColor="text1"/>
          <w:sz w:val="24"/>
          <w:szCs w:val="24"/>
          <w:lang w:val="en-US" w:eastAsia="zh-CN"/>
          <w14:textFill>
            <w14:solidFill>
              <w14:schemeClr w14:val="tx1"/>
            </w14:solidFill>
          </w14:textFill>
        </w:rPr>
        <w:t>待施工期结束后，拆除临时防渗旱厕</w:t>
      </w:r>
      <w:r>
        <w:rPr>
          <w:rFonts w:hint="eastAsia" w:ascii="Times New Roman" w:hAnsi="Times New Roman" w:eastAsia="宋体"/>
          <w:bCs/>
          <w:color w:val="000000" w:themeColor="text1"/>
          <w:sz w:val="24"/>
          <w:szCs w:val="24"/>
          <w:lang w:val="en-US" w:eastAsia="zh-CN"/>
          <w14:textFill>
            <w14:solidFill>
              <w14:schemeClr w14:val="tx1"/>
            </w14:solidFill>
          </w14:textFill>
        </w:rPr>
        <w:t>，粪污</w:t>
      </w:r>
      <w:r>
        <w:rPr>
          <w:rFonts w:hint="eastAsia"/>
          <w:bCs/>
          <w:color w:val="000000" w:themeColor="text1"/>
          <w:sz w:val="24"/>
          <w:szCs w:val="24"/>
          <w:lang w:val="en-US" w:eastAsia="zh-CN"/>
          <w14:textFill>
            <w14:solidFill>
              <w14:schemeClr w14:val="tx1"/>
            </w14:solidFill>
          </w14:textFill>
        </w:rPr>
        <w:t>外售堆肥</w:t>
      </w:r>
      <w:r>
        <w:rPr>
          <w:rFonts w:hint="eastAsia" w:ascii="Times New Roman" w:hAnsi="Times New Roman" w:eastAsia="宋体"/>
          <w:bCs/>
          <w:color w:val="000000" w:themeColor="text1"/>
          <w:sz w:val="24"/>
          <w:szCs w:val="24"/>
          <w:lang w:val="en-US" w:eastAsia="zh-CN"/>
          <w14:textFill>
            <w14:solidFill>
              <w14:schemeClr w14:val="tx1"/>
            </w14:solidFill>
          </w14:textFill>
        </w:rPr>
        <w:t>。</w:t>
      </w:r>
      <w:r>
        <w:rPr>
          <w:rFonts w:hint="eastAsia"/>
          <w:snapToGrid w:val="0"/>
          <w:color w:val="000000" w:themeColor="text1"/>
          <w14:textFill>
            <w14:solidFill>
              <w14:schemeClr w14:val="tx1"/>
            </w14:solidFill>
          </w14:textFill>
        </w:rPr>
        <w:t>施工场地不设置食堂。施工现场设置临时沉淀池，施工废水经沉淀后上清液用于施工场地和道路洒水降尘，因此</w:t>
      </w:r>
      <w:r>
        <w:rPr>
          <w:snapToGrid w:val="0"/>
          <w:color w:val="000000" w:themeColor="text1"/>
          <w14:textFill>
            <w14:solidFill>
              <w14:schemeClr w14:val="tx1"/>
            </w14:solidFill>
          </w14:textFill>
        </w:rPr>
        <w:t>，施工期无施工废水排放到环境水体。本项目施工内容较少，施工期持续时间短，施工过程中产生的废水对周围环境不会造成影响。</w:t>
      </w:r>
    </w:p>
    <w:p w14:paraId="1AFC123F">
      <w:pPr>
        <w:pStyle w:val="6"/>
        <w:rPr>
          <w:snapToGrid w:val="0"/>
          <w:color w:val="000000" w:themeColor="text1"/>
          <w14:textFill>
            <w14:solidFill>
              <w14:schemeClr w14:val="tx1"/>
            </w14:solidFill>
          </w14:textFill>
        </w:rPr>
      </w:pPr>
      <w:bookmarkStart w:id="298" w:name="_Toc204572393"/>
      <w:bookmarkStart w:id="299" w:name="_Toc203373354"/>
      <w:bookmarkStart w:id="300" w:name="_Toc5175"/>
      <w:bookmarkStart w:id="301" w:name="_Toc200162118"/>
      <w:bookmarkStart w:id="302" w:name="_Toc225741623"/>
      <w:bookmarkStart w:id="303" w:name="_Toc200162815"/>
      <w:bookmarkStart w:id="304" w:name="_Toc203113621"/>
      <w:bookmarkStart w:id="305" w:name="_Toc200952546"/>
      <w:bookmarkStart w:id="306" w:name="_Toc201330164"/>
      <w:r>
        <w:rPr>
          <w:snapToGrid w:val="0"/>
          <w:color w:val="000000" w:themeColor="text1"/>
          <w14:textFill>
            <w14:solidFill>
              <w14:schemeClr w14:val="tx1"/>
            </w14:solidFill>
          </w14:textFill>
        </w:rPr>
        <w:t>6.1.2大气污染防治措施</w:t>
      </w:r>
      <w:bookmarkEnd w:id="298"/>
      <w:bookmarkEnd w:id="299"/>
      <w:bookmarkEnd w:id="300"/>
      <w:bookmarkEnd w:id="301"/>
      <w:bookmarkEnd w:id="302"/>
      <w:bookmarkEnd w:id="303"/>
      <w:bookmarkEnd w:id="304"/>
      <w:bookmarkEnd w:id="305"/>
      <w:bookmarkEnd w:id="306"/>
    </w:p>
    <w:p w14:paraId="0787211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（1）扬尘控制</w:t>
      </w:r>
    </w:p>
    <w:p w14:paraId="660C927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为使施工过程中产生的扬尘对周围环境空气的影响降低到最小程度，建议采取以下防护措施：</w:t>
      </w:r>
    </w:p>
    <w:p w14:paraId="0B5AF044">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fldChar w:fldCharType="begin"/>
      </w:r>
      <w:r>
        <w:rPr>
          <w:snapToGrid w:val="0"/>
          <w:color w:val="000000" w:themeColor="text1"/>
          <w14:textFill>
            <w14:solidFill>
              <w14:schemeClr w14:val="tx1"/>
            </w14:solidFill>
          </w14:textFill>
        </w:rPr>
        <w:instrText xml:space="preserve"> </w:instrText>
      </w:r>
      <w:r>
        <w:rPr>
          <w:rFonts w:hint="eastAsia"/>
          <w:snapToGrid w:val="0"/>
          <w:color w:val="000000" w:themeColor="text1"/>
          <w14:textFill>
            <w14:solidFill>
              <w14:schemeClr w14:val="tx1"/>
            </w14:solidFill>
          </w14:textFill>
        </w:rPr>
        <w:instrText xml:space="preserve">= 1 \* GB3</w:instrText>
      </w:r>
      <w:r>
        <w:rPr>
          <w:snapToGrid w:val="0"/>
          <w:color w:val="000000" w:themeColor="text1"/>
          <w14:textFill>
            <w14:solidFill>
              <w14:schemeClr w14:val="tx1"/>
            </w14:solidFill>
          </w14:textFill>
        </w:rPr>
        <w:instrText xml:space="preserve"> </w:instrText>
      </w:r>
      <w:r>
        <w:rPr>
          <w:snapToGrid w:val="0"/>
          <w:color w:val="000000" w:themeColor="text1"/>
          <w14:textFill>
            <w14:solidFill>
              <w14:schemeClr w14:val="tx1"/>
            </w14:solidFill>
          </w14:textFill>
        </w:rPr>
        <w:fldChar w:fldCharType="separate"/>
      </w:r>
      <w:r>
        <w:rPr>
          <w:rFonts w:hint="eastAsia"/>
          <w:snapToGrid w:val="0"/>
          <w:color w:val="000000" w:themeColor="text1"/>
          <w14:textFill>
            <w14:solidFill>
              <w14:schemeClr w14:val="tx1"/>
            </w14:solidFill>
          </w14:textFill>
        </w:rPr>
        <w:t>①</w:t>
      </w:r>
      <w:r>
        <w:rPr>
          <w:snapToGrid w:val="0"/>
          <w:color w:val="000000" w:themeColor="text1"/>
          <w14:textFill>
            <w14:solidFill>
              <w14:schemeClr w14:val="tx1"/>
            </w14:solidFill>
          </w14:textFill>
        </w:rPr>
        <w:fldChar w:fldCharType="end"/>
      </w:r>
      <w:r>
        <w:rPr>
          <w:snapToGrid w:val="0"/>
          <w:color w:val="000000" w:themeColor="text1"/>
          <w14:textFill>
            <w14:solidFill>
              <w14:schemeClr w14:val="tx1"/>
            </w14:solidFill>
          </w14:textFill>
        </w:rPr>
        <w:t>施工期间应加强环境管理，贯彻边施工、边防治的原则。</w:t>
      </w:r>
    </w:p>
    <w:p w14:paraId="3AC013C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fldChar w:fldCharType="begin"/>
      </w:r>
      <w:r>
        <w:rPr>
          <w:snapToGrid w:val="0"/>
          <w:color w:val="000000" w:themeColor="text1"/>
          <w14:textFill>
            <w14:solidFill>
              <w14:schemeClr w14:val="tx1"/>
            </w14:solidFill>
          </w14:textFill>
        </w:rPr>
        <w:instrText xml:space="preserve"> </w:instrText>
      </w:r>
      <w:r>
        <w:rPr>
          <w:rFonts w:hint="eastAsia"/>
          <w:snapToGrid w:val="0"/>
          <w:color w:val="000000" w:themeColor="text1"/>
          <w14:textFill>
            <w14:solidFill>
              <w14:schemeClr w14:val="tx1"/>
            </w14:solidFill>
          </w14:textFill>
        </w:rPr>
        <w:instrText xml:space="preserve">= 2 \* GB3</w:instrText>
      </w:r>
      <w:r>
        <w:rPr>
          <w:snapToGrid w:val="0"/>
          <w:color w:val="000000" w:themeColor="text1"/>
          <w14:textFill>
            <w14:solidFill>
              <w14:schemeClr w14:val="tx1"/>
            </w14:solidFill>
          </w14:textFill>
        </w:rPr>
        <w:instrText xml:space="preserve"> </w:instrText>
      </w:r>
      <w:r>
        <w:rPr>
          <w:snapToGrid w:val="0"/>
          <w:color w:val="000000" w:themeColor="text1"/>
          <w14:textFill>
            <w14:solidFill>
              <w14:schemeClr w14:val="tx1"/>
            </w14:solidFill>
          </w14:textFill>
        </w:rPr>
        <w:fldChar w:fldCharType="separate"/>
      </w:r>
      <w:r>
        <w:rPr>
          <w:rFonts w:hint="eastAsia"/>
          <w:snapToGrid w:val="0"/>
          <w:color w:val="000000" w:themeColor="text1"/>
          <w14:textFill>
            <w14:solidFill>
              <w14:schemeClr w14:val="tx1"/>
            </w14:solidFill>
          </w14:textFill>
        </w:rPr>
        <w:t>②</w:t>
      </w:r>
      <w:r>
        <w:rPr>
          <w:snapToGrid w:val="0"/>
          <w:color w:val="000000" w:themeColor="text1"/>
          <w14:textFill>
            <w14:solidFill>
              <w14:schemeClr w14:val="tx1"/>
            </w14:solidFill>
          </w14:textFill>
        </w:rPr>
        <w:fldChar w:fldCharType="end"/>
      </w:r>
      <w:r>
        <w:rPr>
          <w:snapToGrid w:val="0"/>
          <w:color w:val="000000" w:themeColor="text1"/>
          <w14:textFill>
            <w14:solidFill>
              <w14:schemeClr w14:val="tx1"/>
            </w14:solidFill>
          </w14:textFill>
        </w:rPr>
        <w:t>施工现场只存放用于回填的土方量，多余的土方要及时运走，干燥季节要适时的对现场存放的土方洒水，保持其表面潮湿，以避免扬尘。</w:t>
      </w:r>
    </w:p>
    <w:p w14:paraId="75C49B07">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fldChar w:fldCharType="begin"/>
      </w:r>
      <w:r>
        <w:rPr>
          <w:snapToGrid w:val="0"/>
          <w:color w:val="000000" w:themeColor="text1"/>
          <w14:textFill>
            <w14:solidFill>
              <w14:schemeClr w14:val="tx1"/>
            </w14:solidFill>
          </w14:textFill>
        </w:rPr>
        <w:instrText xml:space="preserve"> </w:instrText>
      </w:r>
      <w:r>
        <w:rPr>
          <w:rFonts w:hint="eastAsia"/>
          <w:snapToGrid w:val="0"/>
          <w:color w:val="000000" w:themeColor="text1"/>
          <w14:textFill>
            <w14:solidFill>
              <w14:schemeClr w14:val="tx1"/>
            </w14:solidFill>
          </w14:textFill>
        </w:rPr>
        <w:instrText xml:space="preserve">= 3 \* GB3</w:instrText>
      </w:r>
      <w:r>
        <w:rPr>
          <w:snapToGrid w:val="0"/>
          <w:color w:val="000000" w:themeColor="text1"/>
          <w14:textFill>
            <w14:solidFill>
              <w14:schemeClr w14:val="tx1"/>
            </w14:solidFill>
          </w14:textFill>
        </w:rPr>
        <w:instrText xml:space="preserve"> </w:instrText>
      </w:r>
      <w:r>
        <w:rPr>
          <w:snapToGrid w:val="0"/>
          <w:color w:val="000000" w:themeColor="text1"/>
          <w14:textFill>
            <w14:solidFill>
              <w14:schemeClr w14:val="tx1"/>
            </w14:solidFill>
          </w14:textFill>
        </w:rPr>
        <w:fldChar w:fldCharType="separate"/>
      </w:r>
      <w:r>
        <w:rPr>
          <w:rFonts w:hint="eastAsia"/>
          <w:snapToGrid w:val="0"/>
          <w:color w:val="000000" w:themeColor="text1"/>
          <w14:textFill>
            <w14:solidFill>
              <w14:schemeClr w14:val="tx1"/>
            </w14:solidFill>
          </w14:textFill>
        </w:rPr>
        <w:t>③</w:t>
      </w:r>
      <w:r>
        <w:rPr>
          <w:snapToGrid w:val="0"/>
          <w:color w:val="000000" w:themeColor="text1"/>
          <w14:textFill>
            <w14:solidFill>
              <w14:schemeClr w14:val="tx1"/>
            </w14:solidFill>
          </w14:textFill>
        </w:rPr>
        <w:fldChar w:fldCharType="end"/>
      </w:r>
      <w:r>
        <w:rPr>
          <w:snapToGrid w:val="0"/>
          <w:color w:val="000000" w:themeColor="text1"/>
          <w14:textFill>
            <w14:solidFill>
              <w14:schemeClr w14:val="tx1"/>
            </w14:solidFill>
          </w14:textFill>
        </w:rPr>
        <w:t>施工现场道路要做到路面硬化，经常清扫路面，干旱季节要定时洒水，保持路面湿润。</w:t>
      </w:r>
    </w:p>
    <w:p w14:paraId="127C498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fldChar w:fldCharType="begin"/>
      </w:r>
      <w:r>
        <w:rPr>
          <w:snapToGrid w:val="0"/>
          <w:color w:val="000000" w:themeColor="text1"/>
          <w14:textFill>
            <w14:solidFill>
              <w14:schemeClr w14:val="tx1"/>
            </w14:solidFill>
          </w14:textFill>
        </w:rPr>
        <w:instrText xml:space="preserve"> </w:instrText>
      </w:r>
      <w:r>
        <w:rPr>
          <w:rFonts w:hint="eastAsia"/>
          <w:snapToGrid w:val="0"/>
          <w:color w:val="000000" w:themeColor="text1"/>
          <w14:textFill>
            <w14:solidFill>
              <w14:schemeClr w14:val="tx1"/>
            </w14:solidFill>
          </w14:textFill>
        </w:rPr>
        <w:instrText xml:space="preserve">= 4 \* GB3</w:instrText>
      </w:r>
      <w:r>
        <w:rPr>
          <w:snapToGrid w:val="0"/>
          <w:color w:val="000000" w:themeColor="text1"/>
          <w14:textFill>
            <w14:solidFill>
              <w14:schemeClr w14:val="tx1"/>
            </w14:solidFill>
          </w14:textFill>
        </w:rPr>
        <w:instrText xml:space="preserve"> </w:instrText>
      </w:r>
      <w:r>
        <w:rPr>
          <w:snapToGrid w:val="0"/>
          <w:color w:val="000000" w:themeColor="text1"/>
          <w14:textFill>
            <w14:solidFill>
              <w14:schemeClr w14:val="tx1"/>
            </w14:solidFill>
          </w14:textFill>
        </w:rPr>
        <w:fldChar w:fldCharType="separate"/>
      </w:r>
      <w:r>
        <w:rPr>
          <w:rFonts w:hint="eastAsia"/>
          <w:snapToGrid w:val="0"/>
          <w:color w:val="000000" w:themeColor="text1"/>
          <w14:textFill>
            <w14:solidFill>
              <w14:schemeClr w14:val="tx1"/>
            </w14:solidFill>
          </w14:textFill>
        </w:rPr>
        <w:t>④</w:t>
      </w:r>
      <w:r>
        <w:rPr>
          <w:snapToGrid w:val="0"/>
          <w:color w:val="000000" w:themeColor="text1"/>
          <w14:textFill>
            <w14:solidFill>
              <w14:schemeClr w14:val="tx1"/>
            </w14:solidFill>
          </w14:textFill>
        </w:rPr>
        <w:fldChar w:fldCharType="end"/>
      </w:r>
      <w:r>
        <w:rPr>
          <w:snapToGrid w:val="0"/>
          <w:color w:val="000000" w:themeColor="text1"/>
          <w14:textFill>
            <w14:solidFill>
              <w14:schemeClr w14:val="tx1"/>
            </w14:solidFill>
          </w14:textFill>
        </w:rPr>
        <w:t>运输白灰、水泥、土方、施工垃圾等易产生扬尘的车辆要密闭处理，或采取其它措施，以避免沿途散落。</w:t>
      </w:r>
    </w:p>
    <w:p w14:paraId="451DFF7C">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fldChar w:fldCharType="begin"/>
      </w:r>
      <w:r>
        <w:rPr>
          <w:snapToGrid w:val="0"/>
          <w:color w:val="000000" w:themeColor="text1"/>
          <w14:textFill>
            <w14:solidFill>
              <w14:schemeClr w14:val="tx1"/>
            </w14:solidFill>
          </w14:textFill>
        </w:rPr>
        <w:instrText xml:space="preserve"> </w:instrText>
      </w:r>
      <w:r>
        <w:rPr>
          <w:rFonts w:hint="eastAsia"/>
          <w:snapToGrid w:val="0"/>
          <w:color w:val="000000" w:themeColor="text1"/>
          <w14:textFill>
            <w14:solidFill>
              <w14:schemeClr w14:val="tx1"/>
            </w14:solidFill>
          </w14:textFill>
        </w:rPr>
        <w:instrText xml:space="preserve">= 5 \* GB3</w:instrText>
      </w:r>
      <w:r>
        <w:rPr>
          <w:snapToGrid w:val="0"/>
          <w:color w:val="000000" w:themeColor="text1"/>
          <w14:textFill>
            <w14:solidFill>
              <w14:schemeClr w14:val="tx1"/>
            </w14:solidFill>
          </w14:textFill>
        </w:rPr>
        <w:instrText xml:space="preserve"> </w:instrText>
      </w:r>
      <w:r>
        <w:rPr>
          <w:snapToGrid w:val="0"/>
          <w:color w:val="000000" w:themeColor="text1"/>
          <w14:textFill>
            <w14:solidFill>
              <w14:schemeClr w14:val="tx1"/>
            </w14:solidFill>
          </w14:textFill>
        </w:rPr>
        <w:fldChar w:fldCharType="separate"/>
      </w:r>
      <w:r>
        <w:rPr>
          <w:rFonts w:hint="eastAsia"/>
          <w:snapToGrid w:val="0"/>
          <w:color w:val="000000" w:themeColor="text1"/>
          <w14:textFill>
            <w14:solidFill>
              <w14:schemeClr w14:val="tx1"/>
            </w14:solidFill>
          </w14:textFill>
        </w:rPr>
        <w:t>⑤</w:t>
      </w:r>
      <w:r>
        <w:rPr>
          <w:snapToGrid w:val="0"/>
          <w:color w:val="000000" w:themeColor="text1"/>
          <w14:textFill>
            <w14:solidFill>
              <w14:schemeClr w14:val="tx1"/>
            </w14:solidFill>
          </w14:textFill>
        </w:rPr>
        <w:fldChar w:fldCharType="end"/>
      </w:r>
      <w:r>
        <w:rPr>
          <w:snapToGrid w:val="0"/>
          <w:color w:val="000000" w:themeColor="text1"/>
          <w14:textFill>
            <w14:solidFill>
              <w14:schemeClr w14:val="tx1"/>
            </w14:solidFill>
          </w14:textFill>
        </w:rPr>
        <w:t>出工地的车辆要对车轮进行清洗或清扫。</w:t>
      </w:r>
    </w:p>
    <w:p w14:paraId="2ADF1569">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fldChar w:fldCharType="begin"/>
      </w:r>
      <w:r>
        <w:rPr>
          <w:snapToGrid w:val="0"/>
          <w:color w:val="000000" w:themeColor="text1"/>
          <w14:textFill>
            <w14:solidFill>
              <w14:schemeClr w14:val="tx1"/>
            </w14:solidFill>
          </w14:textFill>
        </w:rPr>
        <w:instrText xml:space="preserve"> </w:instrText>
      </w:r>
      <w:r>
        <w:rPr>
          <w:rFonts w:hint="eastAsia"/>
          <w:snapToGrid w:val="0"/>
          <w:color w:val="000000" w:themeColor="text1"/>
          <w14:textFill>
            <w14:solidFill>
              <w14:schemeClr w14:val="tx1"/>
            </w14:solidFill>
          </w14:textFill>
        </w:rPr>
        <w:instrText xml:space="preserve">= 6 \* GB3</w:instrText>
      </w:r>
      <w:r>
        <w:rPr>
          <w:snapToGrid w:val="0"/>
          <w:color w:val="000000" w:themeColor="text1"/>
          <w14:textFill>
            <w14:solidFill>
              <w14:schemeClr w14:val="tx1"/>
            </w14:solidFill>
          </w14:textFill>
        </w:rPr>
        <w:instrText xml:space="preserve"> </w:instrText>
      </w:r>
      <w:r>
        <w:rPr>
          <w:snapToGrid w:val="0"/>
          <w:color w:val="000000" w:themeColor="text1"/>
          <w14:textFill>
            <w14:solidFill>
              <w14:schemeClr w14:val="tx1"/>
            </w14:solidFill>
          </w14:textFill>
        </w:rPr>
        <w:fldChar w:fldCharType="separate"/>
      </w:r>
      <w:r>
        <w:rPr>
          <w:rFonts w:hint="eastAsia"/>
          <w:snapToGrid w:val="0"/>
          <w:color w:val="000000" w:themeColor="text1"/>
          <w14:textFill>
            <w14:solidFill>
              <w14:schemeClr w14:val="tx1"/>
            </w14:solidFill>
          </w14:textFill>
        </w:rPr>
        <w:t>⑥</w:t>
      </w:r>
      <w:r>
        <w:rPr>
          <w:snapToGrid w:val="0"/>
          <w:color w:val="000000" w:themeColor="text1"/>
          <w14:textFill>
            <w14:solidFill>
              <w14:schemeClr w14:val="tx1"/>
            </w14:solidFill>
          </w14:textFill>
        </w:rPr>
        <w:fldChar w:fldCharType="end"/>
      </w:r>
      <w:r>
        <w:rPr>
          <w:snapToGrid w:val="0"/>
          <w:color w:val="000000" w:themeColor="text1"/>
          <w14:textFill>
            <w14:solidFill>
              <w14:schemeClr w14:val="tx1"/>
            </w14:solidFill>
          </w14:textFill>
        </w:rPr>
        <w:t>主要施工现场要围挡或部分围挡，以减少施工扬尘的扩散范围，减轻扬尘对周围环境的污染。</w:t>
      </w:r>
    </w:p>
    <w:p w14:paraId="4B451D0F">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fldChar w:fldCharType="begin"/>
      </w:r>
      <w:r>
        <w:rPr>
          <w:snapToGrid w:val="0"/>
          <w:color w:val="000000" w:themeColor="text1"/>
          <w14:textFill>
            <w14:solidFill>
              <w14:schemeClr w14:val="tx1"/>
            </w14:solidFill>
          </w14:textFill>
        </w:rPr>
        <w:instrText xml:space="preserve"> </w:instrText>
      </w:r>
      <w:r>
        <w:rPr>
          <w:rFonts w:hint="eastAsia"/>
          <w:snapToGrid w:val="0"/>
          <w:color w:val="000000" w:themeColor="text1"/>
          <w14:textFill>
            <w14:solidFill>
              <w14:schemeClr w14:val="tx1"/>
            </w14:solidFill>
          </w14:textFill>
        </w:rPr>
        <w:instrText xml:space="preserve">= 7 \* GB3</w:instrText>
      </w:r>
      <w:r>
        <w:rPr>
          <w:snapToGrid w:val="0"/>
          <w:color w:val="000000" w:themeColor="text1"/>
          <w14:textFill>
            <w14:solidFill>
              <w14:schemeClr w14:val="tx1"/>
            </w14:solidFill>
          </w14:textFill>
        </w:rPr>
        <w:instrText xml:space="preserve"> </w:instrText>
      </w:r>
      <w:r>
        <w:rPr>
          <w:snapToGrid w:val="0"/>
          <w:color w:val="000000" w:themeColor="text1"/>
          <w14:textFill>
            <w14:solidFill>
              <w14:schemeClr w14:val="tx1"/>
            </w14:solidFill>
          </w14:textFill>
        </w:rPr>
        <w:fldChar w:fldCharType="separate"/>
      </w:r>
      <w:r>
        <w:rPr>
          <w:rFonts w:hint="eastAsia"/>
          <w:snapToGrid w:val="0"/>
          <w:color w:val="000000" w:themeColor="text1"/>
          <w14:textFill>
            <w14:solidFill>
              <w14:schemeClr w14:val="tx1"/>
            </w14:solidFill>
          </w14:textFill>
        </w:rPr>
        <w:t>⑦</w:t>
      </w:r>
      <w:r>
        <w:rPr>
          <w:snapToGrid w:val="0"/>
          <w:color w:val="000000" w:themeColor="text1"/>
          <w14:textFill>
            <w14:solidFill>
              <w14:schemeClr w14:val="tx1"/>
            </w14:solidFill>
          </w14:textFill>
        </w:rPr>
        <w:fldChar w:fldCharType="end"/>
      </w:r>
      <w:r>
        <w:rPr>
          <w:snapToGrid w:val="0"/>
          <w:color w:val="000000" w:themeColor="text1"/>
          <w14:textFill>
            <w14:solidFill>
              <w14:schemeClr w14:val="tx1"/>
            </w14:solidFill>
          </w14:textFill>
        </w:rPr>
        <w:t>施工结束时，应及时对施工占用场地</w:t>
      </w:r>
      <w:r>
        <w:rPr>
          <w:rFonts w:hint="eastAsia"/>
          <w:snapToGrid w:val="0"/>
          <w:color w:val="000000" w:themeColor="text1"/>
          <w14:textFill>
            <w14:solidFill>
              <w14:schemeClr w14:val="tx1"/>
            </w14:solidFill>
          </w14:textFill>
        </w:rPr>
        <w:t>进行</w:t>
      </w:r>
      <w:r>
        <w:rPr>
          <w:snapToGrid w:val="0"/>
          <w:color w:val="000000" w:themeColor="text1"/>
          <w14:textFill>
            <w14:solidFill>
              <w14:schemeClr w14:val="tx1"/>
            </w14:solidFill>
          </w14:textFill>
        </w:rPr>
        <w:t>恢复。</w:t>
      </w:r>
    </w:p>
    <w:p w14:paraId="35789FF7">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围挡起直接阻挡扬尘飞扬的作用，洒水可降低施工扬尘的起尘量，经上述治理后，施工期产生的扬尘满足《大气污染物综合排放标准》（GB16297-1996）表2中无组织排放监控浓度限值。</w:t>
      </w:r>
    </w:p>
    <w:p w14:paraId="6F9DA690">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（2）车辆尾气</w:t>
      </w:r>
    </w:p>
    <w:p w14:paraId="6EEFACC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做好施工现场的交通组织，施工道路硬化路面，保持路面平整，同时减少运输车辆怠速产生的废气排放。项目运输车辆定期检修，汽车尾气能够达标排放。项目厂区占地面积较大，远离居民区，项目汽车尾气不会对施工区大气环境产生较大影响。</w:t>
      </w:r>
    </w:p>
    <w:p w14:paraId="7BC5575D">
      <w:pPr>
        <w:pStyle w:val="6"/>
        <w:rPr>
          <w:snapToGrid w:val="0"/>
          <w:color w:val="000000" w:themeColor="text1"/>
          <w14:textFill>
            <w14:solidFill>
              <w14:schemeClr w14:val="tx1"/>
            </w14:solidFill>
          </w14:textFill>
        </w:rPr>
      </w:pPr>
      <w:bookmarkStart w:id="307" w:name="_Toc203113622"/>
      <w:bookmarkStart w:id="308" w:name="_Toc204572394"/>
      <w:bookmarkStart w:id="309" w:name="_Toc200952547"/>
      <w:bookmarkStart w:id="310" w:name="_Toc201330165"/>
      <w:bookmarkStart w:id="311" w:name="_Toc12817"/>
      <w:bookmarkStart w:id="312" w:name="_Toc203373355"/>
      <w:bookmarkStart w:id="313" w:name="_Toc200162816"/>
      <w:bookmarkStart w:id="314" w:name="_Toc200162119"/>
      <w:bookmarkStart w:id="315" w:name="_Toc225741624"/>
      <w:r>
        <w:rPr>
          <w:snapToGrid w:val="0"/>
          <w:color w:val="000000" w:themeColor="text1"/>
          <w14:textFill>
            <w14:solidFill>
              <w14:schemeClr w14:val="tx1"/>
            </w14:solidFill>
          </w14:textFill>
        </w:rPr>
        <w:t>6.1.3噪声污染防治措施</w:t>
      </w:r>
      <w:bookmarkEnd w:id="307"/>
      <w:bookmarkEnd w:id="308"/>
      <w:bookmarkEnd w:id="309"/>
      <w:bookmarkEnd w:id="310"/>
      <w:bookmarkEnd w:id="311"/>
      <w:bookmarkEnd w:id="312"/>
      <w:bookmarkEnd w:id="313"/>
      <w:bookmarkEnd w:id="314"/>
      <w:bookmarkEnd w:id="315"/>
    </w:p>
    <w:p w14:paraId="04C7BAF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施工期间的噪声污染主要来自于施工机械作业产生的噪声和运输车辆产生的交通噪声。</w:t>
      </w:r>
    </w:p>
    <w:p w14:paraId="7D5C61B4">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本项目施工区距离噪声环境敏感点较</w:t>
      </w:r>
      <w:r>
        <w:rPr>
          <w:rFonts w:hint="eastAsia"/>
          <w:snapToGrid w:val="0"/>
          <w:color w:val="000000" w:themeColor="text1"/>
          <w14:textFill>
            <w14:solidFill>
              <w14:schemeClr w14:val="tx1"/>
            </w14:solidFill>
          </w14:textFill>
        </w:rPr>
        <w:t>近，</w:t>
      </w:r>
      <w:r>
        <w:rPr>
          <w:snapToGrid w:val="0"/>
          <w:color w:val="000000" w:themeColor="text1"/>
          <w14:textFill>
            <w14:solidFill>
              <w14:schemeClr w14:val="tx1"/>
            </w14:solidFill>
          </w14:textFill>
        </w:rPr>
        <w:t>为保证施工厂界噪声达标排放，提出以下防治措施：</w:t>
      </w:r>
    </w:p>
    <w:p w14:paraId="5C1D3DA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合理安排施工计划和施工机械设备组合以及施工时间，避免在同一时间集中使用大量的动力机械设备，对产生高噪声设备尽量安排在白天使用，合理安排高噪声设备远离敏感目标作业，同时夜间（22:00～6:00）不使用噪声设备。</w:t>
      </w:r>
    </w:p>
    <w:p w14:paraId="68D26ACF">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对项目的施工进行合理布局，尽量将高噪声的机械设备安装在施工厂区中部，远离边界。此外，尽量选用低噪声机械设备或带隔声、消声的设备，对产生噪声的施工设备加强维护和维修工作，亦对噪声有良好作用。</w:t>
      </w:r>
    </w:p>
    <w:p w14:paraId="6B5863CF">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项目运输路线经过道路沿线两侧村屯时，应加强现场货物的运输管理，在运输车辆经过居民点时，尽量减速慢行，居民区内禁止鸣笛，禁止在中午（12:00-14:00）和夜间（22:00-6:00）经过居民点运输，以免影响沿途居民的正常生活。</w:t>
      </w:r>
    </w:p>
    <w:p w14:paraId="4108325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经上述治理后，项目施工期产生的场界噪声能够满足《建筑施工场界环境噪声排放标准》(GB12523-2011)中要求。</w:t>
      </w:r>
    </w:p>
    <w:p w14:paraId="67C86536">
      <w:pPr>
        <w:pStyle w:val="6"/>
        <w:rPr>
          <w:snapToGrid w:val="0"/>
          <w:color w:val="000000" w:themeColor="text1"/>
          <w14:textFill>
            <w14:solidFill>
              <w14:schemeClr w14:val="tx1"/>
            </w14:solidFill>
          </w14:textFill>
        </w:rPr>
      </w:pPr>
      <w:bookmarkStart w:id="316" w:name="_Toc204572395"/>
      <w:bookmarkStart w:id="317" w:name="_Toc6532"/>
      <w:bookmarkStart w:id="318" w:name="_Toc200952548"/>
      <w:bookmarkStart w:id="319" w:name="_Toc200162120"/>
      <w:bookmarkStart w:id="320" w:name="_Toc200162817"/>
      <w:bookmarkStart w:id="321" w:name="_Toc203113623"/>
      <w:bookmarkStart w:id="322" w:name="_Toc225741625"/>
      <w:bookmarkStart w:id="323" w:name="_Toc201330166"/>
      <w:bookmarkStart w:id="324" w:name="_Toc203373356"/>
      <w:r>
        <w:rPr>
          <w:snapToGrid w:val="0"/>
          <w:color w:val="000000" w:themeColor="text1"/>
          <w14:textFill>
            <w14:solidFill>
              <w14:schemeClr w14:val="tx1"/>
            </w14:solidFill>
          </w14:textFill>
        </w:rPr>
        <w:t>6.1.4固体废物污染防治措施</w:t>
      </w:r>
      <w:bookmarkEnd w:id="316"/>
      <w:bookmarkEnd w:id="317"/>
      <w:bookmarkEnd w:id="318"/>
      <w:bookmarkEnd w:id="319"/>
      <w:bookmarkEnd w:id="320"/>
      <w:bookmarkEnd w:id="321"/>
      <w:bookmarkEnd w:id="322"/>
      <w:bookmarkEnd w:id="323"/>
      <w:bookmarkEnd w:id="324"/>
    </w:p>
    <w:p w14:paraId="67DF7C5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施工期间在运输和转运各种建筑材料（如砂石、水泥、砖、木材等）时，将产生一定量建筑垃圾。废弃垃圾中钢筋、木材、废纸板等可以回收利用，混凝土块、砖瓦、弃渣等送至市政管理部门指定地点，多余土方</w:t>
      </w:r>
      <w:r>
        <w:rPr>
          <w:rFonts w:hint="eastAsia"/>
          <w:snapToGrid w:val="0"/>
          <w:color w:val="000000" w:themeColor="text1"/>
          <w14:textFill>
            <w14:solidFill>
              <w14:schemeClr w14:val="tx1"/>
            </w14:solidFill>
          </w14:textFill>
        </w:rPr>
        <w:t>除回填外平整场地外，挖方的表土用于厂区绿化，无弃土产生</w:t>
      </w:r>
      <w:r>
        <w:rPr>
          <w:snapToGrid w:val="0"/>
          <w:color w:val="000000" w:themeColor="text1"/>
          <w14:textFill>
            <w14:solidFill>
              <w14:schemeClr w14:val="tx1"/>
            </w14:solidFill>
          </w14:textFill>
        </w:rPr>
        <w:t>。建筑垃圾严禁随意抛弃倾倒。</w:t>
      </w:r>
    </w:p>
    <w:p w14:paraId="58A18614">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施工生活区内设置垃圾箱（桶）内，施工人员的生活垃圾也及时收集到指定的由当地环卫部门统一及时清运处理。</w:t>
      </w:r>
    </w:p>
    <w:p w14:paraId="47A191D2">
      <w:pPr>
        <w:pStyle w:val="6"/>
        <w:rPr>
          <w:snapToGrid w:val="0"/>
          <w:color w:val="000000" w:themeColor="text1"/>
          <w14:textFill>
            <w14:solidFill>
              <w14:schemeClr w14:val="tx1"/>
            </w14:solidFill>
          </w14:textFill>
        </w:rPr>
      </w:pPr>
      <w:bookmarkStart w:id="325" w:name="_Toc201330167"/>
      <w:bookmarkStart w:id="326" w:name="_Toc204572396"/>
      <w:bookmarkStart w:id="327" w:name="_Toc200162818"/>
      <w:bookmarkStart w:id="328" w:name="_Toc200952549"/>
      <w:bookmarkStart w:id="329" w:name="_Toc225741626"/>
      <w:bookmarkStart w:id="330" w:name="_Toc203113624"/>
      <w:bookmarkStart w:id="331" w:name="_Toc203373357"/>
      <w:bookmarkStart w:id="332" w:name="_Toc200162121"/>
      <w:bookmarkStart w:id="333" w:name="_Toc22296"/>
      <w:r>
        <w:rPr>
          <w:snapToGrid w:val="0"/>
          <w:color w:val="000000" w:themeColor="text1"/>
          <w14:textFill>
            <w14:solidFill>
              <w14:schemeClr w14:val="tx1"/>
            </w14:solidFill>
          </w14:textFill>
        </w:rPr>
        <w:t>6.1.5</w:t>
      </w:r>
      <w:bookmarkEnd w:id="325"/>
      <w:bookmarkEnd w:id="326"/>
      <w:bookmarkEnd w:id="327"/>
      <w:bookmarkEnd w:id="328"/>
      <w:bookmarkEnd w:id="329"/>
      <w:bookmarkEnd w:id="330"/>
      <w:bookmarkEnd w:id="331"/>
      <w:bookmarkEnd w:id="332"/>
      <w:r>
        <w:rPr>
          <w:rFonts w:hint="eastAsia"/>
          <w:snapToGrid w:val="0"/>
          <w:color w:val="000000" w:themeColor="text1"/>
          <w14:textFill>
            <w14:solidFill>
              <w14:schemeClr w14:val="tx1"/>
            </w14:solidFill>
          </w14:textFill>
        </w:rPr>
        <w:t>生态保护减缓措施</w:t>
      </w:r>
      <w:bookmarkEnd w:id="333"/>
    </w:p>
    <w:p w14:paraId="0270AA90">
      <w:pPr>
        <w:pStyle w:val="85"/>
        <w:rPr>
          <w:color w:val="000000" w:themeColor="text1"/>
          <w14:textFill>
            <w14:solidFill>
              <w14:schemeClr w14:val="tx1"/>
            </w14:solidFill>
          </w14:textFill>
        </w:rPr>
      </w:pPr>
      <w:bookmarkStart w:id="334" w:name="_Hlk519187038"/>
      <w:r>
        <w:rPr>
          <w:color w:val="000000" w:themeColor="text1"/>
          <w14:textFill>
            <w14:solidFill>
              <w14:schemeClr w14:val="tx1"/>
            </w14:solidFill>
          </w14:textFill>
        </w:rPr>
        <w:t>建设期的生态影响主要是土地平整及土方挖运施工导致的水土流失，工程应加强施工道路的路面建设，创造施工场地良好的排水条件，减少雨水冲刷和停留时间，从而达到减少水土流失的目的。</w:t>
      </w:r>
    </w:p>
    <w:p w14:paraId="374BF94E">
      <w:pPr>
        <w:pStyle w:val="85"/>
        <w:rPr>
          <w:color w:val="000000" w:themeColor="text1"/>
          <w14:textFill>
            <w14:solidFill>
              <w14:schemeClr w14:val="tx1"/>
            </w14:solidFill>
          </w14:textFill>
        </w:rPr>
      </w:pPr>
      <w:r>
        <w:rPr>
          <w:color w:val="000000" w:themeColor="text1"/>
          <w14:textFill>
            <w14:solidFill>
              <w14:schemeClr w14:val="tx1"/>
            </w14:solidFill>
          </w14:textFill>
        </w:rPr>
        <w:t>（1）在有植被处施工时，将表土和深土分别堆放，施工后分层回填并恢复地貌。</w:t>
      </w:r>
    </w:p>
    <w:p w14:paraId="78A7F881">
      <w:pPr>
        <w:pStyle w:val="85"/>
        <w:rPr>
          <w:color w:val="000000" w:themeColor="text1"/>
          <w14:textFill>
            <w14:solidFill>
              <w14:schemeClr w14:val="tx1"/>
            </w14:solidFill>
          </w14:textFill>
        </w:rPr>
      </w:pPr>
      <w:r>
        <w:rPr>
          <w:color w:val="000000" w:themeColor="text1"/>
          <w14:textFill>
            <w14:solidFill>
              <w14:schemeClr w14:val="tx1"/>
            </w14:solidFill>
          </w14:textFill>
        </w:rPr>
        <w:t>（2）在道路施工时，渣土应及时清运，完工后恢复道路两侧绿地。</w:t>
      </w:r>
    </w:p>
    <w:p w14:paraId="5EF57588">
      <w:pPr>
        <w:pStyle w:val="85"/>
        <w:rPr>
          <w:color w:val="000000" w:themeColor="text1"/>
          <w14:textFill>
            <w14:solidFill>
              <w14:schemeClr w14:val="tx1"/>
            </w14:solidFill>
          </w14:textFill>
        </w:rPr>
      </w:pPr>
      <w:r>
        <w:rPr>
          <w:color w:val="000000" w:themeColor="text1"/>
          <w14:textFill>
            <w14:solidFill>
              <w14:schemeClr w14:val="tx1"/>
            </w14:solidFill>
          </w14:textFill>
        </w:rPr>
        <w:t>（3）应注意选择施工季节，避免雨天施工，防止在暴雨期间造成大量水土流失。</w:t>
      </w:r>
    </w:p>
    <w:p w14:paraId="09AAC83D">
      <w:pPr>
        <w:pStyle w:val="85"/>
        <w:rPr>
          <w:color w:val="000000" w:themeColor="text1"/>
          <w14:textFill>
            <w14:solidFill>
              <w14:schemeClr w14:val="tx1"/>
            </w14:solidFill>
          </w14:textFill>
        </w:rPr>
      </w:pPr>
      <w:r>
        <w:rPr>
          <w:color w:val="000000" w:themeColor="text1"/>
          <w14:textFill>
            <w14:solidFill>
              <w14:schemeClr w14:val="tx1"/>
            </w14:solidFill>
          </w14:textFill>
        </w:rPr>
        <w:t>（4）施工时弃土尽量回用，直接送至填方处堆存，减少倒运次数，可减轻水土流失。施工结束后立即进行地表植被恢复，减少水土流失和扬尘污染。</w:t>
      </w:r>
    </w:p>
    <w:p w14:paraId="77D079DD">
      <w:pPr>
        <w:pStyle w:val="85"/>
        <w:rPr>
          <w:color w:val="000000" w:themeColor="text1"/>
          <w14:textFill>
            <w14:solidFill>
              <w14:schemeClr w14:val="tx1"/>
            </w14:solidFill>
          </w14:textFill>
        </w:rPr>
      </w:pPr>
      <w:r>
        <w:rPr>
          <w:color w:val="000000" w:themeColor="text1"/>
          <w14:textFill>
            <w14:solidFill>
              <w14:schemeClr w14:val="tx1"/>
            </w14:solidFill>
          </w14:textFill>
        </w:rPr>
        <w:t>（5）施工期应把剥离的表层腐殖土集中妥善</w:t>
      </w:r>
      <w:r>
        <w:rPr>
          <w:rFonts w:hint="eastAsia"/>
          <w:color w:val="000000" w:themeColor="text1"/>
          <w14:textFill>
            <w14:solidFill>
              <w14:schemeClr w14:val="tx1"/>
            </w14:solidFill>
          </w14:textFill>
        </w:rPr>
        <w:t>存放</w:t>
      </w:r>
      <w:r>
        <w:rPr>
          <w:color w:val="000000" w:themeColor="text1"/>
          <w14:textFill>
            <w14:solidFill>
              <w14:schemeClr w14:val="tx1"/>
            </w14:solidFill>
          </w14:textFill>
        </w:rPr>
        <w:t>，并采取遮挡措施，对挖方进行妥善的临时堆置，并及时进行基坑开挖弃方的清运，避免随意排放，以确保挖填裸露堆土，不被雨水冲刷，避免造成水土流失，施工结束后，挖方回填，恢复地表植被。</w:t>
      </w:r>
    </w:p>
    <w:p w14:paraId="13E00BD9">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（6</w:t>
      </w:r>
      <w:r>
        <w:rPr>
          <w:color w:val="000000" w:themeColor="text1"/>
          <w14:textFill>
            <w14:solidFill>
              <w14:schemeClr w14:val="tx1"/>
            </w14:solidFill>
          </w14:textFill>
        </w:rPr>
        <w:t>）加强对施工人员生态环境方面知识的教育，加强管理，增强对生态环境保护的意识和观念，并使施工人员变为自觉行为。</w:t>
      </w:r>
    </w:p>
    <w:p w14:paraId="2B2611C7">
      <w:pPr>
        <w:pStyle w:val="85"/>
        <w:rPr>
          <w:color w:val="000000" w:themeColor="text1"/>
          <w14:textFill>
            <w14:solidFill>
              <w14:schemeClr w14:val="tx1"/>
            </w14:solidFill>
          </w14:textFill>
        </w:rPr>
      </w:pPr>
      <w:r>
        <w:rPr>
          <w:color w:val="000000" w:themeColor="text1"/>
          <w14:textFill>
            <w14:solidFill>
              <w14:schemeClr w14:val="tx1"/>
            </w14:solidFill>
          </w14:textFill>
        </w:rPr>
        <w:t>项目用地性质为</w:t>
      </w:r>
      <w:r>
        <w:rPr>
          <w:rFonts w:hint="eastAsia"/>
          <w:color w:val="000000" w:themeColor="text1"/>
          <w14:textFill>
            <w14:solidFill>
              <w14:schemeClr w14:val="tx1"/>
            </w14:solidFill>
          </w14:textFill>
        </w:rPr>
        <w:t>工业用地</w:t>
      </w:r>
      <w:r>
        <w:rPr>
          <w:color w:val="000000" w:themeColor="text1"/>
          <w14:textFill>
            <w14:solidFill>
              <w14:schemeClr w14:val="tx1"/>
            </w14:solidFill>
          </w14:textFill>
        </w:rPr>
        <w:t>，无国家和地方保护物种，</w:t>
      </w:r>
      <w:r>
        <w:rPr>
          <w:rFonts w:hint="eastAsia"/>
          <w:color w:val="000000" w:themeColor="text1"/>
          <w14:textFill>
            <w14:solidFill>
              <w14:schemeClr w14:val="tx1"/>
            </w14:solidFill>
          </w14:textFill>
        </w:rPr>
        <w:t>施工期</w:t>
      </w:r>
      <w:r>
        <w:rPr>
          <w:color w:val="000000" w:themeColor="text1"/>
          <w14:textFill>
            <w14:solidFill>
              <w14:schemeClr w14:val="tx1"/>
            </w14:solidFill>
          </w14:textFill>
        </w:rPr>
        <w:t>通过绿化工程等措施，将最大程度减缓对生态环境的影响。</w:t>
      </w:r>
    </w:p>
    <w:bookmarkEnd w:id="334"/>
    <w:p w14:paraId="19208706">
      <w:pPr>
        <w:pStyle w:val="5"/>
        <w:rPr>
          <w:snapToGrid w:val="0"/>
          <w:color w:val="000000" w:themeColor="text1"/>
          <w14:textFill>
            <w14:solidFill>
              <w14:schemeClr w14:val="tx1"/>
            </w14:solidFill>
          </w14:textFill>
        </w:rPr>
      </w:pPr>
      <w:bookmarkStart w:id="335" w:name="_Toc480447675"/>
      <w:bookmarkStart w:id="336" w:name="_Toc255202309"/>
      <w:bookmarkStart w:id="337" w:name="_Toc24005"/>
      <w:bookmarkStart w:id="338" w:name="_Toc277178440"/>
      <w:r>
        <w:rPr>
          <w:snapToGrid w:val="0"/>
          <w:color w:val="000000" w:themeColor="text1"/>
          <w14:textFill>
            <w14:solidFill>
              <w14:schemeClr w14:val="tx1"/>
            </w14:solidFill>
          </w14:textFill>
        </w:rPr>
        <w:t>6.2运营期污染防治措施</w:t>
      </w:r>
      <w:bookmarkEnd w:id="335"/>
      <w:bookmarkEnd w:id="336"/>
      <w:bookmarkEnd w:id="337"/>
      <w:bookmarkEnd w:id="338"/>
    </w:p>
    <w:bookmarkEnd w:id="287"/>
    <w:bookmarkEnd w:id="288"/>
    <w:p w14:paraId="0FE8B85D">
      <w:pPr>
        <w:pStyle w:val="6"/>
        <w:rPr>
          <w:snapToGrid w:val="0"/>
          <w:color w:val="000000" w:themeColor="text1"/>
          <w14:textFill>
            <w14:solidFill>
              <w14:schemeClr w14:val="tx1"/>
            </w14:solidFill>
          </w14:textFill>
        </w:rPr>
      </w:pPr>
      <w:bookmarkStart w:id="339" w:name="_Toc98920175"/>
      <w:bookmarkStart w:id="340" w:name="_Toc83525151"/>
      <w:bookmarkStart w:id="341" w:name="_Toc74537250"/>
      <w:bookmarkStart w:id="342" w:name="_Toc31217"/>
      <w:r>
        <w:rPr>
          <w:snapToGrid w:val="0"/>
          <w:color w:val="000000" w:themeColor="text1"/>
          <w14:textFill>
            <w14:solidFill>
              <w14:schemeClr w14:val="tx1"/>
            </w14:solidFill>
          </w14:textFill>
        </w:rPr>
        <w:t>6.2.1大气污染物防治措施</w:t>
      </w:r>
      <w:bookmarkEnd w:id="339"/>
      <w:bookmarkEnd w:id="340"/>
      <w:bookmarkEnd w:id="341"/>
      <w:bookmarkEnd w:id="342"/>
    </w:p>
    <w:p w14:paraId="6DF590B0">
      <w:pPr>
        <w:pStyle w:val="7"/>
        <w:rPr>
          <w:color w:val="000000" w:themeColor="text1"/>
          <w14:textFill>
            <w14:solidFill>
              <w14:schemeClr w14:val="tx1"/>
            </w14:solidFill>
          </w14:textFill>
        </w:rPr>
      </w:pPr>
      <w:r>
        <w:rPr>
          <w:color w:val="000000" w:themeColor="text1"/>
          <w14:textFill>
            <w14:solidFill>
              <w14:schemeClr w14:val="tx1"/>
            </w14:solidFill>
          </w14:textFill>
        </w:rPr>
        <w:t>6.2.1.1</w:t>
      </w:r>
      <w:r>
        <w:rPr>
          <w:rFonts w:hint="eastAsia"/>
          <w:color w:val="000000" w:themeColor="text1"/>
          <w:lang w:eastAsia="zh-CN"/>
          <w14:textFill>
            <w14:solidFill>
              <w14:schemeClr w14:val="tx1"/>
            </w14:solidFill>
          </w14:textFill>
        </w:rPr>
        <w:t>异味、</w:t>
      </w:r>
      <w:r>
        <w:rPr>
          <w:color w:val="000000" w:themeColor="text1"/>
          <w14:textFill>
            <w14:solidFill>
              <w14:schemeClr w14:val="tx1"/>
            </w14:solidFill>
          </w14:textFill>
        </w:rPr>
        <w:t>恶臭气体污染治理措施</w:t>
      </w:r>
    </w:p>
    <w:p w14:paraId="0410ED0D">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w:t>
      </w:r>
      <w:r>
        <w:rPr>
          <w:color w:val="000000" w:themeColor="text1"/>
          <w14:textFill>
            <w14:solidFill>
              <w14:schemeClr w14:val="tx1"/>
            </w14:solidFill>
          </w14:textFill>
        </w:rPr>
        <w:t>项目污水处理站恶臭气体包括</w:t>
      </w:r>
      <w:r>
        <w:rPr>
          <w:rFonts w:hint="eastAsia"/>
          <w:color w:val="000000" w:themeColor="text1"/>
          <w14:textFill>
            <w14:solidFill>
              <w14:schemeClr w14:val="tx1"/>
            </w14:solidFill>
          </w14:textFill>
        </w:rPr>
        <w:t>污水处理</w:t>
      </w:r>
      <w:r>
        <w:rPr>
          <w:color w:val="000000" w:themeColor="text1"/>
          <w14:textFill>
            <w14:solidFill>
              <w14:schemeClr w14:val="tx1"/>
            </w14:solidFill>
          </w14:textFill>
        </w:rPr>
        <w:t>产生的</w:t>
      </w:r>
      <w:r>
        <w:rPr>
          <w:rFonts w:hint="eastAsia"/>
          <w:color w:val="000000" w:themeColor="text1"/>
          <w14:textFill>
            <w14:solidFill>
              <w14:schemeClr w14:val="tx1"/>
            </w14:solidFill>
          </w14:textFill>
        </w:rPr>
        <w:t>恶臭气体</w:t>
      </w:r>
      <w:r>
        <w:rPr>
          <w:color w:val="000000" w:themeColor="text1"/>
          <w14:textFill>
            <w14:solidFill>
              <w14:schemeClr w14:val="tx1"/>
            </w14:solidFill>
          </w14:textFill>
        </w:rPr>
        <w:t>和</w:t>
      </w:r>
      <w:r>
        <w:rPr>
          <w:rFonts w:hint="eastAsia"/>
          <w:color w:val="000000" w:themeColor="text1"/>
          <w14:textFill>
            <w14:solidFill>
              <w14:schemeClr w14:val="tx1"/>
            </w14:solidFill>
          </w14:textFill>
        </w:rPr>
        <w:t>发酵车间异味。</w:t>
      </w:r>
    </w:p>
    <w:p w14:paraId="778EB7C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活性炭吸附除臭主要是利用活性炭的物理吸附原理。臭是一种气体分子造成的，活性炭自身有特殊的微孔结构，这些微孔构成了活性炭较大的比表面积，依靠这些孔洞吸附异味（异味也是颗粒）。在一定温度和压力下，除臭活性炭通过微孔吸附一些气体，尤其是含有极性的气体进入它的孔中，从而大大降低了这些气体在空气中的含量。除臭活性炭可以吸附这些气体分子，从而进行空气净化，并依靠空气作为媒介，吸附空气中的有害物质，因此被界定为被动空气净化材料，故项目采用活性炭吸附处理设施对于</w:t>
      </w:r>
      <w:r>
        <w:rPr>
          <w:rFonts w:hint="eastAsia"/>
          <w:color w:val="000000" w:themeColor="text1"/>
          <w14:textFill>
            <w14:solidFill>
              <w14:schemeClr w14:val="tx1"/>
            </w14:solidFill>
          </w14:textFill>
        </w:rPr>
        <w:t>发酵车间异味</w:t>
      </w:r>
      <w:r>
        <w:rPr>
          <w:color w:val="000000" w:themeColor="text1"/>
          <w14:textFill>
            <w14:solidFill>
              <w14:schemeClr w14:val="tx1"/>
            </w14:solidFill>
          </w14:textFill>
        </w:rPr>
        <w:t>处理可行。</w:t>
      </w:r>
    </w:p>
    <w:p w14:paraId="70E6532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（2）根据《排污许可证申请与核发技术规范 酒、饮料制造工业》（HJ </w:t>
      </w:r>
      <w:r>
        <w:rPr>
          <w:color w:val="000000" w:themeColor="text1"/>
          <w14:textFill>
            <w14:solidFill>
              <w14:schemeClr w14:val="tx1"/>
            </w14:solidFill>
          </w14:textFill>
        </w:rPr>
        <w:t>1028</w:t>
      </w:r>
      <w:r>
        <w:rPr>
          <w:rFonts w:hint="eastAsia"/>
          <w:color w:val="000000" w:themeColor="text1"/>
          <w14:textFill>
            <w14:solidFill>
              <w14:schemeClr w14:val="tx1"/>
            </w14:solidFill>
          </w14:textFill>
        </w:rPr>
        <w:t>-201</w:t>
      </w:r>
      <w:r>
        <w:rPr>
          <w:color w:val="000000" w:themeColor="text1"/>
          <w14:textFill>
            <w14:solidFill>
              <w14:schemeClr w14:val="tx1"/>
            </w14:solidFill>
          </w14:textFill>
        </w:rPr>
        <w:t>9</w:t>
      </w:r>
      <w:r>
        <w:rPr>
          <w:rFonts w:hint="eastAsia"/>
          <w:color w:val="000000" w:themeColor="text1"/>
          <w14:textFill>
            <w14:solidFill>
              <w14:schemeClr w14:val="tx1"/>
            </w14:solidFill>
          </w14:textFill>
        </w:rPr>
        <w:t>），应对厂内综合污水处理站产生恶臭的区域加罩或加盖，或者投放除臭剂，或者集中收集恶臭气体到除臭装置处理后经排气筒排放。本项目污水处理站废气采用生物除臭处理设施处理后经1</w:t>
      </w:r>
      <w:r>
        <w:rPr>
          <w:color w:val="000000" w:themeColor="text1"/>
          <w14:textFill>
            <w14:solidFill>
              <w14:schemeClr w14:val="tx1"/>
            </w14:solidFill>
          </w14:textFill>
        </w:rPr>
        <w:t>5m排气筒</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A00</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高空</w:t>
      </w:r>
      <w:r>
        <w:rPr>
          <w:rFonts w:hint="eastAsia"/>
          <w:color w:val="000000" w:themeColor="text1"/>
          <w14:textFill>
            <w14:solidFill>
              <w14:schemeClr w14:val="tx1"/>
            </w14:solidFill>
          </w14:textFill>
        </w:rPr>
        <w:t xml:space="preserve">排放，属于《排污许可证申请与核发技术规范 酒、饮料制造工业》（HJ </w:t>
      </w:r>
      <w:r>
        <w:rPr>
          <w:color w:val="000000" w:themeColor="text1"/>
          <w14:textFill>
            <w14:solidFill>
              <w14:schemeClr w14:val="tx1"/>
            </w14:solidFill>
          </w14:textFill>
        </w:rPr>
        <w:t>1028</w:t>
      </w:r>
      <w:r>
        <w:rPr>
          <w:rFonts w:hint="eastAsia"/>
          <w:color w:val="000000" w:themeColor="text1"/>
          <w14:textFill>
            <w14:solidFill>
              <w14:schemeClr w14:val="tx1"/>
            </w14:solidFill>
          </w14:textFill>
        </w:rPr>
        <w:t>-201</w:t>
      </w:r>
      <w:r>
        <w:rPr>
          <w:color w:val="000000" w:themeColor="text1"/>
          <w14:textFill>
            <w14:solidFill>
              <w14:schemeClr w14:val="tx1"/>
            </w14:solidFill>
          </w14:textFill>
        </w:rPr>
        <w:t>9</w:t>
      </w:r>
      <w:r>
        <w:rPr>
          <w:rFonts w:hint="eastAsia"/>
          <w:color w:val="000000" w:themeColor="text1"/>
          <w14:textFill>
            <w14:solidFill>
              <w14:schemeClr w14:val="tx1"/>
            </w14:solidFill>
          </w14:textFill>
        </w:rPr>
        <w:t>）中可行性技术。</w:t>
      </w:r>
    </w:p>
    <w:p w14:paraId="3405773C">
      <w:pPr>
        <w:pStyle w:val="384"/>
        <w:adjustRightInd w:val="0"/>
        <w:snapToGrid w:val="0"/>
        <w:spacing w:before="0" w:after="0" w:line="480" w:lineRule="exact"/>
        <w:ind w:firstLine="480" w:firstLineChars="200"/>
        <w:rPr>
          <w:rFonts w:cs="Times New Roman"/>
          <w:color w:val="000000" w:themeColor="text1"/>
          <w:szCs w:val="22"/>
          <w14:textFill>
            <w14:solidFill>
              <w14:schemeClr w14:val="tx1"/>
            </w14:solidFill>
          </w14:textFill>
        </w:rPr>
      </w:pPr>
      <w:r>
        <w:rPr>
          <w:rFonts w:hint="eastAsia" w:cs="Times New Roman"/>
          <w:color w:val="000000" w:themeColor="text1"/>
          <w:szCs w:val="22"/>
          <w14:textFill>
            <w14:solidFill>
              <w14:schemeClr w14:val="tx1"/>
            </w14:solidFill>
          </w14:textFill>
        </w:rPr>
        <w:t>（</w:t>
      </w:r>
      <w:r>
        <w:rPr>
          <w:rFonts w:cs="Times New Roman"/>
          <w:color w:val="000000" w:themeColor="text1"/>
          <w:szCs w:val="22"/>
          <w14:textFill>
            <w14:solidFill>
              <w14:schemeClr w14:val="tx1"/>
            </w14:solidFill>
          </w14:textFill>
        </w:rPr>
        <w:t>3</w:t>
      </w:r>
      <w:r>
        <w:rPr>
          <w:rFonts w:hint="eastAsia" w:cs="Times New Roman"/>
          <w:color w:val="000000" w:themeColor="text1"/>
          <w:szCs w:val="22"/>
          <w14:textFill>
            <w14:solidFill>
              <w14:schemeClr w14:val="tx1"/>
            </w14:solidFill>
          </w14:textFill>
        </w:rPr>
        <w:t>）</w:t>
      </w:r>
      <w:r>
        <w:rPr>
          <w:rFonts w:cs="Times New Roman"/>
          <w:color w:val="000000" w:themeColor="text1"/>
          <w:szCs w:val="22"/>
          <w14:textFill>
            <w14:solidFill>
              <w14:schemeClr w14:val="tx1"/>
            </w14:solidFill>
          </w14:textFill>
        </w:rPr>
        <w:t>绿化</w:t>
      </w:r>
      <w:r>
        <w:rPr>
          <w:rFonts w:hint="eastAsia" w:cs="Times New Roman"/>
          <w:color w:val="000000" w:themeColor="text1"/>
          <w:szCs w:val="22"/>
          <w14:textFill>
            <w14:solidFill>
              <w14:schemeClr w14:val="tx1"/>
            </w14:solidFill>
          </w14:textFill>
        </w:rPr>
        <w:t>措施</w:t>
      </w:r>
      <w:r>
        <w:rPr>
          <w:rFonts w:cs="Times New Roman"/>
          <w:color w:val="000000" w:themeColor="text1"/>
          <w:szCs w:val="22"/>
          <w14:textFill>
            <w14:solidFill>
              <w14:schemeClr w14:val="tx1"/>
            </w14:solidFill>
          </w14:textFill>
        </w:rPr>
        <w:t>：在厂区道路两边种植灌木，厂界边缘地带种植杨、槐等高大乔木树种，形成多层防护林带，以降低恶臭污染的影响。</w:t>
      </w:r>
    </w:p>
    <w:p w14:paraId="5A3FA341">
      <w:pPr>
        <w:pStyle w:val="7"/>
        <w:rPr>
          <w:color w:val="000000" w:themeColor="text1"/>
          <w14:textFill>
            <w14:solidFill>
              <w14:schemeClr w14:val="tx1"/>
            </w14:solidFill>
          </w14:textFill>
        </w:rPr>
      </w:pPr>
      <w:r>
        <w:rPr>
          <w:color w:val="000000" w:themeColor="text1"/>
          <w14:textFill>
            <w14:solidFill>
              <w14:schemeClr w14:val="tx1"/>
            </w14:solidFill>
          </w14:textFill>
        </w:rPr>
        <w:t>6.2.1.2</w:t>
      </w:r>
      <w:r>
        <w:rPr>
          <w:rFonts w:hint="eastAsia"/>
          <w:color w:val="000000" w:themeColor="text1"/>
          <w:lang w:eastAsia="zh-CN"/>
          <w14:textFill>
            <w14:solidFill>
              <w14:schemeClr w14:val="tx1"/>
            </w14:solidFill>
          </w14:textFill>
        </w:rPr>
        <w:t>原料处理间粉尘污染防治</w:t>
      </w:r>
      <w:r>
        <w:rPr>
          <w:color w:val="000000" w:themeColor="text1"/>
          <w14:textFill>
            <w14:solidFill>
              <w14:schemeClr w14:val="tx1"/>
            </w14:solidFill>
          </w14:textFill>
        </w:rPr>
        <w:t>措施</w:t>
      </w:r>
    </w:p>
    <w:p w14:paraId="17795D54">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针对工程中的含尘废气本项目主要采取布袋除尘器处理的措施，本评价从保守角度考虑，去除率按99%计，经布袋除尘器净化后，</w:t>
      </w:r>
      <w:r>
        <w:rPr>
          <w:rFonts w:hint="eastAsia"/>
          <w:color w:val="000000" w:themeColor="text1"/>
          <w:lang w:val="en-US" w:eastAsia="zh-CN"/>
          <w14:textFill>
            <w14:solidFill>
              <w14:schemeClr w14:val="tx1"/>
            </w14:solidFill>
          </w14:textFill>
        </w:rPr>
        <w:t>经15m高排气筒DA003排放，</w:t>
      </w:r>
      <w:r>
        <w:rPr>
          <w:rFonts w:hint="eastAsia"/>
          <w:color w:val="000000" w:themeColor="text1"/>
          <w14:textFill>
            <w14:solidFill>
              <w14:schemeClr w14:val="tx1"/>
            </w14:solidFill>
          </w14:textFill>
        </w:rPr>
        <w:t>外排废气中粉尘浓度和排放速率均满足《大气污染物综合排放标准》（GB16297-1996）二级标准</w:t>
      </w:r>
      <w:r>
        <w:rPr>
          <w:rFonts w:hint="eastAsia"/>
        </w:rPr>
        <w:t>（排放速率严格50%执行）</w:t>
      </w:r>
      <w:r>
        <w:rPr>
          <w:rFonts w:hint="eastAsia"/>
          <w:color w:val="000000" w:themeColor="text1"/>
          <w14:textFill>
            <w14:solidFill>
              <w14:schemeClr w14:val="tx1"/>
            </w14:solidFill>
          </w14:textFill>
        </w:rPr>
        <w:t>要求。</w:t>
      </w:r>
    </w:p>
    <w:p w14:paraId="1B173AB5">
      <w:pPr>
        <w:pStyle w:val="85"/>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根据</w:t>
      </w:r>
      <w:r>
        <w:rPr>
          <w:rFonts w:hint="eastAsia"/>
          <w:color w:val="000000" w:themeColor="text1"/>
          <w14:textFill>
            <w14:solidFill>
              <w14:schemeClr w14:val="tx1"/>
            </w14:solidFill>
          </w14:textFill>
        </w:rPr>
        <w:t xml:space="preserve">《排污许可证申请与核发技术规范 酒、饮料制造工业》（HJ </w:t>
      </w:r>
      <w:r>
        <w:rPr>
          <w:color w:val="000000" w:themeColor="text1"/>
          <w14:textFill>
            <w14:solidFill>
              <w14:schemeClr w14:val="tx1"/>
            </w14:solidFill>
          </w14:textFill>
        </w:rPr>
        <w:t>1028</w:t>
      </w:r>
      <w:r>
        <w:rPr>
          <w:rFonts w:hint="eastAsia"/>
          <w:color w:val="000000" w:themeColor="text1"/>
          <w14:textFill>
            <w14:solidFill>
              <w14:schemeClr w14:val="tx1"/>
            </w14:solidFill>
          </w14:textFill>
        </w:rPr>
        <w:t>-201</w:t>
      </w:r>
      <w:r>
        <w:rPr>
          <w:color w:val="000000" w:themeColor="text1"/>
          <w14:textFill>
            <w14:solidFill>
              <w14:schemeClr w14:val="tx1"/>
            </w14:solidFill>
          </w14:textFill>
        </w:rPr>
        <w:t>9</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原料粉碎系统废气可行技术包括：旋风除尘技术、袋式除尘技术、湿式除尘技术，本项目采用</w:t>
      </w:r>
      <w:r>
        <w:rPr>
          <w:rFonts w:hint="eastAsia"/>
          <w:color w:val="000000" w:themeColor="text1"/>
          <w14:textFill>
            <w14:solidFill>
              <w14:schemeClr w14:val="tx1"/>
            </w14:solidFill>
          </w14:textFill>
        </w:rPr>
        <w:t>布袋除尘器</w:t>
      </w:r>
      <w:r>
        <w:rPr>
          <w:rFonts w:hint="eastAsia"/>
          <w:color w:val="000000" w:themeColor="text1"/>
          <w:lang w:val="en-US" w:eastAsia="zh-CN"/>
          <w14:textFill>
            <w14:solidFill>
              <w14:schemeClr w14:val="tx1"/>
            </w14:solidFill>
          </w14:textFill>
        </w:rPr>
        <w:t>属于</w:t>
      </w:r>
      <w:r>
        <w:rPr>
          <w:rFonts w:hint="eastAsia"/>
          <w:color w:val="000000" w:themeColor="text1"/>
          <w14:textFill>
            <w14:solidFill>
              <w14:schemeClr w14:val="tx1"/>
            </w14:solidFill>
          </w14:textFill>
        </w:rPr>
        <w:t xml:space="preserve">《排污许可证申请与核发技术规范 酒、饮料制造工业》（HJ </w:t>
      </w:r>
      <w:r>
        <w:rPr>
          <w:color w:val="000000" w:themeColor="text1"/>
          <w14:textFill>
            <w14:solidFill>
              <w14:schemeClr w14:val="tx1"/>
            </w14:solidFill>
          </w14:textFill>
        </w:rPr>
        <w:t>1028</w:t>
      </w:r>
      <w:r>
        <w:rPr>
          <w:rFonts w:hint="eastAsia"/>
          <w:color w:val="000000" w:themeColor="text1"/>
          <w14:textFill>
            <w14:solidFill>
              <w14:schemeClr w14:val="tx1"/>
            </w14:solidFill>
          </w14:textFill>
        </w:rPr>
        <w:t>-201</w:t>
      </w:r>
      <w:r>
        <w:rPr>
          <w:color w:val="000000" w:themeColor="text1"/>
          <w14:textFill>
            <w14:solidFill>
              <w14:schemeClr w14:val="tx1"/>
            </w14:solidFill>
          </w14:textFill>
        </w:rPr>
        <w:t>9</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中可行技术。</w:t>
      </w:r>
    </w:p>
    <w:p w14:paraId="50763D90">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6</w:t>
      </w:r>
      <w:r>
        <w:rPr>
          <w:color w:val="000000" w:themeColor="text1"/>
          <w14:textFill>
            <w14:solidFill>
              <w14:schemeClr w14:val="tx1"/>
            </w14:solidFill>
          </w14:textFill>
        </w:rPr>
        <w:t>.2.1.</w:t>
      </w:r>
      <w:r>
        <w:rPr>
          <w:rFonts w:hint="eastAsia"/>
          <w:color w:val="000000" w:themeColor="text1"/>
          <w:lang w:val="en-US" w:eastAsia="zh-CN"/>
          <w14:textFill>
            <w14:solidFill>
              <w14:schemeClr w14:val="tx1"/>
            </w14:solidFill>
          </w14:textFill>
        </w:rPr>
        <w:t>3</w:t>
      </w:r>
      <w:r>
        <w:rPr>
          <w:rFonts w:hint="eastAsia"/>
          <w:color w:val="000000" w:themeColor="text1"/>
          <w14:textFill>
            <w14:solidFill>
              <w14:schemeClr w14:val="tx1"/>
            </w14:solidFill>
          </w14:textFill>
        </w:rPr>
        <w:t>锅炉烟气处理措施</w:t>
      </w:r>
    </w:p>
    <w:p w14:paraId="08CB5A7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本项目锅炉配套</w:t>
      </w:r>
      <w:r>
        <w:rPr>
          <w:color w:val="000000" w:themeColor="text1"/>
          <w14:textFill>
            <w14:solidFill>
              <w14:schemeClr w14:val="tx1"/>
            </w14:solidFill>
          </w14:textFill>
        </w:rPr>
        <w:t>低氮燃烧</w:t>
      </w:r>
      <w:r>
        <w:rPr>
          <w:rFonts w:hint="eastAsia"/>
          <w:color w:val="000000" w:themeColor="text1"/>
          <w14:textFill>
            <w14:solidFill>
              <w14:schemeClr w14:val="tx1"/>
            </w14:solidFill>
          </w14:textFill>
        </w:rPr>
        <w:t>，锅炉烟气</w:t>
      </w:r>
      <w:r>
        <w:rPr>
          <w:rFonts w:hint="eastAsia"/>
          <w:color w:val="000000" w:themeColor="text1"/>
          <w:lang w:val="en-US" w:eastAsia="zh-CN"/>
          <w14:textFill>
            <w14:solidFill>
              <w14:schemeClr w14:val="tx1"/>
            </w14:solidFill>
          </w14:textFill>
        </w:rPr>
        <w:t>经</w:t>
      </w:r>
      <w:r>
        <w:rPr>
          <w:color w:val="000000" w:themeColor="text1"/>
          <w14:textFill>
            <w14:solidFill>
              <w14:schemeClr w14:val="tx1"/>
            </w14:solidFill>
          </w14:textFill>
        </w:rPr>
        <w:t>25m烟囱DA00</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根据《排污许可证申请与核发技术规范</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锅炉》</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HJ953-2018</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，本项目</w:t>
      </w:r>
      <w:r>
        <w:rPr>
          <w:rFonts w:hint="eastAsia"/>
          <w:color w:val="000000" w:themeColor="text1"/>
          <w:lang w:val="en-US" w:eastAsia="zh-CN"/>
          <w14:textFill>
            <w14:solidFill>
              <w14:schemeClr w14:val="tx1"/>
            </w14:solidFill>
          </w14:textFill>
        </w:rPr>
        <w:t>燃气锅炉</w:t>
      </w:r>
      <w:r>
        <w:rPr>
          <w:rFonts w:hint="eastAsia"/>
          <w:color w:val="000000" w:themeColor="text1"/>
          <w14:textFill>
            <w14:solidFill>
              <w14:schemeClr w14:val="tx1"/>
            </w14:solidFill>
          </w14:textFill>
        </w:rPr>
        <w:t>措施采取燃用低氮燃烧技术</w:t>
      </w:r>
      <w:r>
        <w:rPr>
          <w:color w:val="000000" w:themeColor="text1"/>
          <w14:textFill>
            <w14:solidFill>
              <w14:schemeClr w14:val="tx1"/>
            </w14:solidFill>
          </w14:textFill>
        </w:rPr>
        <w:t>，属于废气污染防治推荐可行技术。</w:t>
      </w:r>
    </w:p>
    <w:p w14:paraId="265D120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因此，本项目营运期锅炉产生的废气经上述处理措施得到妥善处置，不会对外环境产生明显不利的影响，故上述措施可行。</w:t>
      </w:r>
    </w:p>
    <w:p w14:paraId="602E67A3">
      <w:pPr>
        <w:pStyle w:val="85"/>
        <w:spacing w:line="360" w:lineRule="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综上所述，本项目各项废气治理措施工艺成熟、运行稳定，可确保废气污染物满足相关排放污染物排放标准。</w:t>
      </w:r>
    </w:p>
    <w:p w14:paraId="64E0270E">
      <w:pPr>
        <w:pStyle w:val="7"/>
        <w:spacing w:line="360" w:lineRule="auto"/>
        <w:rPr>
          <w:rFonts w:hint="default"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6</w:t>
      </w:r>
      <w:r>
        <w:rPr>
          <w:color w:val="000000" w:themeColor="text1"/>
          <w14:textFill>
            <w14:solidFill>
              <w14:schemeClr w14:val="tx1"/>
            </w14:solidFill>
          </w14:textFill>
        </w:rPr>
        <w:t>.2.1.</w:t>
      </w:r>
      <w:r>
        <w:rPr>
          <w:rFonts w:hint="eastAsia"/>
          <w:color w:val="000000" w:themeColor="text1"/>
          <w:lang w:val="en-US" w:eastAsia="zh-CN"/>
          <w14:textFill>
            <w14:solidFill>
              <w14:schemeClr w14:val="tx1"/>
            </w14:solidFill>
          </w14:textFill>
        </w:rPr>
        <w:t>4排气筒设置方案和合理性分析</w:t>
      </w:r>
    </w:p>
    <w:p w14:paraId="097F0DC0">
      <w:pPr>
        <w:spacing w:line="360" w:lineRule="auto"/>
        <w:ind w:firstLine="480" w:firstLineChars="200"/>
        <w:rPr>
          <w:rFonts w:hint="eastAsia" w:ascii="Times New Roman"/>
          <w:color w:val="000000"/>
          <w:kern w:val="2"/>
          <w:szCs w:val="24"/>
        </w:rPr>
      </w:pPr>
      <w:r>
        <w:rPr>
          <w:rFonts w:hint="eastAsia" w:ascii="Times New Roman"/>
          <w:color w:val="000000"/>
          <w:szCs w:val="24"/>
        </w:rPr>
        <w:t>本项目设置3根排气筒（DA001、DA002、DA003），DA001排气筒高度为15m，内径</w:t>
      </w:r>
      <w:r>
        <w:rPr>
          <w:rFonts w:hint="eastAsia" w:ascii="Times New Roman"/>
          <w:color w:val="000000"/>
          <w:szCs w:val="24"/>
          <w:lang w:val="en-US" w:eastAsia="zh-CN"/>
        </w:rPr>
        <w:t>4</w:t>
      </w:r>
      <w:r>
        <w:rPr>
          <w:rFonts w:hint="eastAsia" w:ascii="Times New Roman"/>
          <w:color w:val="000000"/>
          <w:szCs w:val="24"/>
        </w:rPr>
        <w:t>00mm，DA002排气筒高度为</w:t>
      </w:r>
      <w:r>
        <w:rPr>
          <w:rFonts w:hint="eastAsia" w:ascii="Times New Roman"/>
          <w:color w:val="000000"/>
          <w:szCs w:val="24"/>
          <w:lang w:val="en-US" w:eastAsia="zh-CN"/>
        </w:rPr>
        <w:t>2</w:t>
      </w:r>
      <w:r>
        <w:rPr>
          <w:rFonts w:hint="eastAsia" w:ascii="Times New Roman"/>
          <w:color w:val="000000"/>
          <w:szCs w:val="24"/>
        </w:rPr>
        <w:t>5m，内径</w:t>
      </w:r>
      <w:r>
        <w:rPr>
          <w:rFonts w:hint="eastAsia" w:ascii="Times New Roman"/>
          <w:color w:val="000000"/>
          <w:szCs w:val="24"/>
          <w:lang w:val="en-US" w:eastAsia="zh-CN"/>
        </w:rPr>
        <w:t>6</w:t>
      </w:r>
      <w:r>
        <w:rPr>
          <w:rFonts w:hint="eastAsia" w:ascii="Times New Roman"/>
          <w:color w:val="000000"/>
          <w:szCs w:val="24"/>
        </w:rPr>
        <w:t>00mm，DA003排气筒高度为</w:t>
      </w:r>
      <w:r>
        <w:rPr>
          <w:rFonts w:hint="eastAsia" w:ascii="Times New Roman"/>
          <w:color w:val="000000"/>
          <w:szCs w:val="24"/>
          <w:lang w:val="en-US" w:eastAsia="zh-CN"/>
        </w:rPr>
        <w:t>15</w:t>
      </w:r>
      <w:r>
        <w:rPr>
          <w:rFonts w:hint="eastAsia" w:ascii="Times New Roman"/>
          <w:color w:val="000000"/>
          <w:szCs w:val="24"/>
        </w:rPr>
        <w:t>m，内径</w:t>
      </w:r>
      <w:r>
        <w:rPr>
          <w:rFonts w:hint="eastAsia" w:ascii="Times New Roman"/>
          <w:color w:val="000000"/>
          <w:szCs w:val="24"/>
          <w:lang w:val="en-US" w:eastAsia="zh-CN"/>
        </w:rPr>
        <w:t>6</w:t>
      </w:r>
      <w:r>
        <w:rPr>
          <w:rFonts w:hint="eastAsia" w:ascii="Times New Roman"/>
          <w:color w:val="000000"/>
          <w:szCs w:val="24"/>
        </w:rPr>
        <w:t>00mm</w:t>
      </w:r>
      <w:r>
        <w:rPr>
          <w:rFonts w:hint="eastAsia" w:ascii="Times New Roman"/>
          <w:color w:val="000000"/>
          <w:kern w:val="2"/>
          <w:szCs w:val="24"/>
        </w:rPr>
        <w:t>。</w:t>
      </w:r>
    </w:p>
    <w:p w14:paraId="747B74FD">
      <w:pPr>
        <w:spacing w:line="360" w:lineRule="auto"/>
        <w:ind w:firstLine="480" w:firstLineChars="200"/>
        <w:rPr>
          <w:rFonts w:hint="eastAsia" w:ascii="Times New Roman"/>
          <w:color w:val="000000"/>
          <w:kern w:val="2"/>
          <w:szCs w:val="24"/>
        </w:rPr>
      </w:pPr>
    </w:p>
    <w:p w14:paraId="64BAB350">
      <w:pPr>
        <w:spacing w:line="360" w:lineRule="auto"/>
        <w:jc w:val="center"/>
        <w:rPr>
          <w:rFonts w:hint="eastAsia" w:ascii="Times New Roman" w:eastAsia="黑体" w:cs="黑体"/>
          <w:color w:val="000000"/>
        </w:rPr>
      </w:pPr>
      <w:r>
        <w:rPr>
          <w:rFonts w:hint="eastAsia" w:ascii="Times New Roman" w:eastAsia="黑体" w:cs="黑体"/>
          <w:color w:val="000000"/>
        </w:rPr>
        <w:t>表6-2-</w:t>
      </w:r>
      <w:r>
        <w:rPr>
          <w:rFonts w:hint="eastAsia" w:eastAsia="黑体" w:cs="黑体"/>
          <w:color w:val="000000"/>
          <w:lang w:val="en-US" w:eastAsia="zh-CN"/>
        </w:rPr>
        <w:t>1</w:t>
      </w:r>
      <w:r>
        <w:rPr>
          <w:rFonts w:hint="eastAsia" w:ascii="Times New Roman" w:eastAsia="黑体" w:cs="黑体"/>
          <w:color w:val="000000"/>
        </w:rPr>
        <w:t xml:space="preserve"> 排气筒设置情况一览表</w:t>
      </w:r>
    </w:p>
    <w:tbl>
      <w:tblPr>
        <w:tblStyle w:val="49"/>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898"/>
        <w:gridCol w:w="1153"/>
        <w:gridCol w:w="2027"/>
        <w:gridCol w:w="1690"/>
        <w:gridCol w:w="750"/>
        <w:gridCol w:w="923"/>
        <w:gridCol w:w="867"/>
      </w:tblGrid>
      <w:tr w14:paraId="28A11F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c>
          <w:tcPr>
            <w:tcW w:w="540" w:type="pct"/>
            <w:vMerge w:val="restart"/>
            <w:noWrap w:val="0"/>
            <w:vAlign w:val="center"/>
          </w:tcPr>
          <w:p w14:paraId="4F650625">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编号</w:t>
            </w:r>
          </w:p>
        </w:tc>
        <w:tc>
          <w:tcPr>
            <w:tcW w:w="693" w:type="pct"/>
            <w:vMerge w:val="restart"/>
            <w:noWrap w:val="0"/>
            <w:vAlign w:val="center"/>
          </w:tcPr>
          <w:p w14:paraId="3DE22F81">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名称</w:t>
            </w:r>
          </w:p>
        </w:tc>
        <w:tc>
          <w:tcPr>
            <w:tcW w:w="2237" w:type="pct"/>
            <w:gridSpan w:val="2"/>
            <w:noWrap w:val="0"/>
            <w:vAlign w:val="center"/>
          </w:tcPr>
          <w:p w14:paraId="33F9183E">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地理坐标</w:t>
            </w:r>
          </w:p>
        </w:tc>
        <w:tc>
          <w:tcPr>
            <w:tcW w:w="451" w:type="pct"/>
            <w:vMerge w:val="restart"/>
            <w:noWrap w:val="0"/>
            <w:vAlign w:val="center"/>
          </w:tcPr>
          <w:p w14:paraId="67AB33AD">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高度/m</w:t>
            </w:r>
          </w:p>
        </w:tc>
        <w:tc>
          <w:tcPr>
            <w:tcW w:w="555" w:type="pct"/>
            <w:vMerge w:val="restart"/>
            <w:noWrap w:val="0"/>
            <w:vAlign w:val="center"/>
          </w:tcPr>
          <w:p w14:paraId="57AC11D0">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内径</w:t>
            </w:r>
          </w:p>
          <w:p w14:paraId="79A86378">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（mm）</w:t>
            </w:r>
          </w:p>
        </w:tc>
        <w:tc>
          <w:tcPr>
            <w:tcW w:w="521" w:type="pct"/>
            <w:vMerge w:val="restart"/>
            <w:noWrap w:val="0"/>
            <w:vAlign w:val="center"/>
          </w:tcPr>
          <w:p w14:paraId="42F426CC">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废气温度/℃</w:t>
            </w:r>
          </w:p>
        </w:tc>
      </w:tr>
      <w:tr w14:paraId="5D5EF4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07" w:hRule="atLeast"/>
        </w:trPr>
        <w:tc>
          <w:tcPr>
            <w:tcW w:w="540" w:type="pct"/>
            <w:vMerge w:val="continue"/>
            <w:noWrap w:val="0"/>
            <w:vAlign w:val="center"/>
          </w:tcPr>
          <w:p w14:paraId="534F8A8D">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p>
        </w:tc>
        <w:tc>
          <w:tcPr>
            <w:tcW w:w="693" w:type="pct"/>
            <w:vMerge w:val="continue"/>
            <w:noWrap w:val="0"/>
            <w:vAlign w:val="center"/>
          </w:tcPr>
          <w:p w14:paraId="3B4801AD">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p>
        </w:tc>
        <w:tc>
          <w:tcPr>
            <w:tcW w:w="1219" w:type="pct"/>
            <w:noWrap w:val="0"/>
            <w:vAlign w:val="center"/>
          </w:tcPr>
          <w:p w14:paraId="1E55635B">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E</w:t>
            </w:r>
          </w:p>
        </w:tc>
        <w:tc>
          <w:tcPr>
            <w:tcW w:w="1017" w:type="pct"/>
            <w:noWrap w:val="0"/>
            <w:vAlign w:val="center"/>
          </w:tcPr>
          <w:p w14:paraId="5F018A81">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N</w:t>
            </w:r>
          </w:p>
        </w:tc>
        <w:tc>
          <w:tcPr>
            <w:tcW w:w="451" w:type="pct"/>
            <w:vMerge w:val="continue"/>
            <w:noWrap w:val="0"/>
            <w:vAlign w:val="center"/>
          </w:tcPr>
          <w:p w14:paraId="571576C8">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p>
        </w:tc>
        <w:tc>
          <w:tcPr>
            <w:tcW w:w="555" w:type="pct"/>
            <w:vMerge w:val="continue"/>
            <w:noWrap w:val="0"/>
            <w:vAlign w:val="center"/>
          </w:tcPr>
          <w:p w14:paraId="5149CFB0">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p>
        </w:tc>
        <w:tc>
          <w:tcPr>
            <w:tcW w:w="521" w:type="pct"/>
            <w:vMerge w:val="continue"/>
            <w:noWrap w:val="0"/>
            <w:vAlign w:val="center"/>
          </w:tcPr>
          <w:p w14:paraId="5FC29D09">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p>
        </w:tc>
      </w:tr>
      <w:tr w14:paraId="7A1054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c>
          <w:tcPr>
            <w:tcW w:w="540" w:type="pct"/>
            <w:noWrap w:val="0"/>
            <w:vAlign w:val="center"/>
          </w:tcPr>
          <w:p w14:paraId="5D51088C">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DA001</w:t>
            </w:r>
          </w:p>
        </w:tc>
        <w:tc>
          <w:tcPr>
            <w:tcW w:w="1153" w:type="dxa"/>
            <w:noWrap w:val="0"/>
            <w:vAlign w:val="center"/>
          </w:tcPr>
          <w:p w14:paraId="18A649A2">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ascii="Times New Roman"/>
                <w:color w:val="000000"/>
                <w:sz w:val="21"/>
                <w:szCs w:val="21"/>
              </w:rPr>
            </w:pPr>
            <w:r>
              <w:rPr>
                <w:rFonts w:hint="eastAsia" w:ascii="Times New Roman"/>
                <w:color w:val="000000"/>
                <w:sz w:val="21"/>
                <w:szCs w:val="21"/>
              </w:rPr>
              <w:t>污水处理站排气筒</w:t>
            </w:r>
          </w:p>
        </w:tc>
        <w:tc>
          <w:tcPr>
            <w:tcW w:w="2027" w:type="dxa"/>
            <w:noWrap w:val="0"/>
            <w:vAlign w:val="center"/>
          </w:tcPr>
          <w:p w14:paraId="64E0E08B">
            <w:pPr>
              <w:pStyle w:val="143"/>
              <w:ind w:firstLine="0" w:firstLineChars="0"/>
              <w:rPr>
                <w:rFonts w:hint="eastAsia" w:ascii="Times New Roman"/>
                <w:color w:val="000000"/>
                <w:sz w:val="21"/>
                <w:szCs w:val="21"/>
              </w:rPr>
            </w:pPr>
            <w:r>
              <w:rPr>
                <w:rFonts w:hint="eastAsia"/>
                <w:snapToGrid w:val="0"/>
                <w:color w:val="000000" w:themeColor="text1"/>
                <w14:textFill>
                  <w14:solidFill>
                    <w14:schemeClr w14:val="tx1"/>
                  </w14:solidFill>
                </w14:textFill>
              </w:rPr>
              <w:t>130.57729704</w:t>
            </w:r>
          </w:p>
        </w:tc>
        <w:tc>
          <w:tcPr>
            <w:tcW w:w="1690" w:type="dxa"/>
            <w:noWrap w:val="0"/>
            <w:vAlign w:val="center"/>
          </w:tcPr>
          <w:p w14:paraId="6B57DCCB">
            <w:pPr>
              <w:pStyle w:val="143"/>
              <w:ind w:firstLine="0" w:firstLineChars="0"/>
              <w:rPr>
                <w:rFonts w:hint="eastAsia" w:ascii="Times New Roman"/>
                <w:color w:val="000000"/>
                <w:sz w:val="21"/>
                <w:szCs w:val="21"/>
              </w:rPr>
            </w:pPr>
            <w:r>
              <w:rPr>
                <w:rFonts w:hint="eastAsia"/>
                <w:snapToGrid w:val="0"/>
                <w:color w:val="000000" w:themeColor="text1"/>
                <w14:textFill>
                  <w14:solidFill>
                    <w14:schemeClr w14:val="tx1"/>
                  </w14:solidFill>
                </w14:textFill>
              </w:rPr>
              <w:t>46.26923313</w:t>
            </w:r>
          </w:p>
        </w:tc>
        <w:tc>
          <w:tcPr>
            <w:tcW w:w="451" w:type="pct"/>
            <w:noWrap w:val="0"/>
            <w:vAlign w:val="center"/>
          </w:tcPr>
          <w:p w14:paraId="3E2DB9BF">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15</w:t>
            </w:r>
          </w:p>
        </w:tc>
        <w:tc>
          <w:tcPr>
            <w:tcW w:w="555" w:type="pct"/>
            <w:noWrap w:val="0"/>
            <w:vAlign w:val="center"/>
          </w:tcPr>
          <w:p w14:paraId="19BA3DB3">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400</w:t>
            </w:r>
          </w:p>
        </w:tc>
        <w:tc>
          <w:tcPr>
            <w:tcW w:w="521" w:type="pct"/>
            <w:noWrap w:val="0"/>
            <w:vAlign w:val="center"/>
          </w:tcPr>
          <w:p w14:paraId="7E22AD91">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25</w:t>
            </w:r>
          </w:p>
        </w:tc>
      </w:tr>
      <w:tr w14:paraId="2E20DE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c>
          <w:tcPr>
            <w:tcW w:w="540" w:type="pct"/>
            <w:noWrap w:val="0"/>
            <w:vAlign w:val="center"/>
          </w:tcPr>
          <w:p w14:paraId="49342130">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color w:val="000000"/>
                <w:sz w:val="21"/>
                <w:szCs w:val="21"/>
              </w:rPr>
            </w:pPr>
            <w:r>
              <w:rPr>
                <w:rFonts w:hint="eastAsia" w:ascii="Times New Roman"/>
                <w:color w:val="000000"/>
                <w:sz w:val="21"/>
                <w:szCs w:val="21"/>
              </w:rPr>
              <w:t>DA002</w:t>
            </w:r>
          </w:p>
        </w:tc>
        <w:tc>
          <w:tcPr>
            <w:tcW w:w="1153" w:type="dxa"/>
            <w:noWrap w:val="0"/>
            <w:vAlign w:val="center"/>
          </w:tcPr>
          <w:p w14:paraId="124DFF6C">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ascii="Times New Roman"/>
                <w:color w:val="000000"/>
                <w:sz w:val="21"/>
                <w:szCs w:val="21"/>
              </w:rPr>
            </w:pPr>
            <w:r>
              <w:rPr>
                <w:rFonts w:hint="eastAsia" w:ascii="Times New Roman"/>
                <w:color w:val="000000"/>
                <w:sz w:val="21"/>
                <w:szCs w:val="21"/>
              </w:rPr>
              <w:t>锅炉烟囱</w:t>
            </w:r>
          </w:p>
        </w:tc>
        <w:tc>
          <w:tcPr>
            <w:tcW w:w="2027" w:type="dxa"/>
            <w:noWrap w:val="0"/>
            <w:vAlign w:val="center"/>
          </w:tcPr>
          <w:p w14:paraId="227CBBCC">
            <w:pPr>
              <w:pStyle w:val="143"/>
              <w:ind w:firstLine="0" w:firstLineChars="0"/>
              <w:rPr>
                <w:rFonts w:hint="eastAsia" w:ascii="Times New Roman"/>
                <w:color w:val="000000"/>
                <w:sz w:val="21"/>
                <w:szCs w:val="21"/>
              </w:rPr>
            </w:pPr>
            <w:r>
              <w:rPr>
                <w:rFonts w:hint="eastAsia"/>
                <w:snapToGrid w:val="0"/>
                <w:color w:val="000000" w:themeColor="text1"/>
                <w14:textFill>
                  <w14:solidFill>
                    <w14:schemeClr w14:val="tx1"/>
                  </w14:solidFill>
                </w14:textFill>
              </w:rPr>
              <w:t>130.57703325</w:t>
            </w:r>
          </w:p>
        </w:tc>
        <w:tc>
          <w:tcPr>
            <w:tcW w:w="1690" w:type="dxa"/>
            <w:noWrap w:val="0"/>
            <w:vAlign w:val="center"/>
          </w:tcPr>
          <w:p w14:paraId="473253AA">
            <w:pPr>
              <w:pStyle w:val="143"/>
              <w:ind w:firstLine="0" w:firstLineChars="0"/>
              <w:rPr>
                <w:rFonts w:hint="eastAsia" w:ascii="Times New Roman"/>
                <w:color w:val="000000"/>
                <w:sz w:val="21"/>
                <w:szCs w:val="21"/>
              </w:rPr>
            </w:pPr>
            <w:r>
              <w:rPr>
                <w:rFonts w:hint="eastAsia"/>
                <w:snapToGrid w:val="0"/>
                <w:color w:val="000000" w:themeColor="text1"/>
                <w14:textFill>
                  <w14:solidFill>
                    <w14:schemeClr w14:val="tx1"/>
                  </w14:solidFill>
                </w14:textFill>
              </w:rPr>
              <w:t>46.26920286</w:t>
            </w:r>
          </w:p>
        </w:tc>
        <w:tc>
          <w:tcPr>
            <w:tcW w:w="451" w:type="pct"/>
            <w:noWrap w:val="0"/>
            <w:vAlign w:val="center"/>
          </w:tcPr>
          <w:p w14:paraId="68D5B90E">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25</w:t>
            </w:r>
          </w:p>
        </w:tc>
        <w:tc>
          <w:tcPr>
            <w:tcW w:w="555" w:type="pct"/>
            <w:noWrap w:val="0"/>
            <w:vAlign w:val="center"/>
          </w:tcPr>
          <w:p w14:paraId="40AA160B">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600</w:t>
            </w:r>
          </w:p>
        </w:tc>
        <w:tc>
          <w:tcPr>
            <w:tcW w:w="521" w:type="pct"/>
            <w:noWrap w:val="0"/>
            <w:vAlign w:val="center"/>
          </w:tcPr>
          <w:p w14:paraId="6BAD8902">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100</w:t>
            </w:r>
          </w:p>
        </w:tc>
      </w:tr>
      <w:tr w14:paraId="7DC71B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c>
          <w:tcPr>
            <w:tcW w:w="540" w:type="pct"/>
            <w:noWrap w:val="0"/>
            <w:vAlign w:val="center"/>
          </w:tcPr>
          <w:p w14:paraId="776B7AC0">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ascii="Times New Roman"/>
                <w:color w:val="000000"/>
                <w:sz w:val="21"/>
                <w:szCs w:val="21"/>
              </w:rPr>
            </w:pPr>
            <w:r>
              <w:rPr>
                <w:rFonts w:hint="eastAsia" w:ascii="Times New Roman"/>
                <w:color w:val="000000"/>
                <w:sz w:val="21"/>
                <w:szCs w:val="21"/>
              </w:rPr>
              <w:t>DA003</w:t>
            </w:r>
          </w:p>
        </w:tc>
        <w:tc>
          <w:tcPr>
            <w:tcW w:w="693" w:type="pct"/>
            <w:noWrap w:val="0"/>
            <w:vAlign w:val="center"/>
          </w:tcPr>
          <w:p w14:paraId="30FFC082">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原料处理车间</w:t>
            </w:r>
            <w:r>
              <w:rPr>
                <w:rFonts w:hint="eastAsia" w:ascii="Times New Roman"/>
                <w:color w:val="000000"/>
                <w:sz w:val="21"/>
                <w:szCs w:val="21"/>
              </w:rPr>
              <w:t>排气筒</w:t>
            </w:r>
          </w:p>
        </w:tc>
        <w:tc>
          <w:tcPr>
            <w:tcW w:w="2027" w:type="dxa"/>
            <w:noWrap w:val="0"/>
            <w:vAlign w:val="center"/>
          </w:tcPr>
          <w:p w14:paraId="4699F693">
            <w:pPr>
              <w:pStyle w:val="143"/>
              <w:ind w:firstLine="0" w:firstLineChars="0"/>
              <w:rPr>
                <w:rFonts w:hint="eastAsia" w:ascii="Times New Roman"/>
                <w:color w:val="000000"/>
                <w:sz w:val="21"/>
                <w:szCs w:val="21"/>
              </w:rPr>
            </w:pPr>
            <w:r>
              <w:rPr>
                <w:rFonts w:hint="eastAsia"/>
                <w:snapToGrid w:val="0"/>
                <w:color w:val="000000" w:themeColor="text1"/>
                <w14:textFill>
                  <w14:solidFill>
                    <w14:schemeClr w14:val="tx1"/>
                  </w14:solidFill>
                </w14:textFill>
              </w:rPr>
              <w:t>130.57516134</w:t>
            </w:r>
          </w:p>
        </w:tc>
        <w:tc>
          <w:tcPr>
            <w:tcW w:w="1690" w:type="dxa"/>
            <w:noWrap w:val="0"/>
            <w:vAlign w:val="center"/>
          </w:tcPr>
          <w:p w14:paraId="4DAF598F">
            <w:pPr>
              <w:pStyle w:val="143"/>
              <w:ind w:firstLine="0" w:firstLineChars="0"/>
              <w:rPr>
                <w:rFonts w:hint="eastAsia" w:ascii="Times New Roman"/>
                <w:color w:val="000000"/>
                <w:sz w:val="21"/>
                <w:szCs w:val="21"/>
              </w:rPr>
            </w:pPr>
            <w:r>
              <w:rPr>
                <w:rFonts w:hint="eastAsia"/>
                <w:snapToGrid w:val="0"/>
                <w:color w:val="000000" w:themeColor="text1"/>
                <w14:textFill>
                  <w14:solidFill>
                    <w14:schemeClr w14:val="tx1"/>
                  </w14:solidFill>
                </w14:textFill>
              </w:rPr>
              <w:t>46.26877884</w:t>
            </w:r>
          </w:p>
        </w:tc>
        <w:tc>
          <w:tcPr>
            <w:tcW w:w="451" w:type="pct"/>
            <w:noWrap w:val="0"/>
            <w:vAlign w:val="center"/>
          </w:tcPr>
          <w:p w14:paraId="6C64A5E3">
            <w:pPr>
              <w:keepNext w:val="0"/>
              <w:keepLines w:val="0"/>
              <w:pageBreakBefore w:val="0"/>
              <w:widowControl w:val="0"/>
              <w:tabs>
                <w:tab w:val="left" w:pos="496"/>
              </w:tabs>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15</w:t>
            </w:r>
          </w:p>
        </w:tc>
        <w:tc>
          <w:tcPr>
            <w:tcW w:w="555" w:type="pct"/>
            <w:noWrap w:val="0"/>
            <w:vAlign w:val="center"/>
          </w:tcPr>
          <w:p w14:paraId="47B9EFAF">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600</w:t>
            </w:r>
          </w:p>
        </w:tc>
        <w:tc>
          <w:tcPr>
            <w:tcW w:w="521" w:type="pct"/>
            <w:noWrap w:val="0"/>
            <w:vAlign w:val="center"/>
          </w:tcPr>
          <w:p w14:paraId="3EB34484">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eastAsia="宋体"/>
                <w:color w:val="000000"/>
                <w:sz w:val="21"/>
                <w:szCs w:val="21"/>
                <w:lang w:val="en-US" w:eastAsia="zh-CN"/>
              </w:rPr>
            </w:pPr>
            <w:r>
              <w:rPr>
                <w:rFonts w:hint="eastAsia" w:ascii="Times New Roman"/>
                <w:color w:val="000000"/>
                <w:sz w:val="21"/>
                <w:szCs w:val="21"/>
                <w:lang w:val="en-US" w:eastAsia="zh-CN"/>
              </w:rPr>
              <w:t>25</w:t>
            </w:r>
          </w:p>
        </w:tc>
      </w:tr>
    </w:tbl>
    <w:p w14:paraId="785D1364">
      <w:pPr>
        <w:spacing w:line="360" w:lineRule="auto"/>
        <w:ind w:firstLine="480" w:firstLineChars="200"/>
        <w:rPr>
          <w:rFonts w:hint="default" w:ascii="Times New Roman" w:eastAsia="宋体"/>
          <w:color w:val="000000"/>
          <w:kern w:val="2"/>
          <w:szCs w:val="24"/>
          <w:lang w:val="en-US" w:eastAsia="zh-CN"/>
        </w:rPr>
      </w:pPr>
      <w:r>
        <w:rPr>
          <w:rFonts w:hint="eastAsia" w:ascii="Times New Roman"/>
          <w:color w:val="000000"/>
          <w:kern w:val="2"/>
          <w:szCs w:val="24"/>
        </w:rPr>
        <w:t>本项目DA00</w:t>
      </w:r>
      <w:r>
        <w:rPr>
          <w:rFonts w:hint="eastAsia" w:ascii="Times New Roman"/>
          <w:color w:val="000000"/>
          <w:kern w:val="2"/>
          <w:szCs w:val="24"/>
          <w:lang w:val="en-US" w:eastAsia="zh-CN"/>
        </w:rPr>
        <w:t>2</w:t>
      </w:r>
      <w:r>
        <w:rPr>
          <w:rFonts w:hint="eastAsia" w:ascii="Times New Roman"/>
          <w:color w:val="000000"/>
          <w:kern w:val="2"/>
          <w:szCs w:val="24"/>
        </w:rPr>
        <w:t>排气筒排放污染物为</w:t>
      </w:r>
      <w:r>
        <w:rPr>
          <w:rFonts w:hint="eastAsia"/>
          <w:bCs/>
          <w:snapToGrid w:val="0"/>
          <w:color w:val="000000" w:themeColor="text1"/>
          <w:kern w:val="0"/>
          <w:lang w:val="en-US"/>
          <w14:textFill>
            <w14:solidFill>
              <w14:schemeClr w14:val="tx1"/>
            </w14:solidFill>
          </w14:textFill>
        </w:rPr>
        <w:t>颗粒物、</w:t>
      </w:r>
      <w:r>
        <w:rPr>
          <w:bCs/>
          <w:snapToGrid w:val="0"/>
          <w:color w:val="000000" w:themeColor="text1"/>
          <w:kern w:val="0"/>
          <w:lang w:val="en-US"/>
          <w14:textFill>
            <w14:solidFill>
              <w14:schemeClr w14:val="tx1"/>
            </w14:solidFill>
          </w14:textFill>
        </w:rPr>
        <w:t>SO</w:t>
      </w:r>
      <w:r>
        <w:rPr>
          <w:bCs/>
          <w:snapToGrid w:val="0"/>
          <w:color w:val="000000" w:themeColor="text1"/>
          <w:kern w:val="0"/>
          <w:vertAlign w:val="subscript"/>
          <w:lang w:val="en-US"/>
          <w14:textFill>
            <w14:solidFill>
              <w14:schemeClr w14:val="tx1"/>
            </w14:solidFill>
          </w14:textFill>
        </w:rPr>
        <w:t>2</w:t>
      </w:r>
      <w:r>
        <w:rPr>
          <w:rFonts w:hint="eastAsia"/>
          <w:bCs/>
          <w:snapToGrid w:val="0"/>
          <w:color w:val="000000" w:themeColor="text1"/>
          <w:kern w:val="0"/>
          <w:lang w:val="en-US"/>
          <w14:textFill>
            <w14:solidFill>
              <w14:schemeClr w14:val="tx1"/>
            </w14:solidFill>
          </w14:textFill>
        </w:rPr>
        <w:t>、</w:t>
      </w:r>
      <w:r>
        <w:rPr>
          <w:bCs/>
          <w:snapToGrid w:val="0"/>
          <w:color w:val="000000" w:themeColor="text1"/>
          <w:kern w:val="0"/>
          <w:lang w:val="en-US"/>
          <w14:textFill>
            <w14:solidFill>
              <w14:schemeClr w14:val="tx1"/>
            </w14:solidFill>
          </w14:textFill>
        </w:rPr>
        <w:t>NOx</w:t>
      </w:r>
      <w:r>
        <w:rPr>
          <w:rFonts w:hint="eastAsia" w:ascii="Times New Roman"/>
          <w:color w:val="000000"/>
          <w:kern w:val="2"/>
          <w:szCs w:val="24"/>
        </w:rPr>
        <w:t>，排放执行</w:t>
      </w:r>
      <w:r>
        <w:rPr>
          <w:rFonts w:hint="eastAsia"/>
          <w:bCs/>
          <w:snapToGrid w:val="0"/>
          <w:color w:val="000000" w:themeColor="text1"/>
          <w:kern w:val="0"/>
          <w:lang w:val="en-US"/>
          <w14:textFill>
            <w14:solidFill>
              <w14:schemeClr w14:val="tx1"/>
            </w14:solidFill>
          </w14:textFill>
        </w:rPr>
        <w:t>《锅炉大气污染物排放标准》（GB13271-2014）表2</w:t>
      </w:r>
      <w:r>
        <w:rPr>
          <w:rFonts w:hint="eastAsia"/>
          <w:bCs/>
          <w:snapToGrid w:val="0"/>
          <w:color w:val="000000" w:themeColor="text1"/>
          <w:kern w:val="0"/>
          <w:lang w:val="en-US" w:eastAsia="zh-CN"/>
          <w14:textFill>
            <w14:solidFill>
              <w14:schemeClr w14:val="tx1"/>
            </w14:solidFill>
          </w14:textFill>
        </w:rPr>
        <w:t>燃气</w:t>
      </w:r>
      <w:r>
        <w:rPr>
          <w:rFonts w:hint="eastAsia"/>
          <w:bCs/>
          <w:snapToGrid w:val="0"/>
          <w:color w:val="000000" w:themeColor="text1"/>
          <w:kern w:val="0"/>
          <w:lang w:val="en-US"/>
          <w14:textFill>
            <w14:solidFill>
              <w14:schemeClr w14:val="tx1"/>
            </w14:solidFill>
          </w14:textFill>
        </w:rPr>
        <w:t>锅炉标准</w:t>
      </w:r>
      <w:r>
        <w:rPr>
          <w:rFonts w:hint="eastAsia"/>
          <w:bCs/>
          <w:snapToGrid w:val="0"/>
          <w:color w:val="000000" w:themeColor="text1"/>
          <w:kern w:val="0"/>
          <w:lang w:val="en-US" w:eastAsia="zh-CN"/>
          <w14:textFill>
            <w14:solidFill>
              <w14:schemeClr w14:val="tx1"/>
            </w14:solidFill>
          </w14:textFill>
        </w:rPr>
        <w:t>要求</w:t>
      </w:r>
      <w:r>
        <w:rPr>
          <w:rFonts w:hint="eastAsia" w:ascii="Times New Roman"/>
          <w:color w:val="000000"/>
          <w:kern w:val="2"/>
          <w:szCs w:val="24"/>
        </w:rPr>
        <w:t>。</w:t>
      </w:r>
      <w:r>
        <w:rPr>
          <w:rFonts w:hint="eastAsia" w:ascii="Times New Roman"/>
          <w:color w:val="000000"/>
          <w:kern w:val="2"/>
          <w:szCs w:val="24"/>
          <w:lang w:val="en-US" w:eastAsia="zh-CN"/>
        </w:rPr>
        <w:t>根据</w:t>
      </w:r>
      <w:r>
        <w:rPr>
          <w:rFonts w:hint="eastAsia"/>
          <w:bCs/>
          <w:snapToGrid w:val="0"/>
          <w:color w:val="000000" w:themeColor="text1"/>
          <w:kern w:val="0"/>
          <w:lang w:val="en-US"/>
          <w14:textFill>
            <w14:solidFill>
              <w14:schemeClr w14:val="tx1"/>
            </w14:solidFill>
          </w14:textFill>
        </w:rPr>
        <w:t>《锅炉大气污染物排放标准》（GB13271-2014）</w:t>
      </w:r>
      <w:r>
        <w:rPr>
          <w:rFonts w:hint="eastAsia"/>
          <w:bCs/>
          <w:snapToGrid w:val="0"/>
          <w:color w:val="000000" w:themeColor="text1"/>
          <w:kern w:val="0"/>
          <w:lang w:val="en-US" w:eastAsia="zh-CN"/>
          <w14:textFill>
            <w14:solidFill>
              <w14:schemeClr w14:val="tx1"/>
            </w14:solidFill>
          </w14:textFill>
        </w:rPr>
        <w:t>中4.5“燃气锅炉烟囱不低于8米，新建锅炉房的烟囱周围半径200m距离内有建筑物时，其烟囱高度应高出最高建筑物3m以上。”本项目新建锅炉房周围200m范围内最高建筑物为办公楼，高度为21.8m，本项目锅炉烟囱设置为25m，满足高出最高建筑物3m以上要求。</w:t>
      </w:r>
    </w:p>
    <w:p w14:paraId="6D9A4A7B">
      <w:pPr>
        <w:spacing w:line="360" w:lineRule="auto"/>
        <w:ind w:firstLine="480" w:firstLineChars="200"/>
        <w:rPr>
          <w:rFonts w:hint="eastAsia" w:ascii="Times New Roman"/>
          <w:color w:val="000000"/>
          <w:kern w:val="2"/>
          <w:szCs w:val="24"/>
        </w:rPr>
      </w:pPr>
      <w:r>
        <w:rPr>
          <w:rFonts w:hint="eastAsia" w:ascii="Times New Roman"/>
          <w:color w:val="000000"/>
          <w:kern w:val="2"/>
          <w:szCs w:val="24"/>
        </w:rPr>
        <w:t>本项目DA00</w:t>
      </w:r>
      <w:r>
        <w:rPr>
          <w:rFonts w:hint="eastAsia"/>
          <w:color w:val="000000"/>
          <w:kern w:val="2"/>
          <w:szCs w:val="24"/>
          <w:lang w:val="en-US" w:eastAsia="zh-CN"/>
        </w:rPr>
        <w:t>3</w:t>
      </w:r>
      <w:r>
        <w:rPr>
          <w:rFonts w:hint="eastAsia" w:ascii="Times New Roman"/>
          <w:color w:val="000000"/>
          <w:kern w:val="2"/>
          <w:szCs w:val="24"/>
        </w:rPr>
        <w:t>排气筒排放污染物为</w:t>
      </w:r>
      <w:r>
        <w:rPr>
          <w:rFonts w:hint="eastAsia"/>
          <w:bCs/>
          <w:snapToGrid w:val="0"/>
          <w:color w:val="000000" w:themeColor="text1"/>
          <w:kern w:val="0"/>
          <w:lang w:val="en-US"/>
          <w14:textFill>
            <w14:solidFill>
              <w14:schemeClr w14:val="tx1"/>
            </w14:solidFill>
          </w14:textFill>
        </w:rPr>
        <w:t>颗粒物</w:t>
      </w:r>
      <w:r>
        <w:rPr>
          <w:rFonts w:hint="eastAsia"/>
          <w:bCs/>
          <w:snapToGrid w:val="0"/>
          <w:color w:val="000000" w:themeColor="text1"/>
          <w:kern w:val="0"/>
          <w:lang w:val="en-US" w:eastAsia="zh-CN"/>
          <w14:textFill>
            <w14:solidFill>
              <w14:schemeClr w14:val="tx1"/>
            </w14:solidFill>
          </w14:textFill>
        </w:rPr>
        <w:t>，</w:t>
      </w:r>
      <w:r>
        <w:rPr>
          <w:rFonts w:hint="eastAsia" w:ascii="Times New Roman"/>
          <w:color w:val="000000"/>
          <w:kern w:val="2"/>
          <w:szCs w:val="24"/>
        </w:rPr>
        <w:t>排放执行《大气污染物综合排放标准》（GB16297-1996）</w:t>
      </w:r>
      <w:r>
        <w:rPr>
          <w:rFonts w:hint="eastAsia"/>
          <w:snapToGrid w:val="0"/>
          <w:color w:val="000000" w:themeColor="text1"/>
          <w:kern w:val="0"/>
          <w:lang w:val="en-US"/>
          <w14:textFill>
            <w14:solidFill>
              <w14:schemeClr w14:val="tx1"/>
            </w14:solidFill>
          </w14:textFill>
        </w:rPr>
        <w:t>表2中二级标准</w:t>
      </w:r>
      <w:r>
        <w:rPr>
          <w:rFonts w:hint="eastAsia"/>
        </w:rPr>
        <w:t>（排放速率严格50%执行）</w:t>
      </w:r>
      <w:r>
        <w:rPr>
          <w:rFonts w:hint="eastAsia"/>
          <w:snapToGrid w:val="0"/>
          <w:color w:val="000000" w:themeColor="text1"/>
          <w:kern w:val="0"/>
          <w:lang w:val="en-US"/>
          <w14:textFill>
            <w14:solidFill>
              <w14:schemeClr w14:val="tx1"/>
            </w14:solidFill>
          </w14:textFill>
        </w:rPr>
        <w:t>要求</w:t>
      </w:r>
      <w:r>
        <w:rPr>
          <w:rFonts w:hint="eastAsia"/>
          <w:snapToGrid w:val="0"/>
          <w:color w:val="000000" w:themeColor="text1"/>
          <w:kern w:val="0"/>
          <w:lang w:val="en-US" w:eastAsia="zh-CN"/>
          <w14:textFill>
            <w14:solidFill>
              <w14:schemeClr w14:val="tx1"/>
            </w14:solidFill>
          </w14:textFill>
        </w:rPr>
        <w:t>。</w:t>
      </w:r>
      <w:r>
        <w:rPr>
          <w:rFonts w:hint="eastAsia" w:ascii="Times New Roman"/>
          <w:color w:val="000000"/>
          <w:kern w:val="2"/>
          <w:szCs w:val="24"/>
        </w:rPr>
        <w:t>根据《大气污染物综合排放标准》（GB16297-1996）中7.1“排气筒高度除须遵守表列排放速率标准值外，还应高出周围200m半径范围内的建筑物5m以上，不能达到该要求的排气筒，应按其高度对应的表列排放速率标准值严格50%执行”、“</w:t>
      </w:r>
      <w:r>
        <w:rPr>
          <w:rFonts w:ascii="Times New Roman"/>
          <w:color w:val="000000"/>
          <w:kern w:val="2"/>
          <w:szCs w:val="24"/>
          <w:lang w:val="zh-CN"/>
        </w:rPr>
        <w:t>7.4新污染源的排气筒一般不应低于15m。</w:t>
      </w:r>
      <w:r>
        <w:rPr>
          <w:rFonts w:hint="eastAsia" w:ascii="Times New Roman"/>
          <w:color w:val="000000"/>
          <w:kern w:val="2"/>
          <w:szCs w:val="24"/>
        </w:rPr>
        <w:t>”要求。本项目</w:t>
      </w:r>
      <w:r>
        <w:rPr>
          <w:rFonts w:hint="eastAsia" w:ascii="Times New Roman"/>
          <w:color w:val="000000"/>
          <w:kern w:val="2"/>
          <w:szCs w:val="24"/>
          <w:lang w:val="en-US" w:eastAsia="zh-CN"/>
        </w:rPr>
        <w:t>原料处理间</w:t>
      </w:r>
      <w:r>
        <w:rPr>
          <w:rFonts w:hint="eastAsia" w:ascii="Times New Roman"/>
          <w:color w:val="000000"/>
          <w:kern w:val="2"/>
          <w:szCs w:val="24"/>
        </w:rPr>
        <w:t>排气筒高度设置为</w:t>
      </w:r>
      <w:r>
        <w:rPr>
          <w:rFonts w:hint="eastAsia" w:ascii="Times New Roman"/>
          <w:color w:val="000000"/>
          <w:kern w:val="2"/>
          <w:szCs w:val="24"/>
          <w:lang w:val="en-US" w:eastAsia="zh-CN"/>
        </w:rPr>
        <w:t>15</w:t>
      </w:r>
      <w:r>
        <w:rPr>
          <w:rFonts w:hint="eastAsia" w:ascii="Times New Roman"/>
          <w:color w:val="000000"/>
          <w:kern w:val="2"/>
          <w:szCs w:val="24"/>
        </w:rPr>
        <w:t>m，DA00</w:t>
      </w:r>
      <w:r>
        <w:rPr>
          <w:rFonts w:hint="eastAsia" w:ascii="Times New Roman"/>
          <w:color w:val="000000"/>
          <w:kern w:val="2"/>
          <w:szCs w:val="24"/>
          <w:lang w:val="en-US" w:eastAsia="zh-CN"/>
        </w:rPr>
        <w:t>3</w:t>
      </w:r>
      <w:r>
        <w:rPr>
          <w:rFonts w:hint="eastAsia" w:ascii="Times New Roman"/>
          <w:color w:val="000000"/>
          <w:kern w:val="2"/>
          <w:szCs w:val="24"/>
        </w:rPr>
        <w:t>排气筒周边200m范围内最高建筑物为办公楼，高度为</w:t>
      </w:r>
      <w:r>
        <w:rPr>
          <w:rFonts w:hint="eastAsia" w:ascii="Times New Roman"/>
          <w:color w:val="000000"/>
          <w:kern w:val="2"/>
          <w:szCs w:val="24"/>
          <w:lang w:val="en-US" w:eastAsia="zh-CN"/>
        </w:rPr>
        <w:t>21.8</w:t>
      </w:r>
      <w:r>
        <w:rPr>
          <w:rFonts w:hint="eastAsia" w:ascii="Times New Roman"/>
          <w:color w:val="000000"/>
          <w:kern w:val="2"/>
          <w:szCs w:val="24"/>
        </w:rPr>
        <w:t>m，不满足“高出周围200m半径范围内的建筑物5m以上”的要求，</w:t>
      </w:r>
      <w:r>
        <w:rPr>
          <w:rFonts w:hint="eastAsia" w:ascii="Times New Roman"/>
          <w:color w:val="000000"/>
          <w:szCs w:val="24"/>
        </w:rPr>
        <w:t>因此要求DA001 15m排气筒的排放速率“</w:t>
      </w:r>
      <w:r>
        <w:rPr>
          <w:rFonts w:hint="eastAsia" w:ascii="Times New Roman"/>
          <w:color w:val="000000"/>
          <w:kern w:val="2"/>
          <w:szCs w:val="24"/>
        </w:rPr>
        <w:t>按15m对应的表列排放速率标准值（</w:t>
      </w:r>
      <w:r>
        <w:rPr>
          <w:rFonts w:hint="eastAsia" w:ascii="Times New Roman"/>
          <w:color w:val="000000"/>
          <w:kern w:val="2"/>
          <w:szCs w:val="24"/>
          <w:lang w:val="en-US" w:eastAsia="zh-CN"/>
        </w:rPr>
        <w:t>颗粒物</w:t>
      </w:r>
      <w:r>
        <w:rPr>
          <w:rFonts w:hint="eastAsia" w:ascii="Times New Roman"/>
          <w:color w:val="000000"/>
          <w:szCs w:val="24"/>
        </w:rPr>
        <w:t>≤</w:t>
      </w:r>
      <w:r>
        <w:rPr>
          <w:rFonts w:hint="eastAsia" w:ascii="Times New Roman"/>
          <w:color w:val="000000"/>
          <w:szCs w:val="24"/>
          <w:lang w:val="en-US" w:eastAsia="zh-CN"/>
        </w:rPr>
        <w:t>3.5</w:t>
      </w:r>
      <w:r>
        <w:rPr>
          <w:rFonts w:hint="eastAsia" w:ascii="Times New Roman"/>
          <w:color w:val="000000"/>
          <w:szCs w:val="24"/>
        </w:rPr>
        <w:t>kg/h</w:t>
      </w:r>
      <w:r>
        <w:rPr>
          <w:rFonts w:hint="eastAsia" w:ascii="Times New Roman"/>
          <w:color w:val="000000"/>
          <w:kern w:val="2"/>
          <w:szCs w:val="24"/>
        </w:rPr>
        <w:t>）严格50%执行</w:t>
      </w:r>
      <w:r>
        <w:rPr>
          <w:rFonts w:hint="eastAsia" w:ascii="Times New Roman"/>
          <w:color w:val="000000"/>
          <w:szCs w:val="24"/>
        </w:rPr>
        <w:t>”，即非甲烷总烃排放速率≤</w:t>
      </w:r>
      <w:r>
        <w:rPr>
          <w:rFonts w:hint="eastAsia" w:ascii="Times New Roman"/>
          <w:color w:val="000000"/>
          <w:szCs w:val="24"/>
          <w:lang w:val="en-US" w:eastAsia="zh-CN"/>
        </w:rPr>
        <w:t>1.75</w:t>
      </w:r>
      <w:r>
        <w:rPr>
          <w:rFonts w:hint="eastAsia" w:ascii="Times New Roman"/>
          <w:color w:val="000000"/>
          <w:szCs w:val="24"/>
        </w:rPr>
        <w:t>kg/h，满足</w:t>
      </w:r>
      <w:r>
        <w:rPr>
          <w:rFonts w:hint="eastAsia" w:ascii="Times New Roman"/>
          <w:color w:val="000000"/>
          <w:kern w:val="2"/>
          <w:szCs w:val="24"/>
        </w:rPr>
        <w:t>《大气污染物综合排放标准》（GB16297-1996）对排气筒设置要求。</w:t>
      </w:r>
    </w:p>
    <w:p w14:paraId="5467A1CA">
      <w:pPr>
        <w:pStyle w:val="6"/>
        <w:rPr>
          <w:snapToGrid w:val="0"/>
          <w:color w:val="000000" w:themeColor="text1"/>
          <w14:textFill>
            <w14:solidFill>
              <w14:schemeClr w14:val="tx1"/>
            </w14:solidFill>
          </w14:textFill>
        </w:rPr>
      </w:pPr>
      <w:bookmarkStart w:id="343" w:name="_Toc2429"/>
      <w:r>
        <w:rPr>
          <w:snapToGrid w:val="0"/>
          <w:color w:val="000000" w:themeColor="text1"/>
          <w14:textFill>
            <w14:solidFill>
              <w14:schemeClr w14:val="tx1"/>
            </w14:solidFill>
          </w14:textFill>
        </w:rPr>
        <w:t>6.2.2废水污染防治措施</w:t>
      </w:r>
      <w:bookmarkEnd w:id="343"/>
    </w:p>
    <w:p w14:paraId="459713C2">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6</w:t>
      </w:r>
      <w:r>
        <w:rPr>
          <w:snapToGrid w:val="0"/>
          <w:color w:val="000000" w:themeColor="text1"/>
          <w14:textFill>
            <w14:solidFill>
              <w14:schemeClr w14:val="tx1"/>
            </w14:solidFill>
          </w14:textFill>
        </w:rPr>
        <w:t>.2.2.1</w:t>
      </w:r>
      <w:r>
        <w:rPr>
          <w:rFonts w:hint="eastAsia"/>
          <w:snapToGrid w:val="0"/>
          <w:color w:val="000000" w:themeColor="text1"/>
          <w:lang w:eastAsia="zh-CN"/>
          <w14:textFill>
            <w14:solidFill>
              <w14:schemeClr w14:val="tx1"/>
            </w14:solidFill>
          </w14:textFill>
        </w:rPr>
        <w:t>废水</w:t>
      </w:r>
      <w:r>
        <w:rPr>
          <w:rFonts w:hint="eastAsia"/>
          <w:snapToGrid w:val="0"/>
          <w:color w:val="000000" w:themeColor="text1"/>
          <w14:textFill>
            <w14:solidFill>
              <w14:schemeClr w14:val="tx1"/>
            </w14:solidFill>
          </w14:textFill>
        </w:rPr>
        <w:t>污染防治措施</w:t>
      </w:r>
    </w:p>
    <w:p w14:paraId="4BD27697">
      <w:pPr>
        <w:pStyle w:val="85"/>
        <w:rPr>
          <w:snapToGrid w:val="0"/>
          <w:color w:val="000000" w:themeColor="text1"/>
          <w14:textFill>
            <w14:solidFill>
              <w14:schemeClr w14:val="tx1"/>
            </w14:solidFill>
          </w14:textFill>
        </w:rPr>
      </w:pPr>
      <w:bookmarkStart w:id="344" w:name="_Hlk481709368"/>
      <w:r>
        <w:rPr>
          <w:snapToGrid w:val="0"/>
          <w:color w:val="000000" w:themeColor="text1"/>
          <w14:textFill>
            <w14:solidFill>
              <w14:schemeClr w14:val="tx1"/>
            </w14:solidFill>
          </w14:textFill>
        </w:rPr>
        <w:t>本项目</w:t>
      </w:r>
      <w:r>
        <w:rPr>
          <w:rFonts w:hint="eastAsia"/>
          <w:snapToGrid w:val="0"/>
          <w:color w:val="000000" w:themeColor="text1"/>
          <w14:textFill>
            <w14:solidFill>
              <w14:schemeClr w14:val="tx1"/>
            </w14:solidFill>
          </w14:textFill>
        </w:rPr>
        <w:t>运营期</w:t>
      </w:r>
      <w:r>
        <w:rPr>
          <w:snapToGrid w:val="0"/>
          <w:color w:val="000000" w:themeColor="text1"/>
          <w14:textFill>
            <w14:solidFill>
              <w14:schemeClr w14:val="tx1"/>
            </w14:solidFill>
          </w14:textFill>
        </w:rPr>
        <w:t>废水主要为</w:t>
      </w:r>
      <w:r>
        <w:rPr>
          <w:rFonts w:hint="eastAsia"/>
          <w:color w:val="000000" w:themeColor="text1"/>
          <w:lang w:val="en-US" w:eastAsia="zh-CN"/>
          <w14:textFill>
            <w14:solidFill>
              <w14:schemeClr w14:val="tx1"/>
            </w14:solidFill>
          </w14:textFill>
        </w:rPr>
        <w:t>生活污水、食堂废水、</w:t>
      </w:r>
      <w:r>
        <w:rPr>
          <w:color w:val="000000" w:themeColor="text1"/>
          <w14:textFill>
            <w14:solidFill>
              <w14:schemeClr w14:val="tx1"/>
            </w14:solidFill>
          </w14:textFill>
        </w:rPr>
        <w:t>车间地面冲洗废水、CO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回收系统洗气废水、啤酒生产工艺废水、CIP清洗废水、玻璃瓶清洗废水、化验室废水、锅炉废水及软水制备废水、纯水制备废水</w:t>
      </w:r>
      <w:r>
        <w:rPr>
          <w:snapToGrid w:val="0"/>
          <w:color w:val="000000" w:themeColor="text1"/>
          <w14:textFill>
            <w14:solidFill>
              <w14:schemeClr w14:val="tx1"/>
            </w14:solidFill>
          </w14:textFill>
        </w:rPr>
        <w:t>。</w:t>
      </w:r>
    </w:p>
    <w:p w14:paraId="3F5E9D5B">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本项目污水处理站工艺为“初沉池+调节池+UASB+</w:t>
      </w:r>
      <w:r>
        <w:rPr>
          <w:rFonts w:hint="eastAsia"/>
          <w:snapToGrid w:val="0"/>
          <w:color w:val="000000" w:themeColor="text1"/>
          <w:lang w:eastAsia="zh-CN"/>
          <w14:textFill>
            <w14:solidFill>
              <w14:schemeClr w14:val="tx1"/>
            </w14:solidFill>
          </w14:textFill>
        </w:rPr>
        <w:t>A/O</w:t>
      </w:r>
      <w:r>
        <w:rPr>
          <w:rFonts w:hint="eastAsia"/>
          <w:snapToGrid w:val="0"/>
          <w:color w:val="000000" w:themeColor="text1"/>
          <w14:textFill>
            <w14:solidFill>
              <w14:schemeClr w14:val="tx1"/>
            </w14:solidFill>
          </w14:textFill>
        </w:rPr>
        <w:t>+二沉池+污泥池”，</w:t>
      </w:r>
      <w:r>
        <w:rPr>
          <w:snapToGrid w:val="0"/>
          <w:color w:val="000000" w:themeColor="text1"/>
          <w14:textFill>
            <w14:solidFill>
              <w14:schemeClr w14:val="tx1"/>
            </w14:solidFill>
          </w14:textFill>
        </w:rPr>
        <w:t>废水先进入</w:t>
      </w:r>
      <w:r>
        <w:rPr>
          <w:rFonts w:hint="eastAsia"/>
          <w:snapToGrid w:val="0"/>
          <w:color w:val="000000" w:themeColor="text1"/>
          <w14:textFill>
            <w14:solidFill>
              <w14:schemeClr w14:val="tx1"/>
            </w14:solidFill>
          </w14:textFill>
        </w:rPr>
        <w:t>格栅、</w:t>
      </w:r>
      <w:r>
        <w:rPr>
          <w:snapToGrid w:val="0"/>
          <w:color w:val="000000" w:themeColor="text1"/>
          <w14:textFill>
            <w14:solidFill>
              <w14:schemeClr w14:val="tx1"/>
            </w14:solidFill>
          </w14:textFill>
        </w:rPr>
        <w:t>调节池，经</w:t>
      </w:r>
      <w:r>
        <w:rPr>
          <w:rFonts w:hint="eastAsia"/>
          <w:snapToGrid w:val="0"/>
          <w:color w:val="000000" w:themeColor="text1"/>
          <w14:textFill>
            <w14:solidFill>
              <w14:schemeClr w14:val="tx1"/>
            </w14:solidFill>
          </w14:textFill>
        </w:rPr>
        <w:t>U</w:t>
      </w:r>
      <w:r>
        <w:rPr>
          <w:snapToGrid w:val="0"/>
          <w:color w:val="000000" w:themeColor="text1"/>
          <w14:textFill>
            <w14:solidFill>
              <w14:schemeClr w14:val="tx1"/>
            </w14:solidFill>
          </w14:textFill>
        </w:rPr>
        <w:t>ASB</w:t>
      </w:r>
      <w:r>
        <w:rPr>
          <w:rFonts w:hint="eastAsia"/>
          <w:snapToGrid w:val="0"/>
          <w:color w:val="000000" w:themeColor="text1"/>
          <w14:textFill>
            <w14:solidFill>
              <w14:schemeClr w14:val="tx1"/>
            </w14:solidFill>
          </w14:textFill>
        </w:rPr>
        <w:t>厌氧池+好氧</w:t>
      </w:r>
      <w:r>
        <w:rPr>
          <w:snapToGrid w:val="0"/>
          <w:color w:val="000000" w:themeColor="text1"/>
          <w14:textFill>
            <w14:solidFill>
              <w14:schemeClr w14:val="tx1"/>
            </w14:solidFill>
          </w14:textFill>
        </w:rPr>
        <w:t>生化工艺，然后排入市政管网，由</w:t>
      </w:r>
      <w:r>
        <w:rPr>
          <w:rFonts w:hint="eastAsia"/>
          <w:snapToGrid w:val="0"/>
          <w:color w:val="000000" w:themeColor="text1"/>
          <w:lang w:eastAsia="zh-CN"/>
          <w14:textFill>
            <w14:solidFill>
              <w14:schemeClr w14:val="tx1"/>
            </w14:solidFill>
          </w14:textFill>
        </w:rPr>
        <w:t>桦南县城镇污水处理厂</w:t>
      </w:r>
      <w:r>
        <w:rPr>
          <w:snapToGrid w:val="0"/>
          <w:color w:val="000000" w:themeColor="text1"/>
          <w14:textFill>
            <w14:solidFill>
              <w14:schemeClr w14:val="tx1"/>
            </w14:solidFill>
          </w14:textFill>
        </w:rPr>
        <w:t>统一处理。本项目处理后的废水排入</w:t>
      </w:r>
      <w:r>
        <w:rPr>
          <w:rFonts w:hint="eastAsia"/>
          <w:snapToGrid w:val="0"/>
          <w:color w:val="000000" w:themeColor="text1"/>
          <w:lang w:eastAsia="zh-CN"/>
          <w14:textFill>
            <w14:solidFill>
              <w14:schemeClr w14:val="tx1"/>
            </w14:solidFill>
          </w14:textFill>
        </w:rPr>
        <w:t>桦南县城镇污水处理厂</w:t>
      </w:r>
      <w:r>
        <w:rPr>
          <w:snapToGrid w:val="0"/>
          <w:color w:val="000000" w:themeColor="text1"/>
          <w14:textFill>
            <w14:solidFill>
              <w14:schemeClr w14:val="tx1"/>
            </w14:solidFill>
          </w14:textFill>
        </w:rPr>
        <w:t>，不直接进入地表水体，对周围水环境影响较小，处理措施可行。</w:t>
      </w:r>
    </w:p>
    <w:p w14:paraId="2BC78081">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1、格栅：拦截去除进水中大块呈悬浮或漂浮状态的污物，保护水泵，并防止水泵与后续管路系统被阻塞。</w:t>
      </w:r>
    </w:p>
    <w:p w14:paraId="1F99A38A">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2、调节池：指的是用以调节进、出水流量的构筑物。为了使管渠和构筑物正常工作，不受废水高峰流量或浓度变化的影响，需在废水处理设施之前设置调节池。防止长时间底部杂物堆积，故采用曝气调节池。</w:t>
      </w:r>
    </w:p>
    <w:p w14:paraId="079B96E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U</w:t>
      </w:r>
      <w:r>
        <w:rPr>
          <w:snapToGrid w:val="0"/>
          <w:color w:val="000000" w:themeColor="text1"/>
          <w14:textFill>
            <w14:solidFill>
              <w14:schemeClr w14:val="tx1"/>
            </w14:solidFill>
          </w14:textFill>
        </w:rPr>
        <w:t>ASB厌氧池：从工程上厌氧发酵产生沼气的过程可分解为水解阶段、酸化阶段、产乙酸阶段和甲烷化4个阶段，水解池是把反应控制在第二阶段完成之前，不进入第三阶段。经水解处理后，溶解性有机物的比例发生了很大变化，水解后出水溶解性提高了一倍。功能：将大分子有机物转化为小分子有机物，将难溶性有机物转化为可溶性有机物，提高废水的可生化性，降低后续处理设施的运行负荷，提高污染物去除效率。</w:t>
      </w:r>
    </w:p>
    <w:p w14:paraId="116CF635">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w:t>
      </w:r>
      <w:r>
        <w:rPr>
          <w:rFonts w:hint="eastAsia"/>
          <w:snapToGrid w:val="0"/>
          <w:color w:val="000000" w:themeColor="text1"/>
          <w:lang w:eastAsia="zh-CN"/>
          <w14:textFill>
            <w14:solidFill>
              <w14:schemeClr w14:val="tx1"/>
            </w14:solidFill>
          </w14:textFill>
        </w:rPr>
        <w:t>A/O</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AO工艺即缺氧好氧工艺，是一种改进型的采用活性污泥法的污水处理工艺，不仅可以降解有机物，还具有一定的除磷脱氮效果。</w:t>
      </w:r>
    </w:p>
    <w:p w14:paraId="76F901AB">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A级生物池，在A级生物池段异养菌将污水中可溶性有机物水解为有机酸，使大分子有机物分解为小分子有机物，不溶性的有机物转化成可溶性有机物，将蛋白质、脂肪等污染物进行氨化。在O级生物池段存在好氧微生物及消化菌，其中好氧微生物将有机物分解成CO</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和H</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O</w:t>
      </w:r>
      <w:r>
        <w:rPr>
          <w:rFonts w:hint="eastAsia"/>
          <w:snapToGrid w:val="0"/>
          <w:color w:val="000000" w:themeColor="text1"/>
          <w:lang w:eastAsia="zh-CN"/>
          <w14:textFill>
            <w14:solidFill>
              <w14:schemeClr w14:val="tx1"/>
            </w14:solidFill>
          </w14:textFill>
        </w:rPr>
        <w:t>；</w:t>
      </w:r>
      <w:r>
        <w:rPr>
          <w:rFonts w:hint="eastAsia"/>
          <w:snapToGrid w:val="0"/>
          <w:color w:val="000000" w:themeColor="text1"/>
          <w14:textFill>
            <w14:solidFill>
              <w14:schemeClr w14:val="tx1"/>
            </w14:solidFill>
          </w14:textFill>
        </w:rPr>
        <w:t>在充足供氧条件下，硝化菌的硝化作用将NH</w:t>
      </w:r>
      <w:r>
        <w:rPr>
          <w:rFonts w:hint="eastAsia"/>
          <w:snapToGrid w:val="0"/>
          <w:color w:val="000000" w:themeColor="text1"/>
          <w:vertAlign w:val="subscript"/>
          <w14:textFill>
            <w14:solidFill>
              <w14:schemeClr w14:val="tx1"/>
            </w14:solidFill>
          </w14:textFill>
        </w:rPr>
        <w:t>3</w:t>
      </w:r>
      <w:r>
        <w:rPr>
          <w:rFonts w:hint="eastAsia"/>
          <w:snapToGrid w:val="0"/>
          <w:color w:val="000000" w:themeColor="text1"/>
          <w14:textFill>
            <w14:solidFill>
              <w14:schemeClr w14:val="tx1"/>
            </w14:solidFill>
          </w14:textFill>
        </w:rPr>
        <w:t>-N氧化为NO</w:t>
      </w:r>
      <w:r>
        <w:rPr>
          <w:rFonts w:hint="eastAsia"/>
          <w:snapToGrid w:val="0"/>
          <w:color w:val="000000" w:themeColor="text1"/>
          <w:vertAlign w:val="subscript"/>
          <w14:textFill>
            <w14:solidFill>
              <w14:schemeClr w14:val="tx1"/>
            </w14:solidFill>
          </w14:textFill>
        </w:rPr>
        <w:t>3</w:t>
      </w:r>
      <w:r>
        <w:rPr>
          <w:rFonts w:hint="eastAsia"/>
          <w:snapToGrid w:val="0"/>
          <w:color w:val="000000" w:themeColor="text1"/>
          <w:vertAlign w:val="superscript"/>
          <w14:textFill>
            <w14:solidFill>
              <w14:schemeClr w14:val="tx1"/>
            </w14:solidFill>
          </w14:textFill>
        </w:rPr>
        <w:t>-</w:t>
      </w:r>
      <w:r>
        <w:rPr>
          <w:rFonts w:hint="eastAsia"/>
          <w:snapToGrid w:val="0"/>
          <w:color w:val="000000" w:themeColor="text1"/>
          <w14:textFill>
            <w14:solidFill>
              <w14:schemeClr w14:val="tx1"/>
            </w14:solidFill>
          </w14:textFill>
        </w:rPr>
        <w:t>，通过回流控制返回至A级生物池，在缺氧条件下，异氧菌的反硝化作用将NO</w:t>
      </w:r>
      <w:r>
        <w:rPr>
          <w:rFonts w:hint="eastAsia"/>
          <w:snapToGrid w:val="0"/>
          <w:color w:val="000000" w:themeColor="text1"/>
          <w:vertAlign w:val="subscript"/>
          <w14:textFill>
            <w14:solidFill>
              <w14:schemeClr w14:val="tx1"/>
            </w14:solidFill>
          </w14:textFill>
        </w:rPr>
        <w:t>3</w:t>
      </w:r>
      <w:r>
        <w:rPr>
          <w:rFonts w:hint="eastAsia"/>
          <w:snapToGrid w:val="0"/>
          <w:color w:val="000000" w:themeColor="text1"/>
          <w:vertAlign w:val="superscript"/>
          <w14:textFill>
            <w14:solidFill>
              <w14:schemeClr w14:val="tx1"/>
            </w14:solidFill>
          </w14:textFill>
        </w:rPr>
        <w:t>-</w:t>
      </w:r>
      <w:r>
        <w:rPr>
          <w:rFonts w:hint="eastAsia"/>
          <w:snapToGrid w:val="0"/>
          <w:color w:val="000000" w:themeColor="text1"/>
          <w14:textFill>
            <w14:solidFill>
              <w14:schemeClr w14:val="tx1"/>
            </w14:solidFill>
          </w14:textFill>
        </w:rPr>
        <w:t>还原为分子态氮。</w:t>
      </w:r>
    </w:p>
    <w:p w14:paraId="49C1F09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6、沉淀池：沉淀分离活性污泥，部分回流至厌缺氧池，剩余污泥排放至污泥浓缩池。</w:t>
      </w:r>
    </w:p>
    <w:p w14:paraId="52133D6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7、污泥浓缩池：本项目污泥浓缩池</w:t>
      </w:r>
      <w:r>
        <w:rPr>
          <w:rFonts w:hint="eastAsia"/>
          <w:snapToGrid w:val="0"/>
          <w:color w:val="000000" w:themeColor="text1"/>
          <w14:textFill>
            <w14:solidFill>
              <w14:schemeClr w14:val="tx1"/>
            </w14:solidFill>
          </w14:textFill>
        </w:rPr>
        <w:t>配套</w:t>
      </w:r>
      <w:r>
        <w:rPr>
          <w:snapToGrid w:val="0"/>
          <w:color w:val="000000" w:themeColor="text1"/>
          <w14:textFill>
            <w14:solidFill>
              <w14:schemeClr w14:val="tx1"/>
            </w14:solidFill>
          </w14:textFill>
        </w:rPr>
        <w:t>全封闭连续运行的卧式螺旋</w:t>
      </w:r>
      <w:r>
        <w:rPr>
          <w:rFonts w:hint="eastAsia"/>
          <w:snapToGrid w:val="0"/>
          <w:color w:val="000000" w:themeColor="text1"/>
          <w14:textFill>
            <w14:solidFill>
              <w14:schemeClr w14:val="tx1"/>
            </w14:solidFill>
          </w14:textFill>
        </w:rPr>
        <w:t>脱水</w:t>
      </w:r>
      <w:r>
        <w:rPr>
          <w:snapToGrid w:val="0"/>
          <w:color w:val="000000" w:themeColor="text1"/>
          <w14:textFill>
            <w14:solidFill>
              <w14:schemeClr w14:val="tx1"/>
            </w14:solidFill>
          </w14:textFill>
        </w:rPr>
        <w:t>机作为污泥脱水的主机，它具有其他污泥脱水设备所不具有的特点，如：整个过程全封闭进行，现场环境好，无臭味，可节约使用絮凝剂和清洗水，日常运行成本低，设备体积占地面积小基建费用低等优点。</w:t>
      </w:r>
    </w:p>
    <w:p w14:paraId="0E8A3EE0">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6</w:t>
      </w:r>
      <w:r>
        <w:rPr>
          <w:snapToGrid w:val="0"/>
          <w:color w:val="000000" w:themeColor="text1"/>
          <w14:textFill>
            <w14:solidFill>
              <w14:schemeClr w14:val="tx1"/>
            </w14:solidFill>
          </w14:textFill>
        </w:rPr>
        <w:t>.2.2.2</w:t>
      </w:r>
      <w:r>
        <w:rPr>
          <w:rFonts w:hint="eastAsia"/>
          <w:snapToGrid w:val="0"/>
          <w:color w:val="000000" w:themeColor="text1"/>
          <w:lang w:eastAsia="zh-CN"/>
          <w14:textFill>
            <w14:solidFill>
              <w14:schemeClr w14:val="tx1"/>
            </w14:solidFill>
          </w14:textFill>
        </w:rPr>
        <w:t>废水处理措施可行性</w:t>
      </w:r>
      <w:r>
        <w:rPr>
          <w:snapToGrid w:val="0"/>
          <w:color w:val="000000" w:themeColor="text1"/>
          <w14:textFill>
            <w14:solidFill>
              <w14:schemeClr w14:val="tx1"/>
            </w14:solidFill>
          </w14:textFill>
        </w:rPr>
        <w:t>分析</w:t>
      </w:r>
    </w:p>
    <w:bookmarkEnd w:id="344"/>
    <w:p w14:paraId="5C2328D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1、废水处理措施可行技术分析</w:t>
      </w:r>
    </w:p>
    <w:p w14:paraId="4024DDD0">
      <w:pPr>
        <w:pStyle w:val="85"/>
        <w:rPr>
          <w:rFonts w:hint="eastAsia"/>
          <w:lang w:val="en-US" w:eastAsia="zh-CN"/>
        </w:rPr>
      </w:pPr>
      <w:r>
        <w:rPr>
          <w:color w:val="000000" w:themeColor="text1"/>
          <w14:textFill>
            <w14:solidFill>
              <w14:schemeClr w14:val="tx1"/>
            </w14:solidFill>
          </w14:textFill>
        </w:rPr>
        <w:t>本项目废水由新建</w:t>
      </w:r>
      <w:r>
        <w:rPr>
          <w:rFonts w:hint="eastAsia"/>
          <w:color w:val="000000" w:themeColor="text1"/>
          <w14:textFill>
            <w14:solidFill>
              <w14:schemeClr w14:val="tx1"/>
            </w14:solidFill>
          </w14:textFill>
        </w:rPr>
        <w:t>的处理能力为</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污水处理站处理满足《</w:t>
      </w:r>
      <w:r>
        <w:rPr>
          <w:rFonts w:hint="eastAsia"/>
          <w:color w:val="000000" w:themeColor="text1"/>
          <w:lang w:eastAsia="zh-CN"/>
          <w14:textFill>
            <w14:solidFill>
              <w14:schemeClr w14:val="tx1"/>
            </w14:solidFill>
          </w14:textFill>
        </w:rPr>
        <w:t>酒类制造业水污染物排放标准</w:t>
      </w:r>
      <w:r>
        <w:rPr>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GB19821-2025</w:t>
      </w:r>
      <w:r>
        <w:rPr>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color w:val="000000" w:themeColor="text1"/>
          <w14:textFill>
            <w14:solidFill>
              <w14:schemeClr w14:val="tx1"/>
            </w14:solidFill>
          </w14:textFill>
        </w:rPr>
        <w:t>及</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进水指标后进入市政污水管网，排入</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统一处理，</w:t>
      </w:r>
      <w:r>
        <w:rPr>
          <w:snapToGrid w:val="0"/>
          <w:color w:val="000000" w:themeColor="text1"/>
          <w14:textFill>
            <w14:solidFill>
              <w14:schemeClr w14:val="tx1"/>
            </w14:solidFill>
          </w14:textFill>
        </w:rPr>
        <w:t>废水</w:t>
      </w:r>
      <w:r>
        <w:rPr>
          <w:rFonts w:hint="eastAsia"/>
          <w:snapToGrid w:val="0"/>
          <w:color w:val="000000" w:themeColor="text1"/>
          <w14:textFill>
            <w14:solidFill>
              <w14:schemeClr w14:val="tx1"/>
            </w14:solidFill>
          </w14:textFill>
        </w:rPr>
        <w:t>达到《城镇污水处理厂污染物排放标准》（GB 18918-2002）及修改单中的一级A标准</w:t>
      </w:r>
      <w:r>
        <w:rPr>
          <w:rFonts w:hint="default" w:eastAsia="宋体"/>
          <w:lang w:val="en-US" w:eastAsia="zh-CN"/>
        </w:rPr>
        <w:t>要求排入八虎力河，最终汇入倭肯河</w:t>
      </w:r>
      <w:r>
        <w:rPr>
          <w:rFonts w:hint="eastAsia"/>
          <w:lang w:val="en-US" w:eastAsia="zh-CN"/>
        </w:rPr>
        <w:t>。</w:t>
      </w:r>
    </w:p>
    <w:p w14:paraId="2BF0BF98">
      <w:pPr>
        <w:pStyle w:val="85"/>
        <w:rPr>
          <w:color w:val="000000" w:themeColor="text1"/>
          <w14:textFill>
            <w14:solidFill>
              <w14:schemeClr w14:val="tx1"/>
            </w14:solidFill>
          </w14:textFill>
        </w:rPr>
      </w:pPr>
      <w:r>
        <w:rPr>
          <w:color w:val="000000" w:themeColor="text1"/>
          <w14:textFill>
            <w14:solidFill>
              <w14:schemeClr w14:val="tx1"/>
            </w14:solidFill>
          </w14:textFill>
        </w:rPr>
        <w:t>根据《排污许可证申请与核发技术规范酒、饮料制造工业》（HJ1028-2019）推荐的可行性技术判定，本项目废水治理技术可行性。</w:t>
      </w:r>
    </w:p>
    <w:p w14:paraId="4BD91E04">
      <w:pPr>
        <w:pStyle w:val="206"/>
        <w:rPr>
          <w:color w:val="000000" w:themeColor="text1"/>
          <w14:textFill>
            <w14:solidFill>
              <w14:schemeClr w14:val="tx1"/>
            </w14:solidFill>
          </w14:textFill>
        </w:rPr>
      </w:pPr>
      <w:r>
        <w:rPr>
          <w:color w:val="000000" w:themeColor="text1"/>
          <w14:textFill>
            <w14:solidFill>
              <w14:schemeClr w14:val="tx1"/>
            </w14:solidFill>
          </w14:textFill>
        </w:rPr>
        <w:t>表6-2-</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 xml:space="preserve"> 废水治理措施可行性分析</w:t>
      </w:r>
    </w:p>
    <w:tbl>
      <w:tblPr>
        <w:tblStyle w:val="419"/>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839"/>
        <w:gridCol w:w="2788"/>
        <w:gridCol w:w="1682"/>
      </w:tblGrid>
      <w:tr w14:paraId="0CEF40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10" w:type="pct"/>
            <w:vAlign w:val="center"/>
          </w:tcPr>
          <w:p w14:paraId="36187DA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HJ1028-2019规定可行技术</w:t>
            </w:r>
          </w:p>
        </w:tc>
        <w:tc>
          <w:tcPr>
            <w:tcW w:w="1677" w:type="pct"/>
            <w:vAlign w:val="center"/>
          </w:tcPr>
          <w:p w14:paraId="6498F2B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本项目情况</w:t>
            </w:r>
          </w:p>
        </w:tc>
        <w:tc>
          <w:tcPr>
            <w:tcW w:w="1012" w:type="pct"/>
            <w:vAlign w:val="center"/>
          </w:tcPr>
          <w:p w14:paraId="5AA527A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是否为可行性技术</w:t>
            </w:r>
          </w:p>
        </w:tc>
      </w:tr>
      <w:tr w14:paraId="1331A3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10" w:type="pct"/>
            <w:vAlign w:val="center"/>
          </w:tcPr>
          <w:p w14:paraId="518C705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厂内综合污水处理站的综合污水（生产废水生活污水等）：预处理：除油、沉淀、过滤二级处理：好氧、水解酸化好氧、厌氧-好氧兼性-好氧、氧化沟、生物转盘</w:t>
            </w:r>
          </w:p>
        </w:tc>
        <w:tc>
          <w:tcPr>
            <w:tcW w:w="1677" w:type="pct"/>
            <w:vAlign w:val="center"/>
          </w:tcPr>
          <w:p w14:paraId="13BE6A8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项目采用“</w:t>
            </w:r>
            <w:r>
              <w:rPr>
                <w:rFonts w:hint="eastAsia"/>
                <w:snapToGrid w:val="0"/>
                <w:color w:val="000000" w:themeColor="text1"/>
                <w:kern w:val="0"/>
                <w:lang w:val="en-US"/>
                <w14:textFill>
                  <w14:solidFill>
                    <w14:schemeClr w14:val="tx1"/>
                  </w14:solidFill>
                </w14:textFill>
              </w:rPr>
              <w:t>初沉池+调节池+UASB+</w:t>
            </w:r>
            <w:r>
              <w:rPr>
                <w:rFonts w:hint="eastAsia"/>
                <w:snapToGrid w:val="0"/>
                <w:color w:val="000000" w:themeColor="text1"/>
                <w:kern w:val="0"/>
                <w:lang w:val="en-US" w:eastAsia="zh-CN"/>
                <w14:textFill>
                  <w14:solidFill>
                    <w14:schemeClr w14:val="tx1"/>
                  </w14:solidFill>
                </w14:textFill>
              </w:rPr>
              <w:t>A/O</w:t>
            </w:r>
            <w:r>
              <w:rPr>
                <w:rFonts w:hint="eastAsia"/>
                <w:snapToGrid w:val="0"/>
                <w:color w:val="000000" w:themeColor="text1"/>
                <w:kern w:val="0"/>
                <w:lang w:val="en-US"/>
                <w14:textFill>
                  <w14:solidFill>
                    <w14:schemeClr w14:val="tx1"/>
                  </w14:solidFill>
                </w14:textFill>
              </w:rPr>
              <w:t>+二沉池+污泥池</w:t>
            </w:r>
            <w:r>
              <w:rPr>
                <w:snapToGrid w:val="0"/>
                <w:color w:val="000000" w:themeColor="text1"/>
                <w:kern w:val="0"/>
                <w14:textFill>
                  <w14:solidFill>
                    <w14:schemeClr w14:val="tx1"/>
                  </w14:solidFill>
                </w14:textFill>
              </w:rPr>
              <w:t>”</w:t>
            </w:r>
            <w:r>
              <w:rPr>
                <w:rFonts w:hint="eastAsia"/>
                <w:snapToGrid w:val="0"/>
                <w:color w:val="000000" w:themeColor="text1"/>
                <w:kern w:val="0"/>
                <w:lang w:eastAsia="zh-CN"/>
                <w14:textFill>
                  <w14:solidFill>
                    <w14:schemeClr w14:val="tx1"/>
                  </w14:solidFill>
                </w14:textFill>
              </w:rPr>
              <w:t>污水处理工艺</w:t>
            </w:r>
          </w:p>
        </w:tc>
        <w:tc>
          <w:tcPr>
            <w:tcW w:w="1012" w:type="pct"/>
            <w:vAlign w:val="center"/>
          </w:tcPr>
          <w:p w14:paraId="0B09D4B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是</w:t>
            </w:r>
          </w:p>
        </w:tc>
      </w:tr>
    </w:tbl>
    <w:p w14:paraId="481D3236">
      <w:pPr>
        <w:pStyle w:val="85"/>
        <w:rPr>
          <w:color w:val="000000" w:themeColor="text1"/>
          <w14:textFill>
            <w14:solidFill>
              <w14:schemeClr w14:val="tx1"/>
            </w14:solidFill>
          </w14:textFill>
        </w:rPr>
      </w:pPr>
      <w:r>
        <w:rPr>
          <w:color w:val="000000" w:themeColor="text1"/>
          <w14:textFill>
            <w14:solidFill>
              <w14:schemeClr w14:val="tx1"/>
            </w14:solidFill>
          </w14:textFill>
        </w:rPr>
        <w:t>综上，项目采用的废水治理技术均为《排污许可证申请与核发技术规范酒、饮料制造工业》（HJ1028-2019）推荐的可行性技术。</w:t>
      </w:r>
    </w:p>
    <w:p w14:paraId="1FCC488B">
      <w:pPr>
        <w:pStyle w:val="85"/>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、污水处理厂依托可行性分析</w:t>
      </w:r>
    </w:p>
    <w:p w14:paraId="42F1B6BD">
      <w:pPr>
        <w:pStyle w:val="85"/>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根据《</w:t>
      </w:r>
      <w:r>
        <w:rPr>
          <w:rFonts w:hint="eastAsia"/>
          <w:color w:val="000000" w:themeColor="text1"/>
          <w:lang w:eastAsia="zh-CN"/>
          <w14:textFill>
            <w14:solidFill>
              <w14:schemeClr w14:val="tx1"/>
            </w14:solidFill>
          </w14:textFill>
        </w:rPr>
        <w:t>黑龙江桦南经济开发区总体规划（2021-2035 年）环境影响报告书</w:t>
      </w:r>
      <w:r>
        <w:rPr>
          <w:rFonts w:hint="eastAsia"/>
          <w:color w:val="000000" w:themeColor="text1"/>
          <w14:textFill>
            <w14:solidFill>
              <w14:schemeClr w14:val="tx1"/>
            </w14:solidFill>
          </w14:textFill>
        </w:rPr>
        <w:t>》及其审查意见，</w:t>
      </w:r>
      <w:r>
        <w:rPr>
          <w:color w:val="000000" w:themeColor="text1"/>
          <w14:textFill>
            <w14:solidFill>
              <w14:schemeClr w14:val="tx1"/>
            </w14:solidFill>
          </w14:textFill>
        </w:rPr>
        <w:t>各工业企业生产废水及生活污水均经相应污水处理设施预处理达接管标准后，纳入城市污水管网输送至</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进行集中处理，达标后排放至</w:t>
      </w:r>
      <w:r>
        <w:rPr>
          <w:rFonts w:hint="default" w:eastAsia="宋体"/>
          <w:lang w:val="en-US" w:eastAsia="zh-CN"/>
        </w:rPr>
        <w:t>八虎力河，最终汇入倭肯河</w:t>
      </w:r>
      <w:r>
        <w:rPr>
          <w:rFonts w:hint="eastAsia"/>
          <w:lang w:val="en-US" w:eastAsia="zh-CN"/>
        </w:rPr>
        <w:t>。</w:t>
      </w:r>
      <w:r>
        <w:rPr>
          <w:color w:val="000000" w:themeColor="text1"/>
          <w14:textFill>
            <w14:solidFill>
              <w14:schemeClr w14:val="tx1"/>
            </w14:solidFill>
          </w14:textFill>
        </w:rPr>
        <w:t>出水水质执行《城镇污水处理厂污染物排放标准》（GB 18918-2002）及修改单中的一级A标准。</w:t>
      </w:r>
    </w:p>
    <w:p w14:paraId="149EDD6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（1）处理余量分析</w:t>
      </w:r>
    </w:p>
    <w:p w14:paraId="222FA591">
      <w:pPr>
        <w:pStyle w:val="85"/>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桦南县城镇污水处理厂</w:t>
      </w:r>
      <w:r>
        <w:rPr>
          <w:rFonts w:hint="default" w:eastAsia="宋体"/>
          <w:lang w:val="en-US" w:eastAsia="zh-CN"/>
        </w:rPr>
        <w:t>处理规模3.0万 m</w:t>
      </w:r>
      <w:r>
        <w:rPr>
          <w:rFonts w:hint="default" w:eastAsia="宋体"/>
          <w:vertAlign w:val="superscript"/>
          <w:lang w:val="en-US" w:eastAsia="zh-CN"/>
        </w:rPr>
        <w:t>3</w:t>
      </w:r>
      <w:r>
        <w:rPr>
          <w:rFonts w:hint="default" w:eastAsia="宋体"/>
          <w:lang w:val="en-US" w:eastAsia="zh-CN"/>
        </w:rPr>
        <w:t xml:space="preserve"> /d ，一期工程处理规模 1.5 万 m</w:t>
      </w:r>
      <w:r>
        <w:rPr>
          <w:rFonts w:hint="default" w:eastAsia="宋体"/>
          <w:vertAlign w:val="superscript"/>
          <w:lang w:val="en-US" w:eastAsia="zh-CN"/>
        </w:rPr>
        <w:t>3</w:t>
      </w:r>
      <w:r>
        <w:rPr>
          <w:rFonts w:hint="default" w:eastAsia="宋体"/>
          <w:lang w:val="en-US" w:eastAsia="zh-CN"/>
        </w:rPr>
        <w:t xml:space="preserve"> /d、主体工艺“粗格栅+细格栅+平流沉砂池+多段 A/O 生化池+深度处理（混凝沉淀池+纤维球过滤器）+紫外线消毒处理”，二期工程处理规模</w:t>
      </w:r>
      <w:r>
        <w:rPr>
          <w:rFonts w:hint="eastAsia"/>
          <w:lang w:val="en-US" w:eastAsia="zh-CN"/>
        </w:rPr>
        <w:t>1</w:t>
      </w:r>
      <w:r>
        <w:rPr>
          <w:rFonts w:hint="default" w:eastAsia="宋体"/>
          <w:lang w:val="en-US" w:eastAsia="zh-CN"/>
        </w:rPr>
        <w:t>.5万m</w:t>
      </w:r>
      <w:r>
        <w:rPr>
          <w:rFonts w:hint="default" w:eastAsia="宋体"/>
          <w:vertAlign w:val="superscript"/>
          <w:lang w:val="en-US" w:eastAsia="zh-CN"/>
        </w:rPr>
        <w:t>3</w:t>
      </w:r>
      <w:r>
        <w:rPr>
          <w:rFonts w:hint="default" w:eastAsia="宋体"/>
          <w:lang w:val="en-US" w:eastAsia="zh-CN"/>
        </w:rPr>
        <w:t>/d、主体工艺“粗格栅+细格栅+旋流沉砂池+EBIS 生化池+深度处理（混凝沉淀池+纤维转盘滤池）+紫外线消毒处</w:t>
      </w:r>
      <w:r>
        <w:rPr>
          <w:rFonts w:hint="eastAsia"/>
          <w:lang w:val="en-US" w:eastAsia="zh-CN"/>
        </w:rPr>
        <w:t>。</w:t>
      </w:r>
      <w:r>
        <w:rPr>
          <w:rFonts w:hint="eastAsia"/>
          <w:bCs/>
          <w:color w:val="000000" w:themeColor="text1"/>
          <w:lang w:val="en-US" w:eastAsia="zh-CN"/>
          <w14:textFill>
            <w14:solidFill>
              <w14:schemeClr w14:val="tx1"/>
            </w14:solidFill>
          </w14:textFill>
        </w:rPr>
        <w:t>目前</w:t>
      </w:r>
      <w:r>
        <w:rPr>
          <w:rFonts w:hint="eastAsia"/>
          <w:color w:val="000000" w:themeColor="text1"/>
          <w:lang w:eastAsia="zh-CN"/>
          <w14:textFill>
            <w14:solidFill>
              <w14:schemeClr w14:val="tx1"/>
            </w14:solidFill>
          </w14:textFill>
        </w:rPr>
        <w:t>污水处理厂</w:t>
      </w:r>
      <w:r>
        <w:rPr>
          <w:rFonts w:hint="eastAsia"/>
          <w:color w:val="000000" w:themeColor="text1"/>
          <w:lang w:val="en-US" w:eastAsia="zh-CN"/>
          <w14:textFill>
            <w14:solidFill>
              <w14:schemeClr w14:val="tx1"/>
            </w14:solidFill>
          </w14:textFill>
        </w:rPr>
        <w:t>接纳污水量约为1.5万t/d</w:t>
      </w:r>
      <w:r>
        <w:rPr>
          <w:rFonts w:hint="eastAsia"/>
          <w:bCs/>
          <w:color w:val="000000" w:themeColor="text1"/>
          <w:lang w:val="en-US" w:eastAsia="zh-CN"/>
          <w14:textFill>
            <w14:solidFill>
              <w14:schemeClr w14:val="tx1"/>
            </w14:solidFill>
          </w14:textFill>
        </w:rPr>
        <w:t>，污水经处理后</w:t>
      </w:r>
      <w:r>
        <w:rPr>
          <w:color w:val="000000" w:themeColor="text1"/>
          <w14:textFill>
            <w14:solidFill>
              <w14:schemeClr w14:val="tx1"/>
            </w14:solidFill>
          </w14:textFill>
        </w:rPr>
        <w:t>达到《城镇污水处理厂污染物排放标准》</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GB18918-2002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及修改单中的一级A标准排入</w:t>
      </w:r>
      <w:r>
        <w:rPr>
          <w:rFonts w:hint="default" w:eastAsia="宋体"/>
          <w:lang w:val="en-US" w:eastAsia="zh-CN"/>
        </w:rPr>
        <w:t>八虎力河，最终汇入倭肯河</w:t>
      </w:r>
      <w:r>
        <w:rPr>
          <w:color w:val="000000" w:themeColor="text1"/>
          <w14:textFill>
            <w14:solidFill>
              <w14:schemeClr w14:val="tx1"/>
            </w14:solidFill>
          </w14:textFill>
        </w:rPr>
        <w:t>。</w:t>
      </w:r>
    </w:p>
    <w:p w14:paraId="7ED2DD6A">
      <w:pPr>
        <w:pStyle w:val="85"/>
        <w:rPr>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本项目建成后，废水最大日排放量为</w:t>
      </w:r>
      <w:r>
        <w:rPr>
          <w:rFonts w:hint="eastAsia"/>
          <w:snapToGrid w:val="0"/>
          <w:color w:val="000000" w:themeColor="text1"/>
          <w:lang w:val="en-US" w:eastAsia="zh-CN"/>
          <w14:textFill>
            <w14:solidFill>
              <w14:schemeClr w14:val="tx1"/>
            </w14:solidFill>
          </w14:textFill>
        </w:rPr>
        <w:t>123.56</w:t>
      </w:r>
      <w:r>
        <w:rPr>
          <w:snapToGrid w:val="0"/>
          <w:color w:val="000000" w:themeColor="text1"/>
          <w14:textFill>
            <w14:solidFill>
              <w14:schemeClr w14:val="tx1"/>
            </w14:solidFill>
          </w14:textFill>
        </w:rPr>
        <w:t>m</w:t>
      </w:r>
      <w:r>
        <w:rPr>
          <w:snapToGrid w:val="0"/>
          <w:color w:val="000000" w:themeColor="text1"/>
          <w:vertAlign w:val="superscript"/>
          <w14:textFill>
            <w14:solidFill>
              <w14:schemeClr w14:val="tx1"/>
            </w14:solidFill>
          </w14:textFill>
        </w:rPr>
        <w:t>3</w:t>
      </w:r>
      <w:r>
        <w:rPr>
          <w:snapToGrid w:val="0"/>
          <w:color w:val="000000" w:themeColor="text1"/>
          <w14:textFill>
            <w14:solidFill>
              <w14:schemeClr w14:val="tx1"/>
            </w14:solidFill>
          </w14:textFill>
        </w:rPr>
        <w:t>/d</w:t>
      </w:r>
      <w:r>
        <w:rPr>
          <w:rFonts w:hint="eastAsia"/>
          <w:snapToGrid w:val="0"/>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可满足</w:t>
      </w:r>
      <w:r>
        <w:rPr>
          <w:rFonts w:hint="eastAsia"/>
          <w:color w:val="000000" w:themeColor="text1"/>
          <w:lang w:eastAsia="zh-CN"/>
          <w14:textFill>
            <w14:solidFill>
              <w14:schemeClr w14:val="tx1"/>
            </w14:solidFill>
          </w14:textFill>
        </w:rPr>
        <w:t>桦南县城镇污水处理厂</w:t>
      </w:r>
      <w:r>
        <w:rPr>
          <w:rFonts w:hint="eastAsia"/>
          <w:color w:val="000000" w:themeColor="text1"/>
          <w:lang w:val="en-US" w:eastAsia="zh-CN"/>
          <w14:textFill>
            <w14:solidFill>
              <w14:schemeClr w14:val="tx1"/>
            </w14:solidFill>
          </w14:textFill>
        </w:rPr>
        <w:t>接纳要求，</w:t>
      </w:r>
      <w:r>
        <w:rPr>
          <w:rFonts w:hint="eastAsia"/>
          <w:snapToGrid w:val="0"/>
          <w:color w:val="000000" w:themeColor="text1"/>
          <w14:textFill>
            <w14:solidFill>
              <w14:schemeClr w14:val="tx1"/>
            </w14:solidFill>
          </w14:textFill>
        </w:rPr>
        <w:t>因此</w:t>
      </w:r>
      <w:r>
        <w:rPr>
          <w:rFonts w:hint="eastAsia"/>
          <w:snapToGrid w:val="0"/>
          <w:color w:val="000000" w:themeColor="text1"/>
          <w:lang w:val="en-US" w:eastAsia="zh-CN"/>
          <w14:textFill>
            <w14:solidFill>
              <w14:schemeClr w14:val="tx1"/>
            </w14:solidFill>
          </w14:textFill>
        </w:rPr>
        <w:t>本项目水量不会对</w:t>
      </w:r>
      <w:r>
        <w:rPr>
          <w:rFonts w:hint="eastAsia"/>
          <w:color w:val="000000" w:themeColor="text1"/>
          <w:lang w:eastAsia="zh-CN"/>
          <w14:textFill>
            <w14:solidFill>
              <w14:schemeClr w14:val="tx1"/>
            </w14:solidFill>
          </w14:textFill>
        </w:rPr>
        <w:t>桦南县城镇污水处理厂</w:t>
      </w:r>
      <w:r>
        <w:rPr>
          <w:rFonts w:hint="eastAsia"/>
          <w:snapToGrid w:val="0"/>
          <w:color w:val="000000" w:themeColor="text1"/>
          <w:lang w:val="en-US" w:eastAsia="zh-CN"/>
          <w14:textFill>
            <w14:solidFill>
              <w14:schemeClr w14:val="tx1"/>
            </w14:solidFill>
          </w14:textFill>
        </w:rPr>
        <w:t>产生冲击</w:t>
      </w:r>
      <w:r>
        <w:rPr>
          <w:rFonts w:hint="eastAsia"/>
          <w:snapToGrid w:val="0"/>
          <w:color w:val="000000" w:themeColor="text1"/>
          <w14:textFill>
            <w14:solidFill>
              <w14:schemeClr w14:val="tx1"/>
            </w14:solidFill>
          </w14:textFill>
        </w:rPr>
        <w:t>，从处理能力角度分析，本项目废水排入</w:t>
      </w:r>
      <w:r>
        <w:rPr>
          <w:rFonts w:hint="eastAsia"/>
          <w:snapToGrid w:val="0"/>
          <w:color w:val="000000" w:themeColor="text1"/>
          <w:lang w:eastAsia="zh-CN"/>
          <w14:textFill>
            <w14:solidFill>
              <w14:schemeClr w14:val="tx1"/>
            </w14:solidFill>
          </w14:textFill>
        </w:rPr>
        <w:t>桦南县城镇污水处理厂</w:t>
      </w:r>
      <w:r>
        <w:rPr>
          <w:rFonts w:hint="eastAsia"/>
          <w:snapToGrid w:val="0"/>
          <w:color w:val="000000" w:themeColor="text1"/>
          <w14:textFill>
            <w14:solidFill>
              <w14:schemeClr w14:val="tx1"/>
            </w14:solidFill>
          </w14:textFill>
        </w:rPr>
        <w:t>处理可行。</w:t>
      </w:r>
    </w:p>
    <w:p w14:paraId="60EAE27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）水质分析</w:t>
      </w:r>
    </w:p>
    <w:p w14:paraId="07D40E7F">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本项目废水污染物情况见下表。</w:t>
      </w:r>
    </w:p>
    <w:p w14:paraId="4F771B75">
      <w:pPr>
        <w:pStyle w:val="206"/>
        <w:rPr>
          <w:color w:val="000000" w:themeColor="text1"/>
          <w14:textFill>
            <w14:solidFill>
              <w14:schemeClr w14:val="tx1"/>
            </w14:solidFill>
          </w14:textFill>
        </w:rPr>
      </w:pPr>
      <w:r>
        <w:rPr>
          <w:rFonts w:hint="eastAsia"/>
          <w:color w:val="000000" w:themeColor="text1"/>
          <w14:textFill>
            <w14:solidFill>
              <w14:schemeClr w14:val="tx1"/>
            </w14:solidFill>
          </w14:textFill>
        </w:rPr>
        <w:t>表6</w:t>
      </w:r>
      <w:r>
        <w:rPr>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 xml:space="preserve"> </w:t>
      </w:r>
      <w:r>
        <w:rPr>
          <w:rFonts w:hint="eastAsia"/>
          <w:color w:val="000000" w:themeColor="text1"/>
          <w:lang w:eastAsia="zh-CN"/>
          <w14:textFill>
            <w14:solidFill>
              <w14:schemeClr w14:val="tx1"/>
            </w14:solidFill>
          </w14:textFill>
        </w:rPr>
        <w:t>本项目废水污水污染物排放情况</w:t>
      </w:r>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02"/>
        <w:gridCol w:w="900"/>
        <w:gridCol w:w="817"/>
        <w:gridCol w:w="1254"/>
        <w:gridCol w:w="994"/>
        <w:gridCol w:w="1277"/>
        <w:gridCol w:w="993"/>
        <w:gridCol w:w="1077"/>
      </w:tblGrid>
      <w:tr w14:paraId="1E6844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restart"/>
            <w:vAlign w:val="center"/>
          </w:tcPr>
          <w:p w14:paraId="54ED5491">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种类</w:t>
            </w:r>
          </w:p>
        </w:tc>
        <w:tc>
          <w:tcPr>
            <w:tcW w:w="541" w:type="pct"/>
            <w:vMerge w:val="restart"/>
            <w:vAlign w:val="center"/>
          </w:tcPr>
          <w:p w14:paraId="3C9F999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废水量</w:t>
            </w:r>
            <w:r>
              <w:rPr>
                <w:rFonts w:hint="eastAsia"/>
                <w:snapToGrid w:val="0"/>
                <w:color w:val="000000" w:themeColor="text1"/>
                <w:lang w:eastAsia="zh-CN"/>
                <w14:textFill>
                  <w14:solidFill>
                    <w14:schemeClr w14:val="tx1"/>
                  </w14:solidFill>
                </w14:textFill>
              </w:rPr>
              <w:t>m</w:t>
            </w:r>
            <w:r>
              <w:rPr>
                <w:snapToGrid w:val="0"/>
                <w:color w:val="000000" w:themeColor="text1"/>
                <w:vertAlign w:val="superscript"/>
                <w:lang w:eastAsia="zh-CN"/>
                <w14:textFill>
                  <w14:solidFill>
                    <w14:schemeClr w14:val="tx1"/>
                  </w14:solidFill>
                </w14:textFill>
              </w:rPr>
              <w:t>3</w:t>
            </w:r>
            <w:r>
              <w:rPr>
                <w:snapToGrid w:val="0"/>
                <w:color w:val="000000" w:themeColor="text1"/>
                <w14:textFill>
                  <w14:solidFill>
                    <w14:schemeClr w14:val="tx1"/>
                  </w14:solidFill>
                </w14:textFill>
              </w:rPr>
              <w:t>/</w:t>
            </w:r>
            <w:r>
              <w:rPr>
                <w:rFonts w:hint="eastAsia"/>
                <w:snapToGrid w:val="0"/>
                <w:color w:val="000000" w:themeColor="text1"/>
                <w:lang w:eastAsia="zh-CN"/>
                <w14:textFill>
                  <w14:solidFill>
                    <w14:schemeClr w14:val="tx1"/>
                  </w14:solidFill>
                </w14:textFill>
              </w:rPr>
              <w:t>a</w:t>
            </w:r>
          </w:p>
        </w:tc>
        <w:tc>
          <w:tcPr>
            <w:tcW w:w="491" w:type="pct"/>
            <w:vMerge w:val="restart"/>
            <w:vAlign w:val="center"/>
          </w:tcPr>
          <w:p w14:paraId="2DCFF37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w:t>
            </w:r>
          </w:p>
          <w:p w14:paraId="59A67E5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因子</w:t>
            </w:r>
          </w:p>
        </w:tc>
        <w:tc>
          <w:tcPr>
            <w:tcW w:w="1352" w:type="pct"/>
            <w:gridSpan w:val="2"/>
            <w:vAlign w:val="center"/>
          </w:tcPr>
          <w:p w14:paraId="315F50C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污染</w:t>
            </w:r>
            <w:r>
              <w:rPr>
                <w:rFonts w:hint="eastAsia"/>
                <w:snapToGrid w:val="0"/>
                <w:color w:val="000000" w:themeColor="text1"/>
                <w:lang w:eastAsia="zh-CN"/>
                <w14:textFill>
                  <w14:solidFill>
                    <w14:schemeClr w14:val="tx1"/>
                  </w14:solidFill>
                </w14:textFill>
              </w:rPr>
              <w:t>物产生</w:t>
            </w:r>
          </w:p>
        </w:tc>
        <w:tc>
          <w:tcPr>
            <w:tcW w:w="768" w:type="pct"/>
            <w:vMerge w:val="restart"/>
            <w:vAlign w:val="center"/>
          </w:tcPr>
          <w:p w14:paraId="167C4956">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处理效率</w:t>
            </w:r>
          </w:p>
        </w:tc>
        <w:tc>
          <w:tcPr>
            <w:tcW w:w="1244" w:type="pct"/>
            <w:gridSpan w:val="2"/>
            <w:vAlign w:val="center"/>
          </w:tcPr>
          <w:p w14:paraId="3165C560">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污染物</w:t>
            </w:r>
            <w:r>
              <w:rPr>
                <w:rFonts w:hint="eastAsia"/>
                <w:snapToGrid w:val="0"/>
                <w:color w:val="000000" w:themeColor="text1"/>
                <w:lang w:val="en-US" w:eastAsia="zh-CN"/>
                <w14:textFill>
                  <w14:solidFill>
                    <w14:schemeClr w14:val="tx1"/>
                  </w14:solidFill>
                </w14:textFill>
              </w:rPr>
              <w:t>排放</w:t>
            </w:r>
          </w:p>
        </w:tc>
      </w:tr>
      <w:tr w14:paraId="5077DE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02" w:type="pct"/>
            <w:vMerge w:val="continue"/>
            <w:vAlign w:val="center"/>
          </w:tcPr>
          <w:p w14:paraId="5160D011">
            <w:pPr>
              <w:pStyle w:val="143"/>
              <w:rPr>
                <w:snapToGrid w:val="0"/>
                <w:color w:val="000000" w:themeColor="text1"/>
                <w14:textFill>
                  <w14:solidFill>
                    <w14:schemeClr w14:val="tx1"/>
                  </w14:solidFill>
                </w14:textFill>
              </w:rPr>
            </w:pPr>
          </w:p>
        </w:tc>
        <w:tc>
          <w:tcPr>
            <w:tcW w:w="541" w:type="pct"/>
            <w:vMerge w:val="continue"/>
            <w:vAlign w:val="center"/>
          </w:tcPr>
          <w:p w14:paraId="54D46720">
            <w:pPr>
              <w:pStyle w:val="143"/>
              <w:rPr>
                <w:snapToGrid w:val="0"/>
                <w:color w:val="000000" w:themeColor="text1"/>
                <w14:textFill>
                  <w14:solidFill>
                    <w14:schemeClr w14:val="tx1"/>
                  </w14:solidFill>
                </w14:textFill>
              </w:rPr>
            </w:pPr>
          </w:p>
        </w:tc>
        <w:tc>
          <w:tcPr>
            <w:tcW w:w="491" w:type="pct"/>
            <w:vMerge w:val="continue"/>
            <w:vAlign w:val="center"/>
          </w:tcPr>
          <w:p w14:paraId="4054F8D2">
            <w:pPr>
              <w:pStyle w:val="143"/>
              <w:rPr>
                <w:snapToGrid w:val="0"/>
                <w:color w:val="000000" w:themeColor="text1"/>
                <w14:textFill>
                  <w14:solidFill>
                    <w14:schemeClr w14:val="tx1"/>
                  </w14:solidFill>
                </w14:textFill>
              </w:rPr>
            </w:pPr>
          </w:p>
        </w:tc>
        <w:tc>
          <w:tcPr>
            <w:tcW w:w="754" w:type="pct"/>
            <w:vAlign w:val="center"/>
          </w:tcPr>
          <w:p w14:paraId="2AC3B39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mg/L</w:t>
            </w:r>
          </w:p>
        </w:tc>
        <w:tc>
          <w:tcPr>
            <w:tcW w:w="597" w:type="pct"/>
            <w:vAlign w:val="center"/>
          </w:tcPr>
          <w:p w14:paraId="6C7A2EE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t/a</w:t>
            </w:r>
          </w:p>
        </w:tc>
        <w:tc>
          <w:tcPr>
            <w:tcW w:w="768" w:type="pct"/>
            <w:vMerge w:val="continue"/>
            <w:vAlign w:val="center"/>
          </w:tcPr>
          <w:p w14:paraId="3F818AE4">
            <w:pPr>
              <w:pStyle w:val="143"/>
              <w:rPr>
                <w:snapToGrid w:val="0"/>
                <w:color w:val="000000" w:themeColor="text1"/>
                <w:lang w:eastAsia="zh-CN"/>
                <w14:textFill>
                  <w14:solidFill>
                    <w14:schemeClr w14:val="tx1"/>
                  </w14:solidFill>
                </w14:textFill>
              </w:rPr>
            </w:pPr>
          </w:p>
        </w:tc>
        <w:tc>
          <w:tcPr>
            <w:tcW w:w="597" w:type="pct"/>
            <w:vAlign w:val="center"/>
          </w:tcPr>
          <w:p w14:paraId="7002D7E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mg/L</w:t>
            </w:r>
          </w:p>
        </w:tc>
        <w:tc>
          <w:tcPr>
            <w:tcW w:w="647" w:type="pct"/>
            <w:vAlign w:val="center"/>
          </w:tcPr>
          <w:p w14:paraId="797E103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t/a</w:t>
            </w:r>
          </w:p>
        </w:tc>
      </w:tr>
      <w:tr w14:paraId="552BEE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02" w:type="pct"/>
            <w:vMerge w:val="restart"/>
            <w:vAlign w:val="center"/>
          </w:tcPr>
          <w:p w14:paraId="1DADA28F">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厂区综合废水</w:t>
            </w:r>
          </w:p>
        </w:tc>
        <w:tc>
          <w:tcPr>
            <w:tcW w:w="541" w:type="pct"/>
            <w:vMerge w:val="restart"/>
            <w:vAlign w:val="center"/>
          </w:tcPr>
          <w:p w14:paraId="5C327FDE">
            <w:pPr>
              <w:pStyle w:val="143"/>
              <w:rPr>
                <w:snapToGrid w:val="0"/>
                <w:color w:val="000000" w:themeColor="text1"/>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37067.84</w:t>
            </w:r>
          </w:p>
        </w:tc>
        <w:tc>
          <w:tcPr>
            <w:tcW w:w="491" w:type="pct"/>
            <w:vAlign w:val="center"/>
          </w:tcPr>
          <w:p w14:paraId="20F15EC0">
            <w:pPr>
              <w:pStyle w:val="143"/>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pH值</w:t>
            </w:r>
          </w:p>
        </w:tc>
        <w:tc>
          <w:tcPr>
            <w:tcW w:w="1352" w:type="pct"/>
            <w:gridSpan w:val="2"/>
            <w:vAlign w:val="center"/>
          </w:tcPr>
          <w:p w14:paraId="6EA6AC78">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5.5</w:t>
            </w:r>
            <w:r>
              <w:rPr>
                <w:rFonts w:hint="eastAsia"/>
                <w:snapToGrid w:val="0"/>
                <w:color w:val="000000" w:themeColor="text1"/>
                <w:lang w:val="en-US"/>
                <w14:textFill>
                  <w14:solidFill>
                    <w14:schemeClr w14:val="tx1"/>
                  </w14:solidFill>
                </w14:textFill>
              </w:rPr>
              <w:t>~</w:t>
            </w:r>
            <w:r>
              <w:rPr>
                <w:snapToGrid w:val="0"/>
                <w:color w:val="000000" w:themeColor="text1"/>
                <w:lang w:val="en-US"/>
                <w14:textFill>
                  <w14:solidFill>
                    <w14:schemeClr w14:val="tx1"/>
                  </w14:solidFill>
                </w14:textFill>
              </w:rPr>
              <w:t>11</w:t>
            </w:r>
          </w:p>
        </w:tc>
        <w:tc>
          <w:tcPr>
            <w:tcW w:w="768" w:type="pct"/>
            <w:vAlign w:val="center"/>
          </w:tcPr>
          <w:p w14:paraId="6E271CFF">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w:t>
            </w:r>
          </w:p>
        </w:tc>
        <w:tc>
          <w:tcPr>
            <w:tcW w:w="1244" w:type="pct"/>
            <w:gridSpan w:val="2"/>
            <w:vAlign w:val="center"/>
          </w:tcPr>
          <w:p w14:paraId="6F67A980">
            <w:pPr>
              <w:pStyle w:val="143"/>
              <w:rPr>
                <w:snapToGrid w:val="0"/>
                <w:color w:val="000000" w:themeColor="text1"/>
                <w14:textFill>
                  <w14:solidFill>
                    <w14:schemeClr w14:val="tx1"/>
                  </w14:solidFill>
                </w14:textFill>
              </w:rPr>
            </w:pPr>
            <w:r>
              <w:rPr>
                <w:snapToGrid w:val="0"/>
                <w:color w:val="000000" w:themeColor="text1"/>
                <w:lang w:val="en-US"/>
                <w14:textFill>
                  <w14:solidFill>
                    <w14:schemeClr w14:val="tx1"/>
                  </w14:solidFill>
                </w14:textFill>
              </w:rPr>
              <w:t>6</w:t>
            </w:r>
            <w:r>
              <w:rPr>
                <w:rFonts w:hint="eastAsia"/>
                <w:snapToGrid w:val="0"/>
                <w:color w:val="000000" w:themeColor="text1"/>
                <w:lang w:val="en-US"/>
                <w14:textFill>
                  <w14:solidFill>
                    <w14:schemeClr w14:val="tx1"/>
                  </w14:solidFill>
                </w14:textFill>
              </w:rPr>
              <w:t>~</w:t>
            </w:r>
            <w:r>
              <w:rPr>
                <w:snapToGrid w:val="0"/>
                <w:color w:val="000000" w:themeColor="text1"/>
                <w:lang w:val="en-US"/>
                <w14:textFill>
                  <w14:solidFill>
                    <w14:schemeClr w14:val="tx1"/>
                  </w14:solidFill>
                </w14:textFill>
              </w:rPr>
              <w:t>9</w:t>
            </w:r>
          </w:p>
        </w:tc>
      </w:tr>
      <w:tr w14:paraId="6D5A8F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35C8D6FC">
            <w:pPr>
              <w:pStyle w:val="143"/>
              <w:rPr>
                <w:snapToGrid w:val="0"/>
                <w:color w:val="000000" w:themeColor="text1"/>
                <w:lang w:eastAsia="zh-CN"/>
                <w14:textFill>
                  <w14:solidFill>
                    <w14:schemeClr w14:val="tx1"/>
                  </w14:solidFill>
                </w14:textFill>
              </w:rPr>
            </w:pPr>
          </w:p>
        </w:tc>
        <w:tc>
          <w:tcPr>
            <w:tcW w:w="541" w:type="pct"/>
            <w:vMerge w:val="continue"/>
            <w:vAlign w:val="center"/>
          </w:tcPr>
          <w:p w14:paraId="4EA12F53">
            <w:pPr>
              <w:pStyle w:val="143"/>
              <w:rPr>
                <w:snapToGrid w:val="0"/>
                <w:color w:val="000000" w:themeColor="text1"/>
                <w14:textFill>
                  <w14:solidFill>
                    <w14:schemeClr w14:val="tx1"/>
                  </w14:solidFill>
                </w14:textFill>
              </w:rPr>
            </w:pPr>
          </w:p>
        </w:tc>
        <w:tc>
          <w:tcPr>
            <w:tcW w:w="491" w:type="pct"/>
            <w:vAlign w:val="center"/>
          </w:tcPr>
          <w:p w14:paraId="3418287E">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COD</w:t>
            </w:r>
          </w:p>
        </w:tc>
        <w:tc>
          <w:tcPr>
            <w:tcW w:w="754" w:type="pct"/>
            <w:vAlign w:val="center"/>
          </w:tcPr>
          <w:p w14:paraId="7718B945">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2500</w:t>
            </w:r>
          </w:p>
        </w:tc>
        <w:tc>
          <w:tcPr>
            <w:tcW w:w="597" w:type="pct"/>
            <w:vAlign w:val="center"/>
          </w:tcPr>
          <w:p w14:paraId="44A5F06D">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92.67 </w:t>
            </w:r>
          </w:p>
        </w:tc>
        <w:tc>
          <w:tcPr>
            <w:tcW w:w="768" w:type="pct"/>
            <w:vAlign w:val="center"/>
          </w:tcPr>
          <w:p w14:paraId="5E9B709F">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95</w:t>
            </w:r>
            <w:r>
              <w:rPr>
                <w:rFonts w:cs="Times New Roman"/>
                <w:color w:val="000000" w:themeColor="text1"/>
                <w:szCs w:val="21"/>
                <w14:textFill>
                  <w14:solidFill>
                    <w14:schemeClr w14:val="tx1"/>
                  </w14:solidFill>
                </w14:textFill>
              </w:rPr>
              <w:t>%</w:t>
            </w:r>
          </w:p>
        </w:tc>
        <w:tc>
          <w:tcPr>
            <w:tcW w:w="597" w:type="pct"/>
            <w:vAlign w:val="center"/>
          </w:tcPr>
          <w:p w14:paraId="264A6986">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125</w:t>
            </w:r>
          </w:p>
        </w:tc>
        <w:tc>
          <w:tcPr>
            <w:tcW w:w="647" w:type="pct"/>
            <w:vAlign w:val="center"/>
          </w:tcPr>
          <w:p w14:paraId="7127DE2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4.63</w:t>
            </w:r>
          </w:p>
        </w:tc>
      </w:tr>
      <w:tr w14:paraId="5542E2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602" w:type="pct"/>
            <w:vMerge w:val="continue"/>
            <w:vAlign w:val="center"/>
          </w:tcPr>
          <w:p w14:paraId="0DE274D8">
            <w:pPr>
              <w:pStyle w:val="143"/>
              <w:rPr>
                <w:snapToGrid w:val="0"/>
                <w:color w:val="000000" w:themeColor="text1"/>
                <w:lang w:eastAsia="zh-CN"/>
                <w14:textFill>
                  <w14:solidFill>
                    <w14:schemeClr w14:val="tx1"/>
                  </w14:solidFill>
                </w14:textFill>
              </w:rPr>
            </w:pPr>
          </w:p>
        </w:tc>
        <w:tc>
          <w:tcPr>
            <w:tcW w:w="541" w:type="pct"/>
            <w:vMerge w:val="continue"/>
            <w:vAlign w:val="center"/>
          </w:tcPr>
          <w:p w14:paraId="27E93CB4">
            <w:pPr>
              <w:pStyle w:val="143"/>
              <w:rPr>
                <w:snapToGrid w:val="0"/>
                <w:color w:val="000000" w:themeColor="text1"/>
                <w14:textFill>
                  <w14:solidFill>
                    <w14:schemeClr w14:val="tx1"/>
                  </w14:solidFill>
                </w14:textFill>
              </w:rPr>
            </w:pPr>
          </w:p>
        </w:tc>
        <w:tc>
          <w:tcPr>
            <w:tcW w:w="491" w:type="pct"/>
            <w:vAlign w:val="center"/>
          </w:tcPr>
          <w:p w14:paraId="2B2D65AD">
            <w:pPr>
              <w:pStyle w:val="143"/>
              <w:rPr>
                <w:snapToGrid w:val="0"/>
                <w:color w:val="000000" w:themeColor="text1"/>
                <w:vertAlign w:val="subscript"/>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B</w:t>
            </w:r>
            <w:r>
              <w:rPr>
                <w:snapToGrid w:val="0"/>
                <w:color w:val="000000" w:themeColor="text1"/>
                <w:lang w:eastAsia="zh-CN"/>
                <w14:textFill>
                  <w14:solidFill>
                    <w14:schemeClr w14:val="tx1"/>
                  </w14:solidFill>
                </w14:textFill>
              </w:rPr>
              <w:t>OD</w:t>
            </w:r>
            <w:r>
              <w:rPr>
                <w:snapToGrid w:val="0"/>
                <w:color w:val="000000" w:themeColor="text1"/>
                <w:vertAlign w:val="subscript"/>
                <w:lang w:eastAsia="zh-CN"/>
                <w14:textFill>
                  <w14:solidFill>
                    <w14:schemeClr w14:val="tx1"/>
                  </w14:solidFill>
                </w14:textFill>
              </w:rPr>
              <w:t>5</w:t>
            </w:r>
          </w:p>
        </w:tc>
        <w:tc>
          <w:tcPr>
            <w:tcW w:w="754" w:type="pct"/>
            <w:vAlign w:val="center"/>
          </w:tcPr>
          <w:p w14:paraId="79D36FF6">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1500</w:t>
            </w:r>
          </w:p>
        </w:tc>
        <w:tc>
          <w:tcPr>
            <w:tcW w:w="597" w:type="pct"/>
            <w:vAlign w:val="center"/>
          </w:tcPr>
          <w:p w14:paraId="2698B025">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55.60 </w:t>
            </w:r>
          </w:p>
        </w:tc>
        <w:tc>
          <w:tcPr>
            <w:tcW w:w="768" w:type="pct"/>
            <w:vAlign w:val="center"/>
          </w:tcPr>
          <w:p w14:paraId="60FCEE79">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98</w:t>
            </w:r>
            <w:r>
              <w:rPr>
                <w:rFonts w:cs="Times New Roman"/>
                <w:color w:val="000000" w:themeColor="text1"/>
                <w:szCs w:val="21"/>
                <w14:textFill>
                  <w14:solidFill>
                    <w14:schemeClr w14:val="tx1"/>
                  </w14:solidFill>
                </w14:textFill>
              </w:rPr>
              <w:t>%</w:t>
            </w:r>
          </w:p>
        </w:tc>
        <w:tc>
          <w:tcPr>
            <w:tcW w:w="597" w:type="pct"/>
            <w:vAlign w:val="center"/>
          </w:tcPr>
          <w:p w14:paraId="37F79379">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30</w:t>
            </w:r>
          </w:p>
        </w:tc>
        <w:tc>
          <w:tcPr>
            <w:tcW w:w="647" w:type="pct"/>
            <w:vAlign w:val="center"/>
          </w:tcPr>
          <w:p w14:paraId="78E7EE3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1.11</w:t>
            </w:r>
          </w:p>
        </w:tc>
      </w:tr>
      <w:tr w14:paraId="4292A1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32CF9083">
            <w:pPr>
              <w:pStyle w:val="143"/>
              <w:rPr>
                <w:snapToGrid w:val="0"/>
                <w:color w:val="000000" w:themeColor="text1"/>
                <w14:textFill>
                  <w14:solidFill>
                    <w14:schemeClr w14:val="tx1"/>
                  </w14:solidFill>
                </w14:textFill>
              </w:rPr>
            </w:pPr>
          </w:p>
        </w:tc>
        <w:tc>
          <w:tcPr>
            <w:tcW w:w="541" w:type="pct"/>
            <w:vMerge w:val="continue"/>
            <w:vAlign w:val="center"/>
          </w:tcPr>
          <w:p w14:paraId="2F97383F">
            <w:pPr>
              <w:pStyle w:val="143"/>
              <w:rPr>
                <w:snapToGrid w:val="0"/>
                <w:color w:val="000000" w:themeColor="text1"/>
                <w14:textFill>
                  <w14:solidFill>
                    <w14:schemeClr w14:val="tx1"/>
                  </w14:solidFill>
                </w14:textFill>
              </w:rPr>
            </w:pPr>
          </w:p>
        </w:tc>
        <w:tc>
          <w:tcPr>
            <w:tcW w:w="491" w:type="pct"/>
            <w:vAlign w:val="center"/>
          </w:tcPr>
          <w:p w14:paraId="0D9437D9">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S</w:t>
            </w:r>
            <w:r>
              <w:rPr>
                <w:snapToGrid w:val="0"/>
                <w:color w:val="000000" w:themeColor="text1"/>
                <w:lang w:eastAsia="zh-CN"/>
                <w14:textFill>
                  <w14:solidFill>
                    <w14:schemeClr w14:val="tx1"/>
                  </w14:solidFill>
                </w14:textFill>
              </w:rPr>
              <w:t>S</w:t>
            </w:r>
          </w:p>
        </w:tc>
        <w:tc>
          <w:tcPr>
            <w:tcW w:w="754" w:type="pct"/>
            <w:vAlign w:val="center"/>
          </w:tcPr>
          <w:p w14:paraId="68D180C0">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7</w:t>
            </w:r>
            <w:r>
              <w:rPr>
                <w:color w:val="000000" w:themeColor="text1"/>
                <w:lang w:val="en-US" w:eastAsia="zh-CN"/>
                <w14:textFill>
                  <w14:solidFill>
                    <w14:schemeClr w14:val="tx1"/>
                  </w14:solidFill>
                </w14:textFill>
              </w:rPr>
              <w:t>00</w:t>
            </w:r>
          </w:p>
        </w:tc>
        <w:tc>
          <w:tcPr>
            <w:tcW w:w="597" w:type="pct"/>
            <w:vAlign w:val="center"/>
          </w:tcPr>
          <w:p w14:paraId="6B6BC30D">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25.95 </w:t>
            </w:r>
          </w:p>
        </w:tc>
        <w:tc>
          <w:tcPr>
            <w:tcW w:w="768" w:type="pct"/>
            <w:vAlign w:val="center"/>
          </w:tcPr>
          <w:p w14:paraId="690FC7E9">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97</w:t>
            </w:r>
            <w:r>
              <w:rPr>
                <w:rFonts w:cs="Times New Roman"/>
                <w:color w:val="000000" w:themeColor="text1"/>
                <w:szCs w:val="21"/>
                <w14:textFill>
                  <w14:solidFill>
                    <w14:schemeClr w14:val="tx1"/>
                  </w14:solidFill>
                </w14:textFill>
              </w:rPr>
              <w:t>%</w:t>
            </w:r>
          </w:p>
        </w:tc>
        <w:tc>
          <w:tcPr>
            <w:tcW w:w="597" w:type="pct"/>
            <w:vAlign w:val="center"/>
          </w:tcPr>
          <w:p w14:paraId="085CB85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21</w:t>
            </w:r>
          </w:p>
        </w:tc>
        <w:tc>
          <w:tcPr>
            <w:tcW w:w="647" w:type="pct"/>
            <w:vAlign w:val="center"/>
          </w:tcPr>
          <w:p w14:paraId="2F9B6BB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0.78</w:t>
            </w:r>
          </w:p>
        </w:tc>
      </w:tr>
      <w:tr w14:paraId="714CA5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1F9F811F">
            <w:pPr>
              <w:pStyle w:val="143"/>
              <w:rPr>
                <w:snapToGrid w:val="0"/>
                <w:color w:val="000000" w:themeColor="text1"/>
                <w14:textFill>
                  <w14:solidFill>
                    <w14:schemeClr w14:val="tx1"/>
                  </w14:solidFill>
                </w14:textFill>
              </w:rPr>
            </w:pPr>
          </w:p>
        </w:tc>
        <w:tc>
          <w:tcPr>
            <w:tcW w:w="541" w:type="pct"/>
            <w:vMerge w:val="continue"/>
            <w:vAlign w:val="center"/>
          </w:tcPr>
          <w:p w14:paraId="58FCA3B0">
            <w:pPr>
              <w:pStyle w:val="143"/>
              <w:rPr>
                <w:snapToGrid w:val="0"/>
                <w:color w:val="000000" w:themeColor="text1"/>
                <w14:textFill>
                  <w14:solidFill>
                    <w14:schemeClr w14:val="tx1"/>
                  </w14:solidFill>
                </w14:textFill>
              </w:rPr>
            </w:pPr>
          </w:p>
        </w:tc>
        <w:tc>
          <w:tcPr>
            <w:tcW w:w="491" w:type="pct"/>
            <w:vAlign w:val="center"/>
          </w:tcPr>
          <w:p w14:paraId="50B10DB9">
            <w:pPr>
              <w:pStyle w:val="143"/>
              <w:rPr>
                <w:snapToGrid w:val="0"/>
                <w:color w:val="000000" w:themeColor="text1"/>
                <w:lang w:eastAsia="zh-CN"/>
                <w14:textFill>
                  <w14:solidFill>
                    <w14:schemeClr w14:val="tx1"/>
                  </w14:solidFill>
                </w14:textFill>
              </w:rPr>
            </w:pPr>
            <w:r>
              <w:rPr>
                <w:snapToGrid w:val="0"/>
                <w:color w:val="000000" w:themeColor="text1"/>
                <w:lang w:val="en-US" w:eastAsia="zh-CN"/>
                <w14:textFill>
                  <w14:solidFill>
                    <w14:schemeClr w14:val="tx1"/>
                  </w14:solidFill>
                </w14:textFill>
              </w:rPr>
              <w:t>NH</w:t>
            </w:r>
            <w:r>
              <w:rPr>
                <w:snapToGrid w:val="0"/>
                <w:color w:val="000000" w:themeColor="text1"/>
                <w:vertAlign w:val="subscript"/>
                <w:lang w:val="en-US" w:eastAsia="zh-CN"/>
                <w14:textFill>
                  <w14:solidFill>
                    <w14:schemeClr w14:val="tx1"/>
                  </w14:solidFill>
                </w14:textFill>
              </w:rPr>
              <w:t>3</w:t>
            </w:r>
            <w:r>
              <w:rPr>
                <w:snapToGrid w:val="0"/>
                <w:color w:val="000000" w:themeColor="text1"/>
                <w:lang w:val="en-US" w:eastAsia="zh-CN"/>
                <w14:textFill>
                  <w14:solidFill>
                    <w14:schemeClr w14:val="tx1"/>
                  </w14:solidFill>
                </w14:textFill>
              </w:rPr>
              <w:t>-N</w:t>
            </w:r>
          </w:p>
        </w:tc>
        <w:tc>
          <w:tcPr>
            <w:tcW w:w="754" w:type="pct"/>
            <w:vAlign w:val="center"/>
          </w:tcPr>
          <w:p w14:paraId="6B46FB08">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90</w:t>
            </w:r>
          </w:p>
        </w:tc>
        <w:tc>
          <w:tcPr>
            <w:tcW w:w="597" w:type="pct"/>
            <w:vAlign w:val="center"/>
          </w:tcPr>
          <w:p w14:paraId="7D1B2AB3">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3.34 </w:t>
            </w:r>
          </w:p>
        </w:tc>
        <w:tc>
          <w:tcPr>
            <w:tcW w:w="768" w:type="pct"/>
            <w:vAlign w:val="center"/>
          </w:tcPr>
          <w:p w14:paraId="55B87933">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85</w:t>
            </w:r>
            <w:r>
              <w:rPr>
                <w:rFonts w:cs="Times New Roman"/>
                <w:color w:val="000000" w:themeColor="text1"/>
                <w:szCs w:val="21"/>
                <w14:textFill>
                  <w14:solidFill>
                    <w14:schemeClr w14:val="tx1"/>
                  </w14:solidFill>
                </w14:textFill>
              </w:rPr>
              <w:t>%</w:t>
            </w:r>
          </w:p>
        </w:tc>
        <w:tc>
          <w:tcPr>
            <w:tcW w:w="597" w:type="pct"/>
            <w:vAlign w:val="center"/>
          </w:tcPr>
          <w:p w14:paraId="566A1030">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13.5</w:t>
            </w:r>
          </w:p>
        </w:tc>
        <w:tc>
          <w:tcPr>
            <w:tcW w:w="647" w:type="pct"/>
            <w:vAlign w:val="center"/>
          </w:tcPr>
          <w:p w14:paraId="6EBCF5EF">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0.50</w:t>
            </w:r>
          </w:p>
        </w:tc>
      </w:tr>
      <w:tr w14:paraId="109E89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0C149300">
            <w:pPr>
              <w:pStyle w:val="143"/>
              <w:rPr>
                <w:snapToGrid w:val="0"/>
                <w:color w:val="000000" w:themeColor="text1"/>
                <w14:textFill>
                  <w14:solidFill>
                    <w14:schemeClr w14:val="tx1"/>
                  </w14:solidFill>
                </w14:textFill>
              </w:rPr>
            </w:pPr>
          </w:p>
        </w:tc>
        <w:tc>
          <w:tcPr>
            <w:tcW w:w="541" w:type="pct"/>
            <w:vMerge w:val="continue"/>
            <w:vAlign w:val="center"/>
          </w:tcPr>
          <w:p w14:paraId="0EA5BABE">
            <w:pPr>
              <w:pStyle w:val="143"/>
              <w:rPr>
                <w:snapToGrid w:val="0"/>
                <w:color w:val="000000" w:themeColor="text1"/>
                <w14:textFill>
                  <w14:solidFill>
                    <w14:schemeClr w14:val="tx1"/>
                  </w14:solidFill>
                </w14:textFill>
              </w:rPr>
            </w:pPr>
          </w:p>
        </w:tc>
        <w:tc>
          <w:tcPr>
            <w:tcW w:w="491" w:type="pct"/>
            <w:vAlign w:val="center"/>
          </w:tcPr>
          <w:p w14:paraId="3B106F4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T</w:t>
            </w:r>
            <w:r>
              <w:rPr>
                <w:snapToGrid w:val="0"/>
                <w:color w:val="000000" w:themeColor="text1"/>
                <w14:textFill>
                  <w14:solidFill>
                    <w14:schemeClr w14:val="tx1"/>
                  </w14:solidFill>
                </w14:textFill>
              </w:rPr>
              <w:t>P</w:t>
            </w:r>
          </w:p>
        </w:tc>
        <w:tc>
          <w:tcPr>
            <w:tcW w:w="754" w:type="pct"/>
            <w:vAlign w:val="center"/>
          </w:tcPr>
          <w:p w14:paraId="48DDD1E7">
            <w:pPr>
              <w:pStyle w:val="143"/>
              <w:ind w:firstLine="0" w:firstLineChars="0"/>
              <w:rPr>
                <w:snapToGrid w:val="0"/>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597" w:type="pct"/>
            <w:vAlign w:val="center"/>
          </w:tcPr>
          <w:p w14:paraId="45627843">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0.37 </w:t>
            </w:r>
          </w:p>
        </w:tc>
        <w:tc>
          <w:tcPr>
            <w:tcW w:w="768" w:type="pct"/>
            <w:vAlign w:val="center"/>
          </w:tcPr>
          <w:p w14:paraId="728C9C20">
            <w:pPr>
              <w:pStyle w:val="143"/>
              <w:rPr>
                <w:snapToGrid w:val="0"/>
                <w:color w:val="000000" w:themeColor="text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75</w:t>
            </w:r>
            <w:r>
              <w:rPr>
                <w:rFonts w:cs="Times New Roman"/>
                <w:color w:val="000000" w:themeColor="text1"/>
                <w:szCs w:val="21"/>
                <w14:textFill>
                  <w14:solidFill>
                    <w14:schemeClr w14:val="tx1"/>
                  </w14:solidFill>
                </w14:textFill>
              </w:rPr>
              <w:t>%</w:t>
            </w:r>
          </w:p>
        </w:tc>
        <w:tc>
          <w:tcPr>
            <w:tcW w:w="597" w:type="pct"/>
            <w:vAlign w:val="center"/>
          </w:tcPr>
          <w:p w14:paraId="691C6AC8">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647" w:type="pct"/>
            <w:vAlign w:val="center"/>
          </w:tcPr>
          <w:p w14:paraId="03FF78BF">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r>
      <w:tr w14:paraId="71B1FD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3034E0B1">
            <w:pPr>
              <w:pStyle w:val="143"/>
              <w:rPr>
                <w:snapToGrid w:val="0"/>
                <w:color w:val="000000" w:themeColor="text1"/>
                <w14:textFill>
                  <w14:solidFill>
                    <w14:schemeClr w14:val="tx1"/>
                  </w14:solidFill>
                </w14:textFill>
              </w:rPr>
            </w:pPr>
          </w:p>
        </w:tc>
        <w:tc>
          <w:tcPr>
            <w:tcW w:w="541" w:type="pct"/>
            <w:vMerge w:val="continue"/>
            <w:vAlign w:val="center"/>
          </w:tcPr>
          <w:p w14:paraId="3BDB4F47">
            <w:pPr>
              <w:pStyle w:val="143"/>
              <w:rPr>
                <w:snapToGrid w:val="0"/>
                <w:color w:val="000000" w:themeColor="text1"/>
                <w14:textFill>
                  <w14:solidFill>
                    <w14:schemeClr w14:val="tx1"/>
                  </w14:solidFill>
                </w14:textFill>
              </w:rPr>
            </w:pPr>
          </w:p>
        </w:tc>
        <w:tc>
          <w:tcPr>
            <w:tcW w:w="491" w:type="pct"/>
            <w:vAlign w:val="center"/>
          </w:tcPr>
          <w:p w14:paraId="62CC1375">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TN</w:t>
            </w:r>
          </w:p>
        </w:tc>
        <w:tc>
          <w:tcPr>
            <w:tcW w:w="754" w:type="pct"/>
            <w:vAlign w:val="center"/>
          </w:tcPr>
          <w:p w14:paraId="242EF0DA">
            <w:pPr>
              <w:pStyle w:val="143"/>
              <w:ind w:firstLine="0" w:firstLineChars="0"/>
              <w:rPr>
                <w:rFonts w:cs="Times New Roman"/>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250</w:t>
            </w:r>
          </w:p>
        </w:tc>
        <w:tc>
          <w:tcPr>
            <w:tcW w:w="597" w:type="pct"/>
            <w:vAlign w:val="center"/>
          </w:tcPr>
          <w:p w14:paraId="19525D99">
            <w:pPr>
              <w:pStyle w:val="143"/>
              <w:ind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9.27 </w:t>
            </w:r>
          </w:p>
        </w:tc>
        <w:tc>
          <w:tcPr>
            <w:tcW w:w="1276" w:type="dxa"/>
            <w:vAlign w:val="center"/>
          </w:tcPr>
          <w:p w14:paraId="1DC5A0B5">
            <w:pPr>
              <w:pStyle w:val="143"/>
              <w:ind w:firstLine="0" w:firstLineChars="0"/>
              <w:rPr>
                <w:rFonts w:hint="default"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85%</w:t>
            </w:r>
          </w:p>
        </w:tc>
        <w:tc>
          <w:tcPr>
            <w:tcW w:w="992" w:type="dxa"/>
            <w:vAlign w:val="center"/>
          </w:tcPr>
          <w:p w14:paraId="77B84EFA">
            <w:pPr>
              <w:pStyle w:val="143"/>
              <w:ind w:firstLine="0" w:firstLineChars="0"/>
              <w:rPr>
                <w:rFonts w:hint="default"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37.5</w:t>
            </w:r>
          </w:p>
        </w:tc>
        <w:tc>
          <w:tcPr>
            <w:tcW w:w="1076" w:type="dxa"/>
            <w:vAlign w:val="center"/>
          </w:tcPr>
          <w:p w14:paraId="6B57AF8E">
            <w:pPr>
              <w:pStyle w:val="143"/>
              <w:ind w:firstLine="0" w:firstLineChars="0"/>
              <w:rPr>
                <w:rFonts w:hint="default"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1.39</w:t>
            </w:r>
          </w:p>
        </w:tc>
      </w:tr>
      <w:tr w14:paraId="177A06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02" w:type="pct"/>
            <w:vMerge w:val="continue"/>
            <w:vAlign w:val="center"/>
          </w:tcPr>
          <w:p w14:paraId="4DEEA63C">
            <w:pPr>
              <w:pStyle w:val="143"/>
              <w:rPr>
                <w:snapToGrid w:val="0"/>
                <w:color w:val="000000" w:themeColor="text1"/>
                <w14:textFill>
                  <w14:solidFill>
                    <w14:schemeClr w14:val="tx1"/>
                  </w14:solidFill>
                </w14:textFill>
              </w:rPr>
            </w:pPr>
          </w:p>
        </w:tc>
        <w:tc>
          <w:tcPr>
            <w:tcW w:w="541" w:type="pct"/>
            <w:vMerge w:val="continue"/>
            <w:vAlign w:val="center"/>
          </w:tcPr>
          <w:p w14:paraId="503C84C5">
            <w:pPr>
              <w:pStyle w:val="143"/>
              <w:rPr>
                <w:snapToGrid w:val="0"/>
                <w:color w:val="000000" w:themeColor="text1"/>
                <w14:textFill>
                  <w14:solidFill>
                    <w14:schemeClr w14:val="tx1"/>
                  </w14:solidFill>
                </w14:textFill>
              </w:rPr>
            </w:pPr>
          </w:p>
        </w:tc>
        <w:tc>
          <w:tcPr>
            <w:tcW w:w="491" w:type="pct"/>
            <w:vAlign w:val="center"/>
          </w:tcPr>
          <w:p w14:paraId="776E704C">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动植物油</w:t>
            </w:r>
          </w:p>
        </w:tc>
        <w:tc>
          <w:tcPr>
            <w:tcW w:w="754" w:type="pct"/>
            <w:vAlign w:val="center"/>
          </w:tcPr>
          <w:p w14:paraId="665A6E58">
            <w:pPr>
              <w:pStyle w:val="143"/>
              <w:ind w:firstLine="0" w:firstLineChars="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80</w:t>
            </w:r>
          </w:p>
        </w:tc>
        <w:tc>
          <w:tcPr>
            <w:tcW w:w="597" w:type="pct"/>
            <w:vAlign w:val="center"/>
          </w:tcPr>
          <w:p w14:paraId="598CC5FF">
            <w:pPr>
              <w:pStyle w:val="143"/>
              <w:ind w:firstLine="0" w:firstLineChars="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2.97</w:t>
            </w:r>
          </w:p>
        </w:tc>
        <w:tc>
          <w:tcPr>
            <w:tcW w:w="768" w:type="pct"/>
            <w:vAlign w:val="center"/>
          </w:tcPr>
          <w:p w14:paraId="6C45A1EB">
            <w:pPr>
              <w:pStyle w:val="143"/>
              <w:rPr>
                <w:rFonts w:hint="default"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50%</w:t>
            </w:r>
          </w:p>
        </w:tc>
        <w:tc>
          <w:tcPr>
            <w:tcW w:w="597" w:type="pct"/>
            <w:vAlign w:val="center"/>
          </w:tcPr>
          <w:p w14:paraId="51DB7C2F">
            <w:pPr>
              <w:pStyle w:val="143"/>
              <w:rPr>
                <w:rFonts w:hint="default"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40</w:t>
            </w:r>
          </w:p>
        </w:tc>
        <w:tc>
          <w:tcPr>
            <w:tcW w:w="647" w:type="pct"/>
            <w:vAlign w:val="center"/>
          </w:tcPr>
          <w:p w14:paraId="6C416EFB">
            <w:pPr>
              <w:pStyle w:val="143"/>
              <w:rPr>
                <w:rFonts w:hint="default"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1.48</w:t>
            </w:r>
          </w:p>
        </w:tc>
      </w:tr>
    </w:tbl>
    <w:p w14:paraId="27982D6C">
      <w:pPr>
        <w:pStyle w:val="85"/>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桦南县城镇污水处理厂</w:t>
      </w:r>
      <w:r>
        <w:rPr>
          <w:rFonts w:hint="eastAsia"/>
          <w:color w:val="000000" w:themeColor="text1"/>
          <w14:textFill>
            <w14:solidFill>
              <w14:schemeClr w14:val="tx1"/>
            </w14:solidFill>
          </w14:textFill>
        </w:rPr>
        <w:t>进水指标见下表。</w:t>
      </w:r>
    </w:p>
    <w:p w14:paraId="4513D6AE">
      <w:pPr>
        <w:pStyle w:val="206"/>
        <w:rPr>
          <w:color w:val="000000" w:themeColor="text1"/>
          <w14:textFill>
            <w14:solidFill>
              <w14:schemeClr w14:val="tx1"/>
            </w14:solidFill>
          </w14:textFill>
        </w:rPr>
      </w:pPr>
      <w:r>
        <w:rPr>
          <w:rFonts w:hint="eastAsia"/>
          <w:color w:val="000000" w:themeColor="text1"/>
          <w14:textFill>
            <w14:solidFill>
              <w14:schemeClr w14:val="tx1"/>
            </w14:solidFill>
          </w14:textFill>
        </w:rPr>
        <w:t>表6</w:t>
      </w:r>
      <w:r>
        <w:rPr>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 xml:space="preserve"> </w:t>
      </w:r>
      <w:r>
        <w:rPr>
          <w:rFonts w:hint="eastAsia"/>
          <w:color w:val="000000" w:themeColor="text1"/>
          <w:lang w:eastAsia="zh-CN"/>
          <w14:textFill>
            <w14:solidFill>
              <w14:schemeClr w14:val="tx1"/>
            </w14:solidFill>
          </w14:textFill>
        </w:rPr>
        <w:t>桦南县城镇污水处理厂</w:t>
      </w:r>
      <w:r>
        <w:rPr>
          <w:rFonts w:hint="eastAsia"/>
          <w:color w:val="000000" w:themeColor="text1"/>
          <w14:textFill>
            <w14:solidFill>
              <w14:schemeClr w14:val="tx1"/>
            </w14:solidFill>
          </w14:textFill>
        </w:rPr>
        <w:t>进水指标</w:t>
      </w:r>
    </w:p>
    <w:tbl>
      <w:tblPr>
        <w:tblStyle w:val="421"/>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89"/>
        <w:gridCol w:w="1389"/>
        <w:gridCol w:w="995"/>
        <w:gridCol w:w="905"/>
        <w:gridCol w:w="992"/>
        <w:gridCol w:w="851"/>
        <w:gridCol w:w="992"/>
        <w:gridCol w:w="794"/>
      </w:tblGrid>
      <w:tr w14:paraId="0534BA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89" w:type="dxa"/>
            <w:vAlign w:val="center"/>
          </w:tcPr>
          <w:p w14:paraId="001BF434">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污染物项目</w:t>
            </w:r>
          </w:p>
        </w:tc>
        <w:tc>
          <w:tcPr>
            <w:tcW w:w="1389" w:type="dxa"/>
            <w:vAlign w:val="center"/>
          </w:tcPr>
          <w:p w14:paraId="4B742ECE">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污染物名称</w:t>
            </w:r>
          </w:p>
        </w:tc>
        <w:tc>
          <w:tcPr>
            <w:tcW w:w="995" w:type="dxa"/>
            <w:vAlign w:val="center"/>
          </w:tcPr>
          <w:p w14:paraId="43346C5B">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C</w:t>
            </w:r>
            <w:r>
              <w:rPr>
                <w:snapToGrid w:val="0"/>
                <w:color w:val="000000" w:themeColor="text1"/>
                <w:kern w:val="0"/>
                <w:szCs w:val="21"/>
                <w:lang w:eastAsia="zh-CN"/>
                <w14:textFill>
                  <w14:solidFill>
                    <w14:schemeClr w14:val="tx1"/>
                  </w14:solidFill>
                </w14:textFill>
              </w:rPr>
              <w:t>OD</w:t>
            </w:r>
          </w:p>
        </w:tc>
        <w:tc>
          <w:tcPr>
            <w:tcW w:w="905" w:type="dxa"/>
            <w:vAlign w:val="center"/>
          </w:tcPr>
          <w:p w14:paraId="4D2DA6EA">
            <w:pPr>
              <w:pStyle w:val="143"/>
              <w:rPr>
                <w:snapToGrid w:val="0"/>
                <w:color w:val="000000" w:themeColor="text1"/>
                <w:kern w:val="0"/>
                <w:szCs w:val="21"/>
                <w:vertAlign w:val="subscript"/>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B</w:t>
            </w:r>
            <w:r>
              <w:rPr>
                <w:snapToGrid w:val="0"/>
                <w:color w:val="000000" w:themeColor="text1"/>
                <w:kern w:val="0"/>
                <w:szCs w:val="21"/>
                <w:lang w:eastAsia="zh-CN"/>
                <w14:textFill>
                  <w14:solidFill>
                    <w14:schemeClr w14:val="tx1"/>
                  </w14:solidFill>
                </w14:textFill>
              </w:rPr>
              <w:t>OD</w:t>
            </w:r>
            <w:r>
              <w:rPr>
                <w:snapToGrid w:val="0"/>
                <w:color w:val="000000" w:themeColor="text1"/>
                <w:kern w:val="0"/>
                <w:szCs w:val="21"/>
                <w:vertAlign w:val="subscript"/>
                <w:lang w:eastAsia="zh-CN"/>
                <w14:textFill>
                  <w14:solidFill>
                    <w14:schemeClr w14:val="tx1"/>
                  </w14:solidFill>
                </w14:textFill>
              </w:rPr>
              <w:t>5</w:t>
            </w:r>
          </w:p>
        </w:tc>
        <w:tc>
          <w:tcPr>
            <w:tcW w:w="992" w:type="dxa"/>
            <w:vAlign w:val="center"/>
          </w:tcPr>
          <w:p w14:paraId="6B694043">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S</w:t>
            </w:r>
            <w:r>
              <w:rPr>
                <w:snapToGrid w:val="0"/>
                <w:color w:val="000000" w:themeColor="text1"/>
                <w:kern w:val="0"/>
                <w:szCs w:val="21"/>
                <w:lang w:val="en-US" w:eastAsia="zh-CN"/>
                <w14:textFill>
                  <w14:solidFill>
                    <w14:schemeClr w14:val="tx1"/>
                  </w14:solidFill>
                </w14:textFill>
              </w:rPr>
              <w:t>S</w:t>
            </w:r>
          </w:p>
        </w:tc>
        <w:tc>
          <w:tcPr>
            <w:tcW w:w="851" w:type="dxa"/>
            <w:vAlign w:val="center"/>
          </w:tcPr>
          <w:p w14:paraId="3FD341B3">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N</w:t>
            </w:r>
            <w:r>
              <w:rPr>
                <w:snapToGrid w:val="0"/>
                <w:color w:val="000000" w:themeColor="text1"/>
                <w:kern w:val="0"/>
                <w:szCs w:val="21"/>
                <w:lang w:eastAsia="zh-CN"/>
                <w14:textFill>
                  <w14:solidFill>
                    <w14:schemeClr w14:val="tx1"/>
                  </w14:solidFill>
                </w14:textFill>
              </w:rPr>
              <w:t>H</w:t>
            </w:r>
            <w:r>
              <w:rPr>
                <w:snapToGrid w:val="0"/>
                <w:color w:val="000000" w:themeColor="text1"/>
                <w:kern w:val="0"/>
                <w:szCs w:val="21"/>
                <w:vertAlign w:val="subscript"/>
                <w:lang w:eastAsia="zh-CN"/>
                <w14:textFill>
                  <w14:solidFill>
                    <w14:schemeClr w14:val="tx1"/>
                  </w14:solidFill>
                </w14:textFill>
              </w:rPr>
              <w:t>3</w:t>
            </w:r>
            <w:r>
              <w:rPr>
                <w:snapToGrid w:val="0"/>
                <w:color w:val="000000" w:themeColor="text1"/>
                <w:kern w:val="0"/>
                <w:szCs w:val="21"/>
                <w:lang w:eastAsia="zh-CN"/>
                <w14:textFill>
                  <w14:solidFill>
                    <w14:schemeClr w14:val="tx1"/>
                  </w14:solidFill>
                </w14:textFill>
              </w:rPr>
              <w:t>-N</w:t>
            </w:r>
          </w:p>
        </w:tc>
        <w:tc>
          <w:tcPr>
            <w:tcW w:w="992" w:type="dxa"/>
            <w:vAlign w:val="center"/>
          </w:tcPr>
          <w:p w14:paraId="268C5781">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T</w:t>
            </w:r>
            <w:r>
              <w:rPr>
                <w:snapToGrid w:val="0"/>
                <w:color w:val="000000" w:themeColor="text1"/>
                <w:kern w:val="0"/>
                <w:szCs w:val="21"/>
                <w:lang w:eastAsia="zh-CN"/>
                <w14:textFill>
                  <w14:solidFill>
                    <w14:schemeClr w14:val="tx1"/>
                  </w14:solidFill>
                </w14:textFill>
              </w:rPr>
              <w:t>P</w:t>
            </w:r>
          </w:p>
        </w:tc>
        <w:tc>
          <w:tcPr>
            <w:tcW w:w="794" w:type="dxa"/>
            <w:vAlign w:val="center"/>
          </w:tcPr>
          <w:p w14:paraId="7105C3C8">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T</w:t>
            </w:r>
            <w:r>
              <w:rPr>
                <w:snapToGrid w:val="0"/>
                <w:color w:val="000000" w:themeColor="text1"/>
                <w:kern w:val="0"/>
                <w:szCs w:val="21"/>
                <w:lang w:eastAsia="zh-CN"/>
                <w14:textFill>
                  <w14:solidFill>
                    <w14:schemeClr w14:val="tx1"/>
                  </w14:solidFill>
                </w14:textFill>
              </w:rPr>
              <w:t>N</w:t>
            </w:r>
          </w:p>
        </w:tc>
      </w:tr>
      <w:tr w14:paraId="59520A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89" w:type="dxa"/>
            <w:vAlign w:val="center"/>
          </w:tcPr>
          <w:p w14:paraId="3BB0EBF8">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进水水质</w:t>
            </w:r>
          </w:p>
        </w:tc>
        <w:tc>
          <w:tcPr>
            <w:tcW w:w="1389" w:type="dxa"/>
            <w:vAlign w:val="center"/>
          </w:tcPr>
          <w:p w14:paraId="0D595A65">
            <w:pPr>
              <w:pStyle w:val="143"/>
              <w:jc w:val="both"/>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浓度（mg</w:t>
            </w:r>
            <w:r>
              <w:rPr>
                <w:snapToGrid w:val="0"/>
                <w:color w:val="000000" w:themeColor="text1"/>
                <w:kern w:val="0"/>
                <w:szCs w:val="21"/>
                <w:lang w:eastAsia="zh-CN"/>
                <w14:textFill>
                  <w14:solidFill>
                    <w14:schemeClr w14:val="tx1"/>
                  </w14:solidFill>
                </w14:textFill>
              </w:rPr>
              <w:t>/L</w:t>
            </w:r>
            <w:r>
              <w:rPr>
                <w:rFonts w:hint="eastAsia"/>
                <w:snapToGrid w:val="0"/>
                <w:color w:val="000000" w:themeColor="text1"/>
                <w:kern w:val="0"/>
                <w:szCs w:val="21"/>
                <w:lang w:eastAsia="zh-CN"/>
                <w14:textFill>
                  <w14:solidFill>
                    <w14:schemeClr w14:val="tx1"/>
                  </w14:solidFill>
                </w14:textFill>
              </w:rPr>
              <w:t>）</w:t>
            </w:r>
          </w:p>
        </w:tc>
        <w:tc>
          <w:tcPr>
            <w:tcW w:w="995" w:type="dxa"/>
            <w:vAlign w:val="center"/>
          </w:tcPr>
          <w:p w14:paraId="37ED8B3D">
            <w:pPr>
              <w:pStyle w:val="143"/>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350</w:t>
            </w:r>
          </w:p>
        </w:tc>
        <w:tc>
          <w:tcPr>
            <w:tcW w:w="905" w:type="dxa"/>
            <w:vAlign w:val="center"/>
          </w:tcPr>
          <w:p w14:paraId="2F0385FE">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2</w:t>
            </w:r>
            <w:r>
              <w:rPr>
                <w:snapToGrid w:val="0"/>
                <w:color w:val="000000" w:themeColor="text1"/>
                <w:kern w:val="0"/>
                <w:szCs w:val="21"/>
                <w:lang w:eastAsia="zh-CN"/>
                <w14:textFill>
                  <w14:solidFill>
                    <w14:schemeClr w14:val="tx1"/>
                  </w14:solidFill>
                </w14:textFill>
              </w:rPr>
              <w:t>00</w:t>
            </w:r>
          </w:p>
        </w:tc>
        <w:tc>
          <w:tcPr>
            <w:tcW w:w="992" w:type="dxa"/>
            <w:vAlign w:val="center"/>
          </w:tcPr>
          <w:p w14:paraId="35382B27">
            <w:pPr>
              <w:pStyle w:val="143"/>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300</w:t>
            </w:r>
          </w:p>
        </w:tc>
        <w:tc>
          <w:tcPr>
            <w:tcW w:w="851" w:type="dxa"/>
            <w:vAlign w:val="center"/>
          </w:tcPr>
          <w:p w14:paraId="46DC54C1">
            <w:pPr>
              <w:pStyle w:val="143"/>
              <w:rPr>
                <w:snapToGrid w:val="0"/>
                <w:color w:val="000000" w:themeColor="text1"/>
                <w:kern w:val="0"/>
                <w:szCs w:val="21"/>
                <w:lang w:eastAsia="zh-CN"/>
                <w14:textFill>
                  <w14:solidFill>
                    <w14:schemeClr w14:val="tx1"/>
                  </w14:solidFill>
                </w14:textFill>
              </w:rPr>
            </w:pPr>
            <w:r>
              <w:rPr>
                <w:snapToGrid w:val="0"/>
                <w:color w:val="000000" w:themeColor="text1"/>
                <w:kern w:val="0"/>
                <w:szCs w:val="21"/>
                <w:lang w:eastAsia="zh-CN"/>
                <w14:textFill>
                  <w14:solidFill>
                    <w14:schemeClr w14:val="tx1"/>
                  </w14:solidFill>
                </w14:textFill>
              </w:rPr>
              <w:t>25</w:t>
            </w:r>
          </w:p>
        </w:tc>
        <w:tc>
          <w:tcPr>
            <w:tcW w:w="992" w:type="dxa"/>
            <w:vAlign w:val="center"/>
          </w:tcPr>
          <w:p w14:paraId="0DAC44EF">
            <w:pPr>
              <w:pStyle w:val="143"/>
              <w:rPr>
                <w:rFonts w:hint="default"/>
                <w:snapToGrid w:val="0"/>
                <w:color w:val="000000" w:themeColor="text1"/>
                <w:kern w:val="0"/>
                <w:szCs w:val="21"/>
                <w:lang w:val="en-US" w:eastAsia="zh-CN"/>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30</w:t>
            </w:r>
          </w:p>
        </w:tc>
        <w:tc>
          <w:tcPr>
            <w:tcW w:w="794" w:type="dxa"/>
            <w:vAlign w:val="center"/>
          </w:tcPr>
          <w:p w14:paraId="24DD4FFB">
            <w:pPr>
              <w:pStyle w:val="143"/>
              <w:rPr>
                <w:snapToGrid w:val="0"/>
                <w:color w:val="000000" w:themeColor="text1"/>
                <w:kern w:val="0"/>
                <w:szCs w:val="21"/>
                <w:lang w:eastAsia="zh-CN"/>
                <w14:textFill>
                  <w14:solidFill>
                    <w14:schemeClr w14:val="tx1"/>
                  </w14:solidFill>
                </w14:textFill>
              </w:rPr>
            </w:pPr>
            <w:r>
              <w:rPr>
                <w:rFonts w:hint="eastAsia"/>
                <w:snapToGrid w:val="0"/>
                <w:color w:val="000000" w:themeColor="text1"/>
                <w:kern w:val="0"/>
                <w:szCs w:val="21"/>
                <w:lang w:eastAsia="zh-CN"/>
                <w14:textFill>
                  <w14:solidFill>
                    <w14:schemeClr w14:val="tx1"/>
                  </w14:solidFill>
                </w14:textFill>
              </w:rPr>
              <w:t>4</w:t>
            </w:r>
            <w:r>
              <w:rPr>
                <w:snapToGrid w:val="0"/>
                <w:color w:val="000000" w:themeColor="text1"/>
                <w:kern w:val="0"/>
                <w:szCs w:val="21"/>
                <w:lang w:eastAsia="zh-CN"/>
                <w14:textFill>
                  <w14:solidFill>
                    <w14:schemeClr w14:val="tx1"/>
                  </w14:solidFill>
                </w14:textFill>
              </w:rPr>
              <w:t>0</w:t>
            </w:r>
          </w:p>
        </w:tc>
      </w:tr>
    </w:tbl>
    <w:p w14:paraId="0AF717C4">
      <w:pPr>
        <w:pStyle w:val="85"/>
        <w:rPr>
          <w:snapToGrid w:val="0"/>
          <w:color w:val="000000" w:themeColor="text1"/>
          <w14:textFill>
            <w14:solidFill>
              <w14:schemeClr w14:val="tx1"/>
            </w14:solidFill>
          </w14:textFill>
        </w:rPr>
      </w:pPr>
      <w:r>
        <w:rPr>
          <w:rFonts w:hint="eastAsia"/>
          <w:color w:val="000000" w:themeColor="text1"/>
          <w14:textFill>
            <w14:solidFill>
              <w14:schemeClr w14:val="tx1"/>
            </w14:solidFill>
          </w14:textFill>
        </w:rPr>
        <w:t>根据上述分析，本项目废水</w:t>
      </w:r>
      <w:r>
        <w:rPr>
          <w:rFonts w:hint="eastAsia"/>
          <w:color w:val="000000" w:themeColor="text1"/>
          <w:lang w:val="en-US" w:eastAsia="zh-CN"/>
          <w14:textFill>
            <w14:solidFill>
              <w14:schemeClr w14:val="tx1"/>
            </w14:solidFill>
          </w14:textFill>
        </w:rPr>
        <w:t>排放</w:t>
      </w:r>
      <w:r>
        <w:rPr>
          <w:rFonts w:hint="eastAsia"/>
          <w:color w:val="000000" w:themeColor="text1"/>
          <w14:textFill>
            <w14:solidFill>
              <w14:schemeClr w14:val="tx1"/>
            </w14:solidFill>
          </w14:textFill>
        </w:rPr>
        <w:t>浓度均低于</w:t>
      </w:r>
      <w:r>
        <w:rPr>
          <w:rFonts w:hint="eastAsia"/>
          <w:color w:val="000000" w:themeColor="text1"/>
          <w:lang w:eastAsia="zh-CN"/>
          <w14:textFill>
            <w14:solidFill>
              <w14:schemeClr w14:val="tx1"/>
            </w14:solidFill>
          </w14:textFill>
        </w:rPr>
        <w:t>桦南县城镇污水处理厂</w:t>
      </w:r>
      <w:r>
        <w:rPr>
          <w:rFonts w:hint="eastAsia"/>
          <w:color w:val="000000" w:themeColor="text1"/>
          <w14:textFill>
            <w14:solidFill>
              <w14:schemeClr w14:val="tx1"/>
            </w14:solidFill>
          </w14:textFill>
        </w:rPr>
        <w:t>进水指标，因此从水质角度分析，</w:t>
      </w:r>
      <w:r>
        <w:rPr>
          <w:rFonts w:hint="eastAsia"/>
          <w:snapToGrid w:val="0"/>
          <w:color w:val="000000" w:themeColor="text1"/>
          <w14:textFill>
            <w14:solidFill>
              <w14:schemeClr w14:val="tx1"/>
            </w14:solidFill>
          </w14:textFill>
        </w:rPr>
        <w:t>本项目废水依托</w:t>
      </w:r>
      <w:r>
        <w:rPr>
          <w:rFonts w:hint="eastAsia"/>
          <w:snapToGrid w:val="0"/>
          <w:color w:val="000000" w:themeColor="text1"/>
          <w:lang w:eastAsia="zh-CN"/>
          <w14:textFill>
            <w14:solidFill>
              <w14:schemeClr w14:val="tx1"/>
            </w14:solidFill>
          </w14:textFill>
        </w:rPr>
        <w:t>桦南县城镇污水处理厂</w:t>
      </w:r>
      <w:r>
        <w:rPr>
          <w:rFonts w:hint="eastAsia"/>
          <w:snapToGrid w:val="0"/>
          <w:color w:val="000000" w:themeColor="text1"/>
          <w14:textFill>
            <w14:solidFill>
              <w14:schemeClr w14:val="tx1"/>
            </w14:solidFill>
          </w14:textFill>
        </w:rPr>
        <w:t>处理可行。</w:t>
      </w:r>
    </w:p>
    <w:p w14:paraId="019CD504">
      <w:pPr>
        <w:pStyle w:val="85"/>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、结论</w:t>
      </w:r>
    </w:p>
    <w:p w14:paraId="09BC68F3">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综上</w:t>
      </w:r>
      <w:r>
        <w:rPr>
          <w:rFonts w:hint="eastAsia"/>
          <w:snapToGrid w:val="0"/>
          <w:color w:val="000000" w:themeColor="text1"/>
          <w14:textFill>
            <w14:solidFill>
              <w14:schemeClr w14:val="tx1"/>
            </w14:solidFill>
          </w14:textFill>
        </w:rPr>
        <w:t>所述，</w:t>
      </w:r>
      <w:r>
        <w:rPr>
          <w:snapToGrid w:val="0"/>
          <w:color w:val="000000" w:themeColor="text1"/>
          <w:kern w:val="0"/>
          <w:szCs w:val="24"/>
          <w14:textFill>
            <w14:solidFill>
              <w14:schemeClr w14:val="tx1"/>
            </w14:solidFill>
          </w14:textFill>
        </w:rPr>
        <w:t>从</w:t>
      </w:r>
      <w:r>
        <w:rPr>
          <w:rFonts w:hint="eastAsia"/>
          <w:snapToGrid w:val="0"/>
          <w:color w:val="000000" w:themeColor="text1"/>
          <w:kern w:val="0"/>
          <w:szCs w:val="24"/>
          <w14:textFill>
            <w14:solidFill>
              <w14:schemeClr w14:val="tx1"/>
            </w14:solidFill>
          </w14:textFill>
        </w:rPr>
        <w:t>废水</w:t>
      </w:r>
      <w:r>
        <w:rPr>
          <w:snapToGrid w:val="0"/>
          <w:color w:val="000000" w:themeColor="text1"/>
          <w:kern w:val="0"/>
          <w:szCs w:val="24"/>
          <w14:textFill>
            <w14:solidFill>
              <w14:schemeClr w14:val="tx1"/>
            </w14:solidFill>
          </w14:textFill>
        </w:rPr>
        <w:t>水质</w:t>
      </w:r>
      <w:r>
        <w:rPr>
          <w:rFonts w:hint="eastAsia"/>
          <w:snapToGrid w:val="0"/>
          <w:color w:val="000000" w:themeColor="text1"/>
          <w:kern w:val="0"/>
          <w:szCs w:val="24"/>
          <w14:textFill>
            <w14:solidFill>
              <w14:schemeClr w14:val="tx1"/>
            </w14:solidFill>
          </w14:textFill>
        </w:rPr>
        <w:t>、</w:t>
      </w:r>
      <w:r>
        <w:rPr>
          <w:snapToGrid w:val="0"/>
          <w:color w:val="000000" w:themeColor="text1"/>
          <w:kern w:val="0"/>
          <w:szCs w:val="24"/>
          <w14:textFill>
            <w14:solidFill>
              <w14:schemeClr w14:val="tx1"/>
            </w14:solidFill>
          </w14:textFill>
        </w:rPr>
        <w:t>水量角度</w:t>
      </w:r>
      <w:r>
        <w:rPr>
          <w:rFonts w:hint="eastAsia"/>
          <w:snapToGrid w:val="0"/>
          <w:color w:val="000000" w:themeColor="text1"/>
          <w:kern w:val="0"/>
          <w:szCs w:val="24"/>
          <w14:textFill>
            <w14:solidFill>
              <w14:schemeClr w14:val="tx1"/>
            </w14:solidFill>
          </w14:textFill>
        </w:rPr>
        <w:t>分析，本项目产生的废水依托</w:t>
      </w:r>
      <w:r>
        <w:rPr>
          <w:rFonts w:hint="eastAsia"/>
          <w:snapToGrid w:val="0"/>
          <w:color w:val="000000" w:themeColor="text1"/>
          <w:kern w:val="0"/>
          <w:szCs w:val="24"/>
          <w:lang w:eastAsia="zh-CN"/>
          <w14:textFill>
            <w14:solidFill>
              <w14:schemeClr w14:val="tx1"/>
            </w14:solidFill>
          </w14:textFill>
        </w:rPr>
        <w:t>桦南县城镇污水处理厂</w:t>
      </w:r>
      <w:r>
        <w:rPr>
          <w:rFonts w:hint="eastAsia"/>
          <w:snapToGrid w:val="0"/>
          <w:color w:val="000000" w:themeColor="text1"/>
          <w:kern w:val="0"/>
          <w:szCs w:val="24"/>
          <w14:textFill>
            <w14:solidFill>
              <w14:schemeClr w14:val="tx1"/>
            </w14:solidFill>
          </w14:textFill>
        </w:rPr>
        <w:t>处理合理可行</w:t>
      </w:r>
      <w:r>
        <w:rPr>
          <w:snapToGrid w:val="0"/>
          <w:color w:val="000000" w:themeColor="text1"/>
          <w:kern w:val="0"/>
          <w:szCs w:val="24"/>
          <w14:textFill>
            <w14:solidFill>
              <w14:schemeClr w14:val="tx1"/>
            </w14:solidFill>
          </w14:textFill>
        </w:rPr>
        <w:t>。</w:t>
      </w:r>
    </w:p>
    <w:p w14:paraId="3F3157DC">
      <w:pPr>
        <w:pStyle w:val="6"/>
        <w:rPr>
          <w:snapToGrid w:val="0"/>
          <w:color w:val="000000" w:themeColor="text1"/>
          <w14:textFill>
            <w14:solidFill>
              <w14:schemeClr w14:val="tx1"/>
            </w14:solidFill>
          </w14:textFill>
        </w:rPr>
      </w:pPr>
      <w:bookmarkStart w:id="345" w:name="_Toc4250"/>
      <w:r>
        <w:rPr>
          <w:snapToGrid w:val="0"/>
          <w:color w:val="000000" w:themeColor="text1"/>
          <w14:textFill>
            <w14:solidFill>
              <w14:schemeClr w14:val="tx1"/>
            </w14:solidFill>
          </w14:textFill>
        </w:rPr>
        <w:t>6.2.3地下水污染防治措施</w:t>
      </w:r>
      <w:bookmarkEnd w:id="345"/>
    </w:p>
    <w:p w14:paraId="63045678">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6</w:t>
      </w:r>
      <w:r>
        <w:rPr>
          <w:snapToGrid w:val="0"/>
          <w:color w:val="000000" w:themeColor="text1"/>
          <w14:textFill>
            <w14:solidFill>
              <w14:schemeClr w14:val="tx1"/>
            </w14:solidFill>
          </w14:textFill>
        </w:rPr>
        <w:t>.2.3.1</w:t>
      </w:r>
      <w:r>
        <w:rPr>
          <w:rFonts w:hint="eastAsia"/>
          <w:snapToGrid w:val="0"/>
          <w:color w:val="000000" w:themeColor="text1"/>
          <w:lang w:eastAsia="zh-CN"/>
          <w14:textFill>
            <w14:solidFill>
              <w14:schemeClr w14:val="tx1"/>
            </w14:solidFill>
          </w14:textFill>
        </w:rPr>
        <w:t>分区防渗</w:t>
      </w:r>
      <w:r>
        <w:rPr>
          <w:snapToGrid w:val="0"/>
          <w:color w:val="000000" w:themeColor="text1"/>
          <w14:textFill>
            <w14:solidFill>
              <w14:schemeClr w14:val="tx1"/>
            </w14:solidFill>
          </w14:textFill>
        </w:rPr>
        <w:t>措施</w:t>
      </w:r>
    </w:p>
    <w:p w14:paraId="1E8396E5">
      <w:pPr>
        <w:pStyle w:val="85"/>
        <w:rPr>
          <w:snapToGrid w:val="0"/>
          <w:color w:val="000000" w:themeColor="text1"/>
          <w:kern w:val="0"/>
          <w:szCs w:val="24"/>
          <w14:textFill>
            <w14:solidFill>
              <w14:schemeClr w14:val="tx1"/>
            </w14:solidFill>
          </w14:textFill>
        </w:rPr>
      </w:pPr>
      <w:r>
        <w:rPr>
          <w:rFonts w:hint="eastAsia"/>
          <w:snapToGrid w:val="0"/>
          <w:color w:val="000000" w:themeColor="text1"/>
          <w:kern w:val="0"/>
          <w:szCs w:val="24"/>
          <w14:textFill>
            <w14:solidFill>
              <w14:schemeClr w14:val="tx1"/>
            </w14:solidFill>
          </w14:textFill>
        </w:rPr>
        <w:t>1、分区防渗</w:t>
      </w:r>
    </w:p>
    <w:p w14:paraId="645B5DB1">
      <w:pPr>
        <w:pStyle w:val="85"/>
        <w:rPr>
          <w:snapToGrid w:val="0"/>
          <w:color w:val="000000" w:themeColor="text1"/>
          <w:kern w:val="0"/>
          <w:szCs w:val="24"/>
          <w14:textFill>
            <w14:solidFill>
              <w14:schemeClr w14:val="tx1"/>
            </w14:solidFill>
          </w14:textFill>
        </w:rPr>
      </w:pPr>
      <w:r>
        <w:rPr>
          <w:rFonts w:hint="eastAsia"/>
          <w:snapToGrid w:val="0"/>
          <w:color w:val="000000" w:themeColor="text1"/>
          <w:kern w:val="0"/>
          <w:szCs w:val="24"/>
          <w14:textFill>
            <w14:solidFill>
              <w14:schemeClr w14:val="tx1"/>
            </w14:solidFill>
          </w14:textFill>
        </w:rPr>
        <w:t>根据《环境影响评价技术导则 地下水环境》（HJ610-2016），地下水</w:t>
      </w:r>
      <w:r>
        <w:rPr>
          <w:snapToGrid w:val="0"/>
          <w:color w:val="000000" w:themeColor="text1"/>
          <w:kern w:val="0"/>
          <w:szCs w:val="24"/>
          <w14:textFill>
            <w14:solidFill>
              <w14:schemeClr w14:val="tx1"/>
            </w14:solidFill>
          </w14:textFill>
        </w:rPr>
        <w:t>防渗分区参照</w:t>
      </w:r>
      <w:r>
        <w:rPr>
          <w:snapToGrid w:val="0"/>
          <w:color w:val="000000" w:themeColor="text1"/>
          <w:kern w:val="0"/>
          <w:szCs w:val="24"/>
          <w:highlight w:val="none"/>
          <w14:textFill>
            <w14:solidFill>
              <w14:schemeClr w14:val="tx1"/>
            </w14:solidFill>
          </w14:textFill>
        </w:rPr>
        <w:t>表6-2-</w:t>
      </w:r>
      <w:r>
        <w:rPr>
          <w:rFonts w:hint="eastAsia"/>
          <w:snapToGrid w:val="0"/>
          <w:color w:val="000000" w:themeColor="text1"/>
          <w:kern w:val="0"/>
          <w:szCs w:val="24"/>
          <w:highlight w:val="none"/>
          <w:lang w:val="en-US" w:eastAsia="zh-CN"/>
          <w14:textFill>
            <w14:solidFill>
              <w14:schemeClr w14:val="tx1"/>
            </w14:solidFill>
          </w14:textFill>
        </w:rPr>
        <w:t>7</w:t>
      </w:r>
      <w:r>
        <w:rPr>
          <w:snapToGrid w:val="0"/>
          <w:color w:val="000000" w:themeColor="text1"/>
          <w:kern w:val="0"/>
          <w:szCs w:val="24"/>
          <w:highlight w:val="none"/>
          <w14:textFill>
            <w14:solidFill>
              <w14:schemeClr w14:val="tx1"/>
            </w14:solidFill>
          </w14:textFill>
        </w:rPr>
        <w:t>。</w:t>
      </w:r>
    </w:p>
    <w:p w14:paraId="0BC02E61">
      <w:pPr>
        <w:adjustRightInd w:val="0"/>
        <w:snapToGrid w:val="0"/>
        <w:spacing w:line="500" w:lineRule="exact"/>
        <w:ind w:firstLine="0" w:firstLineChars="0"/>
        <w:jc w:val="center"/>
        <w:rPr>
          <w:rFonts w:ascii="Times New Roman" w:hAnsi="Times New Roman" w:eastAsia="黑体" w:cs="Times New Roman"/>
          <w:color w:val="000000"/>
          <w:kern w:val="0"/>
          <w:szCs w:val="20"/>
        </w:rPr>
      </w:pPr>
      <w:r>
        <w:rPr>
          <w:rFonts w:hint="eastAsia" w:ascii="Times New Roman" w:hAnsi="Times New Roman" w:eastAsia="黑体" w:cs="Times New Roman"/>
          <w:color w:val="000000"/>
          <w:kern w:val="0"/>
          <w:szCs w:val="20"/>
        </w:rPr>
        <w:t>表6-2</w:t>
      </w:r>
      <w:r>
        <w:rPr>
          <w:rFonts w:ascii="Times New Roman" w:hAnsi="Times New Roman" w:eastAsia="黑体" w:cs="Times New Roman"/>
          <w:color w:val="000000"/>
          <w:kern w:val="0"/>
          <w:szCs w:val="20"/>
        </w:rPr>
        <w:t>-</w:t>
      </w:r>
      <w:r>
        <w:rPr>
          <w:rFonts w:hint="eastAsia" w:eastAsia="黑体" w:cs="Times New Roman"/>
          <w:color w:val="000000"/>
          <w:kern w:val="0"/>
          <w:szCs w:val="20"/>
          <w:lang w:val="en-US" w:eastAsia="zh-CN"/>
        </w:rPr>
        <w:t>5</w:t>
      </w:r>
      <w:r>
        <w:rPr>
          <w:rFonts w:hint="eastAsia" w:ascii="Times New Roman" w:hAnsi="Times New Roman" w:eastAsia="黑体" w:cs="Times New Roman"/>
          <w:color w:val="000000"/>
          <w:kern w:val="0"/>
          <w:szCs w:val="20"/>
        </w:rPr>
        <w:t xml:space="preserve"> </w:t>
      </w:r>
      <w:r>
        <w:rPr>
          <w:rFonts w:ascii="Times New Roman" w:hAnsi="Times New Roman" w:eastAsia="黑体" w:cs="Times New Roman"/>
          <w:color w:val="000000"/>
          <w:kern w:val="0"/>
          <w:szCs w:val="20"/>
        </w:rPr>
        <w:t xml:space="preserve"> </w:t>
      </w:r>
      <w:r>
        <w:rPr>
          <w:rFonts w:hint="eastAsia" w:ascii="Times New Roman" w:hAnsi="Times New Roman" w:eastAsia="黑体" w:cs="Times New Roman"/>
          <w:color w:val="000000"/>
          <w:kern w:val="0"/>
          <w:szCs w:val="20"/>
        </w:rPr>
        <w:t>污染控制难易程度分级参照表</w:t>
      </w:r>
    </w:p>
    <w:tbl>
      <w:tblPr>
        <w:tblStyle w:val="49"/>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047"/>
        <w:gridCol w:w="6482"/>
      </w:tblGrid>
      <w:tr w14:paraId="37C961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2047" w:type="dxa"/>
            <w:noWrap w:val="0"/>
            <w:vAlign w:val="center"/>
          </w:tcPr>
          <w:p w14:paraId="7992CAE1">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污染控制难易程度</w:t>
            </w:r>
          </w:p>
        </w:tc>
        <w:tc>
          <w:tcPr>
            <w:tcW w:w="6482" w:type="dxa"/>
            <w:noWrap w:val="0"/>
            <w:vAlign w:val="center"/>
          </w:tcPr>
          <w:p w14:paraId="68F6A1F7">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主要特征</w:t>
            </w:r>
          </w:p>
        </w:tc>
      </w:tr>
      <w:tr w14:paraId="27D7F1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2047" w:type="dxa"/>
            <w:noWrap w:val="0"/>
            <w:vAlign w:val="center"/>
          </w:tcPr>
          <w:p w14:paraId="4E31262E">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难</w:t>
            </w:r>
          </w:p>
        </w:tc>
        <w:tc>
          <w:tcPr>
            <w:tcW w:w="6482" w:type="dxa"/>
            <w:noWrap w:val="0"/>
            <w:vAlign w:val="center"/>
          </w:tcPr>
          <w:p w14:paraId="0D98F26F">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对地下水环境有污染的物料或污染物泄漏后，不能及时发现和处理</w:t>
            </w:r>
          </w:p>
        </w:tc>
      </w:tr>
      <w:tr w14:paraId="523083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2047" w:type="dxa"/>
            <w:noWrap w:val="0"/>
            <w:vAlign w:val="center"/>
          </w:tcPr>
          <w:p w14:paraId="39C560EA">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易</w:t>
            </w:r>
          </w:p>
        </w:tc>
        <w:tc>
          <w:tcPr>
            <w:tcW w:w="6482" w:type="dxa"/>
            <w:noWrap w:val="0"/>
            <w:vAlign w:val="center"/>
          </w:tcPr>
          <w:p w14:paraId="4FE80ED1">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对地下水环境有污染的物料或污染物泄漏后，可及时发现和处理</w:t>
            </w:r>
          </w:p>
        </w:tc>
      </w:tr>
    </w:tbl>
    <w:p w14:paraId="735DBDB1">
      <w:pPr>
        <w:adjustRightInd w:val="0"/>
        <w:snapToGrid w:val="0"/>
        <w:spacing w:line="240" w:lineRule="auto"/>
        <w:ind w:firstLine="0" w:firstLineChars="0"/>
        <w:jc w:val="center"/>
        <w:rPr>
          <w:rFonts w:ascii="Times New Roman" w:hAnsi="Times New Roman" w:eastAsia="黑体" w:cs="Times New Roman"/>
          <w:color w:val="000000"/>
          <w:kern w:val="0"/>
          <w:szCs w:val="20"/>
        </w:rPr>
      </w:pPr>
      <w:r>
        <w:rPr>
          <w:rFonts w:hint="eastAsia" w:ascii="Times New Roman" w:hAnsi="Times New Roman" w:eastAsia="黑体" w:cs="Times New Roman"/>
          <w:color w:val="000000"/>
          <w:kern w:val="0"/>
          <w:szCs w:val="20"/>
        </w:rPr>
        <w:t>表6-2</w:t>
      </w:r>
      <w:r>
        <w:rPr>
          <w:rFonts w:ascii="Times New Roman" w:hAnsi="Times New Roman" w:eastAsia="黑体" w:cs="Times New Roman"/>
          <w:color w:val="000000"/>
          <w:kern w:val="0"/>
          <w:szCs w:val="20"/>
        </w:rPr>
        <w:t>-</w:t>
      </w:r>
      <w:r>
        <w:rPr>
          <w:rFonts w:hint="eastAsia" w:eastAsia="黑体" w:cs="Times New Roman"/>
          <w:color w:val="000000"/>
          <w:kern w:val="0"/>
          <w:szCs w:val="20"/>
          <w:lang w:val="en-US" w:eastAsia="zh-CN"/>
        </w:rPr>
        <w:t>6</w:t>
      </w:r>
      <w:r>
        <w:rPr>
          <w:rFonts w:hint="eastAsia" w:ascii="Times New Roman" w:hAnsi="Times New Roman" w:eastAsia="黑体" w:cs="Times New Roman"/>
          <w:color w:val="000000"/>
          <w:kern w:val="0"/>
          <w:szCs w:val="20"/>
        </w:rPr>
        <w:t xml:space="preserve"> </w:t>
      </w:r>
      <w:r>
        <w:rPr>
          <w:rFonts w:ascii="Times New Roman" w:hAnsi="Times New Roman" w:eastAsia="黑体" w:cs="Times New Roman"/>
          <w:color w:val="000000"/>
          <w:kern w:val="0"/>
          <w:szCs w:val="20"/>
        </w:rPr>
        <w:t xml:space="preserve"> </w:t>
      </w:r>
      <w:r>
        <w:rPr>
          <w:rFonts w:hint="eastAsia" w:ascii="Times New Roman" w:hAnsi="Times New Roman" w:eastAsia="黑体" w:cs="Times New Roman"/>
          <w:color w:val="000000"/>
          <w:kern w:val="0"/>
          <w:szCs w:val="20"/>
        </w:rPr>
        <w:t>天然包气带防污性能分级参照表</w:t>
      </w:r>
    </w:p>
    <w:tbl>
      <w:tblPr>
        <w:tblStyle w:val="49"/>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826"/>
        <w:gridCol w:w="7703"/>
      </w:tblGrid>
      <w:tr w14:paraId="0B7F38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826" w:type="dxa"/>
            <w:noWrap w:val="0"/>
            <w:vAlign w:val="center"/>
          </w:tcPr>
          <w:p w14:paraId="17106986">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分级</w:t>
            </w:r>
          </w:p>
        </w:tc>
        <w:tc>
          <w:tcPr>
            <w:tcW w:w="7703" w:type="dxa"/>
            <w:noWrap w:val="0"/>
            <w:vAlign w:val="center"/>
          </w:tcPr>
          <w:p w14:paraId="67439A53">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包气带岩土的渗透性能</w:t>
            </w:r>
          </w:p>
        </w:tc>
      </w:tr>
      <w:tr w14:paraId="13F751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826" w:type="dxa"/>
            <w:noWrap w:val="0"/>
            <w:vAlign w:val="center"/>
          </w:tcPr>
          <w:p w14:paraId="30697E89">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强</w:t>
            </w:r>
          </w:p>
        </w:tc>
        <w:tc>
          <w:tcPr>
            <w:tcW w:w="7703" w:type="dxa"/>
            <w:noWrap w:val="0"/>
            <w:vAlign w:val="center"/>
          </w:tcPr>
          <w:p w14:paraId="1FFF8105">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岩（土）层单层厚度</w:t>
            </w:r>
            <w:r>
              <w:rPr>
                <w:rFonts w:ascii="Times New Roman" w:hAnsi="Times New Roman" w:eastAsia="宋体" w:cs="Times New Roman"/>
                <w:color w:val="000000"/>
                <w:kern w:val="0"/>
                <w:sz w:val="21"/>
                <w:szCs w:val="21"/>
              </w:rPr>
              <w:t>Mb≥1.0m</w:t>
            </w:r>
            <w:r>
              <w:rPr>
                <w:rFonts w:hint="eastAsia" w:ascii="Times New Roman" w:hAnsi="Times New Roman" w:eastAsia="宋体" w:cs="Times New Roman"/>
                <w:color w:val="000000"/>
                <w:kern w:val="0"/>
                <w:sz w:val="21"/>
                <w:szCs w:val="21"/>
              </w:rPr>
              <w:t>，渗透系数</w:t>
            </w:r>
            <w:r>
              <w:rPr>
                <w:rFonts w:ascii="Times New Roman" w:hAnsi="Times New Roman" w:eastAsia="宋体" w:cs="Times New Roman"/>
                <w:color w:val="000000"/>
                <w:kern w:val="0"/>
                <w:sz w:val="21"/>
                <w:szCs w:val="21"/>
              </w:rPr>
              <w:t>K≤1×10</w:t>
            </w:r>
            <w:r>
              <w:rPr>
                <w:rFonts w:ascii="Times New Roman" w:hAnsi="Times New Roman" w:eastAsia="宋体" w:cs="Times New Roman"/>
                <w:color w:val="000000"/>
                <w:kern w:val="0"/>
                <w:sz w:val="21"/>
                <w:szCs w:val="21"/>
                <w:vertAlign w:val="superscript"/>
              </w:rPr>
              <w:t>-6</w:t>
            </w:r>
            <w:r>
              <w:rPr>
                <w:rFonts w:ascii="Times New Roman" w:hAnsi="Times New Roman" w:eastAsia="宋体" w:cs="Times New Roman"/>
                <w:color w:val="000000"/>
                <w:kern w:val="0"/>
                <w:sz w:val="21"/>
                <w:szCs w:val="21"/>
              </w:rPr>
              <w:t>cm/s</w:t>
            </w:r>
            <w:r>
              <w:rPr>
                <w:rFonts w:hint="eastAsia" w:ascii="Times New Roman" w:hAnsi="Times New Roman" w:eastAsia="宋体" w:cs="Times New Roman"/>
                <w:color w:val="000000"/>
                <w:kern w:val="0"/>
                <w:sz w:val="21"/>
                <w:szCs w:val="21"/>
              </w:rPr>
              <w:t>，且分布连续、稳定</w:t>
            </w:r>
          </w:p>
        </w:tc>
      </w:tr>
      <w:tr w14:paraId="115F24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826" w:type="dxa"/>
            <w:noWrap w:val="0"/>
            <w:vAlign w:val="center"/>
          </w:tcPr>
          <w:p w14:paraId="6D6D0493">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中</w:t>
            </w:r>
          </w:p>
        </w:tc>
        <w:tc>
          <w:tcPr>
            <w:tcW w:w="7703" w:type="dxa"/>
            <w:noWrap w:val="0"/>
            <w:vAlign w:val="center"/>
          </w:tcPr>
          <w:p w14:paraId="26718591">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岩（土）层单层厚度</w:t>
            </w:r>
            <w:r>
              <w:rPr>
                <w:rFonts w:ascii="Times New Roman" w:hAnsi="Times New Roman" w:eastAsia="宋体" w:cs="Times New Roman"/>
                <w:color w:val="000000"/>
                <w:kern w:val="0"/>
                <w:sz w:val="21"/>
                <w:szCs w:val="21"/>
              </w:rPr>
              <w:t>0.5m≤Mb≤1.0m</w:t>
            </w:r>
            <w:r>
              <w:rPr>
                <w:rFonts w:hint="eastAsia" w:ascii="Times New Roman" w:hAnsi="Times New Roman" w:eastAsia="宋体" w:cs="Times New Roman"/>
                <w:color w:val="000000"/>
                <w:kern w:val="0"/>
                <w:sz w:val="21"/>
                <w:szCs w:val="21"/>
              </w:rPr>
              <w:t>，渗透系数</w:t>
            </w:r>
            <w:r>
              <w:rPr>
                <w:rFonts w:ascii="Times New Roman" w:hAnsi="Times New Roman" w:eastAsia="宋体" w:cs="Times New Roman"/>
                <w:color w:val="000000"/>
                <w:kern w:val="0"/>
                <w:sz w:val="21"/>
                <w:szCs w:val="21"/>
              </w:rPr>
              <w:t>K≤1×10</w:t>
            </w:r>
            <w:r>
              <w:rPr>
                <w:rFonts w:ascii="Times New Roman" w:hAnsi="Times New Roman" w:eastAsia="宋体" w:cs="Times New Roman"/>
                <w:color w:val="000000"/>
                <w:kern w:val="0"/>
                <w:sz w:val="21"/>
                <w:szCs w:val="21"/>
                <w:vertAlign w:val="superscript"/>
              </w:rPr>
              <w:t>-6</w:t>
            </w:r>
            <w:r>
              <w:rPr>
                <w:rFonts w:ascii="Times New Roman" w:hAnsi="Times New Roman" w:eastAsia="宋体" w:cs="Times New Roman"/>
                <w:color w:val="000000"/>
                <w:kern w:val="0"/>
                <w:sz w:val="21"/>
                <w:szCs w:val="21"/>
              </w:rPr>
              <w:t>cm/s</w:t>
            </w:r>
            <w:r>
              <w:rPr>
                <w:rFonts w:hint="eastAsia" w:ascii="Times New Roman" w:hAnsi="Times New Roman" w:eastAsia="宋体" w:cs="Times New Roman"/>
                <w:color w:val="000000"/>
                <w:kern w:val="0"/>
                <w:sz w:val="21"/>
                <w:szCs w:val="21"/>
              </w:rPr>
              <w:t>，且分布连续、稳定</w:t>
            </w:r>
          </w:p>
          <w:p w14:paraId="604CC233">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岩（土）层单层厚度</w:t>
            </w:r>
            <w:r>
              <w:rPr>
                <w:rFonts w:ascii="Times New Roman" w:hAnsi="Times New Roman" w:eastAsia="宋体" w:cs="Times New Roman"/>
                <w:color w:val="000000"/>
                <w:kern w:val="0"/>
                <w:sz w:val="21"/>
                <w:szCs w:val="21"/>
              </w:rPr>
              <w:t>Mb≥1.0m</w:t>
            </w:r>
            <w:r>
              <w:rPr>
                <w:rFonts w:hint="eastAsia" w:ascii="Times New Roman" w:hAnsi="Times New Roman" w:eastAsia="宋体" w:cs="Times New Roman"/>
                <w:color w:val="000000"/>
                <w:kern w:val="0"/>
                <w:sz w:val="21"/>
                <w:szCs w:val="21"/>
              </w:rPr>
              <w:t>，渗透系数</w:t>
            </w:r>
            <w:r>
              <w:rPr>
                <w:rFonts w:ascii="Times New Roman" w:hAnsi="Times New Roman" w:eastAsia="宋体" w:cs="Times New Roman"/>
                <w:color w:val="000000"/>
                <w:kern w:val="0"/>
                <w:sz w:val="21"/>
                <w:szCs w:val="21"/>
              </w:rPr>
              <w:t>1×10</w:t>
            </w:r>
            <w:r>
              <w:rPr>
                <w:rFonts w:ascii="Times New Roman" w:hAnsi="Times New Roman" w:eastAsia="宋体" w:cs="Times New Roman"/>
                <w:color w:val="000000"/>
                <w:kern w:val="0"/>
                <w:sz w:val="21"/>
                <w:szCs w:val="21"/>
                <w:vertAlign w:val="superscript"/>
              </w:rPr>
              <w:t>-6</w:t>
            </w:r>
            <w:r>
              <w:rPr>
                <w:rFonts w:ascii="Times New Roman" w:hAnsi="Times New Roman" w:eastAsia="宋体" w:cs="Times New Roman"/>
                <w:color w:val="000000"/>
                <w:kern w:val="0"/>
                <w:sz w:val="21"/>
                <w:szCs w:val="21"/>
              </w:rPr>
              <w:t>cm/s</w:t>
            </w:r>
            <w:r>
              <w:rPr>
                <w:rFonts w:hint="eastAsia" w:ascii="Times New Roman" w:hAnsi="Times New Roman" w:eastAsia="宋体" w:cs="Times New Roman"/>
                <w:color w:val="000000"/>
                <w:kern w:val="0"/>
                <w:sz w:val="21"/>
                <w:szCs w:val="21"/>
              </w:rPr>
              <w:t>＜</w:t>
            </w:r>
            <w:r>
              <w:rPr>
                <w:rFonts w:ascii="Times New Roman" w:hAnsi="Times New Roman" w:eastAsia="宋体" w:cs="Times New Roman"/>
                <w:color w:val="000000"/>
                <w:kern w:val="0"/>
                <w:sz w:val="21"/>
                <w:szCs w:val="21"/>
              </w:rPr>
              <w:t>K≤1×10</w:t>
            </w:r>
            <w:r>
              <w:rPr>
                <w:rFonts w:ascii="Times New Roman" w:hAnsi="Times New Roman" w:eastAsia="宋体" w:cs="Times New Roman"/>
                <w:color w:val="000000"/>
                <w:kern w:val="0"/>
                <w:sz w:val="21"/>
                <w:szCs w:val="21"/>
                <w:vertAlign w:val="superscript"/>
              </w:rPr>
              <w:t>-4</w:t>
            </w:r>
            <w:r>
              <w:rPr>
                <w:rFonts w:ascii="Times New Roman" w:hAnsi="Times New Roman" w:eastAsia="宋体" w:cs="Times New Roman"/>
                <w:color w:val="000000"/>
                <w:kern w:val="0"/>
                <w:sz w:val="21"/>
                <w:szCs w:val="21"/>
              </w:rPr>
              <w:t>cm/s</w:t>
            </w:r>
            <w:r>
              <w:rPr>
                <w:rFonts w:hint="eastAsia" w:ascii="Times New Roman" w:hAnsi="Times New Roman" w:eastAsia="宋体" w:cs="Times New Roman"/>
                <w:color w:val="000000"/>
                <w:kern w:val="0"/>
                <w:sz w:val="21"/>
                <w:szCs w:val="21"/>
              </w:rPr>
              <w:t>，且分布连续、稳定</w:t>
            </w:r>
          </w:p>
        </w:tc>
      </w:tr>
      <w:tr w14:paraId="2DCA88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826" w:type="dxa"/>
            <w:noWrap w:val="0"/>
            <w:vAlign w:val="center"/>
          </w:tcPr>
          <w:p w14:paraId="2159087F">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弱</w:t>
            </w:r>
          </w:p>
        </w:tc>
        <w:tc>
          <w:tcPr>
            <w:tcW w:w="7703" w:type="dxa"/>
            <w:noWrap w:val="0"/>
            <w:vAlign w:val="center"/>
          </w:tcPr>
          <w:p w14:paraId="3DA4BA94">
            <w:pPr>
              <w:adjustRightInd w:val="0"/>
              <w:snapToGrid w:val="0"/>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岩（土）层不能满足上述</w:t>
            </w:r>
            <w:r>
              <w:rPr>
                <w:rFonts w:ascii="Times New Roman" w:hAnsi="Times New Roman" w:eastAsia="宋体" w:cs="Times New Roman"/>
                <w:color w:val="000000"/>
                <w:kern w:val="0"/>
                <w:sz w:val="21"/>
                <w:szCs w:val="21"/>
              </w:rPr>
              <w:t>“</w:t>
            </w:r>
            <w:r>
              <w:rPr>
                <w:rFonts w:hint="eastAsia" w:ascii="Times New Roman" w:hAnsi="Times New Roman" w:eastAsia="宋体" w:cs="Times New Roman"/>
                <w:color w:val="000000"/>
                <w:kern w:val="0"/>
                <w:sz w:val="21"/>
                <w:szCs w:val="21"/>
              </w:rPr>
              <w:t>强</w:t>
            </w:r>
            <w:r>
              <w:rPr>
                <w:rFonts w:ascii="Times New Roman" w:hAnsi="Times New Roman" w:eastAsia="宋体" w:cs="Times New Roman"/>
                <w:color w:val="000000"/>
                <w:kern w:val="0"/>
                <w:sz w:val="21"/>
                <w:szCs w:val="21"/>
              </w:rPr>
              <w:t>”</w:t>
            </w:r>
            <w:r>
              <w:rPr>
                <w:rFonts w:hint="eastAsia" w:ascii="Times New Roman" w:hAnsi="Times New Roman" w:eastAsia="宋体" w:cs="Times New Roman"/>
                <w:color w:val="000000"/>
                <w:kern w:val="0"/>
                <w:sz w:val="21"/>
                <w:szCs w:val="21"/>
              </w:rPr>
              <w:t>和</w:t>
            </w:r>
            <w:r>
              <w:rPr>
                <w:rFonts w:ascii="Times New Roman" w:hAnsi="Times New Roman" w:eastAsia="宋体" w:cs="Times New Roman"/>
                <w:color w:val="000000"/>
                <w:kern w:val="0"/>
                <w:sz w:val="21"/>
                <w:szCs w:val="21"/>
              </w:rPr>
              <w:t>“</w:t>
            </w:r>
            <w:r>
              <w:rPr>
                <w:rFonts w:hint="eastAsia" w:ascii="Times New Roman" w:hAnsi="Times New Roman" w:eastAsia="宋体" w:cs="Times New Roman"/>
                <w:color w:val="000000"/>
                <w:kern w:val="0"/>
                <w:sz w:val="21"/>
                <w:szCs w:val="21"/>
              </w:rPr>
              <w:t>中</w:t>
            </w:r>
            <w:r>
              <w:rPr>
                <w:rFonts w:ascii="Times New Roman" w:hAnsi="Times New Roman" w:eastAsia="宋体" w:cs="Times New Roman"/>
                <w:color w:val="000000"/>
                <w:kern w:val="0"/>
                <w:sz w:val="21"/>
                <w:szCs w:val="21"/>
              </w:rPr>
              <w:t>”</w:t>
            </w:r>
            <w:r>
              <w:rPr>
                <w:rFonts w:hint="eastAsia" w:ascii="Times New Roman" w:hAnsi="Times New Roman" w:eastAsia="宋体" w:cs="Times New Roman"/>
                <w:color w:val="000000"/>
                <w:kern w:val="0"/>
                <w:sz w:val="21"/>
                <w:szCs w:val="21"/>
              </w:rPr>
              <w:t>条件</w:t>
            </w:r>
          </w:p>
        </w:tc>
      </w:tr>
    </w:tbl>
    <w:p w14:paraId="26E5CFBF">
      <w:pPr>
        <w:pStyle w:val="206"/>
        <w:rPr>
          <w:color w:val="000000" w:themeColor="text1"/>
          <w14:textFill>
            <w14:solidFill>
              <w14:schemeClr w14:val="tx1"/>
            </w14:solidFill>
          </w14:textFill>
        </w:rPr>
      </w:pPr>
      <w:r>
        <w:rPr>
          <w:color w:val="000000" w:themeColor="text1"/>
          <w14:textFill>
            <w14:solidFill>
              <w14:schemeClr w14:val="tx1"/>
            </w14:solidFill>
          </w14:textFill>
        </w:rPr>
        <w:t>表6-2-</w:t>
      </w:r>
      <w:r>
        <w:rPr>
          <w:rFonts w:hint="eastAsia"/>
          <w:color w:val="000000" w:themeColor="text1"/>
          <w:lang w:val="en-US" w:eastAsia="zh-CN"/>
          <w14:textFill>
            <w14:solidFill>
              <w14:schemeClr w14:val="tx1"/>
            </w14:solidFill>
          </w14:textFill>
        </w:rPr>
        <w:t>7</w:t>
      </w:r>
      <w:r>
        <w:rPr>
          <w:color w:val="000000" w:themeColor="text1"/>
          <w14:textFill>
            <w14:solidFill>
              <w14:schemeClr w14:val="tx1"/>
            </w14:solidFill>
          </w14:textFill>
        </w:rPr>
        <w:t xml:space="preserve"> 地下水防渗分区参照表</w:t>
      </w:r>
    </w:p>
    <w:tbl>
      <w:tblPr>
        <w:tblStyle w:val="4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46"/>
        <w:gridCol w:w="1445"/>
        <w:gridCol w:w="1222"/>
        <w:gridCol w:w="1842"/>
        <w:gridCol w:w="2357"/>
      </w:tblGrid>
      <w:tr w14:paraId="7B4A9B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70" w:type="pct"/>
            <w:shd w:val="clear" w:color="auto" w:fill="auto"/>
            <w:vAlign w:val="center"/>
          </w:tcPr>
          <w:p w14:paraId="595FA58E">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防渗分区</w:t>
            </w:r>
          </w:p>
        </w:tc>
        <w:tc>
          <w:tcPr>
            <w:tcW w:w="869" w:type="pct"/>
            <w:shd w:val="clear" w:color="auto" w:fill="auto"/>
            <w:vAlign w:val="center"/>
          </w:tcPr>
          <w:p w14:paraId="455F2A41">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天然包气带防污性能</w:t>
            </w:r>
          </w:p>
        </w:tc>
        <w:tc>
          <w:tcPr>
            <w:tcW w:w="735" w:type="pct"/>
            <w:shd w:val="clear" w:color="auto" w:fill="auto"/>
            <w:vAlign w:val="center"/>
          </w:tcPr>
          <w:p w14:paraId="6EE4C824">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污染控制难易程度</w:t>
            </w:r>
          </w:p>
        </w:tc>
        <w:tc>
          <w:tcPr>
            <w:tcW w:w="1108" w:type="pct"/>
            <w:shd w:val="clear" w:color="auto" w:fill="auto"/>
            <w:vAlign w:val="center"/>
          </w:tcPr>
          <w:p w14:paraId="59DF06AF">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污染物类型</w:t>
            </w:r>
          </w:p>
        </w:tc>
        <w:tc>
          <w:tcPr>
            <w:tcW w:w="1418" w:type="pct"/>
            <w:vAlign w:val="center"/>
          </w:tcPr>
          <w:p w14:paraId="5C106048">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防渗要求</w:t>
            </w:r>
          </w:p>
        </w:tc>
      </w:tr>
      <w:tr w14:paraId="719CB4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70" w:type="pct"/>
            <w:vMerge w:val="restart"/>
            <w:shd w:val="clear" w:color="auto" w:fill="auto"/>
            <w:vAlign w:val="center"/>
          </w:tcPr>
          <w:p w14:paraId="784B960D">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重点防渗区</w:t>
            </w:r>
          </w:p>
        </w:tc>
        <w:tc>
          <w:tcPr>
            <w:tcW w:w="869" w:type="pct"/>
            <w:shd w:val="clear" w:color="auto" w:fill="auto"/>
            <w:vAlign w:val="center"/>
          </w:tcPr>
          <w:p w14:paraId="06C8664A">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弱</w:t>
            </w:r>
          </w:p>
        </w:tc>
        <w:tc>
          <w:tcPr>
            <w:tcW w:w="735" w:type="pct"/>
            <w:shd w:val="clear" w:color="auto" w:fill="auto"/>
            <w:vAlign w:val="center"/>
          </w:tcPr>
          <w:p w14:paraId="5108D835">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难</w:t>
            </w:r>
          </w:p>
        </w:tc>
        <w:tc>
          <w:tcPr>
            <w:tcW w:w="1108" w:type="pct"/>
            <w:vMerge w:val="restart"/>
            <w:shd w:val="clear" w:color="auto" w:fill="auto"/>
            <w:vAlign w:val="center"/>
          </w:tcPr>
          <w:p w14:paraId="5B5B535A">
            <w:pPr>
              <w:pStyle w:val="143"/>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重金属、持久性有机物污染物</w:t>
            </w:r>
          </w:p>
        </w:tc>
        <w:tc>
          <w:tcPr>
            <w:tcW w:w="1418" w:type="pct"/>
            <w:vMerge w:val="restart"/>
            <w:vAlign w:val="center"/>
          </w:tcPr>
          <w:p w14:paraId="59998553">
            <w:pPr>
              <w:pStyle w:val="143"/>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等效黏土防渗层Mb≥6.0m，K≤1×10</w:t>
            </w:r>
            <w:r>
              <w:rPr>
                <w:rFonts w:cs="Times New Roman"/>
                <w:color w:val="000000" w:themeColor="text1"/>
                <w:vertAlign w:val="superscript"/>
                <w14:textFill>
                  <w14:solidFill>
                    <w14:schemeClr w14:val="tx1"/>
                  </w14:solidFill>
                </w14:textFill>
              </w:rPr>
              <w:t>-7</w:t>
            </w:r>
            <w:r>
              <w:rPr>
                <w:rFonts w:cs="Times New Roman"/>
                <w:color w:val="000000" w:themeColor="text1"/>
                <w14:textFill>
                  <w14:solidFill>
                    <w14:schemeClr w14:val="tx1"/>
                  </w14:solidFill>
                </w14:textFill>
              </w:rPr>
              <w:t>cm/s；或参照GB18598执行</w:t>
            </w:r>
          </w:p>
        </w:tc>
      </w:tr>
      <w:tr w14:paraId="4BC3D8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870" w:type="pct"/>
            <w:vMerge w:val="continue"/>
            <w:shd w:val="clear" w:color="auto" w:fill="auto"/>
            <w:vAlign w:val="center"/>
          </w:tcPr>
          <w:p w14:paraId="23D84712">
            <w:pPr>
              <w:pStyle w:val="143"/>
              <w:rPr>
                <w:color w:val="000000" w:themeColor="text1"/>
                <w14:textFill>
                  <w14:solidFill>
                    <w14:schemeClr w14:val="tx1"/>
                  </w14:solidFill>
                </w14:textFill>
              </w:rPr>
            </w:pPr>
          </w:p>
        </w:tc>
        <w:tc>
          <w:tcPr>
            <w:tcW w:w="869" w:type="pct"/>
            <w:shd w:val="clear" w:color="auto" w:fill="auto"/>
            <w:vAlign w:val="center"/>
          </w:tcPr>
          <w:p w14:paraId="3B2B4C70">
            <w:pPr>
              <w:pStyle w:val="143"/>
              <w:rPr>
                <w:color w:val="000000" w:themeColor="text1"/>
                <w14:textFill>
                  <w14:solidFill>
                    <w14:schemeClr w14:val="tx1"/>
                  </w14:solidFill>
                </w14:textFill>
              </w:rPr>
            </w:pPr>
            <w:r>
              <w:rPr>
                <w:color w:val="000000" w:themeColor="text1"/>
                <w14:textFill>
                  <w14:solidFill>
                    <w14:schemeClr w14:val="tx1"/>
                  </w14:solidFill>
                </w14:textFill>
              </w:rPr>
              <w:t>中—强</w:t>
            </w:r>
          </w:p>
        </w:tc>
        <w:tc>
          <w:tcPr>
            <w:tcW w:w="735" w:type="pct"/>
            <w:shd w:val="clear" w:color="auto" w:fill="auto"/>
            <w:vAlign w:val="center"/>
          </w:tcPr>
          <w:p w14:paraId="072048CC">
            <w:pPr>
              <w:pStyle w:val="143"/>
              <w:rPr>
                <w:color w:val="000000" w:themeColor="text1"/>
                <w14:textFill>
                  <w14:solidFill>
                    <w14:schemeClr w14:val="tx1"/>
                  </w14:solidFill>
                </w14:textFill>
              </w:rPr>
            </w:pPr>
            <w:r>
              <w:rPr>
                <w:color w:val="000000" w:themeColor="text1"/>
                <w14:textFill>
                  <w14:solidFill>
                    <w14:schemeClr w14:val="tx1"/>
                  </w14:solidFill>
                </w14:textFill>
              </w:rPr>
              <w:t>难</w:t>
            </w:r>
          </w:p>
        </w:tc>
        <w:tc>
          <w:tcPr>
            <w:tcW w:w="1108" w:type="pct"/>
            <w:vMerge w:val="continue"/>
            <w:shd w:val="clear" w:color="auto" w:fill="auto"/>
            <w:vAlign w:val="center"/>
          </w:tcPr>
          <w:p w14:paraId="7C9560FE">
            <w:pPr>
              <w:pStyle w:val="143"/>
              <w:rPr>
                <w:color w:val="000000" w:themeColor="text1"/>
                <w14:textFill>
                  <w14:solidFill>
                    <w14:schemeClr w14:val="tx1"/>
                  </w14:solidFill>
                </w14:textFill>
              </w:rPr>
            </w:pPr>
          </w:p>
        </w:tc>
        <w:tc>
          <w:tcPr>
            <w:tcW w:w="1418" w:type="pct"/>
            <w:vMerge w:val="continue"/>
            <w:vAlign w:val="center"/>
          </w:tcPr>
          <w:p w14:paraId="09B6FAE5">
            <w:pPr>
              <w:pStyle w:val="143"/>
              <w:rPr>
                <w:color w:val="000000" w:themeColor="text1"/>
                <w14:textFill>
                  <w14:solidFill>
                    <w14:schemeClr w14:val="tx1"/>
                  </w14:solidFill>
                </w14:textFill>
              </w:rPr>
            </w:pPr>
          </w:p>
        </w:tc>
      </w:tr>
      <w:tr w14:paraId="18D3F2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70" w:type="pct"/>
            <w:vMerge w:val="continue"/>
            <w:shd w:val="clear" w:color="auto" w:fill="auto"/>
            <w:vAlign w:val="center"/>
          </w:tcPr>
          <w:p w14:paraId="3348AD35">
            <w:pPr>
              <w:pStyle w:val="143"/>
              <w:rPr>
                <w:color w:val="000000" w:themeColor="text1"/>
                <w14:textFill>
                  <w14:solidFill>
                    <w14:schemeClr w14:val="tx1"/>
                  </w14:solidFill>
                </w14:textFill>
              </w:rPr>
            </w:pPr>
          </w:p>
        </w:tc>
        <w:tc>
          <w:tcPr>
            <w:tcW w:w="869" w:type="pct"/>
            <w:shd w:val="clear" w:color="auto" w:fill="auto"/>
            <w:vAlign w:val="center"/>
          </w:tcPr>
          <w:p w14:paraId="06299DF4">
            <w:pPr>
              <w:pStyle w:val="143"/>
              <w:rPr>
                <w:color w:val="000000" w:themeColor="text1"/>
                <w14:textFill>
                  <w14:solidFill>
                    <w14:schemeClr w14:val="tx1"/>
                  </w14:solidFill>
                </w14:textFill>
              </w:rPr>
            </w:pPr>
            <w:r>
              <w:rPr>
                <w:color w:val="000000" w:themeColor="text1"/>
                <w14:textFill>
                  <w14:solidFill>
                    <w14:schemeClr w14:val="tx1"/>
                  </w14:solidFill>
                </w14:textFill>
              </w:rPr>
              <w:t>中—强</w:t>
            </w:r>
          </w:p>
        </w:tc>
        <w:tc>
          <w:tcPr>
            <w:tcW w:w="735" w:type="pct"/>
            <w:shd w:val="clear" w:color="auto" w:fill="auto"/>
            <w:vAlign w:val="center"/>
          </w:tcPr>
          <w:p w14:paraId="059D4900">
            <w:pPr>
              <w:pStyle w:val="143"/>
              <w:rPr>
                <w:color w:val="000000" w:themeColor="text1"/>
                <w14:textFill>
                  <w14:solidFill>
                    <w14:schemeClr w14:val="tx1"/>
                  </w14:solidFill>
                </w14:textFill>
              </w:rPr>
            </w:pPr>
            <w:r>
              <w:rPr>
                <w:color w:val="000000" w:themeColor="text1"/>
                <w14:textFill>
                  <w14:solidFill>
                    <w14:schemeClr w14:val="tx1"/>
                  </w14:solidFill>
                </w14:textFill>
              </w:rPr>
              <w:t>易</w:t>
            </w:r>
          </w:p>
        </w:tc>
        <w:tc>
          <w:tcPr>
            <w:tcW w:w="1108" w:type="pct"/>
            <w:vMerge w:val="continue"/>
            <w:shd w:val="clear" w:color="auto" w:fill="auto"/>
            <w:vAlign w:val="center"/>
          </w:tcPr>
          <w:p w14:paraId="7E0630AE">
            <w:pPr>
              <w:pStyle w:val="143"/>
              <w:rPr>
                <w:color w:val="000000" w:themeColor="text1"/>
                <w14:textFill>
                  <w14:solidFill>
                    <w14:schemeClr w14:val="tx1"/>
                  </w14:solidFill>
                </w14:textFill>
              </w:rPr>
            </w:pPr>
          </w:p>
        </w:tc>
        <w:tc>
          <w:tcPr>
            <w:tcW w:w="1418" w:type="pct"/>
            <w:vMerge w:val="continue"/>
            <w:vAlign w:val="center"/>
          </w:tcPr>
          <w:p w14:paraId="4E867F71">
            <w:pPr>
              <w:pStyle w:val="143"/>
              <w:rPr>
                <w:color w:val="000000" w:themeColor="text1"/>
                <w14:textFill>
                  <w14:solidFill>
                    <w14:schemeClr w14:val="tx1"/>
                  </w14:solidFill>
                </w14:textFill>
              </w:rPr>
            </w:pPr>
          </w:p>
        </w:tc>
      </w:tr>
      <w:tr w14:paraId="68715E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70" w:type="pct"/>
            <w:vMerge w:val="restart"/>
            <w:shd w:val="clear" w:color="auto" w:fill="auto"/>
            <w:vAlign w:val="center"/>
          </w:tcPr>
          <w:p w14:paraId="15FED0A4">
            <w:pPr>
              <w:pStyle w:val="143"/>
              <w:rPr>
                <w:color w:val="000000" w:themeColor="text1"/>
                <w14:textFill>
                  <w14:solidFill>
                    <w14:schemeClr w14:val="tx1"/>
                  </w14:solidFill>
                </w14:textFill>
              </w:rPr>
            </w:pPr>
            <w:r>
              <w:rPr>
                <w:color w:val="000000" w:themeColor="text1"/>
                <w14:textFill>
                  <w14:solidFill>
                    <w14:schemeClr w14:val="tx1"/>
                  </w14:solidFill>
                </w14:textFill>
              </w:rPr>
              <w:t>一般防渗区</w:t>
            </w:r>
          </w:p>
        </w:tc>
        <w:tc>
          <w:tcPr>
            <w:tcW w:w="869" w:type="pct"/>
            <w:shd w:val="clear" w:color="auto" w:fill="auto"/>
            <w:vAlign w:val="center"/>
          </w:tcPr>
          <w:p w14:paraId="6B96D5B4">
            <w:pPr>
              <w:pStyle w:val="143"/>
              <w:rPr>
                <w:color w:val="000000" w:themeColor="text1"/>
                <w14:textFill>
                  <w14:solidFill>
                    <w14:schemeClr w14:val="tx1"/>
                  </w14:solidFill>
                </w14:textFill>
              </w:rPr>
            </w:pPr>
            <w:r>
              <w:rPr>
                <w:color w:val="000000" w:themeColor="text1"/>
                <w14:textFill>
                  <w14:solidFill>
                    <w14:schemeClr w14:val="tx1"/>
                  </w14:solidFill>
                </w14:textFill>
              </w:rPr>
              <w:t>弱</w:t>
            </w:r>
          </w:p>
        </w:tc>
        <w:tc>
          <w:tcPr>
            <w:tcW w:w="735" w:type="pct"/>
            <w:shd w:val="clear" w:color="auto" w:fill="auto"/>
            <w:vAlign w:val="center"/>
          </w:tcPr>
          <w:p w14:paraId="14914817">
            <w:pPr>
              <w:pStyle w:val="143"/>
              <w:rPr>
                <w:color w:val="000000" w:themeColor="text1"/>
                <w14:textFill>
                  <w14:solidFill>
                    <w14:schemeClr w14:val="tx1"/>
                  </w14:solidFill>
                </w14:textFill>
              </w:rPr>
            </w:pPr>
            <w:r>
              <w:rPr>
                <w:color w:val="000000" w:themeColor="text1"/>
                <w14:textFill>
                  <w14:solidFill>
                    <w14:schemeClr w14:val="tx1"/>
                  </w14:solidFill>
                </w14:textFill>
              </w:rPr>
              <w:t>易—难</w:t>
            </w:r>
          </w:p>
        </w:tc>
        <w:tc>
          <w:tcPr>
            <w:tcW w:w="1108" w:type="pct"/>
            <w:vMerge w:val="restart"/>
            <w:shd w:val="clear" w:color="auto" w:fill="auto"/>
            <w:vAlign w:val="center"/>
          </w:tcPr>
          <w:p w14:paraId="24874AD6">
            <w:pPr>
              <w:pStyle w:val="143"/>
              <w:rPr>
                <w:color w:val="000000" w:themeColor="text1"/>
                <w14:textFill>
                  <w14:solidFill>
                    <w14:schemeClr w14:val="tx1"/>
                  </w14:solidFill>
                </w14:textFill>
              </w:rPr>
            </w:pPr>
            <w:r>
              <w:rPr>
                <w:color w:val="000000" w:themeColor="text1"/>
                <w14:textFill>
                  <w14:solidFill>
                    <w14:schemeClr w14:val="tx1"/>
                  </w14:solidFill>
                </w14:textFill>
              </w:rPr>
              <w:t>其他类型</w:t>
            </w:r>
          </w:p>
        </w:tc>
        <w:tc>
          <w:tcPr>
            <w:tcW w:w="1418" w:type="pct"/>
            <w:vMerge w:val="restart"/>
            <w:vAlign w:val="center"/>
          </w:tcPr>
          <w:p w14:paraId="754EBB39">
            <w:pPr>
              <w:pStyle w:val="143"/>
              <w:rPr>
                <w:color w:val="000000" w:themeColor="text1"/>
                <w14:textFill>
                  <w14:solidFill>
                    <w14:schemeClr w14:val="tx1"/>
                  </w14:solidFill>
                </w14:textFill>
              </w:rPr>
            </w:pPr>
            <w:r>
              <w:rPr>
                <w:color w:val="000000" w:themeColor="text1"/>
                <w14:textFill>
                  <w14:solidFill>
                    <w14:schemeClr w14:val="tx1"/>
                  </w14:solidFill>
                </w14:textFill>
              </w:rPr>
              <w:t>等效黏土防渗层Mb≥1.5m，K≤1×10</w:t>
            </w:r>
            <w:r>
              <w:rPr>
                <w:color w:val="000000" w:themeColor="text1"/>
                <w:vertAlign w:val="superscript"/>
                <w14:textFill>
                  <w14:solidFill>
                    <w14:schemeClr w14:val="tx1"/>
                  </w14:solidFill>
                </w14:textFill>
              </w:rPr>
              <w:t>-7</w:t>
            </w:r>
            <w:r>
              <w:rPr>
                <w:color w:val="000000" w:themeColor="text1"/>
                <w14:textFill>
                  <w14:solidFill>
                    <w14:schemeClr w14:val="tx1"/>
                  </w14:solidFill>
                </w14:textFill>
              </w:rPr>
              <w:t>cm/s；或参照GB16889执行</w:t>
            </w:r>
          </w:p>
        </w:tc>
      </w:tr>
      <w:tr w14:paraId="530434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70" w:type="pct"/>
            <w:vMerge w:val="continue"/>
            <w:shd w:val="clear" w:color="auto" w:fill="auto"/>
            <w:vAlign w:val="center"/>
          </w:tcPr>
          <w:p w14:paraId="6042A0B9">
            <w:pPr>
              <w:pStyle w:val="143"/>
              <w:rPr>
                <w:color w:val="000000" w:themeColor="text1"/>
                <w14:textFill>
                  <w14:solidFill>
                    <w14:schemeClr w14:val="tx1"/>
                  </w14:solidFill>
                </w14:textFill>
              </w:rPr>
            </w:pPr>
          </w:p>
        </w:tc>
        <w:tc>
          <w:tcPr>
            <w:tcW w:w="869" w:type="pct"/>
            <w:shd w:val="clear" w:color="auto" w:fill="auto"/>
            <w:vAlign w:val="center"/>
          </w:tcPr>
          <w:p w14:paraId="771CC5B3">
            <w:pPr>
              <w:pStyle w:val="143"/>
              <w:rPr>
                <w:color w:val="000000" w:themeColor="text1"/>
                <w14:textFill>
                  <w14:solidFill>
                    <w14:schemeClr w14:val="tx1"/>
                  </w14:solidFill>
                </w14:textFill>
              </w:rPr>
            </w:pPr>
            <w:r>
              <w:rPr>
                <w:color w:val="000000" w:themeColor="text1"/>
                <w14:textFill>
                  <w14:solidFill>
                    <w14:schemeClr w14:val="tx1"/>
                  </w14:solidFill>
                </w14:textFill>
              </w:rPr>
              <w:t>中—强</w:t>
            </w:r>
          </w:p>
        </w:tc>
        <w:tc>
          <w:tcPr>
            <w:tcW w:w="735" w:type="pct"/>
            <w:shd w:val="clear" w:color="auto" w:fill="auto"/>
            <w:vAlign w:val="center"/>
          </w:tcPr>
          <w:p w14:paraId="25D964D5">
            <w:pPr>
              <w:pStyle w:val="143"/>
              <w:rPr>
                <w:color w:val="000000" w:themeColor="text1"/>
                <w14:textFill>
                  <w14:solidFill>
                    <w14:schemeClr w14:val="tx1"/>
                  </w14:solidFill>
                </w14:textFill>
              </w:rPr>
            </w:pPr>
            <w:r>
              <w:rPr>
                <w:color w:val="000000" w:themeColor="text1"/>
                <w14:textFill>
                  <w14:solidFill>
                    <w14:schemeClr w14:val="tx1"/>
                  </w14:solidFill>
                </w14:textFill>
              </w:rPr>
              <w:t>难</w:t>
            </w:r>
          </w:p>
        </w:tc>
        <w:tc>
          <w:tcPr>
            <w:tcW w:w="1108" w:type="pct"/>
            <w:vMerge w:val="continue"/>
            <w:shd w:val="clear" w:color="auto" w:fill="auto"/>
            <w:vAlign w:val="center"/>
          </w:tcPr>
          <w:p w14:paraId="1FFDFC26">
            <w:pPr>
              <w:pStyle w:val="143"/>
              <w:rPr>
                <w:color w:val="000000" w:themeColor="text1"/>
                <w14:textFill>
                  <w14:solidFill>
                    <w14:schemeClr w14:val="tx1"/>
                  </w14:solidFill>
                </w14:textFill>
              </w:rPr>
            </w:pPr>
          </w:p>
        </w:tc>
        <w:tc>
          <w:tcPr>
            <w:tcW w:w="1418" w:type="pct"/>
            <w:vMerge w:val="continue"/>
            <w:vAlign w:val="center"/>
          </w:tcPr>
          <w:p w14:paraId="6DBEFD31">
            <w:pPr>
              <w:pStyle w:val="143"/>
              <w:rPr>
                <w:color w:val="000000" w:themeColor="text1"/>
                <w14:textFill>
                  <w14:solidFill>
                    <w14:schemeClr w14:val="tx1"/>
                  </w14:solidFill>
                </w14:textFill>
              </w:rPr>
            </w:pPr>
          </w:p>
        </w:tc>
      </w:tr>
      <w:tr w14:paraId="487844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70" w:type="pct"/>
            <w:vMerge w:val="continue"/>
            <w:shd w:val="clear" w:color="auto" w:fill="auto"/>
            <w:vAlign w:val="center"/>
          </w:tcPr>
          <w:p w14:paraId="6355EB18">
            <w:pPr>
              <w:pStyle w:val="143"/>
              <w:rPr>
                <w:color w:val="000000" w:themeColor="text1"/>
                <w14:textFill>
                  <w14:solidFill>
                    <w14:schemeClr w14:val="tx1"/>
                  </w14:solidFill>
                </w14:textFill>
              </w:rPr>
            </w:pPr>
          </w:p>
        </w:tc>
        <w:tc>
          <w:tcPr>
            <w:tcW w:w="869" w:type="pct"/>
            <w:shd w:val="clear" w:color="auto" w:fill="auto"/>
            <w:vAlign w:val="center"/>
          </w:tcPr>
          <w:p w14:paraId="7228E21D">
            <w:pPr>
              <w:pStyle w:val="143"/>
              <w:rPr>
                <w:color w:val="000000" w:themeColor="text1"/>
                <w14:textFill>
                  <w14:solidFill>
                    <w14:schemeClr w14:val="tx1"/>
                  </w14:solidFill>
                </w14:textFill>
              </w:rPr>
            </w:pPr>
            <w:r>
              <w:rPr>
                <w:color w:val="000000" w:themeColor="text1"/>
                <w14:textFill>
                  <w14:solidFill>
                    <w14:schemeClr w14:val="tx1"/>
                  </w14:solidFill>
                </w14:textFill>
              </w:rPr>
              <w:t>中</w:t>
            </w:r>
          </w:p>
        </w:tc>
        <w:tc>
          <w:tcPr>
            <w:tcW w:w="735" w:type="pct"/>
            <w:shd w:val="clear" w:color="auto" w:fill="auto"/>
            <w:vAlign w:val="center"/>
          </w:tcPr>
          <w:p w14:paraId="2577700B">
            <w:pPr>
              <w:pStyle w:val="143"/>
              <w:rPr>
                <w:color w:val="000000" w:themeColor="text1"/>
                <w14:textFill>
                  <w14:solidFill>
                    <w14:schemeClr w14:val="tx1"/>
                  </w14:solidFill>
                </w14:textFill>
              </w:rPr>
            </w:pPr>
            <w:r>
              <w:rPr>
                <w:color w:val="000000" w:themeColor="text1"/>
                <w14:textFill>
                  <w14:solidFill>
                    <w14:schemeClr w14:val="tx1"/>
                  </w14:solidFill>
                </w14:textFill>
              </w:rPr>
              <w:t>易</w:t>
            </w:r>
          </w:p>
        </w:tc>
        <w:tc>
          <w:tcPr>
            <w:tcW w:w="1108" w:type="pct"/>
            <w:shd w:val="clear" w:color="auto" w:fill="auto"/>
            <w:vAlign w:val="center"/>
          </w:tcPr>
          <w:p w14:paraId="7212130F">
            <w:pPr>
              <w:pStyle w:val="143"/>
              <w:jc w:val="both"/>
              <w:rPr>
                <w:color w:val="000000" w:themeColor="text1"/>
                <w14:textFill>
                  <w14:solidFill>
                    <w14:schemeClr w14:val="tx1"/>
                  </w14:solidFill>
                </w14:textFill>
              </w:rPr>
            </w:pPr>
            <w:r>
              <w:rPr>
                <w:color w:val="000000" w:themeColor="text1"/>
                <w14:textFill>
                  <w14:solidFill>
                    <w14:schemeClr w14:val="tx1"/>
                  </w14:solidFill>
                </w14:textFill>
              </w:rPr>
              <w:t>重金属、持久性有机物污染物</w:t>
            </w:r>
          </w:p>
        </w:tc>
        <w:tc>
          <w:tcPr>
            <w:tcW w:w="1418" w:type="pct"/>
            <w:vAlign w:val="center"/>
          </w:tcPr>
          <w:p w14:paraId="3A722813">
            <w:pPr>
              <w:pStyle w:val="143"/>
              <w:rPr>
                <w:color w:val="000000" w:themeColor="text1"/>
                <w14:textFill>
                  <w14:solidFill>
                    <w14:schemeClr w14:val="tx1"/>
                  </w14:solidFill>
                </w14:textFill>
              </w:rPr>
            </w:pPr>
            <w:r>
              <w:rPr>
                <w:color w:val="000000" w:themeColor="text1"/>
                <w14:textFill>
                  <w14:solidFill>
                    <w14:schemeClr w14:val="tx1"/>
                  </w14:solidFill>
                </w14:textFill>
              </w:rPr>
              <w:t>一般地面硬化</w:t>
            </w:r>
          </w:p>
        </w:tc>
      </w:tr>
      <w:tr w14:paraId="7A0E37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70" w:type="pct"/>
            <w:vMerge w:val="continue"/>
            <w:shd w:val="clear" w:color="auto" w:fill="auto"/>
            <w:vAlign w:val="center"/>
          </w:tcPr>
          <w:p w14:paraId="48D6CCA9">
            <w:pPr>
              <w:pStyle w:val="143"/>
              <w:rPr>
                <w:color w:val="000000" w:themeColor="text1"/>
                <w14:textFill>
                  <w14:solidFill>
                    <w14:schemeClr w14:val="tx1"/>
                  </w14:solidFill>
                </w14:textFill>
              </w:rPr>
            </w:pPr>
          </w:p>
        </w:tc>
        <w:tc>
          <w:tcPr>
            <w:tcW w:w="869" w:type="pct"/>
            <w:shd w:val="clear" w:color="auto" w:fill="auto"/>
            <w:vAlign w:val="center"/>
          </w:tcPr>
          <w:p w14:paraId="73763C7E">
            <w:pPr>
              <w:pStyle w:val="143"/>
              <w:rPr>
                <w:color w:val="000000" w:themeColor="text1"/>
                <w14:textFill>
                  <w14:solidFill>
                    <w14:schemeClr w14:val="tx1"/>
                  </w14:solidFill>
                </w14:textFill>
              </w:rPr>
            </w:pPr>
            <w:r>
              <w:rPr>
                <w:color w:val="000000" w:themeColor="text1"/>
                <w14:textFill>
                  <w14:solidFill>
                    <w14:schemeClr w14:val="tx1"/>
                  </w14:solidFill>
                </w14:textFill>
              </w:rPr>
              <w:t>中—强</w:t>
            </w:r>
          </w:p>
        </w:tc>
        <w:tc>
          <w:tcPr>
            <w:tcW w:w="735" w:type="pct"/>
            <w:shd w:val="clear" w:color="auto" w:fill="auto"/>
            <w:vAlign w:val="center"/>
          </w:tcPr>
          <w:p w14:paraId="19FBAA75">
            <w:pPr>
              <w:pStyle w:val="143"/>
              <w:rPr>
                <w:color w:val="000000" w:themeColor="text1"/>
                <w14:textFill>
                  <w14:solidFill>
                    <w14:schemeClr w14:val="tx1"/>
                  </w14:solidFill>
                </w14:textFill>
              </w:rPr>
            </w:pPr>
            <w:r>
              <w:rPr>
                <w:color w:val="000000" w:themeColor="text1"/>
                <w14:textFill>
                  <w14:solidFill>
                    <w14:schemeClr w14:val="tx1"/>
                  </w14:solidFill>
                </w14:textFill>
              </w:rPr>
              <w:t>易</w:t>
            </w:r>
          </w:p>
        </w:tc>
        <w:tc>
          <w:tcPr>
            <w:tcW w:w="1108" w:type="pct"/>
            <w:shd w:val="clear" w:color="auto" w:fill="auto"/>
            <w:vAlign w:val="center"/>
          </w:tcPr>
          <w:p w14:paraId="66C70792">
            <w:pPr>
              <w:pStyle w:val="143"/>
              <w:rPr>
                <w:color w:val="000000" w:themeColor="text1"/>
                <w14:textFill>
                  <w14:solidFill>
                    <w14:schemeClr w14:val="tx1"/>
                  </w14:solidFill>
                </w14:textFill>
              </w:rPr>
            </w:pPr>
            <w:r>
              <w:rPr>
                <w:color w:val="000000" w:themeColor="text1"/>
                <w14:textFill>
                  <w14:solidFill>
                    <w14:schemeClr w14:val="tx1"/>
                  </w14:solidFill>
                </w14:textFill>
              </w:rPr>
              <w:t>其他类型</w:t>
            </w:r>
          </w:p>
        </w:tc>
        <w:tc>
          <w:tcPr>
            <w:tcW w:w="1418" w:type="pct"/>
            <w:vAlign w:val="center"/>
          </w:tcPr>
          <w:p w14:paraId="7C7A474C">
            <w:pPr>
              <w:pStyle w:val="143"/>
              <w:rPr>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w:t>
            </w:r>
          </w:p>
        </w:tc>
      </w:tr>
    </w:tbl>
    <w:p w14:paraId="69E958D7">
      <w:pPr>
        <w:pStyle w:val="384"/>
        <w:adjustRightInd w:val="0"/>
        <w:snapToGrid w:val="0"/>
        <w:spacing w:before="0" w:after="0" w:line="360" w:lineRule="auto"/>
        <w:ind w:firstLine="48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本项目不涉及重金属</w:t>
      </w:r>
      <w:r>
        <w:rPr>
          <w:rFonts w:hint="eastAsia"/>
          <w:color w:val="000000" w:themeColor="text1"/>
          <w:lang w:val="en-US" w:eastAsia="zh-CN"/>
          <w14:textFill>
            <w14:solidFill>
              <w14:schemeClr w14:val="tx1"/>
            </w14:solidFill>
          </w14:textFill>
        </w:rPr>
        <w:t>及</w:t>
      </w:r>
      <w:r>
        <w:rPr>
          <w:rFonts w:cs="Times New Roman"/>
          <w:color w:val="000000" w:themeColor="text1"/>
          <w14:textFill>
            <w14:solidFill>
              <w14:schemeClr w14:val="tx1"/>
            </w14:solidFill>
          </w14:textFill>
        </w:rPr>
        <w:t>持久性有机物污染物</w:t>
      </w:r>
      <w:r>
        <w:rPr>
          <w:rFonts w:hint="eastAsia"/>
          <w:color w:val="000000" w:themeColor="text1"/>
          <w14:textFill>
            <w14:solidFill>
              <w14:schemeClr w14:val="tx1"/>
            </w14:solidFill>
          </w14:textFill>
        </w:rPr>
        <w:t>，污水中主要污染物因子为COD、氨氮、SS、BOD</w:t>
      </w:r>
      <w:r>
        <w:rPr>
          <w:rFonts w:hint="eastAsia"/>
          <w:color w:val="000000" w:themeColor="text1"/>
          <w:vertAlign w:val="subscript"/>
          <w14:textFill>
            <w14:solidFill>
              <w14:schemeClr w14:val="tx1"/>
            </w14:solidFill>
          </w14:textFill>
        </w:rPr>
        <w:t>5</w:t>
      </w:r>
      <w:r>
        <w:rPr>
          <w:rFonts w:hint="eastAsia"/>
          <w:color w:val="000000" w:themeColor="text1"/>
          <w14:textFill>
            <w14:solidFill>
              <w14:schemeClr w14:val="tx1"/>
            </w14:solidFill>
          </w14:textFill>
        </w:rPr>
        <w:t>、动植物油等。按照</w:t>
      </w:r>
      <w:r>
        <w:rPr>
          <w:color w:val="000000" w:themeColor="text1"/>
          <w14:textFill>
            <w14:solidFill>
              <w14:schemeClr w14:val="tx1"/>
            </w14:solidFill>
          </w14:textFill>
        </w:rPr>
        <w:t>《环境影响评价技术导则 地下水环境》（HJ 610-2016）</w:t>
      </w:r>
      <w:r>
        <w:rPr>
          <w:rFonts w:hint="eastAsia"/>
          <w:color w:val="000000" w:themeColor="text1"/>
          <w14:textFill>
            <w14:solidFill>
              <w14:schemeClr w14:val="tx1"/>
            </w14:solidFill>
          </w14:textFill>
        </w:rPr>
        <w:t>，依据建设项目场地天然包气带防污性能、污染控制难易程度和污染物特性，结合地下水环境影响评价结果和拟建工程总平面布置情况，将场地分为一般防渗区和简单防渗区，各级防渗区的防渗技术要求，污染控制难易程度分级和天然包气带防污性能分级见下表。</w:t>
      </w:r>
      <w:r>
        <w:rPr>
          <w:rFonts w:hint="eastAsia"/>
          <w:color w:val="000000" w:themeColor="text1"/>
          <w:lang w:val="en-US" w:eastAsia="zh-CN"/>
          <w14:textFill>
            <w14:solidFill>
              <w14:schemeClr w14:val="tx1"/>
            </w14:solidFill>
          </w14:textFill>
        </w:rPr>
        <w:t>危险废物</w:t>
      </w:r>
      <w:r>
        <w:rPr>
          <w:rFonts w:hint="eastAsia"/>
          <w:color w:val="000000" w:themeColor="text1"/>
          <w14:textFill>
            <w14:solidFill>
              <w14:schemeClr w14:val="tx1"/>
            </w14:solidFill>
          </w14:textFill>
        </w:rPr>
        <w:t>贮存</w:t>
      </w:r>
      <w:r>
        <w:rPr>
          <w:rFonts w:hint="eastAsia"/>
          <w:color w:val="000000" w:themeColor="text1"/>
          <w:lang w:val="en-US" w:eastAsia="zh-CN"/>
          <w14:textFill>
            <w14:solidFill>
              <w14:schemeClr w14:val="tx1"/>
            </w14:solidFill>
          </w14:textFill>
        </w:rPr>
        <w:t>点</w:t>
      </w:r>
      <w:r>
        <w:rPr>
          <w:rFonts w:hint="eastAsia"/>
          <w:color w:val="000000" w:themeColor="text1"/>
          <w14:textFill>
            <w14:solidFill>
              <w14:schemeClr w14:val="tx1"/>
            </w14:solidFill>
          </w14:textFill>
        </w:rPr>
        <w:t>的设计、建造、管理需满足《危险废物贮存污染控制标准》（GB18597-2023）的要求。</w:t>
      </w:r>
      <w:r>
        <w:rPr>
          <w:color w:val="000000" w:themeColor="text1"/>
          <w14:textFill>
            <w14:solidFill>
              <w14:schemeClr w14:val="tx1"/>
            </w14:solidFill>
          </w14:textFill>
        </w:rPr>
        <w:t>本项目采取以下</w:t>
      </w:r>
      <w:r>
        <w:rPr>
          <w:rFonts w:hint="eastAsia"/>
          <w:color w:val="000000" w:themeColor="text1"/>
          <w14:textFill>
            <w14:solidFill>
              <w14:schemeClr w14:val="tx1"/>
            </w14:solidFill>
          </w14:textFill>
        </w:rPr>
        <w:t>分区</w:t>
      </w:r>
      <w:r>
        <w:rPr>
          <w:color w:val="000000" w:themeColor="text1"/>
          <w14:textFill>
            <w14:solidFill>
              <w14:schemeClr w14:val="tx1"/>
            </w14:solidFill>
          </w14:textFill>
        </w:rPr>
        <w:t>防渗处理措施</w:t>
      </w:r>
      <w:r>
        <w:rPr>
          <w:rFonts w:hint="eastAsia"/>
          <w:color w:val="000000" w:themeColor="text1"/>
          <w14:textFill>
            <w14:solidFill>
              <w14:schemeClr w14:val="tx1"/>
            </w14:solidFill>
          </w14:textFill>
        </w:rPr>
        <w:t>。</w:t>
      </w:r>
    </w:p>
    <w:p w14:paraId="2C923AE9">
      <w:pPr>
        <w:pStyle w:val="206"/>
        <w:spacing w:line="360" w:lineRule="auto"/>
        <w:rPr>
          <w:color w:val="000000" w:themeColor="text1"/>
          <w14:textFill>
            <w14:solidFill>
              <w14:schemeClr w14:val="tx1"/>
            </w14:solidFill>
          </w14:textFill>
        </w:rPr>
      </w:pPr>
      <w:r>
        <w:rPr>
          <w:color w:val="000000" w:themeColor="text1"/>
          <w14:textFill>
            <w14:solidFill>
              <w14:schemeClr w14:val="tx1"/>
            </w14:solidFill>
          </w14:textFill>
        </w:rPr>
        <w:t>表6-2-</w:t>
      </w:r>
      <w:r>
        <w:rPr>
          <w:rFonts w:hint="eastAsia"/>
          <w:color w:val="000000" w:themeColor="text1"/>
          <w:lang w:val="en-US" w:eastAsia="zh-CN"/>
          <w14:textFill>
            <w14:solidFill>
              <w14:schemeClr w14:val="tx1"/>
            </w14:solidFill>
          </w14:textFill>
        </w:rPr>
        <w:t>8</w:t>
      </w:r>
      <w:r>
        <w:rPr>
          <w:color w:val="000000" w:themeColor="text1"/>
          <w14:textFill>
            <w14:solidFill>
              <w14:schemeClr w14:val="tx1"/>
            </w14:solidFill>
          </w14:textFill>
        </w:rPr>
        <w:t xml:space="preserve">  项目地下水污染防治分区表</w:t>
      </w:r>
    </w:p>
    <w:tbl>
      <w:tblPr>
        <w:tblStyle w:val="418"/>
        <w:tblW w:w="474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34"/>
        <w:gridCol w:w="1113"/>
        <w:gridCol w:w="4843"/>
      </w:tblGrid>
      <w:tr w14:paraId="0FAF17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26" w:type="pct"/>
            <w:vAlign w:val="center"/>
          </w:tcPr>
          <w:p w14:paraId="00EAB54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防渗区</w:t>
            </w:r>
          </w:p>
        </w:tc>
        <w:tc>
          <w:tcPr>
            <w:tcW w:w="705" w:type="pct"/>
            <w:vAlign w:val="center"/>
          </w:tcPr>
          <w:p w14:paraId="4739BE0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防渗等级</w:t>
            </w:r>
          </w:p>
        </w:tc>
        <w:tc>
          <w:tcPr>
            <w:tcW w:w="3068" w:type="pct"/>
            <w:vAlign w:val="center"/>
          </w:tcPr>
          <w:p w14:paraId="0D3B42A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防渗要求</w:t>
            </w:r>
          </w:p>
        </w:tc>
      </w:tr>
      <w:tr w14:paraId="484226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2" w:hRule="atLeast"/>
        </w:trPr>
        <w:tc>
          <w:tcPr>
            <w:tcW w:w="1226" w:type="pct"/>
            <w:vAlign w:val="center"/>
          </w:tcPr>
          <w:p w14:paraId="4B2624F4">
            <w:pPr>
              <w:pStyle w:val="143"/>
              <w:rPr>
                <w:rFonts w:hint="default" w:eastAsia="宋体"/>
                <w:snapToGrid w:val="0"/>
                <w:color w:val="000000" w:themeColor="text1"/>
                <w:kern w:val="0"/>
                <w:lang w:val="en-US" w:eastAsia="zh-CN"/>
                <w14:textFill>
                  <w14:solidFill>
                    <w14:schemeClr w14:val="tx1"/>
                  </w14:solidFill>
                </w14:textFill>
              </w:rPr>
            </w:pPr>
            <w:r>
              <w:rPr>
                <w:rFonts w:hint="eastAsia" w:ascii="Times New Roman"/>
                <w:snapToGrid w:val="0"/>
                <w:color w:val="000000"/>
                <w:kern w:val="2"/>
                <w:sz w:val="21"/>
                <w:szCs w:val="21"/>
              </w:rPr>
              <w:t>污水处理站</w:t>
            </w:r>
            <w:r>
              <w:rPr>
                <w:rFonts w:hint="eastAsia" w:ascii="Times New Roman"/>
                <w:snapToGrid w:val="0"/>
                <w:color w:val="000000"/>
                <w:kern w:val="2"/>
                <w:sz w:val="21"/>
                <w:szCs w:val="21"/>
                <w:lang w:eastAsia="zh-CN"/>
              </w:rPr>
              <w:t>、</w:t>
            </w:r>
            <w:r>
              <w:rPr>
                <w:rFonts w:hint="eastAsia"/>
                <w:snapToGrid w:val="0"/>
                <w:color w:val="000000" w:themeColor="text1"/>
                <w:kern w:val="0"/>
                <w:szCs w:val="21"/>
                <w:lang w:val="en-US" w:eastAsia="zh-CN"/>
                <w14:textFill>
                  <w14:solidFill>
                    <w14:schemeClr w14:val="tx1"/>
                  </w14:solidFill>
                </w14:textFill>
              </w:rPr>
              <w:t>柴油发电机房、</w:t>
            </w:r>
            <w:r>
              <w:rPr>
                <w:snapToGrid w:val="0"/>
                <w:color w:val="000000" w:themeColor="text1"/>
                <w:kern w:val="0"/>
                <w14:textFill>
                  <w14:solidFill>
                    <w14:schemeClr w14:val="tx1"/>
                  </w14:solidFill>
                </w14:textFill>
              </w:rPr>
              <w:t>危险废物贮存</w:t>
            </w:r>
            <w:r>
              <w:rPr>
                <w:rFonts w:hint="eastAsia"/>
                <w:snapToGrid w:val="0"/>
                <w:color w:val="000000" w:themeColor="text1"/>
                <w:kern w:val="0"/>
                <w:lang w:eastAsia="zh-CN"/>
                <w14:textFill>
                  <w14:solidFill>
                    <w14:schemeClr w14:val="tx1"/>
                  </w14:solidFill>
                </w14:textFill>
              </w:rPr>
              <w:t>点、</w:t>
            </w:r>
            <w:r>
              <w:rPr>
                <w:rFonts w:hint="eastAsia"/>
                <w:snapToGrid w:val="0"/>
                <w:color w:val="000000" w:themeColor="text1"/>
                <w:kern w:val="0"/>
                <w:szCs w:val="21"/>
                <w:lang w:val="en-US" w:eastAsia="zh-CN"/>
                <w14:textFill>
                  <w14:solidFill>
                    <w14:schemeClr w14:val="tx1"/>
                  </w14:solidFill>
                </w14:textFill>
              </w:rPr>
              <w:t>化验室、发酵罐区</w:t>
            </w:r>
          </w:p>
        </w:tc>
        <w:tc>
          <w:tcPr>
            <w:tcW w:w="705" w:type="pct"/>
            <w:vAlign w:val="center"/>
          </w:tcPr>
          <w:p w14:paraId="1164841A">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一般</w:t>
            </w:r>
            <w:r>
              <w:rPr>
                <w:snapToGrid w:val="0"/>
                <w:color w:val="000000" w:themeColor="text1"/>
                <w:kern w:val="0"/>
                <w14:textFill>
                  <w14:solidFill>
                    <w14:schemeClr w14:val="tx1"/>
                  </w14:solidFill>
                </w14:textFill>
              </w:rPr>
              <w:t>防渗</w:t>
            </w:r>
          </w:p>
        </w:tc>
        <w:tc>
          <w:tcPr>
            <w:tcW w:w="3068" w:type="pct"/>
            <w:vAlign w:val="center"/>
          </w:tcPr>
          <w:p w14:paraId="4A25555B">
            <w:pPr>
              <w:pStyle w:val="143"/>
              <w:rPr>
                <w:snapToGrid w:val="0"/>
                <w:color w:val="000000" w:themeColor="text1"/>
                <w:kern w:val="0"/>
                <w14:textFill>
                  <w14:solidFill>
                    <w14:schemeClr w14:val="tx1"/>
                  </w14:solidFill>
                </w14:textFill>
              </w:rPr>
            </w:pPr>
            <w:r>
              <w:rPr>
                <w:rFonts w:ascii="Times New Roman"/>
                <w:snapToGrid w:val="0"/>
                <w:color w:val="000000"/>
                <w:kern w:val="2"/>
                <w:sz w:val="21"/>
                <w:szCs w:val="21"/>
              </w:rPr>
              <w:t>池体</w:t>
            </w:r>
            <w:r>
              <w:rPr>
                <w:rFonts w:hint="eastAsia" w:ascii="Times New Roman"/>
                <w:snapToGrid w:val="0"/>
                <w:color w:val="000000"/>
                <w:kern w:val="2"/>
                <w:sz w:val="21"/>
                <w:szCs w:val="21"/>
              </w:rPr>
              <w:t>及</w:t>
            </w:r>
            <w:r>
              <w:rPr>
                <w:rFonts w:ascii="Times New Roman"/>
                <w:snapToGrid w:val="0"/>
                <w:color w:val="000000"/>
                <w:kern w:val="2"/>
                <w:sz w:val="21"/>
                <w:szCs w:val="21"/>
                <w:lang w:val="en-GB"/>
              </w:rPr>
              <w:t>地面基础防渗，防渗层为至少1m厚粘土层或2mm厚高密度聚乙烯，需满足等效黏土防渗层Mb≥1.5m，K≤1×10</w:t>
            </w:r>
            <w:r>
              <w:rPr>
                <w:rFonts w:ascii="Times New Roman"/>
                <w:snapToGrid w:val="0"/>
                <w:color w:val="000000"/>
                <w:kern w:val="2"/>
                <w:sz w:val="21"/>
                <w:szCs w:val="21"/>
                <w:vertAlign w:val="superscript"/>
                <w:lang w:val="en-GB"/>
              </w:rPr>
              <w:t>-7</w:t>
            </w:r>
            <w:r>
              <w:rPr>
                <w:rFonts w:ascii="Times New Roman"/>
                <w:snapToGrid w:val="0"/>
                <w:color w:val="000000"/>
                <w:kern w:val="2"/>
                <w:sz w:val="21"/>
                <w:szCs w:val="21"/>
                <w:lang w:val="en-GB"/>
              </w:rPr>
              <w:t>cm/s的要求</w:t>
            </w:r>
          </w:p>
        </w:tc>
      </w:tr>
      <w:tr w14:paraId="0829F0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26" w:type="pct"/>
            <w:vAlign w:val="center"/>
          </w:tcPr>
          <w:p w14:paraId="28A141BE">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酿造车间、包装车间等其他区域</w:t>
            </w:r>
          </w:p>
        </w:tc>
        <w:tc>
          <w:tcPr>
            <w:tcW w:w="705" w:type="pct"/>
            <w:vAlign w:val="center"/>
          </w:tcPr>
          <w:p w14:paraId="4FAD1C28">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简单</w:t>
            </w:r>
            <w:r>
              <w:rPr>
                <w:snapToGrid w:val="0"/>
                <w:color w:val="000000" w:themeColor="text1"/>
                <w:kern w:val="0"/>
                <w14:textFill>
                  <w14:solidFill>
                    <w14:schemeClr w14:val="tx1"/>
                  </w14:solidFill>
                </w14:textFill>
              </w:rPr>
              <w:t>防渗</w:t>
            </w:r>
          </w:p>
        </w:tc>
        <w:tc>
          <w:tcPr>
            <w:tcW w:w="3068" w:type="pct"/>
            <w:vAlign w:val="center"/>
          </w:tcPr>
          <w:p w14:paraId="3F1E0CD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采取基础防渗地面，防渗性能应与1.5m厚黏土层的防渗性能等效（渗透系数≤1.0×10</w:t>
            </w:r>
            <w:r>
              <w:rPr>
                <w:snapToGrid w:val="0"/>
                <w:color w:val="000000" w:themeColor="text1"/>
                <w:kern w:val="0"/>
                <w:vertAlign w:val="superscript"/>
                <w14:textFill>
                  <w14:solidFill>
                    <w14:schemeClr w14:val="tx1"/>
                  </w14:solidFill>
                </w14:textFill>
              </w:rPr>
              <w:t>-7</w:t>
            </w:r>
            <w:r>
              <w:rPr>
                <w:snapToGrid w:val="0"/>
                <w:color w:val="000000" w:themeColor="text1"/>
                <w:kern w:val="0"/>
                <w14:textFill>
                  <w14:solidFill>
                    <w14:schemeClr w14:val="tx1"/>
                  </w14:solidFill>
                </w14:textFill>
              </w:rPr>
              <w:t>cm/s）</w:t>
            </w:r>
          </w:p>
        </w:tc>
      </w:tr>
    </w:tbl>
    <w:p w14:paraId="44F8AF23">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2、其他地下水防控措施</w:t>
      </w:r>
    </w:p>
    <w:p w14:paraId="6E8717BB">
      <w:pPr>
        <w:pStyle w:val="8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1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①</w:t>
      </w:r>
      <w:r>
        <w:rPr>
          <w:color w:val="000000" w:themeColor="text1"/>
          <w14:textFill>
            <w14:solidFill>
              <w14:schemeClr w14:val="tx1"/>
            </w14:solidFill>
          </w14:textFill>
        </w:rPr>
        <w:fldChar w:fldCharType="end"/>
      </w:r>
      <w:r>
        <w:rPr>
          <w:color w:val="000000" w:themeColor="text1"/>
          <w14:textFill>
            <w14:solidFill>
              <w14:schemeClr w14:val="tx1"/>
            </w14:solidFill>
          </w14:textFill>
        </w:rPr>
        <w:t>平时注意污水处理等设施的维护，确保系统正常运行。</w:t>
      </w:r>
    </w:p>
    <w:p w14:paraId="4FA65DC3">
      <w:pPr>
        <w:pStyle w:val="8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2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②</w:t>
      </w:r>
      <w:r>
        <w:rPr>
          <w:color w:val="000000" w:themeColor="text1"/>
          <w14:textFill>
            <w14:solidFill>
              <w14:schemeClr w14:val="tx1"/>
            </w14:solidFill>
          </w14:textFill>
        </w:rPr>
        <w:fldChar w:fldCharType="end"/>
      </w:r>
      <w:r>
        <w:rPr>
          <w:color w:val="000000" w:themeColor="text1"/>
          <w14:textFill>
            <w14:solidFill>
              <w14:schemeClr w14:val="tx1"/>
            </w14:solidFill>
          </w14:textFill>
        </w:rPr>
        <w:t>确保管道质量，应用质量良好的管材，增加管段长度，减少管道接口，避免废水的跑、冒、滴、漏现象的发生。</w:t>
      </w:r>
    </w:p>
    <w:p w14:paraId="3C67F35B">
      <w:pPr>
        <w:pStyle w:val="8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3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③</w:t>
      </w:r>
      <w:r>
        <w:rPr>
          <w:color w:val="000000" w:themeColor="text1"/>
          <w14:textFill>
            <w14:solidFill>
              <w14:schemeClr w14:val="tx1"/>
            </w14:solidFill>
          </w14:textFill>
        </w:rPr>
        <w:fldChar w:fldCharType="end"/>
      </w:r>
      <w:r>
        <w:rPr>
          <w:color w:val="000000" w:themeColor="text1"/>
          <w14:textFill>
            <w14:solidFill>
              <w14:schemeClr w14:val="tx1"/>
            </w14:solidFill>
          </w14:textFill>
        </w:rPr>
        <w:t>加强管理，建立巡逻制度，定期对污水处理站等地进行检查，及时发现问题，查找隐患，杜绝污染物的外排。</w:t>
      </w:r>
    </w:p>
    <w:p w14:paraId="7AEFCB03">
      <w:pPr>
        <w:pStyle w:val="85"/>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4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④</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按照监测要求对厂区内</w:t>
      </w:r>
      <w:r>
        <w:rPr>
          <w:color w:val="000000" w:themeColor="text1"/>
          <w14:textFill>
            <w14:solidFill>
              <w14:schemeClr w14:val="tx1"/>
            </w14:solidFill>
          </w14:textFill>
        </w:rPr>
        <w:t>地下水跟踪监控井及时监控</w:t>
      </w:r>
      <w:r>
        <w:rPr>
          <w:rFonts w:hint="eastAsia"/>
          <w:color w:val="000000" w:themeColor="text1"/>
          <w14:textFill>
            <w14:solidFill>
              <w14:schemeClr w14:val="tx1"/>
            </w14:solidFill>
          </w14:textFill>
        </w:rPr>
        <w:t>，确保</w:t>
      </w:r>
      <w:r>
        <w:rPr>
          <w:color w:val="000000" w:themeColor="text1"/>
          <w14:textFill>
            <w14:solidFill>
              <w14:schemeClr w14:val="tx1"/>
            </w14:solidFill>
          </w14:textFill>
        </w:rPr>
        <w:t>地下水环境</w:t>
      </w:r>
      <w:r>
        <w:rPr>
          <w:rFonts w:hint="eastAsia"/>
          <w:color w:val="000000" w:themeColor="text1"/>
          <w14:textFill>
            <w14:solidFill>
              <w14:schemeClr w14:val="tx1"/>
            </w14:solidFill>
          </w14:textFill>
        </w:rPr>
        <w:t>不受影响。</w:t>
      </w:r>
    </w:p>
    <w:p w14:paraId="5C4C33F0">
      <w:pPr>
        <w:pStyle w:val="85"/>
        <w:rPr>
          <w:color w:val="000000" w:themeColor="text1"/>
          <w14:textFill>
            <w14:solidFill>
              <w14:schemeClr w14:val="tx1"/>
            </w14:solidFill>
          </w14:textFill>
        </w:rPr>
      </w:pPr>
      <w:r>
        <w:rPr>
          <w:color w:val="000000" w:themeColor="text1"/>
          <w14:textFill>
            <w14:solidFill>
              <w14:schemeClr w14:val="tx1"/>
            </w14:solidFill>
          </w14:textFill>
        </w:rPr>
        <w:t>本项目对地下水的主要污染途径为废水渗透，在认真采取以上措施的基础上，由于防渗层的保护作用，废水不会对地下水源造成影响。</w:t>
      </w:r>
      <w:r>
        <w:rPr>
          <w:rFonts w:hint="eastAsia"/>
          <w:color w:val="000000" w:themeColor="text1"/>
          <w14:textFill>
            <w14:solidFill>
              <w14:schemeClr w14:val="tx1"/>
            </w14:solidFill>
          </w14:textFill>
        </w:rPr>
        <w:t>本项目分区防渗图见附图</w:t>
      </w:r>
      <w:r>
        <w:rPr>
          <w:color w:val="000000" w:themeColor="text1"/>
          <w14:textFill>
            <w14:solidFill>
              <w14:schemeClr w14:val="tx1"/>
            </w14:solidFill>
          </w14:textFill>
        </w:rPr>
        <w:t>7</w:t>
      </w:r>
      <w:r>
        <w:rPr>
          <w:rFonts w:hint="eastAsia"/>
          <w:color w:val="000000" w:themeColor="text1"/>
          <w14:textFill>
            <w14:solidFill>
              <w14:schemeClr w14:val="tx1"/>
            </w14:solidFill>
          </w14:textFill>
        </w:rPr>
        <w:t>。</w:t>
      </w:r>
    </w:p>
    <w:p w14:paraId="72717625">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6</w:t>
      </w:r>
      <w:r>
        <w:rPr>
          <w:snapToGrid w:val="0"/>
          <w:color w:val="000000" w:themeColor="text1"/>
          <w14:textFill>
            <w14:solidFill>
              <w14:schemeClr w14:val="tx1"/>
            </w14:solidFill>
          </w14:textFill>
        </w:rPr>
        <w:t>.2.3.2跟踪监测</w:t>
      </w:r>
    </w:p>
    <w:p w14:paraId="41D38D88">
      <w:pPr>
        <w:adjustRightInd/>
        <w:snapToGrid/>
        <w:spacing w:line="360" w:lineRule="auto"/>
        <w:ind w:firstLine="480" w:firstLineChars="200"/>
        <w:rPr>
          <w:rFonts w:hint="eastAsia"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建立地下水监测系统，对建设区范围内的地下水实施有效监测是十分必要的。</w:t>
      </w:r>
      <w:r>
        <w:rPr>
          <w:rFonts w:hint="eastAsia" w:ascii="Times New Roman" w:hAnsi="Times New Roman" w:eastAsia="宋体" w:cs="Times New Roman"/>
          <w:color w:val="000000"/>
          <w:kern w:val="0"/>
          <w:szCs w:val="24"/>
        </w:rPr>
        <w:t>由于项目附近相对较易污染的是潜层地下水，因此，此次以潜层地下水为主要监测对象。</w:t>
      </w:r>
      <w:r>
        <w:rPr>
          <w:rFonts w:hint="eastAsia" w:ascii="Times New Roman" w:hAnsi="Times New Roman" w:eastAsia="宋体" w:cs="Times New Roman"/>
          <w:color w:val="000000"/>
          <w:kern w:val="0"/>
          <w:szCs w:val="20"/>
        </w:rPr>
        <w:t>根据《环境影响评价技术导则</w:t>
      </w:r>
      <w:r>
        <w:rPr>
          <w:rFonts w:ascii="Times New Roman" w:hAnsi="Times New Roman" w:eastAsia="宋体" w:cs="Times New Roman"/>
          <w:color w:val="000000"/>
          <w:kern w:val="0"/>
          <w:szCs w:val="20"/>
        </w:rPr>
        <w:t xml:space="preserve"> </w:t>
      </w:r>
      <w:r>
        <w:rPr>
          <w:rFonts w:hint="eastAsia" w:ascii="Times New Roman" w:hAnsi="Times New Roman" w:eastAsia="宋体" w:cs="Times New Roman"/>
          <w:color w:val="000000"/>
          <w:kern w:val="0"/>
          <w:szCs w:val="20"/>
        </w:rPr>
        <w:t>地下水环境》（</w:t>
      </w:r>
      <w:r>
        <w:rPr>
          <w:rFonts w:ascii="Times New Roman" w:hAnsi="Times New Roman" w:eastAsia="宋体" w:cs="Times New Roman"/>
          <w:color w:val="000000"/>
          <w:kern w:val="0"/>
          <w:szCs w:val="20"/>
        </w:rPr>
        <w:t>HJ610-2016</w:t>
      </w:r>
      <w:r>
        <w:rPr>
          <w:rFonts w:hint="eastAsia" w:ascii="Times New Roman" w:hAnsi="Times New Roman" w:eastAsia="宋体" w:cs="Times New Roman"/>
          <w:color w:val="000000"/>
          <w:kern w:val="0"/>
          <w:szCs w:val="20"/>
        </w:rPr>
        <w:t>）、《地下水环境监测技术规范》（</w:t>
      </w:r>
      <w:r>
        <w:rPr>
          <w:rFonts w:ascii="Times New Roman" w:hAnsi="Times New Roman" w:eastAsia="宋体" w:cs="Times New Roman"/>
          <w:color w:val="000000"/>
          <w:kern w:val="0"/>
          <w:szCs w:val="20"/>
        </w:rPr>
        <w:t>HJ164-20</w:t>
      </w:r>
      <w:r>
        <w:rPr>
          <w:rFonts w:hint="eastAsia" w:ascii="Times New Roman" w:hAnsi="Times New Roman" w:eastAsia="宋体" w:cs="Times New Roman"/>
          <w:color w:val="000000"/>
          <w:kern w:val="0"/>
          <w:szCs w:val="20"/>
        </w:rPr>
        <w:t>20）要求，对于地下水三级评价的建设项目，地下水跟踪监测井一般不少于1个，应至少在建设项目下游布设</w:t>
      </w:r>
      <w:r>
        <w:rPr>
          <w:rFonts w:ascii="Times New Roman" w:hAnsi="Times New Roman" w:eastAsia="宋体" w:cs="Times New Roman"/>
          <w:color w:val="000000"/>
          <w:kern w:val="0"/>
          <w:szCs w:val="20"/>
        </w:rPr>
        <w:t>1</w:t>
      </w:r>
      <w:r>
        <w:rPr>
          <w:rFonts w:hint="eastAsia" w:ascii="Times New Roman" w:hAnsi="Times New Roman" w:eastAsia="宋体" w:cs="Times New Roman"/>
          <w:color w:val="000000"/>
          <w:kern w:val="0"/>
          <w:szCs w:val="20"/>
        </w:rPr>
        <w:t>个。</w:t>
      </w:r>
      <w:r>
        <w:rPr>
          <w:rFonts w:ascii="Times New Roman" w:hAnsi="Times New Roman" w:eastAsia="宋体" w:cs="Times New Roman"/>
          <w:color w:val="000000"/>
          <w:kern w:val="0"/>
          <w:szCs w:val="24"/>
        </w:rPr>
        <w:t>项目区地下水流向为</w:t>
      </w:r>
      <w:r>
        <w:rPr>
          <w:rFonts w:ascii="Times New Roman"/>
          <w:color w:val="000000"/>
          <w:szCs w:val="24"/>
        </w:rPr>
        <w:t>S</w:t>
      </w:r>
      <w:r>
        <w:rPr>
          <w:rFonts w:hint="eastAsia" w:ascii="Times New Roman"/>
          <w:color w:val="000000"/>
          <w:szCs w:val="24"/>
          <w:lang w:val="en-US" w:eastAsia="zh-CN"/>
        </w:rPr>
        <w:t>E</w:t>
      </w:r>
      <w:r>
        <w:rPr>
          <w:rFonts w:ascii="Times New Roman"/>
          <w:color w:val="000000"/>
          <w:szCs w:val="24"/>
        </w:rPr>
        <w:t>-N</w:t>
      </w:r>
      <w:r>
        <w:rPr>
          <w:rFonts w:hint="eastAsia" w:ascii="Times New Roman"/>
          <w:color w:val="000000"/>
          <w:szCs w:val="24"/>
          <w:lang w:val="en-US" w:eastAsia="zh-CN"/>
        </w:rPr>
        <w:t>W</w:t>
      </w:r>
      <w:r>
        <w:rPr>
          <w:rFonts w:ascii="Times New Roman"/>
          <w:color w:val="000000"/>
          <w:szCs w:val="24"/>
        </w:rPr>
        <w:t>（</w:t>
      </w:r>
      <w:r>
        <w:rPr>
          <w:rFonts w:hint="eastAsia" w:ascii="Times New Roman"/>
          <w:color w:val="000000"/>
          <w:szCs w:val="24"/>
          <w:lang w:val="en-US" w:eastAsia="zh-CN"/>
        </w:rPr>
        <w:t>东</w:t>
      </w:r>
      <w:r>
        <w:rPr>
          <w:rFonts w:hint="eastAsia" w:ascii="Times New Roman"/>
          <w:color w:val="000000"/>
          <w:szCs w:val="24"/>
        </w:rPr>
        <w:t>南</w:t>
      </w:r>
      <w:r>
        <w:rPr>
          <w:rFonts w:ascii="Times New Roman"/>
          <w:color w:val="000000"/>
          <w:szCs w:val="24"/>
        </w:rPr>
        <w:t>-</w:t>
      </w:r>
      <w:r>
        <w:rPr>
          <w:rFonts w:hint="eastAsia" w:ascii="Times New Roman"/>
          <w:color w:val="000000"/>
          <w:szCs w:val="24"/>
          <w:lang w:val="en-US" w:eastAsia="zh-CN"/>
        </w:rPr>
        <w:t>西</w:t>
      </w:r>
      <w:r>
        <w:rPr>
          <w:rFonts w:hint="eastAsia" w:ascii="Times New Roman"/>
          <w:color w:val="000000"/>
          <w:szCs w:val="24"/>
        </w:rPr>
        <w:t>北</w:t>
      </w:r>
      <w:r>
        <w:rPr>
          <w:rFonts w:ascii="Times New Roman"/>
          <w:color w:val="000000"/>
          <w:szCs w:val="24"/>
        </w:rPr>
        <w:t>）</w:t>
      </w:r>
      <w:r>
        <w:rPr>
          <w:rFonts w:hint="eastAsia" w:ascii="Times New Roman" w:hAnsi="Times New Roman" w:eastAsia="宋体" w:cs="Times New Roman"/>
          <w:color w:val="000000"/>
          <w:kern w:val="0"/>
          <w:szCs w:val="24"/>
        </w:rPr>
        <w:t>，</w:t>
      </w:r>
      <w:r>
        <w:rPr>
          <w:rFonts w:ascii="Times New Roman" w:hAnsi="Times New Roman" w:eastAsia="宋体" w:cs="Times New Roman"/>
          <w:color w:val="000000"/>
          <w:kern w:val="0"/>
          <w:szCs w:val="24"/>
        </w:rPr>
        <w:t>评价要求在污水处理站调节池最近对应</w:t>
      </w:r>
      <w:r>
        <w:rPr>
          <w:rFonts w:hint="eastAsia" w:ascii="Times New Roman" w:hAnsi="Times New Roman" w:eastAsia="宋体" w:cs="Times New Roman"/>
          <w:color w:val="000000"/>
          <w:kern w:val="0"/>
          <w:szCs w:val="24"/>
          <w:lang w:val="en-US" w:eastAsia="zh-CN"/>
        </w:rPr>
        <w:t>西</w:t>
      </w:r>
      <w:r>
        <w:rPr>
          <w:rFonts w:hint="eastAsia" w:ascii="Times New Roman" w:hAnsi="Times New Roman" w:eastAsia="宋体" w:cs="Times New Roman"/>
          <w:color w:val="000000"/>
          <w:kern w:val="0"/>
          <w:szCs w:val="24"/>
        </w:rPr>
        <w:t>北角</w:t>
      </w:r>
      <w:r>
        <w:rPr>
          <w:rFonts w:ascii="Times New Roman" w:hAnsi="Times New Roman" w:eastAsia="宋体" w:cs="Times New Roman"/>
          <w:color w:val="000000"/>
          <w:kern w:val="0"/>
          <w:szCs w:val="24"/>
        </w:rPr>
        <w:t>处设置</w:t>
      </w:r>
      <w:r>
        <w:rPr>
          <w:rFonts w:hint="eastAsia" w:ascii="Times New Roman" w:hAnsi="Times New Roman" w:eastAsia="宋体" w:cs="Times New Roman"/>
          <w:color w:val="000000"/>
          <w:kern w:val="0"/>
          <w:szCs w:val="24"/>
        </w:rPr>
        <w:t>地下水跟踪</w:t>
      </w:r>
      <w:r>
        <w:rPr>
          <w:rFonts w:ascii="Times New Roman" w:hAnsi="Times New Roman" w:eastAsia="宋体" w:cs="Times New Roman"/>
          <w:color w:val="000000"/>
          <w:kern w:val="0"/>
          <w:szCs w:val="24"/>
        </w:rPr>
        <w:t>监测井</w:t>
      </w:r>
      <w:r>
        <w:rPr>
          <w:rFonts w:hint="eastAsia" w:ascii="Times New Roman" w:hAnsi="Times New Roman" w:eastAsia="宋体" w:cs="Times New Roman"/>
          <w:color w:val="000000"/>
          <w:kern w:val="0"/>
          <w:szCs w:val="24"/>
        </w:rPr>
        <w:t>1</w:t>
      </w:r>
      <w:r>
        <w:rPr>
          <w:rFonts w:ascii="Times New Roman" w:hAnsi="Times New Roman" w:eastAsia="宋体" w:cs="Times New Roman"/>
          <w:color w:val="000000"/>
          <w:kern w:val="0"/>
          <w:szCs w:val="24"/>
        </w:rPr>
        <w:t>口</w:t>
      </w:r>
      <w:r>
        <w:rPr>
          <w:rFonts w:hint="eastAsia" w:ascii="Times New Roman" w:hAnsi="Times New Roman" w:eastAsia="宋体" w:cs="Times New Roman"/>
          <w:color w:val="000000"/>
          <w:kern w:val="0"/>
          <w:szCs w:val="20"/>
        </w:rPr>
        <w:t>。</w:t>
      </w:r>
      <w:r>
        <w:rPr>
          <w:rFonts w:hint="eastAsia" w:ascii="Times New Roman" w:hAnsi="Times New Roman" w:eastAsia="宋体" w:cs="Times New Roman"/>
          <w:color w:val="000000"/>
          <w:kern w:val="0"/>
          <w:szCs w:val="24"/>
        </w:rPr>
        <w:t>地下水跟踪</w:t>
      </w:r>
      <w:r>
        <w:rPr>
          <w:rFonts w:hint="eastAsia" w:ascii="Times New Roman" w:hAnsi="Times New Roman" w:eastAsia="宋体" w:cs="Times New Roman"/>
          <w:color w:val="000000"/>
          <w:kern w:val="0"/>
          <w:szCs w:val="20"/>
        </w:rPr>
        <w:t>监测点位图见图6-2-2所示。</w:t>
      </w:r>
    </w:p>
    <w:p w14:paraId="3EB0923B">
      <w:pPr>
        <w:adjustRightInd/>
        <w:snapToGrid/>
        <w:spacing w:line="360" w:lineRule="auto"/>
        <w:ind w:firstLine="480" w:firstLineChars="200"/>
        <w:rPr>
          <w:rFonts w:ascii="Times New Roman" w:hAnsi="Times New Roman" w:eastAsia="宋体" w:cs="Times New Roman"/>
          <w:color w:val="000000"/>
          <w:kern w:val="0"/>
          <w:szCs w:val="20"/>
        </w:rPr>
      </w:pPr>
      <w:r>
        <w:rPr>
          <w:rFonts w:hint="eastAsia" w:ascii="Times New Roman" w:hAnsi="Times New Roman" w:eastAsia="宋体" w:cs="Times New Roman"/>
          <w:color w:val="000000"/>
          <w:kern w:val="0"/>
          <w:szCs w:val="20"/>
        </w:rPr>
        <w:t>根据《地下水环境监测技术规范》（</w:t>
      </w:r>
      <w:r>
        <w:rPr>
          <w:rFonts w:ascii="Times New Roman" w:hAnsi="Times New Roman" w:eastAsia="宋体" w:cs="Times New Roman"/>
          <w:color w:val="000000"/>
          <w:kern w:val="0"/>
          <w:szCs w:val="20"/>
        </w:rPr>
        <w:t>HJ164</w:t>
      </w:r>
      <w:r>
        <w:rPr>
          <w:rFonts w:hint="eastAsia" w:ascii="Times New Roman" w:hAnsi="Times New Roman" w:eastAsia="宋体" w:cs="Times New Roman"/>
          <w:color w:val="000000"/>
          <w:kern w:val="0"/>
          <w:szCs w:val="20"/>
        </w:rPr>
        <w:t>-</w:t>
      </w:r>
      <w:r>
        <w:rPr>
          <w:rFonts w:ascii="Times New Roman" w:hAnsi="Times New Roman" w:eastAsia="宋体" w:cs="Times New Roman"/>
          <w:color w:val="000000"/>
          <w:kern w:val="0"/>
          <w:szCs w:val="20"/>
        </w:rPr>
        <w:t>20</w:t>
      </w:r>
      <w:r>
        <w:rPr>
          <w:rFonts w:hint="eastAsia" w:ascii="Times New Roman" w:hAnsi="Times New Roman" w:eastAsia="宋体" w:cs="Times New Roman"/>
          <w:color w:val="000000"/>
          <w:kern w:val="0"/>
          <w:szCs w:val="20"/>
        </w:rPr>
        <w:t>20）要求，地下水监测项目包括必测的常规项目及根据项目废水的污染物特征需选测的特殊项目，本建设项目地下水跟踪监测计划见表</w:t>
      </w:r>
      <w:r>
        <w:rPr>
          <w:rFonts w:ascii="Times New Roman" w:hAnsi="Times New Roman" w:eastAsia="宋体" w:cs="Times New Roman"/>
          <w:color w:val="000000"/>
          <w:kern w:val="0"/>
          <w:szCs w:val="20"/>
        </w:rPr>
        <w:t>6-2-</w:t>
      </w:r>
      <w:r>
        <w:rPr>
          <w:rFonts w:hint="eastAsia" w:cs="Times New Roman"/>
          <w:color w:val="000000"/>
          <w:kern w:val="0"/>
          <w:szCs w:val="20"/>
          <w:lang w:val="en-US" w:eastAsia="zh-CN"/>
        </w:rPr>
        <w:t>9</w:t>
      </w:r>
      <w:r>
        <w:rPr>
          <w:rFonts w:hint="eastAsia" w:ascii="Times New Roman" w:hAnsi="Times New Roman" w:eastAsia="宋体" w:cs="Times New Roman"/>
          <w:color w:val="000000"/>
          <w:kern w:val="0"/>
          <w:szCs w:val="20"/>
        </w:rPr>
        <w:t>。</w:t>
      </w:r>
      <w:r>
        <w:rPr>
          <w:rFonts w:hint="eastAsia" w:ascii="Times New Roman" w:hAnsi="Times New Roman" w:eastAsia="宋体" w:cs="宋体"/>
          <w:color w:val="000000"/>
          <w:kern w:val="0"/>
          <w:szCs w:val="20"/>
        </w:rPr>
        <w:t>将建设项目监测因子的地下水环境监测值向公众公开，以便公众及时了解情况。制定应急响应预案。</w:t>
      </w:r>
    </w:p>
    <w:p w14:paraId="63EEDA31">
      <w:pPr>
        <w:widowControl w:val="0"/>
        <w:spacing w:line="360" w:lineRule="auto"/>
        <w:jc w:val="center"/>
        <w:rPr>
          <w:rFonts w:hint="eastAsia" w:ascii="Times New Roman" w:hAnsi="Times New Roman" w:eastAsia="黑体" w:cs="宋体"/>
          <w:color w:val="000000"/>
          <w:sz w:val="24"/>
          <w:lang w:val="en-US" w:eastAsia="zh-CN" w:bidi="ar-SA"/>
        </w:rPr>
      </w:pPr>
      <w:r>
        <w:rPr>
          <w:rFonts w:hint="eastAsia" w:ascii="Times New Roman" w:hAnsi="Times New Roman" w:eastAsia="黑体" w:cs="宋体"/>
          <w:color w:val="000000"/>
          <w:sz w:val="24"/>
          <w:lang w:val="en-US" w:eastAsia="zh-CN" w:bidi="ar-SA"/>
        </w:rPr>
        <w:t>表</w:t>
      </w:r>
      <w:r>
        <w:rPr>
          <w:rFonts w:ascii="Times New Roman" w:hAnsi="Times New Roman" w:eastAsia="黑体" w:cs="宋体"/>
          <w:color w:val="000000"/>
          <w:sz w:val="24"/>
          <w:lang w:val="en-US" w:eastAsia="zh-CN" w:bidi="ar-SA"/>
        </w:rPr>
        <w:t>6-2-</w:t>
      </w:r>
      <w:r>
        <w:rPr>
          <w:rFonts w:hint="eastAsia" w:eastAsia="黑体" w:cs="宋体"/>
          <w:color w:val="000000"/>
          <w:sz w:val="24"/>
          <w:lang w:val="en-US" w:eastAsia="zh-CN" w:bidi="ar-SA"/>
        </w:rPr>
        <w:t>9</w:t>
      </w:r>
      <w:r>
        <w:rPr>
          <w:rFonts w:ascii="Times New Roman" w:hAnsi="Times New Roman" w:eastAsia="黑体" w:cs="宋体"/>
          <w:color w:val="000000"/>
          <w:sz w:val="24"/>
          <w:lang w:val="en-US" w:eastAsia="zh-CN" w:bidi="ar-SA"/>
        </w:rPr>
        <w:t xml:space="preserve">  </w:t>
      </w:r>
      <w:r>
        <w:rPr>
          <w:rFonts w:hint="eastAsia" w:ascii="Times New Roman" w:hAnsi="Times New Roman" w:eastAsia="黑体" w:cs="宋体"/>
          <w:color w:val="000000"/>
          <w:sz w:val="24"/>
          <w:lang w:val="en-US" w:eastAsia="zh-CN" w:bidi="ar-SA"/>
        </w:rPr>
        <w:t>监测计划一览表</w:t>
      </w:r>
    </w:p>
    <w:tbl>
      <w:tblPr>
        <w:tblStyle w:val="49"/>
        <w:tblW w:w="499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542"/>
        <w:gridCol w:w="2005"/>
        <w:gridCol w:w="1166"/>
        <w:gridCol w:w="432"/>
        <w:gridCol w:w="680"/>
        <w:gridCol w:w="724"/>
        <w:gridCol w:w="2132"/>
        <w:gridCol w:w="621"/>
      </w:tblGrid>
      <w:tr w14:paraId="690FF0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681" w:hRule="atLeast"/>
          <w:jc w:val="center"/>
        </w:trPr>
        <w:tc>
          <w:tcPr>
            <w:tcW w:w="326" w:type="pct"/>
            <w:noWrap w:val="0"/>
            <w:vAlign w:val="center"/>
          </w:tcPr>
          <w:p w14:paraId="093E21EB">
            <w:pPr>
              <w:adjustRightInd/>
              <w:snapToGrid/>
              <w:spacing w:line="240" w:lineRule="auto"/>
              <w:ind w:firstLine="0" w:firstLineChars="0"/>
              <w:jc w:val="center"/>
              <w:rPr>
                <w:rFonts w:ascii="Times New Roman" w:hAnsi="Times New Roman" w:eastAsia="Calibri" w:cs="Times New Roman"/>
                <w:color w:val="000000"/>
                <w:kern w:val="0"/>
                <w:sz w:val="21"/>
                <w:szCs w:val="21"/>
              </w:rPr>
            </w:pPr>
            <w:r>
              <w:rPr>
                <w:rFonts w:ascii="Times New Roman" w:hAnsi="Times New Roman" w:eastAsia="宋体" w:cs="Times New Roman"/>
                <w:color w:val="000000"/>
                <w:kern w:val="0"/>
                <w:sz w:val="21"/>
                <w:szCs w:val="21"/>
              </w:rPr>
              <w:t>点位</w:t>
            </w:r>
          </w:p>
        </w:tc>
        <w:tc>
          <w:tcPr>
            <w:tcW w:w="1207" w:type="pct"/>
            <w:noWrap w:val="0"/>
            <w:vAlign w:val="center"/>
          </w:tcPr>
          <w:p w14:paraId="64E0E022">
            <w:pPr>
              <w:adjustRightInd/>
              <w:snapToGrid/>
              <w:spacing w:line="240" w:lineRule="auto"/>
              <w:ind w:firstLine="0" w:firstLineChars="0"/>
              <w:jc w:val="center"/>
              <w:rPr>
                <w:rFonts w:ascii="Times New Roman" w:hAnsi="Times New Roman" w:eastAsia="Calibri" w:cs="Times New Roman"/>
                <w:color w:val="000000"/>
                <w:kern w:val="0"/>
                <w:sz w:val="21"/>
                <w:szCs w:val="21"/>
              </w:rPr>
            </w:pPr>
            <w:r>
              <w:rPr>
                <w:rFonts w:ascii="Times New Roman" w:hAnsi="Times New Roman" w:eastAsia="宋体" w:cs="Times New Roman"/>
                <w:color w:val="000000"/>
                <w:kern w:val="0"/>
                <w:sz w:val="21"/>
                <w:szCs w:val="21"/>
              </w:rPr>
              <w:t>坐标</w:t>
            </w:r>
          </w:p>
        </w:tc>
        <w:tc>
          <w:tcPr>
            <w:tcW w:w="702" w:type="pct"/>
            <w:noWrap w:val="0"/>
            <w:vAlign w:val="center"/>
          </w:tcPr>
          <w:p w14:paraId="2211715B">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相对位置</w:t>
            </w:r>
          </w:p>
          <w:p w14:paraId="3C8FEDBA">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及功能</w:t>
            </w:r>
          </w:p>
        </w:tc>
        <w:tc>
          <w:tcPr>
            <w:tcW w:w="260" w:type="pct"/>
            <w:noWrap w:val="0"/>
            <w:vAlign w:val="center"/>
          </w:tcPr>
          <w:p w14:paraId="31CC19D4">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井</w:t>
            </w:r>
          </w:p>
          <w:p w14:paraId="6F638F3B">
            <w:pPr>
              <w:adjustRightInd/>
              <w:snapToGrid/>
              <w:spacing w:line="240" w:lineRule="auto"/>
              <w:ind w:firstLine="0" w:firstLineChars="0"/>
              <w:jc w:val="center"/>
              <w:rPr>
                <w:rFonts w:ascii="Times New Roman" w:hAnsi="Times New Roman" w:eastAsia="Calibri" w:cs="Times New Roman"/>
                <w:color w:val="000000"/>
                <w:kern w:val="0"/>
                <w:sz w:val="21"/>
                <w:szCs w:val="21"/>
              </w:rPr>
            </w:pPr>
            <w:r>
              <w:rPr>
                <w:rFonts w:ascii="Times New Roman" w:hAnsi="Times New Roman" w:eastAsia="宋体" w:cs="Times New Roman"/>
                <w:color w:val="000000"/>
                <w:kern w:val="0"/>
                <w:sz w:val="21"/>
                <w:szCs w:val="21"/>
              </w:rPr>
              <w:t>深</w:t>
            </w:r>
          </w:p>
        </w:tc>
        <w:tc>
          <w:tcPr>
            <w:tcW w:w="409" w:type="pct"/>
            <w:noWrap w:val="0"/>
            <w:vAlign w:val="center"/>
          </w:tcPr>
          <w:p w14:paraId="11978714">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井</w:t>
            </w:r>
          </w:p>
          <w:p w14:paraId="3E6D7A8A">
            <w:pPr>
              <w:adjustRightInd/>
              <w:snapToGrid/>
              <w:spacing w:line="240" w:lineRule="auto"/>
              <w:ind w:firstLine="0" w:firstLineChars="0"/>
              <w:jc w:val="center"/>
              <w:rPr>
                <w:rFonts w:ascii="Times New Roman" w:hAnsi="Times New Roman" w:eastAsia="Calibri" w:cs="Times New Roman"/>
                <w:color w:val="000000"/>
                <w:kern w:val="0"/>
                <w:sz w:val="21"/>
                <w:szCs w:val="21"/>
              </w:rPr>
            </w:pPr>
            <w:r>
              <w:rPr>
                <w:rFonts w:ascii="Times New Roman" w:hAnsi="Times New Roman" w:eastAsia="宋体" w:cs="Times New Roman"/>
                <w:color w:val="000000"/>
                <w:kern w:val="0"/>
                <w:sz w:val="21"/>
                <w:szCs w:val="21"/>
              </w:rPr>
              <w:t>结构</w:t>
            </w:r>
          </w:p>
        </w:tc>
        <w:tc>
          <w:tcPr>
            <w:tcW w:w="436" w:type="pct"/>
            <w:noWrap w:val="0"/>
            <w:vAlign w:val="center"/>
          </w:tcPr>
          <w:p w14:paraId="7FB3BD32">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监测</w:t>
            </w:r>
          </w:p>
          <w:p w14:paraId="3FEC8DE4">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层位</w:t>
            </w:r>
          </w:p>
        </w:tc>
        <w:tc>
          <w:tcPr>
            <w:tcW w:w="1283" w:type="pct"/>
            <w:noWrap w:val="0"/>
            <w:vAlign w:val="center"/>
          </w:tcPr>
          <w:p w14:paraId="4E592C61">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监测因子</w:t>
            </w:r>
          </w:p>
        </w:tc>
        <w:tc>
          <w:tcPr>
            <w:tcW w:w="374" w:type="pct"/>
            <w:noWrap w:val="0"/>
            <w:vAlign w:val="center"/>
          </w:tcPr>
          <w:p w14:paraId="22B0618D">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监测</w:t>
            </w:r>
          </w:p>
          <w:p w14:paraId="1AA7E29D">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频次</w:t>
            </w:r>
          </w:p>
        </w:tc>
      </w:tr>
      <w:tr w14:paraId="14475E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949" w:hRule="atLeast"/>
          <w:jc w:val="center"/>
        </w:trPr>
        <w:tc>
          <w:tcPr>
            <w:tcW w:w="326" w:type="pct"/>
            <w:noWrap w:val="0"/>
            <w:vAlign w:val="center"/>
          </w:tcPr>
          <w:p w14:paraId="6467EFE0">
            <w:pPr>
              <w:adjustRightInd/>
              <w:snapToGrid/>
              <w:spacing w:line="240" w:lineRule="auto"/>
              <w:ind w:firstLine="0" w:firstLineChars="0"/>
              <w:jc w:val="center"/>
              <w:rPr>
                <w:rFonts w:ascii="Times New Roman" w:hAnsi="Times New Roman" w:eastAsia="Calibri" w:cs="Times New Roman"/>
                <w:color w:val="000000"/>
                <w:kern w:val="0"/>
                <w:sz w:val="21"/>
                <w:szCs w:val="21"/>
              </w:rPr>
            </w:pPr>
            <w:r>
              <w:rPr>
                <w:rFonts w:ascii="Times New Roman" w:hAnsi="Times New Roman" w:eastAsia="宋体" w:cs="Times New Roman"/>
                <w:color w:val="000000"/>
                <w:kern w:val="0"/>
                <w:sz w:val="21"/>
                <w:szCs w:val="21"/>
              </w:rPr>
              <w:t>1#</w:t>
            </w:r>
          </w:p>
        </w:tc>
        <w:tc>
          <w:tcPr>
            <w:tcW w:w="1207" w:type="pct"/>
            <w:noWrap w:val="0"/>
            <w:vAlign w:val="center"/>
          </w:tcPr>
          <w:p w14:paraId="7961CEA2">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color w:val="000000"/>
                <w:sz w:val="21"/>
                <w:szCs w:val="21"/>
              </w:rPr>
              <w:t>E</w:t>
            </w:r>
            <w:r>
              <w:rPr>
                <w:rFonts w:hint="eastAsia" w:ascii="Times New Roman"/>
                <w:color w:val="000000"/>
                <w:sz w:val="21"/>
                <w:szCs w:val="21"/>
              </w:rPr>
              <w:t>130.57725017°，N46.26923504°</w:t>
            </w:r>
          </w:p>
        </w:tc>
        <w:tc>
          <w:tcPr>
            <w:tcW w:w="702" w:type="pct"/>
            <w:noWrap w:val="0"/>
            <w:vAlign w:val="center"/>
          </w:tcPr>
          <w:p w14:paraId="06B02297">
            <w:pPr>
              <w:widowControl w:val="0"/>
              <w:autoSpaceDE w:val="0"/>
              <w:autoSpaceDN w:val="0"/>
              <w:ind w:left="0" w:leftChars="0" w:firstLine="0" w:firstLineChars="0"/>
              <w:contextualSpacing/>
              <w:jc w:val="both"/>
              <w:rPr>
                <w:rFonts w:ascii="Times New Roman" w:hAnsi="Times New Roman" w:eastAsia="宋体" w:cs="Times New Roman"/>
                <w:color w:val="000000"/>
                <w:kern w:val="0"/>
                <w:sz w:val="21"/>
                <w:szCs w:val="21"/>
                <w:lang w:val="en-US" w:eastAsia="zh-CN" w:bidi="ar-SA"/>
              </w:rPr>
            </w:pPr>
            <w:r>
              <w:rPr>
                <w:rFonts w:ascii="Times New Roman" w:hAnsi="Times New Roman" w:eastAsia="宋体" w:cs="Times New Roman"/>
                <w:color w:val="000000"/>
                <w:kern w:val="0"/>
                <w:sz w:val="21"/>
                <w:szCs w:val="21"/>
                <w:lang w:val="en-US" w:eastAsia="zh-CN" w:bidi="ar-SA"/>
              </w:rPr>
              <w:t>下游</w:t>
            </w:r>
          </w:p>
          <w:p w14:paraId="15C939D4">
            <w:pPr>
              <w:adjustRightInd/>
              <w:snapToGrid/>
              <w:spacing w:line="240" w:lineRule="auto"/>
              <w:ind w:firstLine="0" w:firstLineChars="0"/>
              <w:jc w:val="center"/>
              <w:rPr>
                <w:rFonts w:ascii="Times New Roman" w:hAnsi="Times New Roman" w:eastAsia="宋体" w:cs="Times New Roman"/>
                <w:color w:val="000000"/>
                <w:kern w:val="0"/>
                <w:sz w:val="21"/>
                <w:szCs w:val="21"/>
                <w:lang w:bidi="ar"/>
              </w:rPr>
            </w:pPr>
            <w:r>
              <w:rPr>
                <w:rFonts w:ascii="Times New Roman" w:hAnsi="Times New Roman" w:eastAsia="宋体" w:cs="Times New Roman"/>
                <w:color w:val="000000"/>
                <w:kern w:val="0"/>
                <w:sz w:val="21"/>
                <w:szCs w:val="21"/>
              </w:rPr>
              <w:t>污染扩散井</w:t>
            </w:r>
          </w:p>
        </w:tc>
        <w:tc>
          <w:tcPr>
            <w:tcW w:w="260" w:type="pct"/>
            <w:noWrap w:val="0"/>
            <w:vAlign w:val="center"/>
          </w:tcPr>
          <w:p w14:paraId="5D09AD51">
            <w:pPr>
              <w:adjustRightInd/>
              <w:snapToGrid/>
              <w:spacing w:line="240" w:lineRule="auto"/>
              <w:ind w:firstLine="0" w:firstLineChars="0"/>
              <w:jc w:val="center"/>
              <w:rPr>
                <w:rFonts w:hint="default" w:ascii="Times New Roman" w:hAnsi="Times New Roman" w:eastAsia="宋体" w:cs="Times New Roman"/>
                <w:color w:val="000000"/>
                <w:kern w:val="0"/>
                <w:sz w:val="21"/>
                <w:szCs w:val="21"/>
                <w:lang w:val="en-US" w:eastAsia="zh-CN"/>
              </w:rPr>
            </w:pPr>
            <w:r>
              <w:rPr>
                <w:rFonts w:hint="eastAsia" w:cs="Times New Roman"/>
                <w:color w:val="000000"/>
                <w:kern w:val="0"/>
                <w:sz w:val="21"/>
                <w:szCs w:val="21"/>
                <w:lang w:val="en-US" w:eastAsia="zh-CN"/>
              </w:rPr>
              <w:t>35</w:t>
            </w:r>
          </w:p>
        </w:tc>
        <w:tc>
          <w:tcPr>
            <w:tcW w:w="409" w:type="pct"/>
            <w:noWrap w:val="0"/>
            <w:vAlign w:val="center"/>
          </w:tcPr>
          <w:p w14:paraId="3E98C8BD">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单管</w:t>
            </w:r>
          </w:p>
          <w:p w14:paraId="68447BD8">
            <w:pPr>
              <w:adjustRightInd/>
              <w:snapToGrid/>
              <w:spacing w:line="240" w:lineRule="auto"/>
              <w:ind w:firstLine="0" w:firstLineChars="0"/>
              <w:jc w:val="center"/>
              <w:rPr>
                <w:rFonts w:ascii="Times New Roman" w:hAnsi="Times New Roman" w:eastAsia="Calibri" w:cs="Times New Roman"/>
                <w:color w:val="000000"/>
                <w:kern w:val="0"/>
                <w:sz w:val="21"/>
                <w:szCs w:val="21"/>
              </w:rPr>
            </w:pPr>
            <w:r>
              <w:rPr>
                <w:rFonts w:ascii="Times New Roman" w:hAnsi="Times New Roman" w:eastAsia="宋体" w:cs="Times New Roman"/>
                <w:color w:val="000000"/>
                <w:kern w:val="0"/>
                <w:sz w:val="21"/>
                <w:szCs w:val="21"/>
              </w:rPr>
              <w:t>单层</w:t>
            </w:r>
          </w:p>
        </w:tc>
        <w:tc>
          <w:tcPr>
            <w:tcW w:w="436" w:type="pct"/>
            <w:noWrap w:val="0"/>
            <w:vAlign w:val="center"/>
          </w:tcPr>
          <w:p w14:paraId="0A486B07">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潜水</w:t>
            </w:r>
          </w:p>
        </w:tc>
        <w:tc>
          <w:tcPr>
            <w:tcW w:w="1283" w:type="pct"/>
            <w:noWrap w:val="0"/>
            <w:vAlign w:val="center"/>
          </w:tcPr>
          <w:p w14:paraId="28E594FC">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K</w:t>
            </w:r>
            <w:r>
              <w:rPr>
                <w:rFonts w:ascii="Times New Roman" w:hAnsi="Times New Roman" w:eastAsia="宋体" w:cs="Times New Roman"/>
                <w:color w:val="000000"/>
                <w:kern w:val="0"/>
                <w:sz w:val="21"/>
                <w:szCs w:val="21"/>
                <w:vertAlign w:val="superscript"/>
              </w:rPr>
              <w:t>+</w:t>
            </w:r>
            <w:r>
              <w:rPr>
                <w:rFonts w:ascii="Times New Roman" w:hAnsi="Times New Roman" w:eastAsia="宋体" w:cs="Times New Roman"/>
                <w:color w:val="000000"/>
                <w:kern w:val="0"/>
                <w:sz w:val="21"/>
                <w:szCs w:val="21"/>
              </w:rPr>
              <w:t>、Na</w:t>
            </w:r>
            <w:r>
              <w:rPr>
                <w:rFonts w:ascii="Times New Roman" w:hAnsi="Times New Roman" w:eastAsia="宋体" w:cs="Times New Roman"/>
                <w:color w:val="000000"/>
                <w:kern w:val="0"/>
                <w:sz w:val="21"/>
                <w:szCs w:val="21"/>
                <w:vertAlign w:val="superscript"/>
              </w:rPr>
              <w:t>+</w:t>
            </w:r>
            <w:r>
              <w:rPr>
                <w:rFonts w:ascii="Times New Roman" w:hAnsi="Times New Roman" w:eastAsia="宋体" w:cs="Times New Roman"/>
                <w:color w:val="000000"/>
                <w:kern w:val="0"/>
                <w:sz w:val="21"/>
                <w:szCs w:val="21"/>
              </w:rPr>
              <w:t>、Ca</w:t>
            </w:r>
            <w:r>
              <w:rPr>
                <w:rFonts w:ascii="Times New Roman" w:hAnsi="Times New Roman" w:eastAsia="宋体" w:cs="Times New Roman"/>
                <w:color w:val="000000"/>
                <w:kern w:val="0"/>
                <w:sz w:val="21"/>
                <w:szCs w:val="21"/>
                <w:vertAlign w:val="superscript"/>
              </w:rPr>
              <w:t>2+</w:t>
            </w:r>
            <w:r>
              <w:rPr>
                <w:rFonts w:ascii="Times New Roman" w:hAnsi="Times New Roman" w:eastAsia="宋体" w:cs="Times New Roman"/>
                <w:color w:val="000000"/>
                <w:kern w:val="0"/>
                <w:sz w:val="21"/>
                <w:szCs w:val="21"/>
              </w:rPr>
              <w:t>、Mg</w:t>
            </w:r>
            <w:r>
              <w:rPr>
                <w:rFonts w:ascii="Times New Roman" w:hAnsi="Times New Roman" w:eastAsia="宋体" w:cs="Times New Roman"/>
                <w:color w:val="000000"/>
                <w:kern w:val="0"/>
                <w:sz w:val="21"/>
                <w:szCs w:val="21"/>
                <w:vertAlign w:val="superscript"/>
              </w:rPr>
              <w:t>2+</w:t>
            </w:r>
            <w:r>
              <w:rPr>
                <w:rFonts w:ascii="Times New Roman" w:hAnsi="Times New Roman" w:eastAsia="宋体" w:cs="Times New Roman"/>
                <w:color w:val="000000"/>
                <w:kern w:val="0"/>
                <w:sz w:val="21"/>
                <w:szCs w:val="21"/>
              </w:rPr>
              <w:t>、CO</w:t>
            </w:r>
            <w:r>
              <w:rPr>
                <w:rFonts w:ascii="Times New Roman" w:hAnsi="Times New Roman" w:eastAsia="宋体" w:cs="Times New Roman"/>
                <w:color w:val="000000"/>
                <w:kern w:val="0"/>
                <w:sz w:val="21"/>
                <w:szCs w:val="21"/>
                <w:vertAlign w:val="subscript"/>
              </w:rPr>
              <w:t>3</w:t>
            </w:r>
            <w:r>
              <w:rPr>
                <w:rFonts w:ascii="Times New Roman" w:hAnsi="Times New Roman" w:eastAsia="宋体" w:cs="Times New Roman"/>
                <w:color w:val="000000"/>
                <w:kern w:val="0"/>
                <w:sz w:val="21"/>
                <w:szCs w:val="21"/>
                <w:vertAlign w:val="superscript"/>
              </w:rPr>
              <w:t>2-</w:t>
            </w:r>
            <w:r>
              <w:rPr>
                <w:rFonts w:ascii="Times New Roman" w:hAnsi="Times New Roman" w:eastAsia="宋体" w:cs="Times New Roman"/>
                <w:color w:val="000000"/>
                <w:kern w:val="0"/>
                <w:sz w:val="21"/>
                <w:szCs w:val="21"/>
              </w:rPr>
              <w:t>、HCO</w:t>
            </w:r>
            <w:r>
              <w:rPr>
                <w:rFonts w:ascii="Times New Roman" w:hAnsi="Times New Roman" w:eastAsia="宋体" w:cs="Times New Roman"/>
                <w:color w:val="000000"/>
                <w:kern w:val="0"/>
                <w:sz w:val="21"/>
                <w:szCs w:val="21"/>
                <w:vertAlign w:val="subscript"/>
              </w:rPr>
              <w:t>3</w:t>
            </w:r>
            <w:r>
              <w:rPr>
                <w:rFonts w:ascii="Times New Roman" w:hAnsi="Times New Roman" w:eastAsia="宋体" w:cs="Times New Roman"/>
                <w:color w:val="000000"/>
                <w:kern w:val="0"/>
                <w:sz w:val="21"/>
                <w:szCs w:val="21"/>
                <w:vertAlign w:val="superscript"/>
              </w:rPr>
              <w:t>-</w:t>
            </w:r>
            <w:r>
              <w:rPr>
                <w:rFonts w:ascii="Times New Roman" w:hAnsi="Times New Roman" w:eastAsia="宋体" w:cs="Times New Roman"/>
                <w:color w:val="000000"/>
                <w:kern w:val="0"/>
                <w:sz w:val="21"/>
                <w:szCs w:val="21"/>
              </w:rPr>
              <w:t>、Cl</w:t>
            </w:r>
            <w:r>
              <w:rPr>
                <w:rFonts w:ascii="Times New Roman" w:hAnsi="Times New Roman" w:eastAsia="宋体" w:cs="Times New Roman"/>
                <w:color w:val="000000"/>
                <w:kern w:val="0"/>
                <w:sz w:val="21"/>
                <w:szCs w:val="21"/>
                <w:vertAlign w:val="superscript"/>
              </w:rPr>
              <w:t>-</w:t>
            </w:r>
            <w:r>
              <w:rPr>
                <w:rFonts w:ascii="Times New Roman" w:hAnsi="Times New Roman" w:eastAsia="宋体" w:cs="Times New Roman"/>
                <w:color w:val="000000"/>
                <w:kern w:val="0"/>
                <w:sz w:val="21"/>
                <w:szCs w:val="21"/>
              </w:rPr>
              <w:t>、SO</w:t>
            </w:r>
            <w:r>
              <w:rPr>
                <w:rFonts w:ascii="Times New Roman" w:hAnsi="Times New Roman" w:eastAsia="宋体" w:cs="Times New Roman"/>
                <w:color w:val="000000"/>
                <w:kern w:val="0"/>
                <w:sz w:val="21"/>
                <w:szCs w:val="21"/>
                <w:vertAlign w:val="subscript"/>
              </w:rPr>
              <w:t>4</w:t>
            </w:r>
            <w:r>
              <w:rPr>
                <w:rFonts w:ascii="Times New Roman" w:hAnsi="Times New Roman" w:eastAsia="宋体" w:cs="Times New Roman"/>
                <w:color w:val="000000"/>
                <w:kern w:val="0"/>
                <w:sz w:val="21"/>
                <w:szCs w:val="21"/>
                <w:vertAlign w:val="superscript"/>
              </w:rPr>
              <w:t>2-</w:t>
            </w:r>
            <w:r>
              <w:rPr>
                <w:rFonts w:ascii="Times New Roman" w:hAnsi="Times New Roman" w:eastAsia="宋体" w:cs="Times New Roman"/>
                <w:color w:val="000000"/>
                <w:kern w:val="0"/>
                <w:sz w:val="21"/>
                <w:szCs w:val="21"/>
              </w:rPr>
              <w:t>、pH、总硬度、氨氮、氰化物、挥发酚、耗氧量、氟化物、砷、汞、镉、六价铬、铁、锰、铅、硝酸盐氮、亚硝酸盐氮、溶解性总物体、</w:t>
            </w:r>
            <w:r>
              <w:rPr>
                <w:rFonts w:ascii="Times New Roman" w:hAnsi="Times New Roman" w:eastAsia="宋体" w:cs="Times New Roman"/>
                <w:bCs/>
                <w:color w:val="000000"/>
                <w:kern w:val="0"/>
                <w:sz w:val="21"/>
                <w:szCs w:val="21"/>
              </w:rPr>
              <w:t>硫酸盐、氯化物、总大肠菌群、细菌总数</w:t>
            </w:r>
          </w:p>
        </w:tc>
        <w:tc>
          <w:tcPr>
            <w:tcW w:w="374" w:type="pct"/>
            <w:noWrap w:val="0"/>
            <w:vAlign w:val="center"/>
          </w:tcPr>
          <w:p w14:paraId="7C60164E">
            <w:pPr>
              <w:adjustRightInd/>
              <w:snapToGrid/>
              <w:spacing w:line="240" w:lineRule="auto"/>
              <w:ind w:firstLine="0" w:firstLineChars="0"/>
              <w:jc w:val="center"/>
              <w:rPr>
                <w:rFonts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rPr>
              <w:t>每</w:t>
            </w:r>
            <w:r>
              <w:rPr>
                <w:rFonts w:ascii="Times New Roman" w:hAnsi="Times New Roman" w:eastAsia="宋体" w:cs="Times New Roman"/>
                <w:color w:val="000000"/>
                <w:kern w:val="0"/>
                <w:sz w:val="21"/>
                <w:szCs w:val="21"/>
              </w:rPr>
              <w:t>年一次</w:t>
            </w:r>
          </w:p>
        </w:tc>
      </w:tr>
    </w:tbl>
    <w:p w14:paraId="3A206DB4">
      <w:pPr>
        <w:bidi w:val="0"/>
        <w:ind w:left="0" w:leftChars="0" w:firstLine="0" w:firstLineChars="0"/>
      </w:pPr>
    </w:p>
    <w:p w14:paraId="67F6BCF9">
      <w:pPr>
        <w:bidi w:val="0"/>
        <w:ind w:left="0" w:leftChars="0" w:firstLine="0" w:firstLineChars="0"/>
      </w:pPr>
      <w:r>
        <w:rPr>
          <w:color w:val="000000"/>
        </w:rPr>
        <mc:AlternateContent>
          <mc:Choice Requires="wps">
            <w:drawing>
              <wp:anchor distT="0" distB="0" distL="114300" distR="114300" simplePos="0" relativeHeight="251678720" behindDoc="0" locked="0" layoutInCell="1" allowOverlap="1">
                <wp:simplePos x="0" y="0"/>
                <wp:positionH relativeFrom="column">
                  <wp:posOffset>3828415</wp:posOffset>
                </wp:positionH>
                <wp:positionV relativeFrom="paragraph">
                  <wp:posOffset>2171065</wp:posOffset>
                </wp:positionV>
                <wp:extent cx="1438910" cy="885190"/>
                <wp:effectExtent l="5080" t="4445" r="22860" b="5715"/>
                <wp:wrapNone/>
                <wp:docPr id="39" name="文本框 39"/>
                <wp:cNvGraphicFramePr/>
                <a:graphic xmlns:a="http://schemas.openxmlformats.org/drawingml/2006/main">
                  <a:graphicData uri="http://schemas.microsoft.com/office/word/2010/wordprocessingShape">
                    <wps:wsp>
                      <wps:cNvSpPr txBox="1"/>
                      <wps:spPr>
                        <a:xfrm>
                          <a:off x="0" y="0"/>
                          <a:ext cx="1438910" cy="8851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078C3A">
                            <w:pPr>
                              <w:spacing w:line="240" w:lineRule="auto"/>
                              <w:rPr>
                                <w:rFonts w:hint="eastAsia"/>
                                <w:sz w:val="30"/>
                                <w:szCs w:val="30"/>
                              </w:rPr>
                            </w:pPr>
                            <w:r>
                              <w:rPr>
                                <w:rFonts w:hint="eastAsia"/>
                              </w:rPr>
                              <w:t xml:space="preserve">   </w:t>
                            </w:r>
                            <w:r>
                              <w:rPr>
                                <w:rFonts w:hint="eastAsia"/>
                                <w:sz w:val="24"/>
                                <w:szCs w:val="24"/>
                              </w:rPr>
                              <w:t>图例</w:t>
                            </w:r>
                          </w:p>
                          <w:p w14:paraId="73779EB9">
                            <w:pPr>
                              <w:spacing w:line="240" w:lineRule="auto"/>
                              <w:rPr>
                                <w:rFonts w:hint="eastAsia"/>
                                <w:szCs w:val="24"/>
                              </w:rPr>
                            </w:pPr>
                            <w:r>
                              <w:rPr>
                                <w:rFonts w:hint="eastAsia"/>
                                <w:szCs w:val="24"/>
                              </w:rPr>
                              <w:t>一般防渗区</w:t>
                            </w:r>
                          </w:p>
                          <w:p w14:paraId="18DC086A">
                            <w:pPr>
                              <w:pStyle w:val="2"/>
                              <w:spacing w:line="240" w:lineRule="auto"/>
                              <w:ind w:firstLine="480" w:firstLineChars="200"/>
                              <w:rPr>
                                <w:rFonts w:hint="eastAsia"/>
                              </w:rPr>
                            </w:pPr>
                            <w:r>
                              <w:rPr>
                                <w:rFonts w:hint="eastAsia"/>
                              </w:rPr>
                              <w:t>简单防渗区</w:t>
                            </w:r>
                          </w:p>
                          <w:p w14:paraId="528A41A2">
                            <w:pPr>
                              <w:spacing w:line="240" w:lineRule="auto"/>
                              <w:rPr>
                                <w:szCs w:val="24"/>
                              </w:rPr>
                            </w:pPr>
                            <w:r>
                              <w:rPr>
                                <w:rFonts w:hint="eastAsia"/>
                                <w:szCs w:val="24"/>
                              </w:rPr>
                              <w:t>地下水监测</w:t>
                            </w:r>
                            <w:r>
                              <w:rPr>
                                <w:rFonts w:hint="eastAsia"/>
                                <w:szCs w:val="24"/>
                                <w:lang w:val="en-US" w:eastAsia="zh-CN"/>
                              </w:rPr>
                              <w:t>井</w:t>
                            </w:r>
                          </w:p>
                        </w:txbxContent>
                      </wps:txbx>
                      <wps:bodyPr upright="1"/>
                    </wps:wsp>
                  </a:graphicData>
                </a:graphic>
              </wp:anchor>
            </w:drawing>
          </mc:Choice>
          <mc:Fallback>
            <w:pict>
              <v:shape id="_x0000_s1026" o:spid="_x0000_s1026" o:spt="202" type="#_x0000_t202" style="position:absolute;left:0pt;margin-left:301.45pt;margin-top:170.95pt;height:69.7pt;width:113.3pt;z-index:251678720;mso-width-relative:page;mso-height-relative:page;" fillcolor="#FFFFFF" filled="t" stroked="t" coordsize="21600,21600" o:gfxdata="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l8kBHbAAAACwEAAA8AAAAAAAAA&#10;AQAgAAAAIgAAAGRycy9kb3ducmV2LnhtbFBLAQIUABQAAAAIAIdO4kDWeMq1DgIAADgEAAAOAAAA&#10;AAAAAAEAIAAAACoBAABkcnMvZTJvRG9jLnhtbFBLBQYAAAAABgAGAFkBAACqBQAAAAA=&#10;">
                <v:fill on="t" focussize="0,0"/>
                <v:stroke color="#000000" joinstyle="miter"/>
                <v:imagedata o:title=""/>
                <o:lock v:ext="edit" aspectratio="f"/>
                <v:textbox>
                  <w:txbxContent>
                    <w:p w14:paraId="10078C3A">
                      <w:pPr>
                        <w:spacing w:line="240" w:lineRule="auto"/>
                        <w:rPr>
                          <w:rFonts w:hint="eastAsia"/>
                          <w:sz w:val="30"/>
                          <w:szCs w:val="30"/>
                        </w:rPr>
                      </w:pPr>
                      <w:r>
                        <w:rPr>
                          <w:rFonts w:hint="eastAsia"/>
                        </w:rPr>
                        <w:t xml:space="preserve">   </w:t>
                      </w:r>
                      <w:r>
                        <w:rPr>
                          <w:rFonts w:hint="eastAsia"/>
                          <w:sz w:val="24"/>
                          <w:szCs w:val="24"/>
                        </w:rPr>
                        <w:t>图例</w:t>
                      </w:r>
                    </w:p>
                    <w:p w14:paraId="73779EB9">
                      <w:pPr>
                        <w:spacing w:line="240" w:lineRule="auto"/>
                        <w:rPr>
                          <w:rFonts w:hint="eastAsia"/>
                          <w:szCs w:val="24"/>
                        </w:rPr>
                      </w:pPr>
                      <w:r>
                        <w:rPr>
                          <w:rFonts w:hint="eastAsia"/>
                          <w:szCs w:val="24"/>
                        </w:rPr>
                        <w:t>一般防渗区</w:t>
                      </w:r>
                    </w:p>
                    <w:p w14:paraId="18DC086A">
                      <w:pPr>
                        <w:pStyle w:val="2"/>
                        <w:spacing w:line="240" w:lineRule="auto"/>
                        <w:ind w:firstLine="480" w:firstLineChars="200"/>
                        <w:rPr>
                          <w:rFonts w:hint="eastAsia"/>
                        </w:rPr>
                      </w:pPr>
                      <w:r>
                        <w:rPr>
                          <w:rFonts w:hint="eastAsia"/>
                        </w:rPr>
                        <w:t>简单防渗区</w:t>
                      </w:r>
                    </w:p>
                    <w:p w14:paraId="528A41A2">
                      <w:pPr>
                        <w:spacing w:line="240" w:lineRule="auto"/>
                        <w:rPr>
                          <w:szCs w:val="24"/>
                        </w:rPr>
                      </w:pPr>
                      <w:r>
                        <w:rPr>
                          <w:rFonts w:hint="eastAsia"/>
                          <w:szCs w:val="24"/>
                        </w:rPr>
                        <w:t>地下水监测</w:t>
                      </w:r>
                      <w:r>
                        <w:rPr>
                          <w:rFonts w:hint="eastAsia"/>
                          <w:szCs w:val="24"/>
                          <w:lang w:val="en-US" w:eastAsia="zh-CN"/>
                        </w:rPr>
                        <w:t>井</w:t>
                      </w:r>
                    </w:p>
                  </w:txbxContent>
                </v:textbox>
              </v:shape>
            </w:pict>
          </mc:Fallback>
        </mc:AlternateContent>
      </w:r>
      <w:r>
        <w:rPr>
          <w:sz w:val="24"/>
        </w:rPr>
        <mc:AlternateContent>
          <mc:Choice Requires="wps">
            <w:drawing>
              <wp:anchor distT="0" distB="0" distL="114300" distR="114300" simplePos="0" relativeHeight="251679744" behindDoc="0" locked="0" layoutInCell="1" allowOverlap="1">
                <wp:simplePos x="0" y="0"/>
                <wp:positionH relativeFrom="column">
                  <wp:posOffset>3912870</wp:posOffset>
                </wp:positionH>
                <wp:positionV relativeFrom="paragraph">
                  <wp:posOffset>944880</wp:posOffset>
                </wp:positionV>
                <wp:extent cx="963930" cy="321945"/>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963930" cy="3219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D5EED7">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监测井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8.1pt;margin-top:74.4pt;height:25.35pt;width:75.9pt;z-index:251679744;mso-width-relative:page;mso-height-relative:page;" filled="f" stroked="f" coordsize="21600,21600" o:gfxdata="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EAr4E9sAAAALAQAADwAAAAAAAAABACAAAAAiAAAAZHJz&#10;L2Rvd25yZXYueG1sUEsBAhQAFAAAAAgAh07iQPmdEyU6AgAAZwQAAA4AAAAAAAAAAQAgAAAAKgEA&#10;AGRycy9lMm9Eb2MueG1sUEsFBgAAAAAGAAYAWQEAANYFAAAAAA==&#10;">
                <v:fill on="f" focussize="0,0"/>
                <v:stroke on="f" weight="0.5pt"/>
                <v:imagedata o:title=""/>
                <o:lock v:ext="edit" aspectratio="f"/>
                <v:textbox>
                  <w:txbxContent>
                    <w:p w14:paraId="65D5EED7">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监测井</w:t>
                      </w:r>
                    </w:p>
                  </w:txbxContent>
                </v:textbox>
              </v:shape>
            </w:pict>
          </mc:Fallback>
        </mc:AlternateContent>
      </w:r>
      <w:r>
        <w:rPr>
          <w:sz w:val="24"/>
        </w:rPr>
        <mc:AlternateContent>
          <mc:Choice Requires="wps">
            <w:drawing>
              <wp:anchor distT="0" distB="0" distL="114300" distR="114300" simplePos="0" relativeHeight="251688960" behindDoc="0" locked="0" layoutInCell="1" allowOverlap="1">
                <wp:simplePos x="0" y="0"/>
                <wp:positionH relativeFrom="column">
                  <wp:posOffset>2967355</wp:posOffset>
                </wp:positionH>
                <wp:positionV relativeFrom="paragraph">
                  <wp:posOffset>1109345</wp:posOffset>
                </wp:positionV>
                <wp:extent cx="1079500" cy="321945"/>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079500" cy="3219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1026AD">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柴油发电机房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3.65pt;margin-top:87.35pt;height:25.35pt;width:85pt;z-index:251688960;mso-width-relative:page;mso-height-relative:page;" filled="f" stroked="f" coordsize="21600,21600" o:gfxdata="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VMYlnbAAAACwEAAA8AAAAAAAAAAQAgAAAAIgAA&#10;AGRycy9kb3ducmV2LnhtbFBLAQIUABQAAAAIAIdO4kAwHbefPgIAAGgEAAAOAAAAAAAAAAEAIAAA&#10;ACoBAABkcnMvZTJvRG9jLnhtbFBLBQYAAAAABgAGAFkBAADaBQAAAAA=&#10;">
                <v:fill on="f" focussize="0,0"/>
                <v:stroke on="f" weight="0.5pt"/>
                <v:imagedata o:title=""/>
                <o:lock v:ext="edit" aspectratio="f"/>
                <v:textbox>
                  <w:txbxContent>
                    <w:p w14:paraId="5C1026AD">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柴油发电机房</w:t>
                      </w:r>
                    </w:p>
                  </w:txbxContent>
                </v:textbox>
              </v:shape>
            </w:pict>
          </mc:Fallback>
        </mc:AlternateContent>
      </w:r>
      <w:r>
        <w:rPr>
          <w:sz w:val="24"/>
        </w:rPr>
        <mc:AlternateContent>
          <mc:Choice Requires="wps">
            <w:drawing>
              <wp:anchor distT="0" distB="0" distL="114300" distR="114300" simplePos="0" relativeHeight="251695104" behindDoc="0" locked="0" layoutInCell="1" allowOverlap="1">
                <wp:simplePos x="0" y="0"/>
                <wp:positionH relativeFrom="column">
                  <wp:posOffset>2604135</wp:posOffset>
                </wp:positionH>
                <wp:positionV relativeFrom="paragraph">
                  <wp:posOffset>1329690</wp:posOffset>
                </wp:positionV>
                <wp:extent cx="963930" cy="321945"/>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963930" cy="3219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B4AA86">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化验室</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5.05pt;margin-top:104.7pt;height:25.35pt;width:75.9pt;z-index:251695104;mso-width-relative:page;mso-height-relative:page;" filled="f" stroked="f" coordsize="21600,21600" o:gfxdata="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6Rye22wAAAAsBAAAPAAAAAAAAAAEAIAAAACIAAABk&#10;cnMvZG93bnJldi54bWxQSwECFAAUAAAACACHTuJAekwujTwCAABnBAAADgAAAAAAAAABACAAAAAq&#10;AQAAZHJzL2Uyb0RvYy54bWxQSwUGAAAAAAYABgBZAQAA2AUAAAAA&#10;">
                <v:fill on="f" focussize="0,0"/>
                <v:stroke on="f" weight="0.5pt"/>
                <v:imagedata o:title=""/>
                <o:lock v:ext="edit" aspectratio="f"/>
                <v:textbox>
                  <w:txbxContent>
                    <w:p w14:paraId="36B4AA86">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化验室</w:t>
                      </w:r>
                    </w:p>
                  </w:txbxContent>
                </v:textbox>
              </v:shape>
            </w:pict>
          </mc:Fallback>
        </mc:AlternateContent>
      </w:r>
      <w:r>
        <w:rPr>
          <w:sz w:val="24"/>
        </w:rPr>
        <mc:AlternateContent>
          <mc:Choice Requires="wps">
            <w:drawing>
              <wp:anchor distT="0" distB="0" distL="114300" distR="114300" simplePos="0" relativeHeight="251694080" behindDoc="0" locked="0" layoutInCell="1" allowOverlap="1">
                <wp:simplePos x="0" y="0"/>
                <wp:positionH relativeFrom="column">
                  <wp:posOffset>3154045</wp:posOffset>
                </wp:positionH>
                <wp:positionV relativeFrom="paragraph">
                  <wp:posOffset>1419860</wp:posOffset>
                </wp:positionV>
                <wp:extent cx="86360" cy="78105"/>
                <wp:effectExtent l="12700" t="1270" r="15240" b="15875"/>
                <wp:wrapNone/>
                <wp:docPr id="82" name="任意多边形 82"/>
                <wp:cNvGraphicFramePr/>
                <a:graphic xmlns:a="http://schemas.openxmlformats.org/drawingml/2006/main">
                  <a:graphicData uri="http://schemas.microsoft.com/office/word/2010/wordprocessingShape">
                    <wps:wsp>
                      <wps:cNvSpPr/>
                      <wps:spPr>
                        <a:xfrm>
                          <a:off x="0" y="0"/>
                          <a:ext cx="86360" cy="78105"/>
                        </a:xfrm>
                        <a:custGeom>
                          <a:avLst/>
                          <a:gdLst>
                            <a:gd name="connisteX0" fmla="*/ 80010 w 86360"/>
                            <a:gd name="connsiteY0" fmla="*/ 0 h 78105"/>
                            <a:gd name="connisteX1" fmla="*/ 86360 w 86360"/>
                            <a:gd name="connsiteY1" fmla="*/ 66040 h 78105"/>
                            <a:gd name="connisteX2" fmla="*/ 11430 w 86360"/>
                            <a:gd name="connsiteY2" fmla="*/ 78105 h 78105"/>
                            <a:gd name="connisteX3" fmla="*/ 0 w 86360"/>
                            <a:gd name="connsiteY3" fmla="*/ 9525 h 78105"/>
                          </a:gdLst>
                          <a:ahLst/>
                          <a:cxnLst>
                            <a:cxn ang="0">
                              <a:pos x="connisteX0" y="connsiteY0"/>
                            </a:cxn>
                            <a:cxn ang="0">
                              <a:pos x="connisteX1" y="connsiteY1"/>
                            </a:cxn>
                            <a:cxn ang="0">
                              <a:pos x="connisteX2" y="connsiteY2"/>
                            </a:cxn>
                            <a:cxn ang="0">
                              <a:pos x="connisteX3" y="connsiteY3"/>
                            </a:cxn>
                          </a:cxnLst>
                          <a:rect l="l" t="t" r="r" b="b"/>
                          <a:pathLst>
                            <a:path w="86360" h="78105">
                              <a:moveTo>
                                <a:pt x="80010" y="0"/>
                              </a:moveTo>
                              <a:lnTo>
                                <a:pt x="86360" y="66040"/>
                              </a:lnTo>
                              <a:lnTo>
                                <a:pt x="11430" y="78105"/>
                              </a:lnTo>
                              <a:lnTo>
                                <a:pt x="0" y="9525"/>
                              </a:lnTo>
                            </a:path>
                          </a:pathLst>
                        </a:cu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48.35pt;margin-top:111.8pt;height:6.15pt;width:6.8pt;z-index:251694080;mso-width-relative:page;mso-height-relative:page;" fillcolor="#FFFF00" filled="t" stroked="t" coordsize="86360,78105" o:gfxdata="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" path="m80010,0l86360,66040,11430,78105,0,9525e">
                <v:path o:connectlocs="80010,0;86360,66040;11430,78105;0,9525" o:connectangles="0,0,0,0"/>
                <v:fill on="t" focussize="0,0"/>
                <v:stroke weight="2pt" color="#FFFF00 [2404]" joinstyle="round"/>
                <v:imagedata o:title=""/>
                <o:lock v:ext="edit" aspectratio="f"/>
              </v:shape>
            </w:pict>
          </mc:Fallback>
        </mc:AlternateContent>
      </w:r>
      <w:r>
        <w:rPr>
          <w:sz w:val="24"/>
        </w:rPr>
        <mc:AlternateContent>
          <mc:Choice Requires="wps">
            <w:drawing>
              <wp:anchor distT="0" distB="0" distL="114300" distR="114300" simplePos="0" relativeHeight="251693056" behindDoc="0" locked="0" layoutInCell="1" allowOverlap="1">
                <wp:simplePos x="0" y="0"/>
                <wp:positionH relativeFrom="column">
                  <wp:posOffset>2908300</wp:posOffset>
                </wp:positionH>
                <wp:positionV relativeFrom="paragraph">
                  <wp:posOffset>1720850</wp:posOffset>
                </wp:positionV>
                <wp:extent cx="963930" cy="321945"/>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963930" cy="3219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B55D19">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发酵罐区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9pt;margin-top:135.5pt;height:25.35pt;width:75.9pt;z-index:251693056;mso-width-relative:page;mso-height-relative:page;" filled="f" stroked="f" coordsize="21600,21600" o:gfxdata="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lruW4dwAAAALAQAADwAAAAAAAAABACAAAAAiAAAA&#10;ZHJzL2Rvd25yZXYueG1sUEsBAhQAFAAAAAgAh07iQNXLGm88AgAAZwQAAA4AAAAAAAAAAQAgAAAA&#10;KwEAAGRycy9lMm9Eb2MueG1sUEsFBgAAAAAGAAYAWQEAANkFAAAAAA==&#10;">
                <v:fill on="f" focussize="0,0"/>
                <v:stroke on="f" weight="0.5pt"/>
                <v:imagedata o:title=""/>
                <o:lock v:ext="edit" aspectratio="f"/>
                <v:textbox>
                  <w:txbxContent>
                    <w:p w14:paraId="31B55D19">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发酵罐区</w:t>
                      </w:r>
                    </w:p>
                  </w:txbxContent>
                </v:textbox>
              </v:shape>
            </w:pict>
          </mc:Fallback>
        </mc:AlternateContent>
      </w:r>
      <w:r>
        <w:rPr>
          <w:sz w:val="24"/>
        </w:rPr>
        <mc:AlternateContent>
          <mc:Choice Requires="wps">
            <w:drawing>
              <wp:anchor distT="0" distB="0" distL="114300" distR="114300" simplePos="0" relativeHeight="251686912" behindDoc="0" locked="0" layoutInCell="1" allowOverlap="1">
                <wp:simplePos x="0" y="0"/>
                <wp:positionH relativeFrom="column">
                  <wp:posOffset>2297430</wp:posOffset>
                </wp:positionH>
                <wp:positionV relativeFrom="paragraph">
                  <wp:posOffset>1562735</wp:posOffset>
                </wp:positionV>
                <wp:extent cx="963930" cy="321945"/>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963930" cy="3219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731974">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酿造车间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0.9pt;margin-top:123.05pt;height:25.35pt;width:75.9pt;z-index:251686912;mso-width-relative:page;mso-height-relative:page;" filled="f" stroked="f" coordsize="21600,21600" o:gfxdata="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&#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roXeA3AAAAAsBAAAPAAAAAAAAAAEAIAAAACIAAABk&#10;cnMvZG93bnJldi54bWxQSwECFAAUAAAACACHTuJAGB6AfDsCAABnBAAADgAAAAAAAAABACAAAAAr&#10;AQAAZHJzL2Uyb0RvYy54bWxQSwUGAAAAAAYABgBZAQAA2AUAAAAA&#10;">
                <v:fill on="f" focussize="0,0"/>
                <v:stroke on="f" weight="0.5pt"/>
                <v:imagedata o:title=""/>
                <o:lock v:ext="edit" aspectratio="f"/>
                <v:textbox>
                  <w:txbxContent>
                    <w:p w14:paraId="09731974">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酿造车间</w:t>
                      </w:r>
                    </w:p>
                  </w:txbxContent>
                </v:textbox>
              </v:shape>
            </w:pict>
          </mc:Fallback>
        </mc:AlternateContent>
      </w:r>
      <w:r>
        <w:rPr>
          <w:sz w:val="24"/>
        </w:rPr>
        <mc:AlternateContent>
          <mc:Choice Requires="wps">
            <w:drawing>
              <wp:anchor distT="0" distB="0" distL="114300" distR="114300" simplePos="0" relativeHeight="251692032" behindDoc="0" locked="0" layoutInCell="1" allowOverlap="1">
                <wp:simplePos x="0" y="0"/>
                <wp:positionH relativeFrom="column">
                  <wp:posOffset>2981960</wp:posOffset>
                </wp:positionH>
                <wp:positionV relativeFrom="paragraph">
                  <wp:posOffset>1690370</wp:posOffset>
                </wp:positionV>
                <wp:extent cx="637540" cy="345440"/>
                <wp:effectExtent l="12700" t="12700" r="16510" b="22860"/>
                <wp:wrapNone/>
                <wp:docPr id="79" name="任意多边形 79"/>
                <wp:cNvGraphicFramePr/>
                <a:graphic xmlns:a="http://schemas.openxmlformats.org/drawingml/2006/main">
                  <a:graphicData uri="http://schemas.microsoft.com/office/word/2010/wordprocessingShape">
                    <wps:wsp>
                      <wps:cNvSpPr/>
                      <wps:spPr>
                        <a:xfrm>
                          <a:off x="4123055" y="5389245"/>
                          <a:ext cx="637540" cy="345440"/>
                        </a:xfrm>
                        <a:custGeom>
                          <a:avLst/>
                          <a:gdLst>
                            <a:gd name="connisteX0" fmla="*/ 589915 w 637540"/>
                            <a:gd name="connsiteY0" fmla="*/ 0 h 345440"/>
                            <a:gd name="connisteX1" fmla="*/ 637540 w 637540"/>
                            <a:gd name="connsiteY1" fmla="*/ 259080 h 345440"/>
                            <a:gd name="connisteX2" fmla="*/ 45085 w 637540"/>
                            <a:gd name="connsiteY2" fmla="*/ 345440 h 345440"/>
                            <a:gd name="connisteX3" fmla="*/ 0 w 637540"/>
                            <a:gd name="connsiteY3" fmla="*/ 80010 h 345440"/>
                            <a:gd name="connisteX4" fmla="*/ 589915 w 637540"/>
                            <a:gd name="connsiteY4" fmla="*/ 0 h 345440"/>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637540" h="345440">
                              <a:moveTo>
                                <a:pt x="589915" y="0"/>
                              </a:moveTo>
                              <a:lnTo>
                                <a:pt x="637540" y="259080"/>
                              </a:lnTo>
                              <a:lnTo>
                                <a:pt x="45085" y="345440"/>
                              </a:lnTo>
                              <a:lnTo>
                                <a:pt x="0" y="80010"/>
                              </a:lnTo>
                              <a:lnTo>
                                <a:pt x="589915" y="0"/>
                              </a:lnTo>
                              <a:close/>
                            </a:path>
                          </a:pathLst>
                        </a:cu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34.8pt;margin-top:133.1pt;height:27.2pt;width:50.2pt;z-index:251692032;mso-width-relative:page;mso-height-relative:page;" fillcolor="#FFFF00" filled="t" stroked="t" coordsize="637540,345440" o:gfxdata="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IxWrUvbAAAACwEAAA8AAAAAAAAAAQAgAAAAIgAAAGRycy9kb3ducmV2LnhtbFBLAQIU&#10;ABQAAAAIAIdO4kB2D8olDQMAAFwIAAAOAAAAAAAAAAEAIAAAACoBAABkcnMvZTJvRG9jLnhtbFBL&#10;BQYAAAAABgAGAFkBAACpBgAAAAA=&#10;" path="m589915,0l637540,259080,45085,345440,0,80010,589915,0xe">
                <v:path o:connectlocs="589915,0;637540,259080;45085,345440;0,80010;589915,0" o:connectangles="0,0,0,0,0"/>
                <v:fill on="t" focussize="0,0"/>
                <v:stroke weight="2pt" color="#FFFF00 [2404]" joinstyle="round"/>
                <v:imagedata o:title=""/>
                <o:lock v:ext="edit" aspectratio="f"/>
              </v:shape>
            </w:pict>
          </mc:Fallback>
        </mc:AlternateContent>
      </w:r>
      <w:r>
        <w:rPr>
          <w:sz w:val="24"/>
        </w:rPr>
        <mc:AlternateContent>
          <mc:Choice Requires="wps">
            <w:drawing>
              <wp:anchor distT="0" distB="0" distL="114300" distR="114300" simplePos="0" relativeHeight="251691008" behindDoc="0" locked="0" layoutInCell="1" allowOverlap="1">
                <wp:simplePos x="0" y="0"/>
                <wp:positionH relativeFrom="column">
                  <wp:posOffset>3141345</wp:posOffset>
                </wp:positionH>
                <wp:positionV relativeFrom="paragraph">
                  <wp:posOffset>85725</wp:posOffset>
                </wp:positionV>
                <wp:extent cx="1079500" cy="321945"/>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079500" cy="3219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E7FC5C">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危废贮存点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7.35pt;margin-top:6.75pt;height:25.35pt;width:85pt;z-index:251691008;mso-width-relative:page;mso-height-relative:page;" filled="f" stroked="f" coordsize="21600,21600" o:gfxdata="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ergP+2gAAAAkBAAAPAAAAAAAAAAEAIAAAACIAAABk&#10;cnMvZG93bnJldi54bWxQSwECFAAUAAAACACHTuJAW+xqUj0CAABoBAAADgAAAAAAAAABACAAAAAp&#10;AQAAZHJzL2Uyb0RvYy54bWxQSwUGAAAAAAYABgBZAQAA2AUAAAAA&#10;">
                <v:fill on="f" focussize="0,0"/>
                <v:stroke on="f" weight="0.5pt"/>
                <v:imagedata o:title=""/>
                <o:lock v:ext="edit" aspectratio="f"/>
                <v:textbox>
                  <w:txbxContent>
                    <w:p w14:paraId="23E7FC5C">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危废贮存点</w:t>
                      </w:r>
                    </w:p>
                  </w:txbxContent>
                </v:textbox>
              </v:shape>
            </w:pict>
          </mc:Fallback>
        </mc:AlternateContent>
      </w:r>
      <w:r>
        <w:rPr>
          <w:sz w:val="24"/>
        </w:rPr>
        <mc:AlternateContent>
          <mc:Choice Requires="wps">
            <w:drawing>
              <wp:anchor distT="0" distB="0" distL="114300" distR="114300" simplePos="0" relativeHeight="251689984" behindDoc="0" locked="0" layoutInCell="1" allowOverlap="1">
                <wp:simplePos x="0" y="0"/>
                <wp:positionH relativeFrom="column">
                  <wp:posOffset>3696970</wp:posOffset>
                </wp:positionH>
                <wp:positionV relativeFrom="paragraph">
                  <wp:posOffset>312420</wp:posOffset>
                </wp:positionV>
                <wp:extent cx="82550" cy="76200"/>
                <wp:effectExtent l="12700" t="1270" r="19050" b="17780"/>
                <wp:wrapNone/>
                <wp:docPr id="76" name="任意多边形 76"/>
                <wp:cNvGraphicFramePr/>
                <a:graphic xmlns:a="http://schemas.openxmlformats.org/drawingml/2006/main">
                  <a:graphicData uri="http://schemas.microsoft.com/office/word/2010/wordprocessingShape">
                    <wps:wsp>
                      <wps:cNvSpPr/>
                      <wps:spPr>
                        <a:xfrm>
                          <a:off x="0" y="0"/>
                          <a:ext cx="82550" cy="76200"/>
                        </a:xfrm>
                        <a:custGeom>
                          <a:avLst/>
                          <a:gdLst>
                            <a:gd name="connisteX0" fmla="*/ 80010 w 86360"/>
                            <a:gd name="connsiteY0" fmla="*/ 0 h 78105"/>
                            <a:gd name="connisteX1" fmla="*/ 86360 w 86360"/>
                            <a:gd name="connsiteY1" fmla="*/ 66040 h 78105"/>
                            <a:gd name="connisteX2" fmla="*/ 11430 w 86360"/>
                            <a:gd name="connsiteY2" fmla="*/ 78105 h 78105"/>
                            <a:gd name="connisteX3" fmla="*/ 0 w 86360"/>
                            <a:gd name="connsiteY3" fmla="*/ 9525 h 78105"/>
                          </a:gdLst>
                          <a:ahLst/>
                          <a:cxnLst>
                            <a:cxn ang="0">
                              <a:pos x="connisteX0" y="connsiteY0"/>
                            </a:cxn>
                            <a:cxn ang="0">
                              <a:pos x="connisteX1" y="connsiteY1"/>
                            </a:cxn>
                            <a:cxn ang="0">
                              <a:pos x="connisteX2" y="connsiteY2"/>
                            </a:cxn>
                            <a:cxn ang="0">
                              <a:pos x="connisteX3" y="connsiteY3"/>
                            </a:cxn>
                          </a:cxnLst>
                          <a:rect l="l" t="t" r="r" b="b"/>
                          <a:pathLst>
                            <a:path w="86360" h="78105">
                              <a:moveTo>
                                <a:pt x="80010" y="0"/>
                              </a:moveTo>
                              <a:lnTo>
                                <a:pt x="86360" y="66040"/>
                              </a:lnTo>
                              <a:lnTo>
                                <a:pt x="11430" y="78105"/>
                              </a:lnTo>
                              <a:lnTo>
                                <a:pt x="0" y="9525"/>
                              </a:lnTo>
                            </a:path>
                          </a:pathLst>
                        </a:cu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91.1pt;margin-top:24.6pt;height:6pt;width:6.5pt;z-index:251689984;mso-width-relative:page;mso-height-relative:page;" fillcolor="#FFFF00" filled="t" stroked="t" coordsize="86360,78105" o:gfxdata="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pNPb4tgAAAAJAQAADwAAAAAAAAABACAAAAAiAAAAZHJzL2Rv&#10;d25yZXYueG1sUEsBAhQAFAAAAAgAh07iQHX8fW/lAgAAaQcAAA4AAAAAAAAAAQAgAAAAJwEAAGRy&#10;cy9lMm9Eb2MueG1sUEsFBgAAAAAGAAYAWQEAAH4GAAAAAA==&#10;" path="m80010,0l86360,66040,11430,78105,0,9525e">
                <v:path o:connectlocs="76480,0;82550,64429;10925,76200;0,9292" o:connectangles="0,0,0,0"/>
                <v:fill on="t" focussize="0,0"/>
                <v:stroke weight="2pt" color="#FFFF00 [2404]" joinstyle="round"/>
                <v:imagedata o:title=""/>
                <o:lock v:ext="edit" aspectratio="f"/>
              </v:shape>
            </w:pict>
          </mc:Fallback>
        </mc:AlternateContent>
      </w:r>
      <w:r>
        <w:rPr>
          <w:sz w:val="24"/>
        </w:rPr>
        <mc:AlternateContent>
          <mc:Choice Requires="wps">
            <w:drawing>
              <wp:anchor distT="0" distB="0" distL="114300" distR="114300" simplePos="0" relativeHeight="251687936" behindDoc="0" locked="0" layoutInCell="1" allowOverlap="1">
                <wp:simplePos x="0" y="0"/>
                <wp:positionH relativeFrom="column">
                  <wp:posOffset>3326130</wp:posOffset>
                </wp:positionH>
                <wp:positionV relativeFrom="paragraph">
                  <wp:posOffset>1401445</wp:posOffset>
                </wp:positionV>
                <wp:extent cx="86360" cy="78105"/>
                <wp:effectExtent l="12700" t="1270" r="15240" b="15875"/>
                <wp:wrapNone/>
                <wp:docPr id="74" name="任意多边形 74"/>
                <wp:cNvGraphicFramePr/>
                <a:graphic xmlns:a="http://schemas.openxmlformats.org/drawingml/2006/main">
                  <a:graphicData uri="http://schemas.microsoft.com/office/word/2010/wordprocessingShape">
                    <wps:wsp>
                      <wps:cNvSpPr/>
                      <wps:spPr>
                        <a:xfrm>
                          <a:off x="4467225" y="5100320"/>
                          <a:ext cx="86360" cy="78105"/>
                        </a:xfrm>
                        <a:custGeom>
                          <a:avLst/>
                          <a:gdLst>
                            <a:gd name="connisteX0" fmla="*/ 80010 w 86360"/>
                            <a:gd name="connsiteY0" fmla="*/ 0 h 78105"/>
                            <a:gd name="connisteX1" fmla="*/ 86360 w 86360"/>
                            <a:gd name="connsiteY1" fmla="*/ 66040 h 78105"/>
                            <a:gd name="connisteX2" fmla="*/ 11430 w 86360"/>
                            <a:gd name="connsiteY2" fmla="*/ 78105 h 78105"/>
                            <a:gd name="connisteX3" fmla="*/ 0 w 86360"/>
                            <a:gd name="connsiteY3" fmla="*/ 9525 h 78105"/>
                          </a:gdLst>
                          <a:ahLst/>
                          <a:cxnLst>
                            <a:cxn ang="0">
                              <a:pos x="connisteX0" y="connsiteY0"/>
                            </a:cxn>
                            <a:cxn ang="0">
                              <a:pos x="connisteX1" y="connsiteY1"/>
                            </a:cxn>
                            <a:cxn ang="0">
                              <a:pos x="connisteX2" y="connsiteY2"/>
                            </a:cxn>
                            <a:cxn ang="0">
                              <a:pos x="connisteX3" y="connsiteY3"/>
                            </a:cxn>
                          </a:cxnLst>
                          <a:rect l="l" t="t" r="r" b="b"/>
                          <a:pathLst>
                            <a:path w="86360" h="78105">
                              <a:moveTo>
                                <a:pt x="80010" y="0"/>
                              </a:moveTo>
                              <a:lnTo>
                                <a:pt x="86360" y="66040"/>
                              </a:lnTo>
                              <a:lnTo>
                                <a:pt x="11430" y="78105"/>
                              </a:lnTo>
                              <a:lnTo>
                                <a:pt x="0" y="9525"/>
                              </a:lnTo>
                            </a:path>
                          </a:pathLst>
                        </a:cu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61.9pt;margin-top:110.35pt;height:6.15pt;width:6.8pt;z-index:251687936;mso-width-relative:page;mso-height-relative:page;" fillcolor="#FFFF00" filled="t" stroked="t" coordsize="86360,78105" o:gfxdata="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" path="m80010,0l86360,66040,11430,78105,0,9525e">
                <v:path o:connectlocs="80010,0;86360,66040;11430,78105;0,9525" o:connectangles="0,0,0,0"/>
                <v:fill on="t" focussize="0,0"/>
                <v:stroke weight="2pt" color="#FFFF00 [2404]" joinstyle="round"/>
                <v:imagedata o:title=""/>
                <o:lock v:ext="edit" aspectratio="f"/>
              </v:shape>
            </w:pict>
          </mc:Fallback>
        </mc:AlternateContent>
      </w:r>
      <w:r>
        <w:rPr>
          <w:sz w:val="24"/>
        </w:rPr>
        <mc:AlternateContent>
          <mc:Choice Requires="wps">
            <w:drawing>
              <wp:anchor distT="0" distB="0" distL="114300" distR="114300" simplePos="0" relativeHeight="251685888" behindDoc="0" locked="0" layoutInCell="1" allowOverlap="1">
                <wp:simplePos x="0" y="0"/>
                <wp:positionH relativeFrom="column">
                  <wp:posOffset>1865630</wp:posOffset>
                </wp:positionH>
                <wp:positionV relativeFrom="paragraph">
                  <wp:posOffset>791845</wp:posOffset>
                </wp:positionV>
                <wp:extent cx="963930" cy="321945"/>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963930" cy="3219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1D5AD4">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包装车间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6.9pt;margin-top:62.35pt;height:25.35pt;width:75.9pt;z-index:251685888;mso-width-relative:page;mso-height-relative:page;" filled="f" stroked="f" coordsize="21600,21600" o:gfxdata="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ANndjtwAAAALAQAADwAAAAAAAAABACAAAAAiAAAA&#10;ZHJzL2Rvd25yZXYueG1sUEsBAhQAFAAAAAgAh07iQLeZtJ48AgAAZwQAAA4AAAAAAAAAAQAgAAAA&#10;KwEAAGRycy9lMm9Eb2MueG1sUEsFBgAAAAAGAAYAWQEAANkFAAAAAA==&#10;">
                <v:fill on="f" focussize="0,0"/>
                <v:stroke on="f" weight="0.5pt"/>
                <v:imagedata o:title=""/>
                <o:lock v:ext="edit" aspectratio="f"/>
                <v:textbox>
                  <w:txbxContent>
                    <w:p w14:paraId="711D5AD4">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包装车间</w:t>
                      </w:r>
                    </w:p>
                  </w:txbxContent>
                </v:textbox>
              </v:shape>
            </w:pict>
          </mc:Fallback>
        </mc:AlternateContent>
      </w:r>
      <w:r>
        <w:rPr>
          <w:sz w:val="24"/>
        </w:rPr>
        <mc:AlternateContent>
          <mc:Choice Requires="wps">
            <w:drawing>
              <wp:anchor distT="0" distB="0" distL="114300" distR="114300" simplePos="0" relativeHeight="251684864" behindDoc="0" locked="0" layoutInCell="1" allowOverlap="1">
                <wp:simplePos x="0" y="0"/>
                <wp:positionH relativeFrom="column">
                  <wp:posOffset>983615</wp:posOffset>
                </wp:positionH>
                <wp:positionV relativeFrom="paragraph">
                  <wp:posOffset>323850</wp:posOffset>
                </wp:positionV>
                <wp:extent cx="2890520" cy="1160145"/>
                <wp:effectExtent l="12700" t="12700" r="30480" b="27305"/>
                <wp:wrapNone/>
                <wp:docPr id="64" name="任意多边形 64"/>
                <wp:cNvGraphicFramePr/>
                <a:graphic xmlns:a="http://schemas.openxmlformats.org/drawingml/2006/main">
                  <a:graphicData uri="http://schemas.microsoft.com/office/word/2010/wordprocessingShape">
                    <wps:wsp>
                      <wps:cNvSpPr/>
                      <wps:spPr>
                        <a:xfrm>
                          <a:off x="2124710" y="4022725"/>
                          <a:ext cx="2890520" cy="1160145"/>
                        </a:xfrm>
                        <a:custGeom>
                          <a:avLst/>
                          <a:gdLst>
                            <a:gd name="connisteX0" fmla="*/ 0 w 2890520"/>
                            <a:gd name="connsiteY0" fmla="*/ 363855 h 1160145"/>
                            <a:gd name="connisteX1" fmla="*/ 106045 w 2890520"/>
                            <a:gd name="connsiteY1" fmla="*/ 1160145 h 1160145"/>
                            <a:gd name="connisteX2" fmla="*/ 2890520 w 2890520"/>
                            <a:gd name="connsiteY2" fmla="*/ 789305 h 1160145"/>
                            <a:gd name="connisteX3" fmla="*/ 2784475 w 2890520"/>
                            <a:gd name="connsiteY3" fmla="*/ 0 h 1160145"/>
                            <a:gd name="connisteX4" fmla="*/ 0 w 2890520"/>
                            <a:gd name="connsiteY4" fmla="*/ 363855 h 116014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2890520" h="1160145">
                              <a:moveTo>
                                <a:pt x="0" y="363855"/>
                              </a:moveTo>
                              <a:lnTo>
                                <a:pt x="106045" y="1160145"/>
                              </a:lnTo>
                              <a:lnTo>
                                <a:pt x="2890520" y="789305"/>
                              </a:lnTo>
                              <a:lnTo>
                                <a:pt x="2784475" y="0"/>
                              </a:lnTo>
                              <a:lnTo>
                                <a:pt x="0" y="363855"/>
                              </a:lnTo>
                              <a:close/>
                            </a:path>
                          </a:pathLst>
                        </a:custGeom>
                        <a:solidFill>
                          <a:srgbClr val="92D050"/>
                        </a:solidFill>
                        <a:ln>
                          <a:solidFill>
                            <a:srgbClr val="92D05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77.45pt;margin-top:25.5pt;height:91.35pt;width:227.6pt;z-index:251684864;mso-width-relative:page;mso-height-relative:page;" fillcolor="#92D050" filled="t" stroked="t" coordsize="2890520,1160145" o:gfxdata="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SReuPNgAAAAKAQAADwAAAAAAAAABACAAAAAiAAAAZHJzL2Rvd25yZXYueG1sUEsB&#10;AhQAFAAAAAgAh07iQOCujo8SAwAAdAgAAA4AAAAAAAAAAQAgAAAAJwEAAGRycy9lMm9Eb2MueG1s&#10;UEsFBgAAAAAGAAYAWQEAAKsGAAAAAA==&#10;" path="m0,363855l106045,1160145,2890520,789305,2784475,0,0,363855xe">
                <v:path o:connectlocs="0,363855;106045,1160145;2890520,789305;2784475,0;0,363855" o:connectangles="0,0,0,0,0"/>
                <v:fill on="t" focussize="0,0"/>
                <v:stroke weight="2pt" color="#92D050 [2404]" joinstyle="round"/>
                <v:imagedata o:title=""/>
                <o:lock v:ext="edit" aspectratio="f"/>
              </v:shape>
            </w:pict>
          </mc:Fallback>
        </mc:AlternateContent>
      </w:r>
      <w:r>
        <w:rPr>
          <w:sz w:val="24"/>
        </w:rPr>
        <mc:AlternateContent>
          <mc:Choice Requires="wps">
            <w:drawing>
              <wp:anchor distT="0" distB="0" distL="114300" distR="114300" simplePos="0" relativeHeight="251683840" behindDoc="0" locked="0" layoutInCell="1" allowOverlap="1">
                <wp:simplePos x="0" y="0"/>
                <wp:positionH relativeFrom="column">
                  <wp:posOffset>3863975</wp:posOffset>
                </wp:positionH>
                <wp:positionV relativeFrom="paragraph">
                  <wp:posOffset>2743835</wp:posOffset>
                </wp:positionV>
                <wp:extent cx="299085" cy="113665"/>
                <wp:effectExtent l="12700" t="12700" r="31115" b="26035"/>
                <wp:wrapNone/>
                <wp:docPr id="55" name="矩形 55"/>
                <wp:cNvGraphicFramePr/>
                <a:graphic xmlns:a="http://schemas.openxmlformats.org/drawingml/2006/main">
                  <a:graphicData uri="http://schemas.microsoft.com/office/word/2010/wordprocessingShape">
                    <wps:wsp>
                      <wps:cNvSpPr/>
                      <wps:spPr>
                        <a:xfrm>
                          <a:off x="0" y="0"/>
                          <a:ext cx="299085" cy="113665"/>
                        </a:xfrm>
                        <a:prstGeom prst="rect">
                          <a:avLst/>
                        </a:pr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4.25pt;margin-top:216.05pt;height:8.95pt;width:23.55pt;z-index:251683840;v-text-anchor:middle;mso-width-relative:page;mso-height-relative:page;" fillcolor="#FFFF00" filled="t" stroked="t" coordsize="21600,21600" o:gfxdata="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5JGKjaAAAACwEAAA8AAAAAAAAAAQAgAAAAIgAAAGRycy9kb3ducmV2LnhtbFBLAQIUABQA&#10;AAAIAIdO4kDlCeg+YAIAAN4EAAAOAAAAAAAAAAEAIAAAACkBAABkcnMvZTJvRG9jLnhtbFBLBQYA&#10;AAAABgAGAFkBAAD7BQAAAAA=&#10;">
                <v:fill on="t" focussize="0,0"/>
                <v:stroke weight="2pt" color="#FFFF00 [2404]" joinstyle="round"/>
                <v:imagedata o:title=""/>
                <o:lock v:ext="edit" aspectratio="f"/>
              </v:rect>
            </w:pict>
          </mc:Fallback>
        </mc:AlternateContent>
      </w:r>
      <w:r>
        <w:rPr>
          <w:sz w:val="24"/>
        </w:rPr>
        <mc:AlternateContent>
          <mc:Choice Requires="wps">
            <w:drawing>
              <wp:anchor distT="0" distB="0" distL="114300" distR="114300" simplePos="0" relativeHeight="251682816" behindDoc="0" locked="0" layoutInCell="1" allowOverlap="1">
                <wp:simplePos x="0" y="0"/>
                <wp:positionH relativeFrom="column">
                  <wp:posOffset>3874135</wp:posOffset>
                </wp:positionH>
                <wp:positionV relativeFrom="paragraph">
                  <wp:posOffset>2524125</wp:posOffset>
                </wp:positionV>
                <wp:extent cx="299085" cy="113665"/>
                <wp:effectExtent l="12700" t="12700" r="31115" b="26035"/>
                <wp:wrapNone/>
                <wp:docPr id="54" name="矩形 54"/>
                <wp:cNvGraphicFramePr/>
                <a:graphic xmlns:a="http://schemas.openxmlformats.org/drawingml/2006/main">
                  <a:graphicData uri="http://schemas.microsoft.com/office/word/2010/wordprocessingShape">
                    <wps:wsp>
                      <wps:cNvSpPr/>
                      <wps:spPr>
                        <a:xfrm>
                          <a:off x="5015230" y="6223000"/>
                          <a:ext cx="299085" cy="113665"/>
                        </a:xfrm>
                        <a:prstGeom prst="rect">
                          <a:avLst/>
                        </a:prstGeom>
                        <a:solidFill>
                          <a:srgbClr val="92D050"/>
                        </a:solidFill>
                        <a:ln>
                          <a:solidFill>
                            <a:srgbClr val="92D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5.05pt;margin-top:198.75pt;height:8.95pt;width:23.55pt;z-index:251682816;v-text-anchor:middle;mso-width-relative:page;mso-height-relative:page;" fillcolor="#92D050" filled="t" stroked="t" coordsize="21600,21600" o:gfxdata="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C57JybaAAAACwEAAA8AAAAAAAAAAQAgAAAAIgAAAGRycy9kb3ducmV2&#10;LnhtbFBLAQIUABQAAAAIAIdO4kCBh2fhbAIAAOoEAAAOAAAAAAAAAAEAIAAAACkBAABkcnMvZTJv&#10;RG9jLnhtbFBLBQYAAAAABgAGAFkBAAAHBgAAAAA=&#10;">
                <v:fill on="t" focussize="0,0"/>
                <v:stroke weight="2pt" color="#92D050 [2404]" joinstyle="round"/>
                <v:imagedata o:title=""/>
                <o:lock v:ext="edit" aspectratio="f"/>
              </v:rect>
            </w:pict>
          </mc:Fallback>
        </mc:AlternateContent>
      </w:r>
      <w:r>
        <w:rPr>
          <w:sz w:val="24"/>
        </w:rPr>
        <mc:AlternateContent>
          <mc:Choice Requires="wps">
            <w:drawing>
              <wp:anchor distT="0" distB="0" distL="114300" distR="114300" simplePos="0" relativeHeight="251681792" behindDoc="0" locked="0" layoutInCell="1" allowOverlap="1">
                <wp:simplePos x="0" y="0"/>
                <wp:positionH relativeFrom="column">
                  <wp:posOffset>1946910</wp:posOffset>
                </wp:positionH>
                <wp:positionV relativeFrom="paragraph">
                  <wp:posOffset>1349375</wp:posOffset>
                </wp:positionV>
                <wp:extent cx="1978025" cy="716280"/>
                <wp:effectExtent l="12700" t="12700" r="28575" b="13970"/>
                <wp:wrapNone/>
                <wp:docPr id="53" name="任意多边形 53"/>
                <wp:cNvGraphicFramePr/>
                <a:graphic xmlns:a="http://schemas.openxmlformats.org/drawingml/2006/main">
                  <a:graphicData uri="http://schemas.microsoft.com/office/word/2010/wordprocessingShape">
                    <wps:wsp>
                      <wps:cNvSpPr/>
                      <wps:spPr>
                        <a:xfrm>
                          <a:off x="3088005" y="5048250"/>
                          <a:ext cx="1978025" cy="716280"/>
                        </a:xfrm>
                        <a:custGeom>
                          <a:avLst/>
                          <a:gdLst>
                            <a:gd name="connisteX0" fmla="*/ 0 w 1978025"/>
                            <a:gd name="connsiteY0" fmla="*/ 257810 h 716280"/>
                            <a:gd name="connisteX1" fmla="*/ 39370 w 1978025"/>
                            <a:gd name="connsiteY1" fmla="*/ 531495 h 716280"/>
                            <a:gd name="connisteX2" fmla="*/ 224155 w 1978025"/>
                            <a:gd name="connsiteY2" fmla="*/ 503555 h 716280"/>
                            <a:gd name="connisteX3" fmla="*/ 241300 w 1978025"/>
                            <a:gd name="connsiteY3" fmla="*/ 716280 h 716280"/>
                            <a:gd name="connisteX4" fmla="*/ 1081405 w 1978025"/>
                            <a:gd name="connsiteY4" fmla="*/ 604520 h 716280"/>
                            <a:gd name="connisteX5" fmla="*/ 1081405 w 1978025"/>
                            <a:gd name="connsiteY5" fmla="*/ 671830 h 716280"/>
                            <a:gd name="connisteX6" fmla="*/ 1658620 w 1978025"/>
                            <a:gd name="connsiteY6" fmla="*/ 593725 h 716280"/>
                            <a:gd name="connisteX7" fmla="*/ 1613535 w 1978025"/>
                            <a:gd name="connsiteY7" fmla="*/ 330200 h 716280"/>
                            <a:gd name="connisteX8" fmla="*/ 1978025 w 1978025"/>
                            <a:gd name="connsiteY8" fmla="*/ 285750 h 716280"/>
                            <a:gd name="connisteX9" fmla="*/ 1950085 w 1978025"/>
                            <a:gd name="connsiteY9" fmla="*/ 0 h 716280"/>
                            <a:gd name="connisteX10" fmla="*/ 0 w 1978025"/>
                            <a:gd name="connsiteY10" fmla="*/ 257810 h 71628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Lst>
                          <a:rect l="l" t="t" r="r" b="b"/>
                          <a:pathLst>
                            <a:path w="1978025" h="716280">
                              <a:moveTo>
                                <a:pt x="0" y="257810"/>
                              </a:moveTo>
                              <a:lnTo>
                                <a:pt x="39370" y="531495"/>
                              </a:lnTo>
                              <a:lnTo>
                                <a:pt x="224155" y="503555"/>
                              </a:lnTo>
                              <a:lnTo>
                                <a:pt x="241300" y="716280"/>
                              </a:lnTo>
                              <a:lnTo>
                                <a:pt x="1081405" y="604520"/>
                              </a:lnTo>
                              <a:lnTo>
                                <a:pt x="1081405" y="671830"/>
                              </a:lnTo>
                              <a:lnTo>
                                <a:pt x="1658620" y="593725"/>
                              </a:lnTo>
                              <a:lnTo>
                                <a:pt x="1613535" y="330200"/>
                              </a:lnTo>
                              <a:lnTo>
                                <a:pt x="1978025" y="285750"/>
                              </a:lnTo>
                              <a:lnTo>
                                <a:pt x="1950085" y="0"/>
                              </a:lnTo>
                              <a:lnTo>
                                <a:pt x="0" y="257810"/>
                              </a:lnTo>
                              <a:close/>
                            </a:path>
                          </a:pathLst>
                        </a:custGeom>
                        <a:solidFill>
                          <a:srgbClr val="92D050"/>
                        </a:solidFill>
                        <a:ln>
                          <a:solidFill>
                            <a:srgbClr val="92D05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153.3pt;margin-top:106.25pt;height:56.4pt;width:155.75pt;z-index:251681792;mso-width-relative:page;mso-height-relative:page;" fillcolor="#92D050" filled="t" stroked="t" coordsize="1978025,716280" o:gfxdata="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" path="m0,257810l39370,531495,224155,503555,241300,716280,1081405,604520,1081405,671830,1658620,593725,1613535,330200,1978025,285750,1950085,0,0,257810xe">
                <v:path o:connectlocs="0,257810;39370,531495;224155,503555;241300,716280;1081405,604520;1081405,671830;1658620,593725;1613535,330200;1978025,285750;1950085,0;0,257810" o:connectangles="0,0,0,0,0,0,0,0,0,0,0"/>
                <v:fill on="t" focussize="0,0"/>
                <v:stroke weight="2pt" color="#92D050 [2404]" joinstyle="round"/>
                <v:imagedata o:title=""/>
                <o:lock v:ext="edit" aspectratio="f"/>
              </v:shape>
            </w:pict>
          </mc:Fallback>
        </mc:AlternateContent>
      </w:r>
      <w:r>
        <w:rPr>
          <w:sz w:val="24"/>
        </w:rPr>
        <mc:AlternateContent>
          <mc:Choice Requires="wps">
            <w:drawing>
              <wp:anchor distT="0" distB="0" distL="114300" distR="114300" simplePos="0" relativeHeight="251680768" behindDoc="0" locked="0" layoutInCell="1" allowOverlap="1">
                <wp:simplePos x="0" y="0"/>
                <wp:positionH relativeFrom="column">
                  <wp:posOffset>4022090</wp:posOffset>
                </wp:positionH>
                <wp:positionV relativeFrom="paragraph">
                  <wp:posOffset>2952750</wp:posOffset>
                </wp:positionV>
                <wp:extent cx="75565" cy="75565"/>
                <wp:effectExtent l="12700" t="12700" r="26035" b="26035"/>
                <wp:wrapNone/>
                <wp:docPr id="51" name="椭圆 51"/>
                <wp:cNvGraphicFramePr/>
                <a:graphic xmlns:a="http://schemas.openxmlformats.org/drawingml/2006/main">
                  <a:graphicData uri="http://schemas.microsoft.com/office/word/2010/wordprocessingShape">
                    <wps:wsp>
                      <wps:cNvSpPr/>
                      <wps:spPr>
                        <a:xfrm>
                          <a:off x="0" y="0"/>
                          <a:ext cx="75565" cy="75565"/>
                        </a:xfrm>
                        <a:prstGeom prst="ellipse">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16.7pt;margin-top:232.5pt;height:5.95pt;width:5.95pt;z-index:251680768;v-text-anchor:middle;mso-width-relative:page;mso-height-relative:page;" fillcolor="#FF0000" filled="t" stroked="t" coordsize="21600,21600" o:gfxdata="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z&#10;DO+D2AAAAAsBAAAPAAAAAAAAAAEAIAAAACIAAABkcnMvZG93bnJldi54bWxQSwECFAAUAAAACACH&#10;TuJA/6YwsF0CAADfBAAADgAAAAAAAAABACAAAAAnAQAAZHJzL2Uyb0RvYy54bWxQSwUGAAAAAAYA&#10;BgBZAQAA9gUAAAAA&#10;">
                <v:fill on="t" focussize="0,0"/>
                <v:stroke weight="2pt" color="#FF0000 [2404]" joinstyle="round"/>
                <v:imagedata o:title=""/>
                <o:lock v:ext="edit" aspectratio="f"/>
              </v:shape>
            </w:pict>
          </mc:Fallback>
        </mc:AlternateContent>
      </w:r>
      <w:r>
        <w:rPr>
          <w:sz w:val="24"/>
        </w:rPr>
        <mc:AlternateContent>
          <mc:Choice Requires="wps">
            <w:drawing>
              <wp:anchor distT="0" distB="0" distL="114300" distR="114300" simplePos="0" relativeHeight="251676672" behindDoc="0" locked="0" layoutInCell="1" allowOverlap="1">
                <wp:simplePos x="0" y="0"/>
                <wp:positionH relativeFrom="column">
                  <wp:posOffset>4311015</wp:posOffset>
                </wp:positionH>
                <wp:positionV relativeFrom="paragraph">
                  <wp:posOffset>1356995</wp:posOffset>
                </wp:positionV>
                <wp:extent cx="963930" cy="321945"/>
                <wp:effectExtent l="0" t="0" r="0" b="0"/>
                <wp:wrapNone/>
                <wp:docPr id="46" name="文本框 46"/>
                <wp:cNvGraphicFramePr/>
                <a:graphic xmlns:a="http://schemas.openxmlformats.org/drawingml/2006/main">
                  <a:graphicData uri="http://schemas.microsoft.com/office/word/2010/wordprocessingShape">
                    <wps:wsp>
                      <wps:cNvSpPr txBox="1"/>
                      <wps:spPr>
                        <a:xfrm>
                          <a:off x="4752975" y="5095240"/>
                          <a:ext cx="963930" cy="3219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E49D6C">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污水处理站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9.45pt;margin-top:106.85pt;height:25.35pt;width:75.9pt;z-index:251676672;mso-width-relative:page;mso-height-relative:page;" filled="f" stroked="f" coordsize="21600,21600" o:gfxdata="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r+vi83AAAAAsBAAAPAAAA&#10;AAAAAAEAIAAAACIAAABkcnMvZG93bnJldi54bWxQSwECFAAUAAAACACHTuJAdFn3bkoCAABzBAAA&#10;DgAAAAAAAAABACAAAAArAQAAZHJzL2Uyb0RvYy54bWxQSwUGAAAAAAYABgBZAQAA5wUAAAAA&#10;">
                <v:fill on="f" focussize="0,0"/>
                <v:stroke on="f" weight="0.5pt"/>
                <v:imagedata o:title=""/>
                <o:lock v:ext="edit" aspectratio="f"/>
                <v:textbox>
                  <w:txbxContent>
                    <w:p w14:paraId="0DE49D6C">
                      <w:pPr>
                        <w:ind w:left="0" w:leftChars="0" w:firstLine="0" w:firstLineChars="0"/>
                        <w:rPr>
                          <w:rFonts w:hint="default" w:eastAsia="宋体"/>
                          <w:b/>
                          <w:bCs/>
                          <w:color w:val="FF0000"/>
                          <w:sz w:val="21"/>
                          <w:szCs w:val="20"/>
                          <w:lang w:val="en-US" w:eastAsia="zh-CN"/>
                        </w:rPr>
                      </w:pPr>
                      <w:r>
                        <w:rPr>
                          <w:rFonts w:hint="eastAsia"/>
                          <w:b/>
                          <w:bCs/>
                          <w:color w:val="FF0000"/>
                          <w:sz w:val="21"/>
                          <w:szCs w:val="20"/>
                          <w:lang w:val="en-US" w:eastAsia="zh-CN"/>
                        </w:rPr>
                        <w:t>污水处理站</w:t>
                      </w:r>
                    </w:p>
                  </w:txbxContent>
                </v:textbox>
              </v:shape>
            </w:pict>
          </mc:Fallback>
        </mc:AlternateContent>
      </w:r>
      <w:r>
        <w:rPr>
          <w:sz w:val="24"/>
        </w:rPr>
        <mc:AlternateContent>
          <mc:Choice Requires="wps">
            <w:drawing>
              <wp:anchor distT="0" distB="0" distL="114300" distR="114300" simplePos="0" relativeHeight="251677696" behindDoc="0" locked="0" layoutInCell="1" allowOverlap="1">
                <wp:simplePos x="0" y="0"/>
                <wp:positionH relativeFrom="column">
                  <wp:posOffset>3950970</wp:posOffset>
                </wp:positionH>
                <wp:positionV relativeFrom="paragraph">
                  <wp:posOffset>1241425</wp:posOffset>
                </wp:positionV>
                <wp:extent cx="75565" cy="75565"/>
                <wp:effectExtent l="12700" t="12700" r="26035" b="26035"/>
                <wp:wrapNone/>
                <wp:docPr id="49" name="椭圆 49"/>
                <wp:cNvGraphicFramePr/>
                <a:graphic xmlns:a="http://schemas.openxmlformats.org/drawingml/2006/main">
                  <a:graphicData uri="http://schemas.microsoft.com/office/word/2010/wordprocessingShape">
                    <wps:wsp>
                      <wps:cNvSpPr/>
                      <wps:spPr>
                        <a:xfrm>
                          <a:off x="5130800" y="4979035"/>
                          <a:ext cx="75565" cy="75565"/>
                        </a:xfrm>
                        <a:prstGeom prst="ellipse">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11.1pt;margin-top:97.75pt;height:5.95pt;width:5.95pt;z-index:251677696;v-text-anchor:middle;mso-width-relative:page;mso-height-relative:page;" fillcolor="#FF0000" filled="t" stroked="t" coordsize="21600,21600" o:gfxdata="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LuoQq2AAAAAsBAAAPAAAAAAAAAAEAIAAAACIAAABkcnMvZG93bnJldi54&#10;bWxQSwECFAAUAAAACACHTuJAuOQVBWwCAADrBAAADgAAAAAAAAABACAAAAAnAQAAZHJzL2Uyb0Rv&#10;Yy54bWxQSwUGAAAAAAYABgBZAQAABQYAAAAA&#10;">
                <v:fill on="t" focussize="0,0"/>
                <v:stroke weight="2pt" color="#FF0000 [2404]" joinstyle="round"/>
                <v:imagedata o:title=""/>
                <o:lock v:ext="edit" aspectratio="f"/>
              </v:shape>
            </w:pict>
          </mc:Fallback>
        </mc:AlternateContent>
      </w:r>
      <w:r>
        <w:rPr>
          <w:sz w:val="24"/>
        </w:rPr>
        <mc:AlternateContent>
          <mc:Choice Requires="wps">
            <w:drawing>
              <wp:anchor distT="0" distB="0" distL="114300" distR="114300" simplePos="0" relativeHeight="251675648" behindDoc="0" locked="0" layoutInCell="1" allowOverlap="1">
                <wp:simplePos x="0" y="0"/>
                <wp:positionH relativeFrom="column">
                  <wp:posOffset>4053205</wp:posOffset>
                </wp:positionH>
                <wp:positionV relativeFrom="paragraph">
                  <wp:posOffset>1315720</wp:posOffset>
                </wp:positionV>
                <wp:extent cx="288925" cy="373380"/>
                <wp:effectExtent l="12700" t="12700" r="22225" b="13970"/>
                <wp:wrapNone/>
                <wp:docPr id="45" name="任意多边形 45"/>
                <wp:cNvGraphicFramePr/>
                <a:graphic xmlns:a="http://schemas.openxmlformats.org/drawingml/2006/main">
                  <a:graphicData uri="http://schemas.microsoft.com/office/word/2010/wordprocessingShape">
                    <wps:wsp>
                      <wps:cNvSpPr/>
                      <wps:spPr>
                        <a:xfrm>
                          <a:off x="5194300" y="5014595"/>
                          <a:ext cx="288925" cy="373380"/>
                        </a:xfrm>
                        <a:custGeom>
                          <a:avLst/>
                          <a:gdLst>
                            <a:gd name="connisteX0" fmla="*/ 0 w 288925"/>
                            <a:gd name="connsiteY0" fmla="*/ 24130 h 373380"/>
                            <a:gd name="connisteX1" fmla="*/ 45720 w 288925"/>
                            <a:gd name="connsiteY1" fmla="*/ 373380 h 373380"/>
                            <a:gd name="connisteX2" fmla="*/ 288925 w 288925"/>
                            <a:gd name="connsiteY2" fmla="*/ 341630 h 373380"/>
                            <a:gd name="connisteX3" fmla="*/ 247015 w 288925"/>
                            <a:gd name="connsiteY3" fmla="*/ 0 h 373380"/>
                            <a:gd name="connisteX4" fmla="*/ 0 w 288925"/>
                            <a:gd name="connsiteY4" fmla="*/ 24130 h 373380"/>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288925" h="373380">
                              <a:moveTo>
                                <a:pt x="0" y="24130"/>
                              </a:moveTo>
                              <a:lnTo>
                                <a:pt x="45720" y="373380"/>
                              </a:lnTo>
                              <a:lnTo>
                                <a:pt x="288925" y="341630"/>
                              </a:lnTo>
                              <a:lnTo>
                                <a:pt x="247015" y="0"/>
                              </a:lnTo>
                              <a:lnTo>
                                <a:pt x="0" y="24130"/>
                              </a:lnTo>
                              <a:close/>
                            </a:path>
                          </a:pathLst>
                        </a:cu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19.15pt;margin-top:103.6pt;height:29.4pt;width:22.75pt;z-index:251675648;mso-width-relative:page;mso-height-relative:page;" fillcolor="#FFFF00" filled="t" stroked="t" coordsize="288925,373380" o:gfxdata="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By8+xr2gAAAAsBAAAPAAAAAAAAAAEAIAAAACIAAABkcnMvZG93bnJldi54bWxQSwECFAAU&#10;AAAACACHTuJA5Bgq1gwDAABaCAAADgAAAAAAAAABACAAAAApAQAAZHJzL2Uyb0RvYy54bWxQSwUG&#10;AAAAAAYABgBZAQAApwYAAAAA&#10;" path="m0,24130l45720,373380,288925,341630,247015,0,0,24130xe">
                <v:path o:connectlocs="0,24130;45720,373380;288925,341630;247015,0;0,24130" o:connectangles="0,0,0,0,0"/>
                <v:fill on="t" focussize="0,0"/>
                <v:stroke weight="2pt" color="#FFFF00 [2404]" joinstyle="round"/>
                <v:imagedata o:title=""/>
                <o:lock v:ext="edit" aspectratio="f"/>
              </v:shape>
            </w:pict>
          </mc:Fallback>
        </mc:AlternateContent>
      </w:r>
      <w:r>
        <w:drawing>
          <wp:inline distT="0" distB="0" distL="114300" distR="114300">
            <wp:extent cx="5267960" cy="3051810"/>
            <wp:effectExtent l="9525" t="9525" r="18415" b="24765"/>
            <wp:docPr id="4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2"/>
                    <pic:cNvPicPr>
                      <a:picLocks noChangeAspect="1"/>
                    </pic:cNvPicPr>
                  </pic:nvPicPr>
                  <pic:blipFill>
                    <a:blip r:embed="rId125"/>
                    <a:stretch>
                      <a:fillRect/>
                    </a:stretch>
                  </pic:blipFill>
                  <pic:spPr>
                    <a:xfrm>
                      <a:off x="0" y="0"/>
                      <a:ext cx="5267960" cy="3051810"/>
                    </a:xfrm>
                    <a:prstGeom prst="rect">
                      <a:avLst/>
                    </a:prstGeom>
                    <a:noFill/>
                    <a:ln>
                      <a:solidFill>
                        <a:schemeClr val="tx1"/>
                      </a:solidFill>
                    </a:ln>
                  </pic:spPr>
                </pic:pic>
              </a:graphicData>
            </a:graphic>
          </wp:inline>
        </w:drawing>
      </w:r>
    </w:p>
    <w:p w14:paraId="358FEAFA">
      <w:pPr>
        <w:spacing w:line="360" w:lineRule="auto"/>
        <w:jc w:val="center"/>
        <w:rPr>
          <w:rFonts w:ascii="Times New Roman" w:eastAsia="黑体"/>
          <w:color w:val="000000"/>
        </w:rPr>
      </w:pPr>
      <w:r>
        <w:rPr>
          <w:rFonts w:ascii="Times New Roman" w:eastAsia="黑体"/>
          <w:color w:val="000000"/>
        </w:rPr>
        <w:t>图6-2-</w:t>
      </w:r>
      <w:r>
        <w:rPr>
          <w:rFonts w:hint="eastAsia" w:eastAsia="黑体"/>
          <w:color w:val="000000"/>
          <w:lang w:val="en-US" w:eastAsia="zh-CN"/>
        </w:rPr>
        <w:t>1</w:t>
      </w:r>
      <w:r>
        <w:rPr>
          <w:rFonts w:ascii="Times New Roman" w:eastAsia="黑体"/>
          <w:color w:val="000000"/>
        </w:rPr>
        <w:t xml:space="preserve">  本项目地下水污染防治分区图</w:t>
      </w:r>
    </w:p>
    <w:p w14:paraId="06A30F06">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6.2.3.3信息公开</w:t>
      </w:r>
    </w:p>
    <w:p w14:paraId="38841A1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建设单位在开展地下水跟踪监测的同时要进行地下水跟踪监测信息公开工作，每一期的地下水跟踪监测的数据结果要以公告的形式在</w:t>
      </w:r>
      <w:r>
        <w:rPr>
          <w:rFonts w:hint="eastAsia"/>
          <w:snapToGrid w:val="0"/>
          <w:color w:val="000000" w:themeColor="text1"/>
          <w:kern w:val="0"/>
          <w14:textFill>
            <w14:solidFill>
              <w14:schemeClr w14:val="tx1"/>
            </w14:solidFill>
          </w14:textFill>
        </w:rPr>
        <w:t>厂区</w:t>
      </w:r>
      <w:r>
        <w:rPr>
          <w:snapToGrid w:val="0"/>
          <w:color w:val="000000" w:themeColor="text1"/>
          <w:kern w:val="0"/>
          <w14:textFill>
            <w14:solidFill>
              <w14:schemeClr w14:val="tx1"/>
            </w14:solidFill>
          </w14:textFill>
        </w:rPr>
        <w:t>内张贴出来，公告版应展示近3期的地下水跟踪监测结果，包括污染物的名称、监测数值和监测日期等信息。信息公开的主体是本项目的建设单位，需要对公示的监测数据负责。</w:t>
      </w:r>
    </w:p>
    <w:p w14:paraId="3EE8E38E">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6</w:t>
      </w:r>
      <w:r>
        <w:rPr>
          <w:rFonts w:hint="eastAsia"/>
          <w:snapToGrid w:val="0"/>
          <w:color w:val="000000" w:themeColor="text1"/>
          <w14:textFill>
            <w14:solidFill>
              <w14:schemeClr w14:val="tx1"/>
            </w14:solidFill>
          </w14:textFill>
        </w:rPr>
        <w:t>.2.3.</w:t>
      </w:r>
      <w:r>
        <w:rPr>
          <w:snapToGrid w:val="0"/>
          <w:color w:val="000000" w:themeColor="text1"/>
          <w14:textFill>
            <w14:solidFill>
              <w14:schemeClr w14:val="tx1"/>
            </w14:solidFill>
          </w14:textFill>
        </w:rPr>
        <w:t>4应急响应措施</w:t>
      </w:r>
    </w:p>
    <w:p w14:paraId="076E8F36">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由于污水渗漏事故发生具有隐蔽性，建设单位应认真落实地下水跟踪监测职责，当明确发生污水渗漏事故时，</w:t>
      </w:r>
      <w:r>
        <w:rPr>
          <w:rFonts w:hint="eastAsia"/>
          <w:snapToGrid w:val="0"/>
          <w:color w:val="000000" w:themeColor="text1"/>
          <w:kern w:val="0"/>
          <w14:textFill>
            <w14:solidFill>
              <w14:schemeClr w14:val="tx1"/>
            </w14:solidFill>
          </w14:textFill>
        </w:rPr>
        <w:t>应及时采取必要的阻隔措施</w:t>
      </w:r>
      <w:r>
        <w:rPr>
          <w:snapToGrid w:val="0"/>
          <w:color w:val="000000" w:themeColor="text1"/>
          <w:kern w:val="0"/>
          <w14:textFill>
            <w14:solidFill>
              <w14:schemeClr w14:val="tx1"/>
            </w14:solidFill>
          </w14:textFill>
        </w:rPr>
        <w:t>，同时应委托具有专业资质的环境监测单位进行更全面的地下水污染跟踪监测，以便明确渗漏事故的范围和程度。建设单位应将渗漏事故上报给环境主管部门。同时应并委托有专业技术能力的机构进行地下水影响的修复工作。</w:t>
      </w:r>
    </w:p>
    <w:p w14:paraId="7FB1CF24">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综上所述，本项目地下水污染防治措施可行。</w:t>
      </w:r>
    </w:p>
    <w:p w14:paraId="3778CF2D">
      <w:pPr>
        <w:pStyle w:val="6"/>
        <w:rPr>
          <w:snapToGrid w:val="0"/>
          <w:color w:val="000000" w:themeColor="text1"/>
          <w14:textFill>
            <w14:solidFill>
              <w14:schemeClr w14:val="tx1"/>
            </w14:solidFill>
          </w14:textFill>
        </w:rPr>
      </w:pPr>
      <w:bookmarkStart w:id="346" w:name="_Toc83525152"/>
      <w:bookmarkStart w:id="347" w:name="_Toc29745"/>
      <w:bookmarkStart w:id="348" w:name="_Toc74537251"/>
      <w:bookmarkStart w:id="349" w:name="_Toc98920179"/>
      <w:r>
        <w:rPr>
          <w:snapToGrid w:val="0"/>
          <w:color w:val="000000" w:themeColor="text1"/>
          <w14:textFill>
            <w14:solidFill>
              <w14:schemeClr w14:val="tx1"/>
            </w14:solidFill>
          </w14:textFill>
        </w:rPr>
        <w:t>6.2.4噪声污染防治措施</w:t>
      </w:r>
      <w:bookmarkEnd w:id="346"/>
      <w:bookmarkEnd w:id="347"/>
      <w:bookmarkEnd w:id="348"/>
      <w:bookmarkEnd w:id="349"/>
      <w:bookmarkStart w:id="350" w:name="_Hlt83525200"/>
      <w:bookmarkEnd w:id="350"/>
    </w:p>
    <w:p w14:paraId="436430A9">
      <w:pPr>
        <w:pStyle w:val="85"/>
        <w:rPr>
          <w:color w:val="000000" w:themeColor="text1"/>
          <w14:textFill>
            <w14:solidFill>
              <w14:schemeClr w14:val="tx1"/>
            </w14:solidFill>
          </w14:textFill>
        </w:rPr>
      </w:pPr>
      <w:r>
        <w:rPr>
          <w:color w:val="000000" w:themeColor="text1"/>
          <w14:textFill>
            <w14:solidFill>
              <w14:schemeClr w14:val="tx1"/>
            </w14:solidFill>
          </w14:textFill>
        </w:rPr>
        <w:t>本项目运行期间产生的噪声主要是</w:t>
      </w:r>
      <w:r>
        <w:rPr>
          <w:rFonts w:hint="eastAsia"/>
          <w:color w:val="000000" w:themeColor="text1"/>
          <w:lang w:val="en-US" w:eastAsia="zh-CN"/>
          <w14:textFill>
            <w14:solidFill>
              <w14:schemeClr w14:val="tx1"/>
            </w14:solidFill>
          </w14:textFill>
        </w:rPr>
        <w:t>斗提机、</w:t>
      </w:r>
      <w:r>
        <w:rPr>
          <w:color w:val="000000" w:themeColor="text1"/>
          <w14:textFill>
            <w14:solidFill>
              <w14:schemeClr w14:val="tx1"/>
            </w14:solidFill>
          </w14:textFill>
        </w:rPr>
        <w:t>粉碎机、</w:t>
      </w:r>
      <w:r>
        <w:rPr>
          <w:rFonts w:ascii="Segoe UI Emoji" w:hAnsi="Segoe UI Emoji" w:eastAsia="Segoe UI Emoji" w:cs="Segoe UI Emoji"/>
          <w:i w:val="0"/>
          <w:iCs w:val="0"/>
          <w:caps w:val="0"/>
          <w:spacing w:val="0"/>
          <w:sz w:val="24"/>
          <w:szCs w:val="24"/>
        </w:rPr>
        <w:t>糊化锅</w:t>
      </w:r>
      <w:r>
        <w:rPr>
          <w:rFonts w:hint="eastAsia" w:ascii="Segoe UI Emoji" w:hAnsi="Segoe UI Emoji" w:eastAsia="宋体" w:cs="Segoe UI Emoji"/>
          <w:i w:val="0"/>
          <w:iCs w:val="0"/>
          <w:caps w:val="0"/>
          <w:spacing w:val="0"/>
          <w:sz w:val="24"/>
          <w:szCs w:val="24"/>
          <w:lang w:eastAsia="zh-CN"/>
        </w:rPr>
        <w:t>、</w:t>
      </w:r>
      <w:r>
        <w:rPr>
          <w:rFonts w:ascii="Segoe UI Emoji" w:hAnsi="Segoe UI Emoji" w:eastAsia="Segoe UI Emoji" w:cs="Segoe UI Emoji"/>
          <w:i w:val="0"/>
          <w:iCs w:val="0"/>
          <w:caps w:val="0"/>
          <w:spacing w:val="0"/>
          <w:sz w:val="24"/>
          <w:szCs w:val="24"/>
        </w:rPr>
        <w:t>糖化锅</w:t>
      </w:r>
      <w:r>
        <w:rPr>
          <w:rFonts w:hint="eastAsia" w:ascii="Segoe UI Emoji" w:hAnsi="Segoe UI Emoji" w:eastAsia="宋体" w:cs="Segoe UI Emoji"/>
          <w:i w:val="0"/>
          <w:iCs w:val="0"/>
          <w:caps w:val="0"/>
          <w:spacing w:val="0"/>
          <w:sz w:val="24"/>
          <w:szCs w:val="24"/>
          <w:lang w:eastAsia="zh-CN"/>
        </w:rPr>
        <w:t>、</w:t>
      </w:r>
      <w:r>
        <w:rPr>
          <w:rFonts w:hint="eastAsia"/>
          <w:color w:val="000000" w:themeColor="text1"/>
          <w:lang w:val="en-US" w:eastAsia="zh-CN"/>
          <w14:textFill>
            <w14:solidFill>
              <w14:schemeClr w14:val="tx1"/>
            </w14:solidFill>
          </w14:textFill>
        </w:rPr>
        <w:t>离心机、螺杆空压机、</w:t>
      </w:r>
      <w:r>
        <w:rPr>
          <w:snapToGrid w:val="0"/>
          <w:color w:val="000000" w:themeColor="text1"/>
          <w:kern w:val="0"/>
          <w:szCs w:val="21"/>
          <w:lang w:val="en-US" w:eastAsia="zh-CN"/>
          <w14:textFill>
            <w14:solidFill>
              <w14:schemeClr w14:val="tx1"/>
            </w14:solidFill>
          </w14:textFill>
        </w:rPr>
        <w:t>吸附式干燥机</w:t>
      </w:r>
      <w:r>
        <w:rPr>
          <w:rFonts w:hint="eastAsia"/>
          <w:snapToGrid w:val="0"/>
          <w:color w:val="000000" w:themeColor="text1"/>
          <w:kern w:val="0"/>
          <w:szCs w:val="21"/>
          <w:lang w:val="en-US" w:eastAsia="zh-CN"/>
          <w14:textFill>
            <w14:solidFill>
              <w14:schemeClr w14:val="tx1"/>
            </w14:solidFill>
          </w14:textFill>
        </w:rPr>
        <w:t>、</w:t>
      </w:r>
      <w:r>
        <w:rPr>
          <w:snapToGrid w:val="0"/>
          <w:color w:val="000000" w:themeColor="text1"/>
          <w:kern w:val="0"/>
          <w:szCs w:val="21"/>
          <w:lang w:val="en-US" w:eastAsia="zh-CN"/>
          <w14:textFill>
            <w14:solidFill>
              <w14:schemeClr w14:val="tx1"/>
            </w14:solidFill>
          </w14:textFill>
        </w:rPr>
        <w:t>制冷压缩机</w:t>
      </w:r>
      <w:r>
        <w:rPr>
          <w:rFonts w:hint="eastAsia"/>
          <w:snapToGrid w:val="0"/>
          <w:color w:val="000000" w:themeColor="text1"/>
          <w:kern w:val="0"/>
          <w:szCs w:val="21"/>
          <w:lang w:val="en-US" w:eastAsia="zh-CN"/>
          <w14:textFill>
            <w14:solidFill>
              <w14:schemeClr w14:val="tx1"/>
            </w14:solidFill>
          </w14:textFill>
        </w:rPr>
        <w:t>、</w:t>
      </w:r>
      <w:r>
        <w:rPr>
          <w:color w:val="000000" w:themeColor="text1"/>
          <w14:textFill>
            <w14:solidFill>
              <w14:schemeClr w14:val="tx1"/>
            </w14:solidFill>
          </w14:textFill>
        </w:rPr>
        <w:t>灌装机、风机、各种泵类等设备产生的机械噪声，源强为</w:t>
      </w:r>
      <w:r>
        <w:rPr>
          <w:rFonts w:hint="eastAsia"/>
          <w:color w:val="000000" w:themeColor="text1"/>
          <w:lang w:val="en-US" w:eastAsia="zh-CN"/>
          <w14:textFill>
            <w14:solidFill>
              <w14:schemeClr w14:val="tx1"/>
            </w14:solidFill>
          </w14:textFill>
        </w:rPr>
        <w:t>80</w:t>
      </w:r>
      <w:r>
        <w:rPr>
          <w:color w:val="000000" w:themeColor="text1"/>
          <w14:textFill>
            <w14:solidFill>
              <w14:schemeClr w14:val="tx1"/>
            </w14:solidFill>
          </w14:textFill>
        </w:rPr>
        <w:t>~90dB（A）。噪声治理措施一般从控制噪声源、控制传播途径和保护接受者三方面考虑，并将三者统一起来。本项目在噪声防治上主要考虑以下几个方面：</w:t>
      </w:r>
    </w:p>
    <w:p w14:paraId="75AB88ED">
      <w:pPr>
        <w:pStyle w:val="85"/>
        <w:rPr>
          <w:color w:val="000000" w:themeColor="text1"/>
          <w14:textFill>
            <w14:solidFill>
              <w14:schemeClr w14:val="tx1"/>
            </w14:solidFill>
          </w14:textFill>
        </w:rPr>
      </w:pPr>
      <w:r>
        <w:rPr>
          <w:color w:val="000000" w:themeColor="text1"/>
          <w14:textFill>
            <w14:solidFill>
              <w14:schemeClr w14:val="tx1"/>
            </w14:solidFill>
          </w14:textFill>
        </w:rPr>
        <w:t>（1）建议在设计和设备采购阶段，充分选用先进的低噪设备，如选用低噪的粉碎机、风机和水泵等，以从声源上降低设备本身噪声；</w:t>
      </w:r>
    </w:p>
    <w:p w14:paraId="50B0DB84">
      <w:pPr>
        <w:pStyle w:val="85"/>
        <w:rPr>
          <w:color w:val="000000" w:themeColor="text1"/>
          <w14:textFill>
            <w14:solidFill>
              <w14:schemeClr w14:val="tx1"/>
            </w14:solidFill>
          </w14:textFill>
        </w:rPr>
      </w:pPr>
      <w:r>
        <w:rPr>
          <w:color w:val="000000" w:themeColor="text1"/>
          <w14:textFill>
            <w14:solidFill>
              <w14:schemeClr w14:val="tx1"/>
            </w14:solidFill>
          </w14:textFill>
        </w:rPr>
        <w:t>（2）在噪声设备放置的生产车间的建设上，应加装吸声材料，避免露天布置；</w:t>
      </w:r>
    </w:p>
    <w:p w14:paraId="2BE234B1">
      <w:pPr>
        <w:pStyle w:val="85"/>
        <w:rPr>
          <w:color w:val="000000" w:themeColor="text1"/>
          <w14:textFill>
            <w14:solidFill>
              <w14:schemeClr w14:val="tx1"/>
            </w14:solidFill>
          </w14:textFill>
        </w:rPr>
      </w:pPr>
      <w:r>
        <w:rPr>
          <w:color w:val="000000" w:themeColor="text1"/>
          <w14:textFill>
            <w14:solidFill>
              <w14:schemeClr w14:val="tx1"/>
            </w14:solidFill>
          </w14:textFill>
        </w:rPr>
        <w:t>（3）风机、水泵等发声设备应安装</w:t>
      </w:r>
      <w:r>
        <w:rPr>
          <w:rFonts w:hint="eastAsia"/>
          <w:color w:val="000000" w:themeColor="text1"/>
          <w:lang w:val="en-US" w:eastAsia="zh-CN"/>
          <w14:textFill>
            <w14:solidFill>
              <w14:schemeClr w14:val="tx1"/>
            </w14:solidFill>
          </w14:textFill>
        </w:rPr>
        <w:t>隔声罩</w:t>
      </w:r>
      <w:r>
        <w:rPr>
          <w:color w:val="000000" w:themeColor="text1"/>
          <w14:textFill>
            <w14:solidFill>
              <w14:schemeClr w14:val="tx1"/>
            </w14:solidFill>
          </w14:textFill>
        </w:rPr>
        <w:t>，机座应设减振垫；</w:t>
      </w:r>
      <w:r>
        <w:rPr>
          <w:rFonts w:hint="eastAsia"/>
          <w:color w:val="000000" w:themeColor="text1"/>
          <w:lang w:val="en-US" w:eastAsia="zh-CN"/>
          <w14:textFill>
            <w14:solidFill>
              <w14:schemeClr w14:val="tx1"/>
            </w14:solidFill>
          </w14:textFill>
        </w:rPr>
        <w:t>隔声罩</w:t>
      </w:r>
      <w:r>
        <w:rPr>
          <w:color w:val="000000" w:themeColor="text1"/>
          <w14:textFill>
            <w14:solidFill>
              <w14:schemeClr w14:val="tx1"/>
            </w14:solidFill>
          </w14:textFill>
        </w:rPr>
        <w:t>需加强维修或更换；锅炉进出风管和水管采取柔性连接。加强设备的维护，确保设备处于良好的运转状态，杜绝因设备不正常运转时产生的高噪声现象。</w:t>
      </w:r>
    </w:p>
    <w:p w14:paraId="200C26B2">
      <w:pPr>
        <w:pStyle w:val="85"/>
        <w:rPr>
          <w:color w:val="000000" w:themeColor="text1"/>
          <w14:textFill>
            <w14:solidFill>
              <w14:schemeClr w14:val="tx1"/>
            </w14:solidFill>
          </w14:textFill>
        </w:rPr>
      </w:pPr>
      <w:r>
        <w:rPr>
          <w:color w:val="000000" w:themeColor="text1"/>
          <w14:textFill>
            <w14:solidFill>
              <w14:schemeClr w14:val="tx1"/>
            </w14:solidFill>
          </w14:textFill>
        </w:rPr>
        <w:t>（4）着重厂区绿化，既美化环境又减轻噪声对厂界环境的影响。</w:t>
      </w:r>
    </w:p>
    <w:p w14:paraId="0D353D94">
      <w:pPr>
        <w:pStyle w:val="85"/>
        <w:rPr>
          <w:color w:val="000000" w:themeColor="text1"/>
          <w14:textFill>
            <w14:solidFill>
              <w14:schemeClr w14:val="tx1"/>
            </w14:solidFill>
          </w14:textFill>
        </w:rPr>
      </w:pPr>
      <w:r>
        <w:rPr>
          <w:color w:val="000000" w:themeColor="text1"/>
          <w14:textFill>
            <w14:solidFill>
              <w14:schemeClr w14:val="tx1"/>
            </w14:solidFill>
          </w14:textFill>
        </w:rPr>
        <w:t>（5）对运输交通噪声，禁止使用超过噪声限值的运输车辆，禁用高音喇叭，机动车辆必须加强维修和保养，保持技术性能良好，在经过运输道路沿途村落时，应限制鸣笛，合理安排运输车辆工作时间，22:00～次日6:00禁止运输工作，避免交通噪声对沿途敏感目标产生影响。</w:t>
      </w:r>
    </w:p>
    <w:p w14:paraId="270F5DA8">
      <w:pPr>
        <w:pStyle w:val="85"/>
        <w:rPr>
          <w:color w:val="000000" w:themeColor="text1"/>
          <w14:textFill>
            <w14:solidFill>
              <w14:schemeClr w14:val="tx1"/>
            </w14:solidFill>
          </w14:textFill>
        </w:rPr>
      </w:pPr>
      <w:r>
        <w:rPr>
          <w:color w:val="000000" w:themeColor="text1"/>
          <w14:textFill>
            <w14:solidFill>
              <w14:schemeClr w14:val="tx1"/>
            </w14:solidFill>
          </w14:textFill>
        </w:rPr>
        <w:t>综上所述，本项目采取上述防噪措施后，噪声对周围环境影响较小，</w:t>
      </w:r>
      <w:r>
        <w:rPr>
          <w:rFonts w:hint="eastAsia"/>
          <w:color w:val="000000" w:themeColor="text1"/>
          <w:lang w:val="en-US" w:eastAsia="zh-CN"/>
          <w14:textFill>
            <w14:solidFill>
              <w14:schemeClr w14:val="tx1"/>
            </w14:solidFill>
          </w14:textFill>
        </w:rPr>
        <w:t>项目东侧、南侧、北侧</w:t>
      </w:r>
      <w:r>
        <w:rPr>
          <w:color w:val="000000" w:themeColor="text1"/>
          <w14:textFill>
            <w14:solidFill>
              <w14:schemeClr w14:val="tx1"/>
            </w14:solidFill>
          </w14:textFill>
        </w:rPr>
        <w:t>厂界噪声可满足《工业企业厂界环境噪声排放标准》（GB12348-2008）</w:t>
      </w:r>
      <w:r>
        <w:rPr>
          <w:rFonts w:hint="eastAsia"/>
          <w:color w:val="000000" w:themeColor="text1"/>
          <w14:textFill>
            <w14:solidFill>
              <w14:schemeClr w14:val="tx1"/>
            </w14:solidFill>
          </w14:textFill>
        </w:rPr>
        <w:t>表1</w:t>
      </w:r>
      <w:r>
        <w:rPr>
          <w:color w:val="000000" w:themeColor="text1"/>
          <w14:textFill>
            <w14:solidFill>
              <w14:schemeClr w14:val="tx1"/>
            </w14:solidFill>
          </w14:textFill>
        </w:rPr>
        <w:t>中3类标准要求</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西侧</w:t>
      </w:r>
      <w:r>
        <w:rPr>
          <w:color w:val="000000" w:themeColor="text1"/>
          <w14:textFill>
            <w14:solidFill>
              <w14:schemeClr w14:val="tx1"/>
            </w14:solidFill>
          </w14:textFill>
        </w:rPr>
        <w:t>厂界噪声可满足《工业企业厂界环境噪声排放标准》（GB12348-2008）</w:t>
      </w:r>
      <w:r>
        <w:rPr>
          <w:rFonts w:hint="eastAsia"/>
          <w:color w:val="000000" w:themeColor="text1"/>
          <w14:textFill>
            <w14:solidFill>
              <w14:schemeClr w14:val="tx1"/>
            </w14:solidFill>
          </w14:textFill>
        </w:rPr>
        <w:t>表1</w:t>
      </w:r>
      <w:r>
        <w:rPr>
          <w:color w:val="000000" w:themeColor="text1"/>
          <w14:textFill>
            <w14:solidFill>
              <w14:schemeClr w14:val="tx1"/>
            </w14:solidFill>
          </w14:textFill>
        </w:rPr>
        <w:t>中</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类标准要求。</w:t>
      </w:r>
    </w:p>
    <w:p w14:paraId="5405F584">
      <w:pPr>
        <w:pStyle w:val="6"/>
        <w:rPr>
          <w:snapToGrid w:val="0"/>
          <w:color w:val="000000" w:themeColor="text1"/>
          <w14:textFill>
            <w14:solidFill>
              <w14:schemeClr w14:val="tx1"/>
            </w14:solidFill>
          </w14:textFill>
        </w:rPr>
      </w:pPr>
      <w:bookmarkStart w:id="351" w:name="_Toc20499"/>
      <w:r>
        <w:rPr>
          <w:snapToGrid w:val="0"/>
          <w:color w:val="000000" w:themeColor="text1"/>
          <w14:textFill>
            <w14:solidFill>
              <w14:schemeClr w14:val="tx1"/>
            </w14:solidFill>
          </w14:textFill>
        </w:rPr>
        <w:t>6.2.5固废污染防治措施</w:t>
      </w:r>
      <w:bookmarkEnd w:id="351"/>
    </w:p>
    <w:p w14:paraId="77C43FB6">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6</w:t>
      </w:r>
      <w:r>
        <w:rPr>
          <w:color w:val="000000" w:themeColor="text1"/>
          <w14:textFill>
            <w14:solidFill>
              <w14:schemeClr w14:val="tx1"/>
            </w14:solidFill>
          </w14:textFill>
        </w:rPr>
        <w:t>.2.5.1固废污染</w:t>
      </w:r>
      <w:r>
        <w:rPr>
          <w:rFonts w:hint="eastAsia"/>
          <w:color w:val="000000" w:themeColor="text1"/>
          <w14:textFill>
            <w14:solidFill>
              <w14:schemeClr w14:val="tx1"/>
            </w14:solidFill>
          </w14:textFill>
        </w:rPr>
        <w:t>处置</w:t>
      </w:r>
      <w:r>
        <w:rPr>
          <w:color w:val="000000" w:themeColor="text1"/>
          <w14:textFill>
            <w14:solidFill>
              <w14:schemeClr w14:val="tx1"/>
            </w14:solidFill>
          </w14:textFill>
        </w:rPr>
        <w:t>措施</w:t>
      </w:r>
    </w:p>
    <w:p w14:paraId="65C244B9">
      <w:pPr>
        <w:pStyle w:val="85"/>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一、生活垃圾及餐厨废弃物</w:t>
      </w:r>
    </w:p>
    <w:p w14:paraId="0264A526">
      <w:pPr>
        <w:pStyle w:val="85"/>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1、生活垃圾</w:t>
      </w:r>
    </w:p>
    <w:p w14:paraId="0DD775E9">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本项目生活垃圾产生量16.5t/a，经垃圾桶收集暂存后委托环卫部门集中处理。</w:t>
      </w:r>
    </w:p>
    <w:p w14:paraId="3BE2A20B">
      <w:pPr>
        <w:pStyle w:val="85"/>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2、餐厨垃圾.</w:t>
      </w:r>
    </w:p>
    <w:p w14:paraId="24562B40">
      <w:pPr>
        <w:pStyle w:val="85"/>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w:t>
      </w:r>
      <w:r>
        <w:rPr>
          <w:rFonts w:hint="eastAsia"/>
          <w:color w:val="000000" w:themeColor="text1"/>
          <w14:textFill>
            <w14:solidFill>
              <w14:schemeClr w14:val="tx1"/>
            </w14:solidFill>
          </w14:textFill>
        </w:rPr>
        <w:t>餐厨垃圾产生量为</w:t>
      </w:r>
      <w:r>
        <w:rPr>
          <w:rFonts w:hint="eastAsia"/>
          <w:color w:val="000000" w:themeColor="text1"/>
          <w:lang w:val="en-US" w:eastAsia="zh-CN"/>
          <w14:textFill>
            <w14:solidFill>
              <w14:schemeClr w14:val="tx1"/>
            </w14:solidFill>
          </w14:textFill>
        </w:rPr>
        <w:t>16.5</w:t>
      </w:r>
      <w:r>
        <w:rPr>
          <w:rFonts w:hint="eastAsia"/>
          <w:color w:val="000000" w:themeColor="text1"/>
          <w14:textFill>
            <w14:solidFill>
              <w14:schemeClr w14:val="tx1"/>
            </w14:solidFill>
          </w14:textFill>
        </w:rPr>
        <w:t>t/a</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本项目废油脂产生量为0.0</w:t>
      </w:r>
      <w:r>
        <w:rPr>
          <w:rFonts w:hint="eastAsia"/>
          <w:color w:val="000000" w:themeColor="text1"/>
          <w:lang w:val="en-US" w:eastAsia="zh-CN"/>
          <w14:textFill>
            <w14:solidFill>
              <w14:schemeClr w14:val="tx1"/>
            </w14:solidFill>
          </w14:textFill>
        </w:rPr>
        <w:t>3</w:t>
      </w:r>
      <w:r>
        <w:rPr>
          <w:rFonts w:hint="eastAsia"/>
          <w:color w:val="000000" w:themeColor="text1"/>
          <w14:textFill>
            <w14:solidFill>
              <w14:schemeClr w14:val="tx1"/>
            </w14:solidFill>
          </w14:textFill>
        </w:rPr>
        <w:t>t/a。</w:t>
      </w:r>
      <w:r>
        <w:rPr>
          <w:rFonts w:hint="eastAsia"/>
          <w:color w:val="000000" w:themeColor="text1"/>
          <w:lang w:val="en-US" w:eastAsia="zh-CN"/>
          <w14:textFill>
            <w14:solidFill>
              <w14:schemeClr w14:val="tx1"/>
            </w14:solidFill>
          </w14:textFill>
        </w:rPr>
        <w:t>集中收集，交由有资质单位处理。</w:t>
      </w:r>
    </w:p>
    <w:p w14:paraId="0E5BEAF9">
      <w:pPr>
        <w:pStyle w:val="85"/>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二、一般工业固体废物</w:t>
      </w:r>
    </w:p>
    <w:p w14:paraId="0A284973">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1、杂质</w:t>
      </w:r>
    </w:p>
    <w:p w14:paraId="19E28ABA">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本项目原料投料间加工麦芽</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大米</w:t>
      </w:r>
      <w:r>
        <w:rPr>
          <w:rFonts w:hint="eastAsia"/>
          <w:color w:val="000000" w:themeColor="text1"/>
          <w14:textFill>
            <w14:solidFill>
              <w14:schemeClr w14:val="tx1"/>
            </w14:solidFill>
          </w14:textFill>
        </w:rPr>
        <w:t>产生杂质，根据物料平衡，本项目产生杂质</w:t>
      </w:r>
      <w:r>
        <w:rPr>
          <w:rFonts w:hint="eastAsia"/>
          <w:color w:val="000000" w:themeColor="text1"/>
          <w:lang w:val="en-US" w:eastAsia="zh-CN"/>
          <w14:textFill>
            <w14:solidFill>
              <w14:schemeClr w14:val="tx1"/>
            </w14:solidFill>
          </w14:textFill>
        </w:rPr>
        <w:t>199.92</w:t>
      </w:r>
      <w:r>
        <w:rPr>
          <w:rFonts w:hint="eastAsia"/>
          <w:color w:val="000000" w:themeColor="text1"/>
          <w14:textFill>
            <w14:solidFill>
              <w14:schemeClr w14:val="tx1"/>
            </w14:solidFill>
          </w14:textFill>
        </w:rPr>
        <w:t>t/a，集中收集，外售有机肥厂生产有机肥。</w:t>
      </w:r>
    </w:p>
    <w:p w14:paraId="3939583F">
      <w:pPr>
        <w:pStyle w:val="85"/>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废</w:t>
      </w:r>
      <w:r>
        <w:rPr>
          <w:color w:val="000000" w:themeColor="text1"/>
          <w14:textFill>
            <w14:solidFill>
              <w14:schemeClr w14:val="tx1"/>
            </w14:solidFill>
          </w14:textFill>
        </w:rPr>
        <w:t>酒糟及废酵母</w:t>
      </w:r>
    </w:p>
    <w:p w14:paraId="0B50C0E0">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根据物料平衡，本项目产生</w:t>
      </w:r>
      <w:r>
        <w:rPr>
          <w:rFonts w:hint="eastAsia"/>
          <w:color w:val="000000" w:themeColor="text1"/>
          <w:lang w:val="en-US" w:eastAsia="zh-CN"/>
          <w14:textFill>
            <w14:solidFill>
              <w14:schemeClr w14:val="tx1"/>
            </w14:solidFill>
          </w14:textFill>
        </w:rPr>
        <w:t>废</w:t>
      </w:r>
      <w:r>
        <w:rPr>
          <w:rFonts w:hint="eastAsia"/>
          <w:color w:val="000000" w:themeColor="text1"/>
          <w14:textFill>
            <w14:solidFill>
              <w14:schemeClr w14:val="tx1"/>
            </w14:solidFill>
          </w14:textFill>
        </w:rPr>
        <w:t>酒糟</w:t>
      </w:r>
      <w:r>
        <w:rPr>
          <w:rFonts w:hint="eastAsia"/>
          <w:color w:val="000000" w:themeColor="text1"/>
          <w:lang w:val="en-US" w:eastAsia="zh-CN"/>
          <w14:textFill>
            <w14:solidFill>
              <w14:schemeClr w14:val="tx1"/>
            </w14:solidFill>
          </w14:textFill>
        </w:rPr>
        <w:t>1635.09</w:t>
      </w:r>
      <w:r>
        <w:rPr>
          <w:rFonts w:hint="eastAsia"/>
          <w:color w:val="000000" w:themeColor="text1"/>
          <w14:textFill>
            <w14:solidFill>
              <w14:schemeClr w14:val="tx1"/>
            </w14:solidFill>
          </w14:textFill>
        </w:rPr>
        <w:t>t/a</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废酵母</w:t>
      </w:r>
      <w:r>
        <w:rPr>
          <w:rFonts w:hint="eastAsia"/>
          <w:color w:val="000000" w:themeColor="text1"/>
          <w:lang w:val="en-US" w:eastAsia="zh-CN"/>
          <w14:textFill>
            <w14:solidFill>
              <w14:schemeClr w14:val="tx1"/>
            </w14:solidFill>
          </w14:textFill>
        </w:rPr>
        <w:t>570</w:t>
      </w:r>
      <w:r>
        <w:rPr>
          <w:rFonts w:hint="eastAsia"/>
          <w:color w:val="000000" w:themeColor="text1"/>
          <w14:textFill>
            <w14:solidFill>
              <w14:schemeClr w14:val="tx1"/>
            </w14:solidFill>
          </w14:textFill>
        </w:rPr>
        <w:t>t/a。本项目产生的</w:t>
      </w:r>
      <w:r>
        <w:rPr>
          <w:rFonts w:hint="eastAsia"/>
          <w:color w:val="000000" w:themeColor="text1"/>
          <w:lang w:val="en-US" w:eastAsia="zh-CN"/>
          <w14:textFill>
            <w14:solidFill>
              <w14:schemeClr w14:val="tx1"/>
            </w14:solidFill>
          </w14:textFill>
        </w:rPr>
        <w:t>废</w:t>
      </w:r>
      <w:r>
        <w:rPr>
          <w:color w:val="000000" w:themeColor="text1"/>
          <w14:textFill>
            <w14:solidFill>
              <w14:schemeClr w14:val="tx1"/>
            </w14:solidFill>
          </w14:textFill>
        </w:rPr>
        <w:t>酒糟及废酵母采用专用容器收集并加盖密封，外售作饲料，日产日清</w:t>
      </w:r>
      <w:r>
        <w:rPr>
          <w:rFonts w:hint="eastAsia"/>
          <w:color w:val="000000" w:themeColor="text1"/>
          <w14:textFill>
            <w14:solidFill>
              <w14:schemeClr w14:val="tx1"/>
            </w14:solidFill>
          </w14:textFill>
        </w:rPr>
        <w:t>。</w:t>
      </w:r>
    </w:p>
    <w:p w14:paraId="001DD5A1">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3、废硅藻土</w:t>
      </w:r>
    </w:p>
    <w:p w14:paraId="5AF634D1">
      <w:pPr>
        <w:pStyle w:val="85"/>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啤酒过滤产生废硅藻土</w:t>
      </w:r>
      <w:r>
        <w:rPr>
          <w:rFonts w:hint="eastAsia"/>
          <w:color w:val="000000" w:themeColor="text1"/>
          <w:lang w:val="en-US" w:eastAsia="zh-CN"/>
          <w14:textFill>
            <w14:solidFill>
              <w14:schemeClr w14:val="tx1"/>
            </w14:solidFill>
          </w14:textFill>
        </w:rPr>
        <w:t>5</w:t>
      </w:r>
      <w:r>
        <w:rPr>
          <w:rFonts w:hint="default"/>
          <w:color w:val="000000" w:themeColor="text1"/>
          <w:lang w:val="en-US" w:eastAsia="zh-CN"/>
          <w14:textFill>
            <w14:solidFill>
              <w14:schemeClr w14:val="tx1"/>
            </w14:solidFill>
          </w14:textFill>
        </w:rPr>
        <w:t>0t/a，为一般工业固体废物，废硅藻土在过滤酒液时附着固态有机物质，含有一定量的有机物，该硅藻土是弱粘结分子组成的块状物，呈灰色，比重较轻，其化学组成为 SiO</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：79.92%、Al</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：6.58%、Fe</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：3.56%、MnO：9.98%、CaO：1.43%、Ti</w:t>
      </w:r>
      <w:r>
        <w:rPr>
          <w:rFonts w:hint="default"/>
          <w:color w:val="000000" w:themeColor="text1"/>
          <w:vertAlign w:val="subscript"/>
          <w:lang w:val="en-US" w:eastAsia="zh-CN"/>
          <w14:textFill>
            <w14:solidFill>
              <w14:schemeClr w14:val="tx1"/>
            </w14:solidFill>
          </w14:textFill>
        </w:rPr>
        <w:t>2</w:t>
      </w:r>
      <w:r>
        <w:rPr>
          <w:rFonts w:hint="default"/>
          <w:color w:val="000000" w:themeColor="text1"/>
          <w:lang w:val="en-US" w:eastAsia="zh-CN"/>
          <w14:textFill>
            <w14:solidFill>
              <w14:schemeClr w14:val="tx1"/>
            </w14:solidFill>
          </w14:textFill>
        </w:rPr>
        <w:t>O</w:t>
      </w:r>
      <w:r>
        <w:rPr>
          <w:rFonts w:hint="default"/>
          <w:color w:val="000000" w:themeColor="text1"/>
          <w:vertAlign w:val="subscript"/>
          <w:lang w:val="en-US" w:eastAsia="zh-CN"/>
          <w14:textFill>
            <w14:solidFill>
              <w14:schemeClr w14:val="tx1"/>
            </w14:solidFill>
          </w14:textFill>
        </w:rPr>
        <w:t>3</w:t>
      </w:r>
      <w:r>
        <w:rPr>
          <w:rFonts w:hint="default"/>
          <w:color w:val="000000" w:themeColor="text1"/>
          <w:lang w:val="en-US" w:eastAsia="zh-CN"/>
          <w14:textFill>
            <w14:solidFill>
              <w14:schemeClr w14:val="tx1"/>
            </w14:solidFill>
          </w14:textFill>
        </w:rPr>
        <w:t>：0.48%，不含有毒有害成分，</w:t>
      </w:r>
      <w:r>
        <w:rPr>
          <w:rFonts w:hint="eastAsia"/>
          <w:color w:val="000000" w:themeColor="text1"/>
          <w:lang w:val="en-US" w:eastAsia="zh-CN"/>
          <w14:textFill>
            <w14:solidFill>
              <w14:schemeClr w14:val="tx1"/>
            </w14:solidFill>
          </w14:textFill>
        </w:rPr>
        <w:t>暂存在密闭废土罐中</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外售综合利用</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定期转运</w:t>
      </w:r>
      <w:r>
        <w:rPr>
          <w:rFonts w:hint="default"/>
          <w:color w:val="000000" w:themeColor="text1"/>
          <w:lang w:val="en-US" w:eastAsia="zh-CN"/>
          <w14:textFill>
            <w14:solidFill>
              <w14:schemeClr w14:val="tx1"/>
            </w14:solidFill>
          </w14:textFill>
        </w:rPr>
        <w:t>不在厂区长时间贮存。</w:t>
      </w:r>
    </w:p>
    <w:p w14:paraId="2900386D">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w:t>
      </w:r>
      <w:r>
        <w:rPr>
          <w:rFonts w:hint="eastAsia"/>
          <w:color w:val="000000" w:themeColor="text1"/>
          <w14:textFill>
            <w14:solidFill>
              <w14:schemeClr w14:val="tx1"/>
            </w14:solidFill>
          </w14:textFill>
        </w:rPr>
        <w:t>、除尘器收尘</w:t>
      </w:r>
    </w:p>
    <w:p w14:paraId="534C2955">
      <w:pPr>
        <w:pStyle w:val="85"/>
        <w:rPr>
          <w:color w:val="000000" w:themeColor="text1"/>
          <w14:textFill>
            <w14:solidFill>
              <w14:schemeClr w14:val="tx1"/>
            </w14:solidFill>
          </w14:textFill>
        </w:rPr>
      </w:pPr>
      <w:r>
        <w:rPr>
          <w:color w:val="000000" w:themeColor="text1"/>
          <w14:textFill>
            <w14:solidFill>
              <w14:schemeClr w14:val="tx1"/>
            </w14:solidFill>
          </w14:textFill>
        </w:rPr>
        <w:t>根据前文分析，</w:t>
      </w:r>
      <w:r>
        <w:rPr>
          <w:rFonts w:hint="eastAsia"/>
          <w:color w:val="000000" w:themeColor="text1"/>
          <w14:textFill>
            <w14:solidFill>
              <w14:schemeClr w14:val="tx1"/>
            </w14:solidFill>
          </w14:textFill>
        </w:rPr>
        <w:t>本项目处理原料处理间粉尘的布袋除尘器收尘产生量为</w:t>
      </w:r>
      <w:r>
        <w:rPr>
          <w:rFonts w:hint="eastAsia"/>
          <w:color w:val="000000" w:themeColor="text1"/>
          <w:lang w:val="en-US" w:eastAsia="zh-CN"/>
          <w14:textFill>
            <w14:solidFill>
              <w14:schemeClr w14:val="tx1"/>
            </w14:solidFill>
          </w14:textFill>
        </w:rPr>
        <w:t>2.059</w:t>
      </w:r>
      <w:r>
        <w:rPr>
          <w:rFonts w:hint="eastAsia"/>
          <w:color w:val="000000" w:themeColor="text1"/>
          <w14:textFill>
            <w14:solidFill>
              <w14:schemeClr w14:val="tx1"/>
            </w14:solidFill>
          </w14:textFill>
        </w:rPr>
        <w:t>t/a，集中收集，外售有机肥厂生产有机肥。</w:t>
      </w:r>
    </w:p>
    <w:p w14:paraId="7BF672FE">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、废布袋</w:t>
      </w:r>
    </w:p>
    <w:p w14:paraId="40CED4BD">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本项目废布袋产生量约为0</w:t>
      </w:r>
      <w:r>
        <w:rPr>
          <w:color w:val="000000" w:themeColor="text1"/>
          <w14:textFill>
            <w14:solidFill>
              <w14:schemeClr w14:val="tx1"/>
            </w14:solidFill>
          </w14:textFill>
        </w:rPr>
        <w:t>.0</w:t>
      </w: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t/a，更换时交厂家回收处置。</w:t>
      </w:r>
    </w:p>
    <w:p w14:paraId="6685C57D">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6</w:t>
      </w:r>
      <w:r>
        <w:rPr>
          <w:rFonts w:hint="eastAsia"/>
          <w:color w:val="000000" w:themeColor="text1"/>
          <w14:textFill>
            <w14:solidFill>
              <w14:schemeClr w14:val="tx1"/>
            </w14:solidFill>
          </w14:textFill>
        </w:rPr>
        <w:t>、污水处理站污泥</w:t>
      </w:r>
    </w:p>
    <w:p w14:paraId="38446ACD">
      <w:pPr>
        <w:pStyle w:val="85"/>
        <w:rPr>
          <w:color w:val="000000" w:themeColor="text1"/>
          <w14:textFill>
            <w14:solidFill>
              <w14:schemeClr w14:val="tx1"/>
            </w14:solidFill>
          </w14:textFill>
        </w:rPr>
      </w:pPr>
      <w:r>
        <w:rPr>
          <w:color w:val="000000" w:themeColor="text1"/>
          <w14:textFill>
            <w14:solidFill>
              <w14:schemeClr w14:val="tx1"/>
            </w14:solidFill>
          </w14:textFill>
        </w:rPr>
        <w:t>项目厂区设有一座一体化污水处理站，对生产废水进行预处理，处理过程会产生污泥。</w:t>
      </w:r>
      <w:r>
        <w:rPr>
          <w:rFonts w:hint="eastAsia"/>
          <w:color w:val="000000" w:themeColor="text1"/>
          <w14:textFill>
            <w14:solidFill>
              <w14:schemeClr w14:val="tx1"/>
            </w14:solidFill>
          </w14:textFill>
        </w:rPr>
        <w:t>污水处理站产生的污泥外运前应采取压滤脱水处理，确保含水率低于</w:t>
      </w:r>
      <w:r>
        <w:rPr>
          <w:color w:val="000000" w:themeColor="text1"/>
          <w14:textFill>
            <w14:solidFill>
              <w14:schemeClr w14:val="tx1"/>
            </w14:solidFill>
          </w14:textFill>
        </w:rPr>
        <w:t>60%</w:t>
      </w:r>
      <w:r>
        <w:rPr>
          <w:rFonts w:hint="eastAsia"/>
          <w:color w:val="000000" w:themeColor="text1"/>
          <w14:textFill>
            <w14:solidFill>
              <w14:schemeClr w14:val="tx1"/>
            </w14:solidFill>
          </w14:textFill>
        </w:rPr>
        <w:t>，本项目污水处理站污泥产生量为</w:t>
      </w:r>
      <w:r>
        <w:rPr>
          <w:rFonts w:hint="eastAsia"/>
          <w:color w:val="000000" w:themeColor="text1"/>
          <w:lang w:val="en-US" w:eastAsia="zh-CN"/>
          <w14:textFill>
            <w14:solidFill>
              <w14:schemeClr w14:val="tx1"/>
            </w14:solidFill>
          </w14:textFill>
        </w:rPr>
        <w:t>8.395</w:t>
      </w:r>
      <w:r>
        <w:rPr>
          <w:rFonts w:hint="eastAsia"/>
          <w:color w:val="000000" w:themeColor="text1"/>
          <w14:textFill>
            <w14:solidFill>
              <w14:schemeClr w14:val="tx1"/>
            </w14:solidFill>
          </w14:textFill>
        </w:rPr>
        <w:t>t/a，定期</w:t>
      </w:r>
      <w:r>
        <w:rPr>
          <w:color w:val="000000" w:themeColor="text1"/>
          <w14:textFill>
            <w14:solidFill>
              <w14:schemeClr w14:val="tx1"/>
            </w14:solidFill>
          </w14:textFill>
        </w:rPr>
        <w:t>交由</w:t>
      </w:r>
      <w:r>
        <w:rPr>
          <w:rFonts w:hint="eastAsia"/>
          <w:color w:val="000000" w:themeColor="text1"/>
          <w14:textFill>
            <w14:solidFill>
              <w14:schemeClr w14:val="tx1"/>
            </w14:solidFill>
          </w14:textFill>
        </w:rPr>
        <w:t>市政部门统一处理。</w:t>
      </w:r>
    </w:p>
    <w:p w14:paraId="7C74CBC0">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7</w:t>
      </w:r>
      <w:r>
        <w:rPr>
          <w:rFonts w:hint="eastAsia"/>
          <w:color w:val="000000" w:themeColor="text1"/>
          <w14:textFill>
            <w14:solidFill>
              <w14:schemeClr w14:val="tx1"/>
            </w14:solidFill>
          </w14:textFill>
        </w:rPr>
        <w:t>、废脱硫剂</w:t>
      </w:r>
    </w:p>
    <w:p w14:paraId="276685E8">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本项目废脱硫剂量产生</w:t>
      </w:r>
      <w:r>
        <w:rPr>
          <w:rFonts w:hint="eastAsia"/>
          <w:color w:val="000000" w:themeColor="text1"/>
          <w:lang w:val="en-US" w:eastAsia="zh-CN"/>
          <w14:textFill>
            <w14:solidFill>
              <w14:schemeClr w14:val="tx1"/>
            </w14:solidFill>
          </w14:textFill>
        </w:rPr>
        <w:t>0.1212</w:t>
      </w:r>
      <w:r>
        <w:rPr>
          <w:rFonts w:hint="eastAsia"/>
          <w:color w:val="000000" w:themeColor="text1"/>
          <w14:textFill>
            <w14:solidFill>
              <w14:schemeClr w14:val="tx1"/>
            </w14:solidFill>
          </w14:textFill>
        </w:rPr>
        <w:t>t/a，脱硫剂每年需更换2次，废脱硫剂</w:t>
      </w:r>
      <w:r>
        <w:rPr>
          <w:rFonts w:hint="eastAsia"/>
          <w:color w:val="000000" w:themeColor="text1"/>
          <w:lang w:val="en-US" w:eastAsia="zh-CN"/>
          <w14:textFill>
            <w14:solidFill>
              <w14:schemeClr w14:val="tx1"/>
            </w14:solidFill>
          </w14:textFill>
        </w:rPr>
        <w:t>更换时</w:t>
      </w:r>
      <w:r>
        <w:rPr>
          <w:rFonts w:hint="eastAsia"/>
          <w:color w:val="000000" w:themeColor="text1"/>
          <w14:textFill>
            <w14:solidFill>
              <w14:schemeClr w14:val="tx1"/>
            </w14:solidFill>
          </w14:textFill>
        </w:rPr>
        <w:t>由厂家回收。</w:t>
      </w:r>
    </w:p>
    <w:p w14:paraId="4081C503">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8</w:t>
      </w:r>
      <w:r>
        <w:rPr>
          <w:rFonts w:hint="eastAsia"/>
          <w:color w:val="000000" w:themeColor="text1"/>
          <w14:textFill>
            <w14:solidFill>
              <w14:schemeClr w14:val="tx1"/>
            </w14:solidFill>
          </w14:textFill>
        </w:rPr>
        <w:t>、废包装物</w:t>
      </w:r>
    </w:p>
    <w:p w14:paraId="0C52A2A1">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本项目包装车间每年产生废酒瓶、废纸箱、废标签等废包装物</w:t>
      </w:r>
      <w:r>
        <w:rPr>
          <w:rFonts w:hint="eastAsia"/>
          <w:color w:val="000000" w:themeColor="text1"/>
          <w:lang w:val="en-US" w:eastAsia="zh-CN"/>
          <w14:textFill>
            <w14:solidFill>
              <w14:schemeClr w14:val="tx1"/>
            </w14:solidFill>
          </w14:textFill>
        </w:rPr>
        <w:t>约500</w:t>
      </w:r>
      <w:r>
        <w:rPr>
          <w:rFonts w:hint="eastAsia"/>
          <w:color w:val="000000" w:themeColor="text1"/>
          <w14:textFill>
            <w14:solidFill>
              <w14:schemeClr w14:val="tx1"/>
            </w14:solidFill>
          </w14:textFill>
        </w:rPr>
        <w:t>t/a，集中收集，外售废品收购站综合利用。</w:t>
      </w:r>
    </w:p>
    <w:p w14:paraId="7AEB0EF5">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9</w:t>
      </w:r>
      <w:r>
        <w:rPr>
          <w:rFonts w:hint="eastAsia"/>
          <w:color w:val="000000" w:themeColor="text1"/>
          <w14:textFill>
            <w14:solidFill>
              <w14:schemeClr w14:val="tx1"/>
            </w14:solidFill>
          </w14:textFill>
        </w:rPr>
        <w:t>、废过滤材料</w:t>
      </w:r>
    </w:p>
    <w:p w14:paraId="70E503EF">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项目纯水制备设备在运行过程中产生的废过滤材料（废石英砂、废活性炭、废滤膜），收集后交由纯水设备公司回收处理。石英砂、活性炭、滤膜每半年更换一次，每次更换量约为0.1t，则废石英砂、废活性炭、废滤膜产生量约为0.2t/a，由纯水设备公司</w:t>
      </w:r>
      <w:r>
        <w:rPr>
          <w:rFonts w:hint="eastAsia"/>
          <w:color w:val="000000" w:themeColor="text1"/>
          <w:lang w:val="en-US" w:eastAsia="zh-CN"/>
          <w14:textFill>
            <w14:solidFill>
              <w14:schemeClr w14:val="tx1"/>
            </w14:solidFill>
          </w14:textFill>
        </w:rPr>
        <w:t>定期更换时</w:t>
      </w:r>
      <w:r>
        <w:rPr>
          <w:rFonts w:hint="eastAsia"/>
          <w:color w:val="000000" w:themeColor="text1"/>
          <w14:textFill>
            <w14:solidFill>
              <w14:schemeClr w14:val="tx1"/>
            </w14:solidFill>
          </w14:textFill>
        </w:rPr>
        <w:t>回收处理。</w:t>
      </w:r>
    </w:p>
    <w:p w14:paraId="28C34EA1">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0</w:t>
      </w:r>
      <w:r>
        <w:rPr>
          <w:rFonts w:hint="eastAsia"/>
          <w:color w:val="000000" w:themeColor="text1"/>
          <w14:textFill>
            <w14:solidFill>
              <w14:schemeClr w14:val="tx1"/>
            </w14:solidFill>
          </w14:textFill>
        </w:rPr>
        <w:t>、废离子交换树脂</w:t>
      </w:r>
    </w:p>
    <w:p w14:paraId="13BD781B">
      <w:pPr>
        <w:pStyle w:val="85"/>
        <w:rPr>
          <w:color w:val="000000" w:themeColor="text1"/>
          <w14:textFill>
            <w14:solidFill>
              <w14:schemeClr w14:val="tx1"/>
            </w14:solidFill>
          </w14:textFill>
        </w:rPr>
      </w:pPr>
      <w:r>
        <w:rPr>
          <w:color w:val="000000" w:themeColor="text1"/>
          <w14:textFill>
            <w14:solidFill>
              <w14:schemeClr w14:val="tx1"/>
            </w14:solidFill>
          </w14:textFill>
        </w:rPr>
        <w:t>项目锅炉所用软水通过软水设备制备，离子交换树脂定期更换。树脂每半年更换一次，每次更换量约为0.025t，则废离子交换树脂产生量约0.05t/a，由软水设备</w:t>
      </w:r>
      <w:r>
        <w:rPr>
          <w:rFonts w:hint="eastAsia"/>
          <w:color w:val="000000" w:themeColor="text1"/>
          <w:lang w:val="en-US" w:eastAsia="zh-CN"/>
          <w14:textFill>
            <w14:solidFill>
              <w14:schemeClr w14:val="tx1"/>
            </w14:solidFill>
          </w14:textFill>
        </w:rPr>
        <w:t>公司更换时</w:t>
      </w:r>
      <w:r>
        <w:rPr>
          <w:color w:val="000000" w:themeColor="text1"/>
          <w14:textFill>
            <w14:solidFill>
              <w14:schemeClr w14:val="tx1"/>
            </w14:solidFill>
          </w14:textFill>
        </w:rPr>
        <w:t>回收处理。</w:t>
      </w:r>
    </w:p>
    <w:p w14:paraId="7F5D9998">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11、</w:t>
      </w:r>
      <w:r>
        <w:rPr>
          <w:rFonts w:hint="default"/>
          <w:color w:val="000000" w:themeColor="text1"/>
          <w:lang w:val="en-US" w:eastAsia="zh-CN"/>
          <w14:textFill>
            <w14:solidFill>
              <w14:schemeClr w14:val="tx1"/>
            </w14:solidFill>
          </w14:textFill>
        </w:rPr>
        <w:t>CO</w:t>
      </w:r>
      <w:r>
        <w:rPr>
          <w:rFonts w:hint="default"/>
          <w:color w:val="000000" w:themeColor="text1"/>
          <w:vertAlign w:val="sub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回收系统的废吸附剂和干燥剂</w:t>
      </w:r>
    </w:p>
    <w:p w14:paraId="69CC73C2">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项目 </w:t>
      </w:r>
      <w:r>
        <w:rPr>
          <w:rFonts w:hint="default"/>
          <w:color w:val="000000" w:themeColor="text1"/>
          <w:lang w:val="en-US" w:eastAsia="zh-CN"/>
          <w14:textFill>
            <w14:solidFill>
              <w14:schemeClr w14:val="tx1"/>
            </w14:solidFill>
          </w14:textFill>
        </w:rPr>
        <w:t>CO</w:t>
      </w:r>
      <w:r>
        <w:rPr>
          <w:rFonts w:hint="default"/>
          <w:color w:val="000000" w:themeColor="text1"/>
          <w:vertAlign w:val="sub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回收系统吸附剂采用活性炭，每年更换一次，吸附剂填装量约为</w:t>
      </w:r>
      <w:r>
        <w:rPr>
          <w:rFonts w:hint="default"/>
          <w:color w:val="000000" w:themeColor="text1"/>
          <w:lang w:val="en-US" w:eastAsia="zh-CN"/>
          <w14:textFill>
            <w14:solidFill>
              <w14:schemeClr w14:val="tx1"/>
            </w14:solidFill>
          </w14:textFill>
        </w:rPr>
        <w:t xml:space="preserve">0.5 </w:t>
      </w:r>
      <w:r>
        <w:rPr>
          <w:rFonts w:hint="eastAsia"/>
          <w:color w:val="000000" w:themeColor="text1"/>
          <w:lang w:val="en-US" w:eastAsia="zh-CN"/>
          <w14:textFill>
            <w14:solidFill>
              <w14:schemeClr w14:val="tx1"/>
            </w14:solidFill>
          </w14:textFill>
        </w:rPr>
        <w:t>吨，则废吸附剂（废活性炭）产生量为</w:t>
      </w:r>
      <w:r>
        <w:rPr>
          <w:rFonts w:hint="default"/>
          <w:color w:val="000000" w:themeColor="text1"/>
          <w:lang w:val="en-US" w:eastAsia="zh-CN"/>
          <w14:textFill>
            <w14:solidFill>
              <w14:schemeClr w14:val="tx1"/>
            </w14:solidFill>
          </w14:textFill>
        </w:rPr>
        <w:t>0.5t/a</w:t>
      </w:r>
      <w:r>
        <w:rPr>
          <w:rFonts w:hint="eastAsia"/>
          <w:color w:val="000000" w:themeColor="text1"/>
          <w:lang w:val="en-US" w:eastAsia="zh-CN"/>
          <w14:textFill>
            <w14:solidFill>
              <w14:schemeClr w14:val="tx1"/>
            </w14:solidFill>
          </w14:textFill>
        </w:rPr>
        <w:t xml:space="preserve">。 </w:t>
      </w:r>
    </w:p>
    <w:p w14:paraId="6BC7C471">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项目 </w:t>
      </w:r>
      <w:r>
        <w:rPr>
          <w:rFonts w:hint="default"/>
          <w:color w:val="000000" w:themeColor="text1"/>
          <w:lang w:val="en-US" w:eastAsia="zh-CN"/>
          <w14:textFill>
            <w14:solidFill>
              <w14:schemeClr w14:val="tx1"/>
            </w14:solidFill>
          </w14:textFill>
        </w:rPr>
        <w:t>CO</w:t>
      </w:r>
      <w:r>
        <w:rPr>
          <w:rFonts w:hint="default"/>
          <w:color w:val="000000" w:themeColor="text1"/>
          <w:vertAlign w:val="sub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 xml:space="preserve">回收系统采用分子筛干燥剂，分子筛是一种碱金属硅铝酸盐，具有立方晶格、微孔结构的白色粉末或颗粒，无味、无臭、无毒、无腐蚀性。废干燥剂产生量为 </w:t>
      </w:r>
      <w:r>
        <w:rPr>
          <w:rFonts w:hint="default"/>
          <w:color w:val="000000" w:themeColor="text1"/>
          <w:lang w:val="en-US" w:eastAsia="zh-CN"/>
          <w14:textFill>
            <w14:solidFill>
              <w14:schemeClr w14:val="tx1"/>
            </w14:solidFill>
          </w14:textFill>
        </w:rPr>
        <w:t>0.5t/a</w:t>
      </w:r>
      <w:r>
        <w:rPr>
          <w:rFonts w:hint="eastAsia"/>
          <w:color w:val="000000" w:themeColor="text1"/>
          <w:lang w:val="en-US" w:eastAsia="zh-CN"/>
          <w14:textFill>
            <w14:solidFill>
              <w14:schemeClr w14:val="tx1"/>
            </w14:solidFill>
          </w14:textFill>
        </w:rPr>
        <w:t>。废分子筛和废活性炭属于一般固废，</w:t>
      </w:r>
      <w:r>
        <w:rPr>
          <w:color w:val="000000" w:themeColor="text1"/>
          <w14:textFill>
            <w14:solidFill>
              <w14:schemeClr w14:val="tx1"/>
            </w14:solidFill>
          </w14:textFill>
        </w:rPr>
        <w:t>由生产厂家</w:t>
      </w:r>
      <w:r>
        <w:rPr>
          <w:rFonts w:hint="eastAsia"/>
          <w:color w:val="000000" w:themeColor="text1"/>
          <w:lang w:val="en-US" w:eastAsia="zh-CN"/>
          <w14:textFill>
            <w14:solidFill>
              <w14:schemeClr w14:val="tx1"/>
            </w14:solidFill>
          </w14:textFill>
        </w:rPr>
        <w:t>更换时</w:t>
      </w:r>
      <w:r>
        <w:rPr>
          <w:color w:val="000000" w:themeColor="text1"/>
          <w14:textFill>
            <w14:solidFill>
              <w14:schemeClr w14:val="tx1"/>
            </w14:solidFill>
          </w14:textFill>
        </w:rPr>
        <w:t>回收处理</w:t>
      </w:r>
      <w:r>
        <w:rPr>
          <w:rFonts w:hint="eastAsia"/>
          <w:color w:val="000000" w:themeColor="text1"/>
          <w:lang w:val="en-US" w:eastAsia="zh-CN"/>
          <w14:textFill>
            <w14:solidFill>
              <w14:schemeClr w14:val="tx1"/>
            </w14:solidFill>
          </w14:textFill>
        </w:rPr>
        <w:t>。</w:t>
      </w:r>
    </w:p>
    <w:p w14:paraId="54AD1891">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三、危险废物</w:t>
      </w:r>
    </w:p>
    <w:p w14:paraId="5AC64B04">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1、废危化品包装材料</w:t>
      </w:r>
    </w:p>
    <w:p w14:paraId="7F52B8A4">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本项目使用的氢氧化钠、硝酸、过氧乙酸、盐酸等属于危化品，废危化品包装材料总重量约为 </w:t>
      </w:r>
      <w:r>
        <w:rPr>
          <w:rFonts w:hint="default"/>
          <w:color w:val="000000" w:themeColor="text1"/>
          <w:lang w:val="en-US" w:eastAsia="zh-CN"/>
          <w14:textFill>
            <w14:solidFill>
              <w14:schemeClr w14:val="tx1"/>
            </w14:solidFill>
          </w14:textFill>
        </w:rPr>
        <w:t>0.5t/a</w:t>
      </w:r>
      <w:r>
        <w:rPr>
          <w:rFonts w:hint="eastAsia"/>
          <w:color w:val="000000" w:themeColor="text1"/>
          <w:lang w:val="en-US" w:eastAsia="zh-CN"/>
          <w14:textFill>
            <w14:solidFill>
              <w14:schemeClr w14:val="tx1"/>
            </w14:solidFill>
          </w14:textFill>
        </w:rPr>
        <w:t xml:space="preserve">。 </w:t>
      </w:r>
    </w:p>
    <w:p w14:paraId="6701E47A">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根据《国家危险废物名录》（</w:t>
      </w:r>
      <w:r>
        <w:rPr>
          <w:rFonts w:hint="default"/>
          <w:color w:val="000000" w:themeColor="text1"/>
          <w:lang w:val="en-US" w:eastAsia="zh-CN"/>
          <w14:textFill>
            <w14:solidFill>
              <w14:schemeClr w14:val="tx1"/>
            </w14:solidFill>
          </w14:textFill>
        </w:rPr>
        <w:t xml:space="preserve">2025 </w:t>
      </w:r>
      <w:r>
        <w:rPr>
          <w:rFonts w:hint="eastAsia"/>
          <w:color w:val="000000" w:themeColor="text1"/>
          <w:lang w:val="en-US" w:eastAsia="zh-CN"/>
          <w14:textFill>
            <w14:solidFill>
              <w14:schemeClr w14:val="tx1"/>
            </w14:solidFill>
          </w14:textFill>
        </w:rPr>
        <w:t xml:space="preserve">年版），废危化品包装材料属于危险废物，危废代码为 </w:t>
      </w:r>
      <w:r>
        <w:rPr>
          <w:rFonts w:hint="default"/>
          <w:color w:val="000000" w:themeColor="text1"/>
          <w:lang w:val="en-US" w:eastAsia="zh-CN"/>
          <w14:textFill>
            <w14:solidFill>
              <w14:schemeClr w14:val="tx1"/>
            </w14:solidFill>
          </w14:textFill>
        </w:rPr>
        <w:t>900-041-49</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暂存于危险废物贮存点，定期委托有资质单位处置。</w:t>
      </w:r>
    </w:p>
    <w:p w14:paraId="0473F1CB">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化验室废液</w:t>
      </w:r>
    </w:p>
    <w:p w14:paraId="70376E9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本项目化验室废液产生量约为0.</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t/a，暂存于危险废物贮存点，定期委托有资质单位处置。</w:t>
      </w:r>
      <w:r>
        <w:rPr>
          <w:rFonts w:hint="eastAsia"/>
          <w:color w:val="000000" w:themeColor="text1"/>
          <w:lang w:val="en-US" w:eastAsia="zh-CN"/>
          <w14:textFill>
            <w14:solidFill>
              <w14:schemeClr w14:val="tx1"/>
            </w14:solidFill>
          </w14:textFill>
        </w:rPr>
        <w:t>根据《国家危险废物名录》（</w:t>
      </w:r>
      <w:r>
        <w:rPr>
          <w:rFonts w:hint="default"/>
          <w:color w:val="000000" w:themeColor="text1"/>
          <w:lang w:val="en-US" w:eastAsia="zh-CN"/>
          <w14:textFill>
            <w14:solidFill>
              <w14:schemeClr w14:val="tx1"/>
            </w14:solidFill>
          </w14:textFill>
        </w:rPr>
        <w:t xml:space="preserve">2025 </w:t>
      </w:r>
      <w:r>
        <w:rPr>
          <w:rFonts w:hint="eastAsia"/>
          <w:color w:val="000000" w:themeColor="text1"/>
          <w:lang w:val="en-US" w:eastAsia="zh-CN"/>
          <w14:textFill>
            <w14:solidFill>
              <w14:schemeClr w14:val="tx1"/>
            </w14:solidFill>
          </w14:textFill>
        </w:rPr>
        <w:t xml:space="preserve">年版），废危化品包装材料属于危险废物，危废代码为 </w:t>
      </w:r>
      <w:r>
        <w:rPr>
          <w:rFonts w:hint="default"/>
          <w:color w:val="000000" w:themeColor="text1"/>
          <w:lang w:val="en-US" w:eastAsia="zh-CN"/>
          <w14:textFill>
            <w14:solidFill>
              <w14:schemeClr w14:val="tx1"/>
            </w14:solidFill>
          </w14:textFill>
        </w:rPr>
        <w:t>900-04</w:t>
      </w:r>
      <w:r>
        <w:rPr>
          <w:rFonts w:hint="eastAsia"/>
          <w:color w:val="000000" w:themeColor="text1"/>
          <w:lang w:val="en-US" w:eastAsia="zh-CN"/>
          <w14:textFill>
            <w14:solidFill>
              <w14:schemeClr w14:val="tx1"/>
            </w14:solidFill>
          </w14:textFill>
        </w:rPr>
        <w:t>7</w:t>
      </w:r>
      <w:r>
        <w:rPr>
          <w:rFonts w:hint="default"/>
          <w:color w:val="000000" w:themeColor="text1"/>
          <w:lang w:val="en-US" w:eastAsia="zh-CN"/>
          <w14:textFill>
            <w14:solidFill>
              <w14:schemeClr w14:val="tx1"/>
            </w14:solidFill>
          </w14:textFill>
        </w:rPr>
        <w:t>-49</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暂存于危险废物贮存点，定期委托有资质单位处置。</w:t>
      </w:r>
    </w:p>
    <w:p w14:paraId="1D49561F">
      <w:pPr>
        <w:pStyle w:val="85"/>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3、废机油</w:t>
      </w:r>
    </w:p>
    <w:p w14:paraId="06DE14B0">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本项目废机油产生量约为 </w:t>
      </w:r>
      <w:r>
        <w:rPr>
          <w:rFonts w:hint="default"/>
          <w:color w:val="000000" w:themeColor="text1"/>
          <w:lang w:val="en-US" w:eastAsia="zh-CN"/>
          <w14:textFill>
            <w14:solidFill>
              <w14:schemeClr w14:val="tx1"/>
            </w14:solidFill>
          </w14:textFill>
        </w:rPr>
        <w:t>0.8t/a</w:t>
      </w:r>
      <w:r>
        <w:rPr>
          <w:rFonts w:hint="eastAsia"/>
          <w:color w:val="000000" w:themeColor="text1"/>
          <w:lang w:val="en-US" w:eastAsia="zh-CN"/>
          <w14:textFill>
            <w14:solidFill>
              <w14:schemeClr w14:val="tx1"/>
            </w14:solidFill>
          </w14:textFill>
        </w:rPr>
        <w:t>。根据《国家危险废物名录》（</w:t>
      </w:r>
      <w:r>
        <w:rPr>
          <w:rFonts w:hint="default"/>
          <w:color w:val="000000" w:themeColor="text1"/>
          <w:lang w:val="en-US" w:eastAsia="zh-CN"/>
          <w14:textFill>
            <w14:solidFill>
              <w14:schemeClr w14:val="tx1"/>
            </w14:solidFill>
          </w14:textFill>
        </w:rPr>
        <w:t xml:space="preserve">2025 </w:t>
      </w:r>
      <w:r>
        <w:rPr>
          <w:rFonts w:hint="eastAsia"/>
          <w:color w:val="000000" w:themeColor="text1"/>
          <w:lang w:val="en-US" w:eastAsia="zh-CN"/>
          <w14:textFill>
            <w14:solidFill>
              <w14:schemeClr w14:val="tx1"/>
            </w14:solidFill>
          </w14:textFill>
        </w:rPr>
        <w:t xml:space="preserve">年版），废机油属于危险废物，危废代码为 </w:t>
      </w:r>
      <w:r>
        <w:rPr>
          <w:rFonts w:hint="default"/>
          <w:color w:val="000000" w:themeColor="text1"/>
          <w:lang w:val="en-US" w:eastAsia="zh-CN"/>
          <w14:textFill>
            <w14:solidFill>
              <w14:schemeClr w14:val="tx1"/>
            </w14:solidFill>
          </w14:textFill>
        </w:rPr>
        <w:t>900-2</w:t>
      </w:r>
      <w:r>
        <w:rPr>
          <w:rFonts w:hint="eastAsia"/>
          <w:color w:val="000000" w:themeColor="text1"/>
          <w:lang w:val="en-US" w:eastAsia="zh-CN"/>
          <w14:textFill>
            <w14:solidFill>
              <w14:schemeClr w14:val="tx1"/>
            </w14:solidFill>
          </w14:textFill>
        </w:rPr>
        <w:t>14</w:t>
      </w:r>
      <w:r>
        <w:rPr>
          <w:rFonts w:hint="default"/>
          <w:color w:val="000000" w:themeColor="text1"/>
          <w:lang w:val="en-US" w:eastAsia="zh-CN"/>
          <w14:textFill>
            <w14:solidFill>
              <w14:schemeClr w14:val="tx1"/>
            </w14:solidFill>
          </w14:textFill>
        </w:rPr>
        <w:t>-08</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暂存于危险废物贮存点，定期委托有资质单位处置。</w:t>
      </w:r>
    </w:p>
    <w:p w14:paraId="288C321A">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4、废机油桶</w:t>
      </w:r>
    </w:p>
    <w:p w14:paraId="3331B83D">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机油使用完后将产生一定量的废机油桶（铁质桶），年产生废机油桶 </w:t>
      </w:r>
      <w:r>
        <w:rPr>
          <w:rFonts w:hint="default"/>
          <w:color w:val="000000" w:themeColor="text1"/>
          <w:lang w:val="en-US" w:eastAsia="zh-CN"/>
          <w14:textFill>
            <w14:solidFill>
              <w14:schemeClr w14:val="tx1"/>
            </w14:solidFill>
          </w14:textFill>
        </w:rPr>
        <w:t>0.1t/a</w:t>
      </w:r>
      <w:r>
        <w:rPr>
          <w:rFonts w:hint="eastAsia"/>
          <w:color w:val="000000" w:themeColor="text1"/>
          <w:lang w:val="en-US" w:eastAsia="zh-CN"/>
          <w14:textFill>
            <w14:solidFill>
              <w14:schemeClr w14:val="tx1"/>
            </w14:solidFill>
          </w14:textFill>
        </w:rPr>
        <w:t>。根据《国家危险废物名录》（</w:t>
      </w:r>
      <w:r>
        <w:rPr>
          <w:rFonts w:hint="default"/>
          <w:color w:val="000000" w:themeColor="text1"/>
          <w:lang w:val="en-US" w:eastAsia="zh-CN"/>
          <w14:textFill>
            <w14:solidFill>
              <w14:schemeClr w14:val="tx1"/>
            </w14:solidFill>
          </w14:textFill>
        </w:rPr>
        <w:t xml:space="preserve">2025 </w:t>
      </w:r>
      <w:r>
        <w:rPr>
          <w:rFonts w:hint="eastAsia"/>
          <w:color w:val="000000" w:themeColor="text1"/>
          <w:lang w:val="en-US" w:eastAsia="zh-CN"/>
          <w14:textFill>
            <w14:solidFill>
              <w14:schemeClr w14:val="tx1"/>
            </w14:solidFill>
          </w14:textFill>
        </w:rPr>
        <w:t xml:space="preserve">年版），废机油桶属于危险废物，危废代码为 </w:t>
      </w:r>
      <w:r>
        <w:rPr>
          <w:rFonts w:hint="default"/>
          <w:color w:val="000000" w:themeColor="text1"/>
          <w:lang w:val="en-US" w:eastAsia="zh-CN"/>
          <w14:textFill>
            <w14:solidFill>
              <w14:schemeClr w14:val="tx1"/>
            </w14:solidFill>
          </w14:textFill>
        </w:rPr>
        <w:t>900-249-08</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暂存于危险废物贮存点，定期委托有资质单位处置</w:t>
      </w:r>
      <w:r>
        <w:rPr>
          <w:rFonts w:hint="eastAsia"/>
          <w:color w:val="000000" w:themeColor="text1"/>
          <w:lang w:val="en-US" w:eastAsia="zh-CN"/>
          <w14:textFill>
            <w14:solidFill>
              <w14:schemeClr w14:val="tx1"/>
            </w14:solidFill>
          </w14:textFill>
        </w:rPr>
        <w:t>。</w:t>
      </w:r>
    </w:p>
    <w:p w14:paraId="23B5CA2E">
      <w:pPr>
        <w:pStyle w:val="85"/>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5、废含油抹布手套</w:t>
      </w:r>
    </w:p>
    <w:p w14:paraId="2B684AFC">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本项目在设备维修和保养过程将产生一定量的含机油抹布手套，年产生量约为 </w:t>
      </w:r>
      <w:r>
        <w:rPr>
          <w:rFonts w:hint="default"/>
          <w:color w:val="000000" w:themeColor="text1"/>
          <w:lang w:val="en-US" w:eastAsia="zh-CN"/>
          <w14:textFill>
            <w14:solidFill>
              <w14:schemeClr w14:val="tx1"/>
            </w14:solidFill>
          </w14:textFill>
        </w:rPr>
        <w:t>0.2t/a</w:t>
      </w:r>
      <w:r>
        <w:rPr>
          <w:rFonts w:hint="eastAsia"/>
          <w:color w:val="000000" w:themeColor="text1"/>
          <w:lang w:val="en-US" w:eastAsia="zh-CN"/>
          <w14:textFill>
            <w14:solidFill>
              <w14:schemeClr w14:val="tx1"/>
            </w14:solidFill>
          </w14:textFill>
        </w:rPr>
        <w:t xml:space="preserve">。 </w:t>
      </w:r>
    </w:p>
    <w:p w14:paraId="50263F19">
      <w:pPr>
        <w:pStyle w:val="85"/>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根据《国家危险废物名录》（</w:t>
      </w:r>
      <w:r>
        <w:rPr>
          <w:rFonts w:hint="default"/>
          <w:color w:val="000000" w:themeColor="text1"/>
          <w:lang w:val="en-US" w:eastAsia="zh-CN"/>
          <w14:textFill>
            <w14:solidFill>
              <w14:schemeClr w14:val="tx1"/>
            </w14:solidFill>
          </w14:textFill>
        </w:rPr>
        <w:t xml:space="preserve">2025 </w:t>
      </w:r>
      <w:r>
        <w:rPr>
          <w:rFonts w:hint="eastAsia"/>
          <w:color w:val="000000" w:themeColor="text1"/>
          <w:lang w:val="en-US" w:eastAsia="zh-CN"/>
          <w14:textFill>
            <w14:solidFill>
              <w14:schemeClr w14:val="tx1"/>
            </w14:solidFill>
          </w14:textFill>
        </w:rPr>
        <w:t xml:space="preserve">年版），废含油抹布手套属于危险废物，危废代码为 </w:t>
      </w:r>
      <w:r>
        <w:rPr>
          <w:rFonts w:hint="default"/>
          <w:color w:val="000000" w:themeColor="text1"/>
          <w:lang w:val="en-US" w:eastAsia="zh-CN"/>
          <w14:textFill>
            <w14:solidFill>
              <w14:schemeClr w14:val="tx1"/>
            </w14:solidFill>
          </w14:textFill>
        </w:rPr>
        <w:t>900-</w:t>
      </w:r>
      <w:r>
        <w:rPr>
          <w:rFonts w:hint="eastAsia"/>
          <w:color w:val="000000" w:themeColor="text1"/>
          <w:lang w:val="en-US" w:eastAsia="zh-CN"/>
          <w14:textFill>
            <w14:solidFill>
              <w14:schemeClr w14:val="tx1"/>
            </w14:solidFill>
          </w14:textFill>
        </w:rPr>
        <w:t>249</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08，</w:t>
      </w:r>
      <w:r>
        <w:rPr>
          <w:rFonts w:hint="eastAsia"/>
          <w:color w:val="000000" w:themeColor="text1"/>
          <w14:textFill>
            <w14:solidFill>
              <w14:schemeClr w14:val="tx1"/>
            </w14:solidFill>
          </w14:textFill>
        </w:rPr>
        <w:t>暂存于危险废物贮存点，定期委托有资质单位处置</w:t>
      </w:r>
      <w:r>
        <w:rPr>
          <w:color w:val="000000" w:themeColor="text1"/>
          <w14:textFill>
            <w14:solidFill>
              <w14:schemeClr w14:val="tx1"/>
            </w14:solidFill>
          </w14:textFill>
        </w:rPr>
        <w:t>。</w:t>
      </w:r>
    </w:p>
    <w:p w14:paraId="69C05828">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6</w:t>
      </w:r>
      <w:r>
        <w:rPr>
          <w:color w:val="000000" w:themeColor="text1"/>
          <w14:textFill>
            <w14:solidFill>
              <w14:schemeClr w14:val="tx1"/>
            </w14:solidFill>
          </w14:textFill>
        </w:rPr>
        <w:t>.2.5.2</w:t>
      </w:r>
      <w:r>
        <w:rPr>
          <w:rFonts w:hint="eastAsia"/>
          <w:color w:val="000000" w:themeColor="text1"/>
          <w14:textFill>
            <w14:solidFill>
              <w14:schemeClr w14:val="tx1"/>
            </w14:solidFill>
          </w14:textFill>
        </w:rPr>
        <w:t>固体废物处置措施可行性分析</w:t>
      </w:r>
    </w:p>
    <w:p w14:paraId="39C16E4A">
      <w:pPr>
        <w:pStyle w:val="85"/>
        <w:rPr>
          <w:color w:val="000000" w:themeColor="text1"/>
          <w14:textFill>
            <w14:solidFill>
              <w14:schemeClr w14:val="tx1"/>
            </w14:solidFill>
          </w14:textFill>
        </w:rPr>
      </w:pPr>
      <w:r>
        <w:rPr>
          <w:color w:val="000000" w:themeColor="text1"/>
          <w14:textFill>
            <w14:solidFill>
              <w14:schemeClr w14:val="tx1"/>
            </w14:solidFill>
          </w14:textFill>
        </w:rPr>
        <w:t>（1）危险废物临时暂存措施</w:t>
      </w:r>
    </w:p>
    <w:p w14:paraId="7E111AC6">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本项目危险废物产生总量约为1</w:t>
      </w:r>
      <w:r>
        <w:rPr>
          <w:rFonts w:hint="eastAsia"/>
          <w:color w:val="000000" w:themeColor="text1"/>
          <w:lang w:val="en-US" w:eastAsia="zh-CN"/>
          <w14:textFill>
            <w14:solidFill>
              <w14:schemeClr w14:val="tx1"/>
            </w14:solidFill>
          </w14:textFill>
        </w:rPr>
        <w:t>.7</w:t>
      </w:r>
      <w:r>
        <w:rPr>
          <w:rFonts w:hint="eastAsia"/>
          <w:color w:val="000000" w:themeColor="text1"/>
          <w14:textFill>
            <w14:solidFill>
              <w14:schemeClr w14:val="tx1"/>
            </w14:solidFill>
          </w14:textFill>
        </w:rPr>
        <w:t>t/a，项目建设的危废贮存</w:t>
      </w:r>
      <w:r>
        <w:rPr>
          <w:rFonts w:hint="eastAsia"/>
          <w:color w:val="000000" w:themeColor="text1"/>
          <w:lang w:val="en-US" w:eastAsia="zh-CN"/>
          <w14:textFill>
            <w14:solidFill>
              <w14:schemeClr w14:val="tx1"/>
            </w14:solidFill>
          </w14:textFill>
        </w:rPr>
        <w:t>点</w:t>
      </w:r>
      <w:r>
        <w:rPr>
          <w:rFonts w:hint="eastAsia"/>
          <w:color w:val="000000" w:themeColor="text1"/>
          <w14:textFill>
            <w14:solidFill>
              <w14:schemeClr w14:val="tx1"/>
            </w14:solidFill>
          </w14:textFill>
        </w:rPr>
        <w:t>贮存能力为</w:t>
      </w:r>
      <w:r>
        <w:rPr>
          <w:rFonts w:hint="eastAsia"/>
          <w:color w:val="000000" w:themeColor="text1"/>
          <w:lang w:val="en-US" w:eastAsia="zh-CN"/>
          <w14:textFill>
            <w14:solidFill>
              <w14:schemeClr w14:val="tx1"/>
            </w14:solidFill>
          </w14:textFill>
        </w:rPr>
        <w:t>3</w:t>
      </w:r>
      <w:r>
        <w:rPr>
          <w:rFonts w:hint="eastAsia"/>
          <w:color w:val="000000" w:themeColor="text1"/>
          <w14:textFill>
            <w14:solidFill>
              <w14:schemeClr w14:val="tx1"/>
            </w14:solidFill>
          </w14:textFill>
        </w:rPr>
        <w:t>t，本项目危险废物转运次数约为4次，约3个月外运处置一次，一次最大储存量</w:t>
      </w:r>
      <w:r>
        <w:rPr>
          <w:rFonts w:hint="eastAsia"/>
          <w:color w:val="000000" w:themeColor="text1"/>
          <w:lang w:val="en-US" w:eastAsia="zh-CN"/>
          <w14:textFill>
            <w14:solidFill>
              <w14:schemeClr w14:val="tx1"/>
            </w14:solidFill>
          </w14:textFill>
        </w:rPr>
        <w:t>0.425</w:t>
      </w:r>
      <w:r>
        <w:rPr>
          <w:rFonts w:hint="eastAsia"/>
          <w:color w:val="000000" w:themeColor="text1"/>
          <w14:textFill>
            <w14:solidFill>
              <w14:schemeClr w14:val="tx1"/>
            </w14:solidFill>
          </w14:textFill>
        </w:rPr>
        <w:t>t。故</w:t>
      </w:r>
      <w:r>
        <w:rPr>
          <w:rFonts w:hint="eastAsia"/>
          <w:color w:val="000000" w:themeColor="text1"/>
          <w:lang w:eastAsia="zh-CN"/>
          <w14:textFill>
            <w14:solidFill>
              <w14:schemeClr w14:val="tx1"/>
            </w14:solidFill>
          </w14:textFill>
        </w:rPr>
        <w:t>危废贮存点</w:t>
      </w:r>
      <w:r>
        <w:rPr>
          <w:rFonts w:hint="eastAsia"/>
          <w:color w:val="000000" w:themeColor="text1"/>
          <w14:textFill>
            <w14:solidFill>
              <w14:schemeClr w14:val="tx1"/>
            </w14:solidFill>
          </w14:textFill>
        </w:rPr>
        <w:t>的容积可满足贮存项目产生的危险废物。</w:t>
      </w:r>
    </w:p>
    <w:p w14:paraId="4CB0E0CD">
      <w:pPr>
        <w:pStyle w:val="85"/>
        <w:rPr>
          <w:color w:val="000000" w:themeColor="text1"/>
          <w14:textFill>
            <w14:solidFill>
              <w14:schemeClr w14:val="tx1"/>
            </w14:solidFill>
          </w14:textFill>
        </w:rPr>
      </w:pPr>
      <w:r>
        <w:rPr>
          <w:color w:val="000000" w:themeColor="text1"/>
          <w14:textFill>
            <w14:solidFill>
              <w14:schemeClr w14:val="tx1"/>
            </w14:solidFill>
          </w14:textFill>
        </w:rPr>
        <w:t>根据《建设项目危险废物环境影响评价指南》（环境保护部公告2017年第43号），评价对项目危险废物贮存点提出以下要求：</w:t>
      </w:r>
    </w:p>
    <w:p w14:paraId="38AD0319">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危险废物暂存场应按《危险废物贮存污染控制标准》（GB 18597-2023）中相关要求进行设计、运行和管理，应做到“四防”（防风、防雨、防晒、防渗漏），地面和墙体（不低于1.2m）应采取防腐、防渗措施，设置收集沟和收集池。</w:t>
      </w:r>
    </w:p>
    <w:p w14:paraId="605C9BC4">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危险废物贮存设施必须按《环境保护图形标志</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固体废物贮存（处置）场》的规定设置警示标志。</w:t>
      </w:r>
    </w:p>
    <w:p w14:paraId="5BD08532">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t>按危险废物类别分别采用符合标准的专用容器贮存，加上标签，由专人负责管理。</w:t>
      </w:r>
    </w:p>
    <w:p w14:paraId="6992A495">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④</w:t>
      </w:r>
      <w:r>
        <w:rPr>
          <w:color w:val="000000" w:themeColor="text1"/>
          <w14:textFill>
            <w14:solidFill>
              <w14:schemeClr w14:val="tx1"/>
            </w14:solidFill>
          </w14:textFill>
        </w:rPr>
        <w:t>危险废物贮存前应进行检查、核对，登记注册，按规定的标签填写危险废物。</w:t>
      </w:r>
    </w:p>
    <w:p w14:paraId="39C0C4AB">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⑤</w:t>
      </w:r>
      <w:r>
        <w:rPr>
          <w:rFonts w:hint="eastAsia"/>
          <w:color w:val="000000" w:themeColor="text1"/>
          <w14:textFill>
            <w14:solidFill>
              <w14:schemeClr w14:val="tx1"/>
            </w14:solidFill>
          </w14:textFill>
        </w:rPr>
        <w:t>做好</w:t>
      </w:r>
      <w:r>
        <w:rPr>
          <w:color w:val="000000" w:themeColor="text1"/>
          <w14:textFill>
            <w14:solidFill>
              <w14:schemeClr w14:val="tx1"/>
            </w14:solidFill>
          </w14:textFill>
        </w:rPr>
        <w:t>危险废物情况的记录，记录上须注明危险废物的名称、来源、数量、特性和包装容器的类别、入库日期、存放库位、废物出库日期及接收单位名称。</w:t>
      </w:r>
    </w:p>
    <w:p w14:paraId="3345941C">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⑥</w:t>
      </w:r>
      <w:r>
        <w:rPr>
          <w:color w:val="000000" w:themeColor="text1"/>
          <w14:textFill>
            <w14:solidFill>
              <w14:schemeClr w14:val="tx1"/>
            </w14:solidFill>
          </w14:textFill>
        </w:rPr>
        <w:t>必须定期对所贮存的危险废物包装容器及贮存设施进行检查，发现破损，应及时采取措施清理更换。</w:t>
      </w:r>
    </w:p>
    <w:p w14:paraId="0F4FD4A9">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⑦</w:t>
      </w:r>
      <w:r>
        <w:rPr>
          <w:color w:val="000000" w:themeColor="text1"/>
          <w14:textFill>
            <w14:solidFill>
              <w14:schemeClr w14:val="tx1"/>
            </w14:solidFill>
          </w14:textFill>
        </w:rPr>
        <w:t>应配备通讯设备、照明设施、安全防护服装及工具，并设应急防护设施。</w:t>
      </w:r>
    </w:p>
    <w:p w14:paraId="049E0CBF">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⑧</w:t>
      </w:r>
      <w:r>
        <w:rPr>
          <w:color w:val="000000" w:themeColor="text1"/>
          <w14:textFill>
            <w14:solidFill>
              <w14:schemeClr w14:val="tx1"/>
            </w14:solidFill>
          </w14:textFill>
        </w:rPr>
        <w:t>对同一贮存场所（设施）贮存多种危险废物的，根据危废的种类、性质分区布置，分别放置固态危险废物和液态危险废物，要求分区间采取隔挡措施，防止两种废物混杂，液态废物应采用桶装等密闭包装方式，避免产生臭味，贮存容器必须符合《危险废物贮存污染控制标准》（GB 18597-2023）中相关要求。</w:t>
      </w:r>
    </w:p>
    <w:p w14:paraId="3E5BBB73">
      <w:pPr>
        <w:pStyle w:val="85"/>
        <w:rPr>
          <w:color w:val="000000" w:themeColor="text1"/>
          <w14:textFill>
            <w14:solidFill>
              <w14:schemeClr w14:val="tx1"/>
            </w14:solidFill>
          </w14:textFill>
        </w:rPr>
      </w:pPr>
      <w:r>
        <w:rPr>
          <w:color w:val="000000" w:themeColor="text1"/>
          <w14:textFill>
            <w14:solidFill>
              <w14:schemeClr w14:val="tx1"/>
            </w14:solidFill>
          </w14:textFill>
        </w:rPr>
        <w:t>（2）转移控制措施</w:t>
      </w:r>
    </w:p>
    <w:p w14:paraId="6033103B">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危险废物转移应当遵循就近原则。跨省、自治区、直辖市转移（以下简称跨省转移）处置危险废物的，应当以转移至相邻或者开展区域合作的省、自治区、直辖市的危险废物处置设施，以及全国统筹布局的危险废物处置设施为主。</w:t>
      </w:r>
    </w:p>
    <w:p w14:paraId="22027F07">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转移危险废物的，按照《危险废物转移管理办法》（生态环境部公安部交通运输部部令第23号）执行转移联单制度。通过国家危险废物信息管理系统填写、运行危险废物电子转移联单，并依照国家有关规定公开危险废物转移相关污染环境防治信息。</w:t>
      </w:r>
    </w:p>
    <w:p w14:paraId="54CFEFFB">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t>在交有资质单位处理时，应严格按照《危险废物转移管理办法》填写危险废物转移联单，并由双方单位保留备查。危险废物产生单位在转移危险废物前，须按照国家有关规定报批危险废物转移计划；经批准后，产生单位应当向移出地环境保护行政主管部门申请领取联单。产生单位应当在危险废物转移前三日内报告移出地环境保护行政主管部门，并同时将预期到达时间报告接受地环境保护行政主管部门。</w:t>
      </w:r>
    </w:p>
    <w:p w14:paraId="4836521D">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④</w:t>
      </w:r>
      <w:r>
        <w:rPr>
          <w:color w:val="000000" w:themeColor="text1"/>
          <w14:textFill>
            <w14:solidFill>
              <w14:schemeClr w14:val="tx1"/>
            </w14:solidFill>
          </w14:textFill>
        </w:rPr>
        <w:t>所有废物收集和封装容器应得到接收企业及当地环保部门的认可。</w:t>
      </w:r>
    </w:p>
    <w:p w14:paraId="66F90BE2">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⑤</w:t>
      </w:r>
      <w:r>
        <w:rPr>
          <w:color w:val="000000" w:themeColor="text1"/>
          <w14:textFill>
            <w14:solidFill>
              <w14:schemeClr w14:val="tx1"/>
            </w14:solidFill>
          </w14:textFill>
        </w:rPr>
        <w:t>应指定专人负责固废和残液的收集、贮运管理工作，运输车辆的司机和押运人员应经专业培训。</w:t>
      </w:r>
    </w:p>
    <w:p w14:paraId="7B49C5C6">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⑥</w:t>
      </w:r>
      <w:r>
        <w:rPr>
          <w:color w:val="000000" w:themeColor="text1"/>
          <w14:textFill>
            <w14:solidFill>
              <w14:schemeClr w14:val="tx1"/>
            </w14:solidFill>
          </w14:textFill>
        </w:rPr>
        <w:t>收运车应采用密闭运输方式，防止外泄。</w:t>
      </w:r>
    </w:p>
    <w:p w14:paraId="5835339D">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⑦</w:t>
      </w:r>
      <w:r>
        <w:rPr>
          <w:color w:val="000000" w:themeColor="text1"/>
          <w14:textFill>
            <w14:solidFill>
              <w14:schemeClr w14:val="tx1"/>
            </w14:solidFill>
          </w14:textFill>
        </w:rPr>
        <w:t>建设单位与处置单位对危险废物交接时，应按危废联单制管理要求，交接运输，要求交接和运输过程皆处于环境行政主管部门的监控之下进行。</w:t>
      </w:r>
    </w:p>
    <w:p w14:paraId="0C0A0374">
      <w:pPr>
        <w:pStyle w:val="85"/>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⑧</w:t>
      </w:r>
      <w:r>
        <w:rPr>
          <w:color w:val="000000" w:themeColor="text1"/>
          <w14:textFill>
            <w14:solidFill>
              <w14:schemeClr w14:val="tx1"/>
            </w14:solidFill>
          </w14:textFill>
        </w:rPr>
        <w:t>危险废物运输符合《危险废物收集贮存运输技术规范》相关要求。</w:t>
      </w:r>
    </w:p>
    <w:p w14:paraId="6FB58BEB">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（3）危险废物贮存处置分析</w:t>
      </w:r>
    </w:p>
    <w:p w14:paraId="2B4053EB">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本项目新建危废贮存</w:t>
      </w:r>
      <w:r>
        <w:rPr>
          <w:rFonts w:hint="eastAsia"/>
          <w:color w:val="000000" w:themeColor="text1"/>
          <w:lang w:val="en-US" w:eastAsia="zh-CN"/>
          <w14:textFill>
            <w14:solidFill>
              <w14:schemeClr w14:val="tx1"/>
            </w14:solidFill>
          </w14:textFill>
        </w:rPr>
        <w:t>点</w:t>
      </w:r>
      <w:r>
        <w:rPr>
          <w:rFonts w:hint="eastAsia"/>
          <w:color w:val="000000" w:themeColor="text1"/>
          <w14:textFill>
            <w14:solidFill>
              <w14:schemeClr w14:val="tx1"/>
            </w14:solidFill>
          </w14:textFill>
        </w:rPr>
        <w:t>，建筑面积5m</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，封闭建设，位于</w:t>
      </w:r>
      <w:r>
        <w:rPr>
          <w:rFonts w:hint="eastAsia"/>
          <w:color w:val="000000" w:themeColor="text1"/>
          <w:lang w:val="en-US" w:eastAsia="zh-CN"/>
          <w14:textFill>
            <w14:solidFill>
              <w14:schemeClr w14:val="tx1"/>
            </w14:solidFill>
          </w14:textFill>
        </w:rPr>
        <w:t>包装</w:t>
      </w:r>
      <w:r>
        <w:rPr>
          <w:rFonts w:hint="eastAsia"/>
          <w:color w:val="000000" w:themeColor="text1"/>
          <w14:textFill>
            <w14:solidFill>
              <w14:schemeClr w14:val="tx1"/>
            </w14:solidFill>
          </w14:textFill>
        </w:rPr>
        <w:t>车间内，最大储存能力</w:t>
      </w:r>
      <w:r>
        <w:rPr>
          <w:rFonts w:hint="eastAsia"/>
          <w:color w:val="000000" w:themeColor="text1"/>
          <w:lang w:val="en-US" w:eastAsia="zh-CN"/>
          <w14:textFill>
            <w14:solidFill>
              <w14:schemeClr w14:val="tx1"/>
            </w14:solidFill>
          </w14:textFill>
        </w:rPr>
        <w:t>3</w:t>
      </w:r>
      <w:r>
        <w:rPr>
          <w:rFonts w:hint="eastAsia"/>
          <w:color w:val="000000" w:themeColor="text1"/>
          <w14:textFill>
            <w14:solidFill>
              <w14:schemeClr w14:val="tx1"/>
            </w14:solidFill>
          </w14:textFill>
        </w:rPr>
        <w:t xml:space="preserve"> t。本项目产生的危险废物经</w:t>
      </w:r>
      <w:r>
        <w:rPr>
          <w:rFonts w:hint="eastAsia"/>
          <w:color w:val="000000" w:themeColor="text1"/>
          <w:lang w:eastAsia="zh-CN"/>
          <w14:textFill>
            <w14:solidFill>
              <w14:schemeClr w14:val="tx1"/>
            </w14:solidFill>
          </w14:textFill>
        </w:rPr>
        <w:t>危废贮存点</w:t>
      </w:r>
      <w:r>
        <w:rPr>
          <w:rFonts w:hint="eastAsia"/>
          <w:color w:val="000000" w:themeColor="text1"/>
          <w14:textFill>
            <w14:solidFill>
              <w14:schemeClr w14:val="tx1"/>
            </w14:solidFill>
          </w14:textFill>
        </w:rPr>
        <w:t>暂存，本项目产生的危险废物进行分类堆放</w:t>
      </w:r>
      <w:r>
        <w:rPr>
          <w:color w:val="000000" w:themeColor="text1"/>
          <w14:textFill>
            <w14:solidFill>
              <w14:schemeClr w14:val="tx1"/>
            </w14:solidFill>
          </w14:textFill>
        </w:rPr>
        <w:t>，有明显的危险废物识别标志</w:t>
      </w:r>
      <w:r>
        <w:rPr>
          <w:rFonts w:hint="eastAsia"/>
          <w:color w:val="000000" w:themeColor="text1"/>
          <w14:textFill>
            <w14:solidFill>
              <w14:schemeClr w14:val="tx1"/>
            </w14:solidFill>
          </w14:textFill>
        </w:rPr>
        <w:t>，通过专用容器及防渗胶袋密封，</w:t>
      </w:r>
      <w:r>
        <w:rPr>
          <w:color w:val="000000" w:themeColor="text1"/>
          <w14:textFill>
            <w14:solidFill>
              <w14:schemeClr w14:val="tx1"/>
            </w14:solidFill>
          </w14:textFill>
        </w:rPr>
        <w:t>不同危险废物堆放保持一定的间距</w:t>
      </w:r>
      <w:r>
        <w:rPr>
          <w:rFonts w:hint="eastAsia"/>
          <w:color w:val="000000" w:themeColor="text1"/>
          <w14:textFill>
            <w14:solidFill>
              <w14:schemeClr w14:val="tx1"/>
            </w14:solidFill>
          </w14:textFill>
        </w:rPr>
        <w:t>。危险废物定期委托已取得此类危险废物处理资质的单位集中收集处置。</w:t>
      </w:r>
    </w:p>
    <w:p w14:paraId="1C896D7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认真落实措施后，危废的贮存不会对周围大气、水环境及敏感目标造成明显影响。危险废物贮存场所（设施）基本情况见表6-2-1</w:t>
      </w:r>
      <w:r>
        <w:rPr>
          <w:rFonts w:hint="eastAsia"/>
          <w:color w:val="000000" w:themeColor="text1"/>
          <w:lang w:val="en-US" w:eastAsia="zh-CN"/>
          <w14:textFill>
            <w14:solidFill>
              <w14:schemeClr w14:val="tx1"/>
            </w14:solidFill>
          </w14:textFill>
        </w:rPr>
        <w:t>0</w:t>
      </w:r>
      <w:r>
        <w:rPr>
          <w:rFonts w:hint="eastAsia"/>
          <w:color w:val="000000" w:themeColor="text1"/>
          <w14:textFill>
            <w14:solidFill>
              <w14:schemeClr w14:val="tx1"/>
            </w14:solidFill>
          </w14:textFill>
        </w:rPr>
        <w:t>。</w:t>
      </w:r>
    </w:p>
    <w:p w14:paraId="3797B0A3">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表6-2-</w:t>
      </w:r>
      <w:r>
        <w:rPr>
          <w:rFonts w:hint="eastAsia"/>
          <w:snapToGrid w:val="0"/>
          <w:color w:val="000000" w:themeColor="text1"/>
          <w14:textFill>
            <w14:solidFill>
              <w14:schemeClr w14:val="tx1"/>
            </w14:solidFill>
          </w14:textFill>
        </w:rPr>
        <w:t>1</w:t>
      </w:r>
      <w:r>
        <w:rPr>
          <w:rFonts w:hint="eastAsia"/>
          <w:snapToGrid w:val="0"/>
          <w:color w:val="000000" w:themeColor="text1"/>
          <w:lang w:val="en-US" w:eastAsia="zh-CN"/>
          <w14:textFill>
            <w14:solidFill>
              <w14:schemeClr w14:val="tx1"/>
            </w14:solidFill>
          </w14:textFill>
        </w:rPr>
        <w:t>0</w:t>
      </w:r>
      <w:r>
        <w:rPr>
          <w:snapToGrid w:val="0"/>
          <w:color w:val="000000" w:themeColor="text1"/>
          <w14:textFill>
            <w14:solidFill>
              <w14:schemeClr w14:val="tx1"/>
            </w14:solidFill>
          </w14:textFill>
        </w:rPr>
        <w:t xml:space="preserve">  危险废物排放源及处理措施情况一览表</w:t>
      </w:r>
    </w:p>
    <w:tbl>
      <w:tblPr>
        <w:tblStyle w:val="49"/>
        <w:tblW w:w="4961"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803"/>
        <w:gridCol w:w="2022"/>
        <w:gridCol w:w="846"/>
        <w:gridCol w:w="1087"/>
        <w:gridCol w:w="962"/>
        <w:gridCol w:w="418"/>
        <w:gridCol w:w="1011"/>
        <w:gridCol w:w="454"/>
        <w:gridCol w:w="644"/>
      </w:tblGrid>
      <w:tr w14:paraId="793B16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486" w:type="pct"/>
            <w:noWrap w:val="0"/>
            <w:vAlign w:val="center"/>
          </w:tcPr>
          <w:p w14:paraId="49765362">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贮存场所（设施）名称</w:t>
            </w:r>
          </w:p>
        </w:tc>
        <w:tc>
          <w:tcPr>
            <w:tcW w:w="1226" w:type="pct"/>
            <w:noWrap w:val="0"/>
            <w:vAlign w:val="center"/>
          </w:tcPr>
          <w:p w14:paraId="67D87EB9">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危险废物名称</w:t>
            </w:r>
          </w:p>
        </w:tc>
        <w:tc>
          <w:tcPr>
            <w:tcW w:w="513" w:type="pct"/>
            <w:noWrap w:val="0"/>
            <w:vAlign w:val="center"/>
          </w:tcPr>
          <w:p w14:paraId="56B8F920">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危险废物类别</w:t>
            </w:r>
          </w:p>
        </w:tc>
        <w:tc>
          <w:tcPr>
            <w:tcW w:w="658" w:type="pct"/>
            <w:noWrap w:val="0"/>
            <w:vAlign w:val="center"/>
          </w:tcPr>
          <w:p w14:paraId="6B4A9AF9">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危险废物代码</w:t>
            </w:r>
          </w:p>
        </w:tc>
        <w:tc>
          <w:tcPr>
            <w:tcW w:w="583" w:type="pct"/>
            <w:noWrap w:val="0"/>
            <w:vAlign w:val="center"/>
          </w:tcPr>
          <w:p w14:paraId="054E2ACE">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位置</w:t>
            </w:r>
          </w:p>
        </w:tc>
        <w:tc>
          <w:tcPr>
            <w:tcW w:w="253" w:type="pct"/>
            <w:noWrap w:val="0"/>
            <w:vAlign w:val="center"/>
          </w:tcPr>
          <w:p w14:paraId="6A589179">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占地面积</w:t>
            </w:r>
          </w:p>
        </w:tc>
        <w:tc>
          <w:tcPr>
            <w:tcW w:w="613" w:type="pct"/>
            <w:noWrap w:val="0"/>
            <w:vAlign w:val="center"/>
          </w:tcPr>
          <w:p w14:paraId="072092B7">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贮存方式</w:t>
            </w:r>
          </w:p>
        </w:tc>
        <w:tc>
          <w:tcPr>
            <w:tcW w:w="275" w:type="pct"/>
            <w:noWrap w:val="0"/>
            <w:vAlign w:val="center"/>
          </w:tcPr>
          <w:p w14:paraId="7009D34B">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贮存能力</w:t>
            </w:r>
          </w:p>
        </w:tc>
        <w:tc>
          <w:tcPr>
            <w:tcW w:w="390" w:type="pct"/>
            <w:noWrap w:val="0"/>
            <w:vAlign w:val="center"/>
          </w:tcPr>
          <w:p w14:paraId="4ADBC7D9">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ascii="Times New Roman" w:hAnsi="Times New Roman" w:eastAsia="宋体"/>
                <w:snapToGrid w:val="0"/>
                <w:color w:val="000000" w:themeColor="text1"/>
                <w:lang w:val="en-GB" w:eastAsia="zh-CN"/>
                <w14:textFill>
                  <w14:solidFill>
                    <w14:schemeClr w14:val="tx1"/>
                  </w14:solidFill>
                </w14:textFill>
              </w:rPr>
              <w:t>贮存周期</w:t>
            </w:r>
          </w:p>
        </w:tc>
      </w:tr>
      <w:tr w14:paraId="12A729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486" w:type="pct"/>
            <w:vMerge w:val="restart"/>
            <w:noWrap w:val="0"/>
            <w:vAlign w:val="center"/>
          </w:tcPr>
          <w:p w14:paraId="761CF5D1">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r>
              <w:rPr>
                <w:rFonts w:hint="eastAsia"/>
                <w:snapToGrid w:val="0"/>
                <w:color w:val="000000" w:themeColor="text1"/>
                <w:lang w:val="en-GB" w:eastAsia="zh-CN"/>
                <w14:textFill>
                  <w14:solidFill>
                    <w14:schemeClr w14:val="tx1"/>
                  </w14:solidFill>
                </w14:textFill>
              </w:rPr>
              <w:t>危废贮存点</w:t>
            </w:r>
          </w:p>
        </w:tc>
        <w:tc>
          <w:tcPr>
            <w:tcW w:w="1226" w:type="pct"/>
            <w:noWrap w:val="0"/>
            <w:vAlign w:val="center"/>
          </w:tcPr>
          <w:p w14:paraId="2668407D">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废危化品包装材料</w:t>
            </w:r>
          </w:p>
        </w:tc>
        <w:tc>
          <w:tcPr>
            <w:tcW w:w="513" w:type="pct"/>
            <w:noWrap w:val="0"/>
            <w:vAlign w:val="center"/>
          </w:tcPr>
          <w:p w14:paraId="4EB603E9">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HW49</w:t>
            </w:r>
          </w:p>
        </w:tc>
        <w:tc>
          <w:tcPr>
            <w:tcW w:w="658" w:type="pct"/>
            <w:noWrap w:val="0"/>
            <w:vAlign w:val="center"/>
          </w:tcPr>
          <w:p w14:paraId="6C3E91BF">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900-0</w:t>
            </w:r>
            <w:r>
              <w:rPr>
                <w:rFonts w:hint="eastAsia"/>
                <w:snapToGrid w:val="0"/>
                <w:color w:val="000000" w:themeColor="text1"/>
                <w:lang w:val="en-US" w:eastAsia="zh-CN"/>
                <w14:textFill>
                  <w14:solidFill>
                    <w14:schemeClr w14:val="tx1"/>
                  </w14:solidFill>
                </w14:textFill>
              </w:rPr>
              <w:t>41</w:t>
            </w:r>
            <w:r>
              <w:rPr>
                <w:rFonts w:hint="eastAsia" w:ascii="Times New Roman" w:hAnsi="Times New Roman" w:eastAsia="宋体"/>
                <w:snapToGrid w:val="0"/>
                <w:color w:val="000000" w:themeColor="text1"/>
                <w:lang w:val="en-US" w:eastAsia="zh-CN"/>
                <w14:textFill>
                  <w14:solidFill>
                    <w14:schemeClr w14:val="tx1"/>
                  </w14:solidFill>
                </w14:textFill>
              </w:rPr>
              <w:t>-49</w:t>
            </w:r>
          </w:p>
        </w:tc>
        <w:tc>
          <w:tcPr>
            <w:tcW w:w="583" w:type="pct"/>
            <w:noWrap w:val="0"/>
            <w:vAlign w:val="center"/>
          </w:tcPr>
          <w:p w14:paraId="54CC74E8">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危废贮存点</w:t>
            </w:r>
          </w:p>
        </w:tc>
        <w:tc>
          <w:tcPr>
            <w:tcW w:w="253" w:type="pct"/>
            <w:vMerge w:val="restart"/>
            <w:noWrap w:val="0"/>
            <w:vAlign w:val="center"/>
          </w:tcPr>
          <w:p w14:paraId="73EA8EC8">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5m</w:t>
            </w:r>
            <w:r>
              <w:rPr>
                <w:rFonts w:hint="eastAsia" w:ascii="Times New Roman" w:hAnsi="Times New Roman" w:eastAsia="宋体"/>
                <w:snapToGrid w:val="0"/>
                <w:color w:val="000000" w:themeColor="text1"/>
                <w:vertAlign w:val="superscript"/>
                <w:lang w:val="en-US" w:eastAsia="zh-CN"/>
                <w14:textFill>
                  <w14:solidFill>
                    <w14:schemeClr w14:val="tx1"/>
                  </w14:solidFill>
                </w14:textFill>
              </w:rPr>
              <w:t>2</w:t>
            </w:r>
          </w:p>
        </w:tc>
        <w:tc>
          <w:tcPr>
            <w:tcW w:w="613" w:type="pct"/>
            <w:noWrap w:val="0"/>
            <w:vAlign w:val="center"/>
          </w:tcPr>
          <w:p w14:paraId="4158E46C">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包装袋</w:t>
            </w:r>
            <w:r>
              <w:rPr>
                <w:rFonts w:hint="eastAsia" w:ascii="Times New Roman" w:hAnsi="Times New Roman" w:eastAsia="宋体"/>
                <w:snapToGrid w:val="0"/>
                <w:color w:val="000000" w:themeColor="text1"/>
                <w:lang w:val="en-US" w:eastAsia="zh-CN"/>
                <w14:textFill>
                  <w14:solidFill>
                    <w14:schemeClr w14:val="tx1"/>
                  </w14:solidFill>
                </w14:textFill>
              </w:rPr>
              <w:t>密封</w:t>
            </w:r>
          </w:p>
        </w:tc>
        <w:tc>
          <w:tcPr>
            <w:tcW w:w="275" w:type="pct"/>
            <w:vMerge w:val="restart"/>
            <w:noWrap w:val="0"/>
            <w:vAlign w:val="center"/>
          </w:tcPr>
          <w:p w14:paraId="5FFB87E1">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w:t>
            </w:r>
            <w:r>
              <w:rPr>
                <w:rFonts w:hint="eastAsia" w:ascii="Times New Roman" w:hAnsi="Times New Roman" w:eastAsia="宋体"/>
                <w:snapToGrid w:val="0"/>
                <w:color w:val="000000" w:themeColor="text1"/>
                <w:lang w:val="en-US" w:eastAsia="zh-CN"/>
                <w14:textFill>
                  <w14:solidFill>
                    <w14:schemeClr w14:val="tx1"/>
                  </w14:solidFill>
                </w14:textFill>
              </w:rPr>
              <w:t>t</w:t>
            </w:r>
          </w:p>
        </w:tc>
        <w:tc>
          <w:tcPr>
            <w:tcW w:w="390" w:type="pct"/>
            <w:vMerge w:val="restart"/>
            <w:noWrap w:val="0"/>
            <w:vAlign w:val="center"/>
          </w:tcPr>
          <w:p w14:paraId="7DB39B44">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1-3月</w:t>
            </w:r>
          </w:p>
        </w:tc>
      </w:tr>
      <w:tr w14:paraId="58A345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486" w:type="pct"/>
            <w:vMerge w:val="continue"/>
            <w:noWrap w:val="0"/>
            <w:vAlign w:val="center"/>
          </w:tcPr>
          <w:p w14:paraId="000C2ECD">
            <w:pPr>
              <w:pStyle w:val="85"/>
              <w:rPr>
                <w:rFonts w:hint="eastAsia"/>
                <w:color w:val="000000" w:themeColor="text1"/>
                <w14:textFill>
                  <w14:solidFill>
                    <w14:schemeClr w14:val="tx1"/>
                  </w14:solidFill>
                </w14:textFill>
              </w:rPr>
            </w:pPr>
          </w:p>
        </w:tc>
        <w:tc>
          <w:tcPr>
            <w:tcW w:w="1226" w:type="pct"/>
            <w:noWrap w:val="0"/>
            <w:vAlign w:val="center"/>
          </w:tcPr>
          <w:p w14:paraId="3835D983">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化验室废液</w:t>
            </w:r>
          </w:p>
        </w:tc>
        <w:tc>
          <w:tcPr>
            <w:tcW w:w="513" w:type="pct"/>
            <w:noWrap w:val="0"/>
            <w:vAlign w:val="center"/>
          </w:tcPr>
          <w:p w14:paraId="7EBD6AFC">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HW49</w:t>
            </w:r>
          </w:p>
        </w:tc>
        <w:tc>
          <w:tcPr>
            <w:tcW w:w="658" w:type="pct"/>
            <w:noWrap w:val="0"/>
            <w:vAlign w:val="center"/>
          </w:tcPr>
          <w:p w14:paraId="21108B1D">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900-</w:t>
            </w:r>
            <w:r>
              <w:rPr>
                <w:rFonts w:hint="eastAsia"/>
                <w:snapToGrid w:val="0"/>
                <w:color w:val="000000" w:themeColor="text1"/>
                <w:lang w:val="en-US" w:eastAsia="zh-CN"/>
                <w14:textFill>
                  <w14:solidFill>
                    <w14:schemeClr w14:val="tx1"/>
                  </w14:solidFill>
                </w14:textFill>
              </w:rPr>
              <w:t>047</w:t>
            </w:r>
            <w:r>
              <w:rPr>
                <w:rFonts w:hint="eastAsia" w:ascii="Times New Roman" w:hAnsi="Times New Roman" w:eastAsia="宋体"/>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49</w:t>
            </w:r>
          </w:p>
        </w:tc>
        <w:tc>
          <w:tcPr>
            <w:tcW w:w="583" w:type="pct"/>
            <w:noWrap w:val="0"/>
            <w:vAlign w:val="center"/>
          </w:tcPr>
          <w:p w14:paraId="2B6362F1">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危废贮存点</w:t>
            </w:r>
          </w:p>
        </w:tc>
        <w:tc>
          <w:tcPr>
            <w:tcW w:w="253" w:type="pct"/>
            <w:vMerge w:val="continue"/>
            <w:noWrap w:val="0"/>
            <w:vAlign w:val="center"/>
          </w:tcPr>
          <w:p w14:paraId="4D09DDA2">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p>
        </w:tc>
        <w:tc>
          <w:tcPr>
            <w:tcW w:w="613" w:type="pct"/>
            <w:noWrap w:val="0"/>
            <w:vAlign w:val="center"/>
          </w:tcPr>
          <w:p w14:paraId="7844F21B">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密封桶装</w:t>
            </w:r>
          </w:p>
        </w:tc>
        <w:tc>
          <w:tcPr>
            <w:tcW w:w="275" w:type="pct"/>
            <w:vMerge w:val="continue"/>
            <w:noWrap w:val="0"/>
            <w:vAlign w:val="center"/>
          </w:tcPr>
          <w:p w14:paraId="34BB26F8">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p>
        </w:tc>
        <w:tc>
          <w:tcPr>
            <w:tcW w:w="390" w:type="pct"/>
            <w:vMerge w:val="continue"/>
            <w:noWrap w:val="0"/>
            <w:vAlign w:val="center"/>
          </w:tcPr>
          <w:p w14:paraId="597486D5">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p>
        </w:tc>
      </w:tr>
      <w:tr w14:paraId="537DF2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486" w:type="pct"/>
            <w:vMerge w:val="continue"/>
            <w:noWrap w:val="0"/>
            <w:vAlign w:val="center"/>
          </w:tcPr>
          <w:p w14:paraId="560499C8">
            <w:pPr>
              <w:pStyle w:val="85"/>
              <w:rPr>
                <w:rFonts w:hint="eastAsia"/>
                <w:color w:val="000000" w:themeColor="text1"/>
                <w14:textFill>
                  <w14:solidFill>
                    <w14:schemeClr w14:val="tx1"/>
                  </w14:solidFill>
                </w14:textFill>
              </w:rPr>
            </w:pPr>
          </w:p>
        </w:tc>
        <w:tc>
          <w:tcPr>
            <w:tcW w:w="1226" w:type="pct"/>
            <w:noWrap w:val="0"/>
            <w:vAlign w:val="center"/>
          </w:tcPr>
          <w:p w14:paraId="0A157F19">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废机油</w:t>
            </w:r>
          </w:p>
        </w:tc>
        <w:tc>
          <w:tcPr>
            <w:tcW w:w="513" w:type="pct"/>
            <w:noWrap w:val="0"/>
            <w:vAlign w:val="center"/>
          </w:tcPr>
          <w:p w14:paraId="58460F1D">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HW</w:t>
            </w:r>
            <w:r>
              <w:rPr>
                <w:rFonts w:hint="eastAsia"/>
                <w:snapToGrid w:val="0"/>
                <w:color w:val="000000" w:themeColor="text1"/>
                <w:lang w:val="en-US" w:eastAsia="zh-CN"/>
                <w14:textFill>
                  <w14:solidFill>
                    <w14:schemeClr w14:val="tx1"/>
                  </w14:solidFill>
                </w14:textFill>
              </w:rPr>
              <w:t>08</w:t>
            </w:r>
          </w:p>
        </w:tc>
        <w:tc>
          <w:tcPr>
            <w:tcW w:w="658" w:type="pct"/>
            <w:noWrap w:val="0"/>
            <w:vAlign w:val="center"/>
          </w:tcPr>
          <w:p w14:paraId="4D3D36F2">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900</w:t>
            </w:r>
            <w:r>
              <w:rPr>
                <w:rFonts w:hint="eastAsia" w:ascii="Times New Roman" w:hAnsi="Times New Roman" w:eastAsia="宋体"/>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214</w:t>
            </w:r>
            <w:r>
              <w:rPr>
                <w:rFonts w:hint="eastAsia" w:ascii="Times New Roman" w:hAnsi="Times New Roman" w:eastAsia="宋体"/>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08</w:t>
            </w:r>
          </w:p>
        </w:tc>
        <w:tc>
          <w:tcPr>
            <w:tcW w:w="583" w:type="pct"/>
            <w:noWrap w:val="0"/>
            <w:vAlign w:val="center"/>
          </w:tcPr>
          <w:p w14:paraId="1D70F7EA">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危废贮存点</w:t>
            </w:r>
          </w:p>
        </w:tc>
        <w:tc>
          <w:tcPr>
            <w:tcW w:w="253" w:type="pct"/>
            <w:vMerge w:val="continue"/>
            <w:noWrap w:val="0"/>
            <w:vAlign w:val="center"/>
          </w:tcPr>
          <w:p w14:paraId="5328409D">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p>
        </w:tc>
        <w:tc>
          <w:tcPr>
            <w:tcW w:w="613" w:type="pct"/>
            <w:noWrap w:val="0"/>
            <w:vAlign w:val="center"/>
          </w:tcPr>
          <w:p w14:paraId="03235BA4">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密封桶装</w:t>
            </w:r>
          </w:p>
        </w:tc>
        <w:tc>
          <w:tcPr>
            <w:tcW w:w="275" w:type="pct"/>
            <w:vMerge w:val="continue"/>
            <w:noWrap w:val="0"/>
            <w:vAlign w:val="center"/>
          </w:tcPr>
          <w:p w14:paraId="584ADCA3">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p>
        </w:tc>
        <w:tc>
          <w:tcPr>
            <w:tcW w:w="390" w:type="pct"/>
            <w:vMerge w:val="continue"/>
            <w:noWrap w:val="0"/>
            <w:vAlign w:val="center"/>
          </w:tcPr>
          <w:p w14:paraId="281BF3B3">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p>
        </w:tc>
      </w:tr>
      <w:tr w14:paraId="1E1915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486" w:type="pct"/>
            <w:vMerge w:val="continue"/>
            <w:noWrap w:val="0"/>
            <w:vAlign w:val="center"/>
          </w:tcPr>
          <w:p w14:paraId="2A9ED322">
            <w:pPr>
              <w:pStyle w:val="85"/>
              <w:rPr>
                <w:rFonts w:hint="eastAsia"/>
                <w:color w:val="000000" w:themeColor="text1"/>
                <w14:textFill>
                  <w14:solidFill>
                    <w14:schemeClr w14:val="tx1"/>
                  </w14:solidFill>
                </w14:textFill>
              </w:rPr>
            </w:pPr>
          </w:p>
        </w:tc>
        <w:tc>
          <w:tcPr>
            <w:tcW w:w="1226" w:type="pct"/>
            <w:noWrap w:val="0"/>
            <w:vAlign w:val="center"/>
          </w:tcPr>
          <w:p w14:paraId="2CA6F0F4">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废机油桶</w:t>
            </w:r>
          </w:p>
        </w:tc>
        <w:tc>
          <w:tcPr>
            <w:tcW w:w="513" w:type="pct"/>
            <w:noWrap w:val="0"/>
            <w:vAlign w:val="center"/>
          </w:tcPr>
          <w:p w14:paraId="329F3A83">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HW</w:t>
            </w:r>
            <w:r>
              <w:rPr>
                <w:rFonts w:hint="eastAsia"/>
                <w:snapToGrid w:val="0"/>
                <w:color w:val="000000" w:themeColor="text1"/>
                <w:lang w:val="en-US" w:eastAsia="zh-CN"/>
                <w14:textFill>
                  <w14:solidFill>
                    <w14:schemeClr w14:val="tx1"/>
                  </w14:solidFill>
                </w14:textFill>
              </w:rPr>
              <w:t>08</w:t>
            </w:r>
          </w:p>
        </w:tc>
        <w:tc>
          <w:tcPr>
            <w:tcW w:w="658" w:type="pct"/>
            <w:noWrap w:val="0"/>
            <w:vAlign w:val="center"/>
          </w:tcPr>
          <w:p w14:paraId="42D0FE96">
            <w:pPr>
              <w:pStyle w:val="143"/>
              <w:ind w:firstLine="0" w:firstLineChars="0"/>
              <w:rPr>
                <w:rFonts w:hint="default"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900-</w:t>
            </w:r>
            <w:r>
              <w:rPr>
                <w:rFonts w:hint="eastAsia"/>
                <w:snapToGrid w:val="0"/>
                <w:color w:val="000000" w:themeColor="text1"/>
                <w:lang w:val="en-US" w:eastAsia="zh-CN"/>
                <w14:textFill>
                  <w14:solidFill>
                    <w14:schemeClr w14:val="tx1"/>
                  </w14:solidFill>
                </w14:textFill>
              </w:rPr>
              <w:t>249</w:t>
            </w:r>
            <w:r>
              <w:rPr>
                <w:rFonts w:hint="eastAsia" w:ascii="Times New Roman" w:hAnsi="Times New Roman" w:eastAsia="宋体"/>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08</w:t>
            </w:r>
          </w:p>
        </w:tc>
        <w:tc>
          <w:tcPr>
            <w:tcW w:w="583" w:type="pct"/>
            <w:noWrap w:val="0"/>
            <w:vAlign w:val="center"/>
          </w:tcPr>
          <w:p w14:paraId="61DC9E07">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危废贮存点</w:t>
            </w:r>
          </w:p>
        </w:tc>
        <w:tc>
          <w:tcPr>
            <w:tcW w:w="253" w:type="pct"/>
            <w:vMerge w:val="continue"/>
            <w:noWrap w:val="0"/>
            <w:vAlign w:val="center"/>
          </w:tcPr>
          <w:p w14:paraId="56F8BEC8">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p>
        </w:tc>
        <w:tc>
          <w:tcPr>
            <w:tcW w:w="613" w:type="pct"/>
            <w:noWrap w:val="0"/>
            <w:vAlign w:val="center"/>
          </w:tcPr>
          <w:p w14:paraId="6FD0792F">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包装袋</w:t>
            </w:r>
            <w:r>
              <w:rPr>
                <w:rFonts w:hint="eastAsia" w:ascii="Times New Roman" w:hAnsi="Times New Roman" w:eastAsia="宋体"/>
                <w:snapToGrid w:val="0"/>
                <w:color w:val="000000" w:themeColor="text1"/>
                <w:lang w:val="en-US" w:eastAsia="zh-CN"/>
                <w14:textFill>
                  <w14:solidFill>
                    <w14:schemeClr w14:val="tx1"/>
                  </w14:solidFill>
                </w14:textFill>
              </w:rPr>
              <w:t>密封</w:t>
            </w:r>
          </w:p>
        </w:tc>
        <w:tc>
          <w:tcPr>
            <w:tcW w:w="275" w:type="pct"/>
            <w:vMerge w:val="continue"/>
            <w:noWrap w:val="0"/>
            <w:vAlign w:val="center"/>
          </w:tcPr>
          <w:p w14:paraId="23AD4FCF">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p>
        </w:tc>
        <w:tc>
          <w:tcPr>
            <w:tcW w:w="390" w:type="pct"/>
            <w:vMerge w:val="continue"/>
            <w:noWrap w:val="0"/>
            <w:vAlign w:val="center"/>
          </w:tcPr>
          <w:p w14:paraId="42C2B619">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p>
        </w:tc>
      </w:tr>
      <w:tr w14:paraId="532236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587" w:hRule="atLeast"/>
          <w:jc w:val="center"/>
        </w:trPr>
        <w:tc>
          <w:tcPr>
            <w:tcW w:w="486" w:type="pct"/>
            <w:vMerge w:val="continue"/>
            <w:noWrap w:val="0"/>
            <w:vAlign w:val="center"/>
          </w:tcPr>
          <w:p w14:paraId="20B4E457">
            <w:pPr>
              <w:pStyle w:val="85"/>
              <w:rPr>
                <w:rFonts w:hint="eastAsia"/>
                <w:color w:val="000000" w:themeColor="text1"/>
                <w14:textFill>
                  <w14:solidFill>
                    <w14:schemeClr w14:val="tx1"/>
                  </w14:solidFill>
                </w14:textFill>
              </w:rPr>
            </w:pPr>
          </w:p>
        </w:tc>
        <w:tc>
          <w:tcPr>
            <w:tcW w:w="1226" w:type="pct"/>
            <w:noWrap w:val="0"/>
            <w:vAlign w:val="center"/>
          </w:tcPr>
          <w:p w14:paraId="109A21E1">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废含油抹布手套</w:t>
            </w:r>
          </w:p>
        </w:tc>
        <w:tc>
          <w:tcPr>
            <w:tcW w:w="846" w:type="dxa"/>
            <w:noWrap w:val="0"/>
            <w:vAlign w:val="center"/>
          </w:tcPr>
          <w:p w14:paraId="6FB83071">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HW</w:t>
            </w:r>
            <w:r>
              <w:rPr>
                <w:rFonts w:hint="eastAsia"/>
                <w:snapToGrid w:val="0"/>
                <w:color w:val="000000" w:themeColor="text1"/>
                <w:lang w:val="en-US" w:eastAsia="zh-CN"/>
                <w14:textFill>
                  <w14:solidFill>
                    <w14:schemeClr w14:val="tx1"/>
                  </w14:solidFill>
                </w14:textFill>
              </w:rPr>
              <w:t>08</w:t>
            </w:r>
          </w:p>
        </w:tc>
        <w:tc>
          <w:tcPr>
            <w:tcW w:w="1087" w:type="dxa"/>
            <w:noWrap w:val="0"/>
            <w:vAlign w:val="center"/>
          </w:tcPr>
          <w:p w14:paraId="2A5E1B73">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ascii="Times New Roman" w:hAnsi="Times New Roman" w:eastAsia="宋体"/>
                <w:snapToGrid w:val="0"/>
                <w:color w:val="000000" w:themeColor="text1"/>
                <w:lang w:val="en-US" w:eastAsia="zh-CN"/>
                <w14:textFill>
                  <w14:solidFill>
                    <w14:schemeClr w14:val="tx1"/>
                  </w14:solidFill>
                </w14:textFill>
              </w:rPr>
              <w:t>900-</w:t>
            </w:r>
            <w:r>
              <w:rPr>
                <w:rFonts w:hint="eastAsia"/>
                <w:snapToGrid w:val="0"/>
                <w:color w:val="000000" w:themeColor="text1"/>
                <w:lang w:val="en-US" w:eastAsia="zh-CN"/>
                <w14:textFill>
                  <w14:solidFill>
                    <w14:schemeClr w14:val="tx1"/>
                  </w14:solidFill>
                </w14:textFill>
              </w:rPr>
              <w:t>249</w:t>
            </w:r>
            <w:r>
              <w:rPr>
                <w:rFonts w:hint="eastAsia" w:ascii="Times New Roman" w:hAnsi="Times New Roman" w:eastAsia="宋体"/>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08</w:t>
            </w:r>
          </w:p>
        </w:tc>
        <w:tc>
          <w:tcPr>
            <w:tcW w:w="583" w:type="pct"/>
            <w:noWrap w:val="0"/>
            <w:vAlign w:val="center"/>
          </w:tcPr>
          <w:p w14:paraId="123617DC">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危废贮存点</w:t>
            </w:r>
          </w:p>
        </w:tc>
        <w:tc>
          <w:tcPr>
            <w:tcW w:w="253" w:type="pct"/>
            <w:vMerge w:val="continue"/>
            <w:noWrap w:val="0"/>
            <w:vAlign w:val="center"/>
          </w:tcPr>
          <w:p w14:paraId="6976493B">
            <w:pPr>
              <w:pStyle w:val="143"/>
              <w:ind w:firstLine="0" w:firstLineChars="0"/>
              <w:rPr>
                <w:rFonts w:hint="eastAsia" w:ascii="Times New Roman" w:hAnsi="Times New Roman" w:eastAsia="宋体"/>
                <w:snapToGrid w:val="0"/>
                <w:color w:val="000000" w:themeColor="text1"/>
                <w:lang w:val="en-GB" w:eastAsia="zh-CN"/>
                <w14:textFill>
                  <w14:solidFill>
                    <w14:schemeClr w14:val="tx1"/>
                  </w14:solidFill>
                </w14:textFill>
              </w:rPr>
            </w:pPr>
          </w:p>
        </w:tc>
        <w:tc>
          <w:tcPr>
            <w:tcW w:w="613" w:type="pct"/>
            <w:noWrap w:val="0"/>
            <w:vAlign w:val="center"/>
          </w:tcPr>
          <w:p w14:paraId="2235412D">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包装袋</w:t>
            </w:r>
            <w:r>
              <w:rPr>
                <w:rFonts w:hint="eastAsia" w:ascii="Times New Roman" w:hAnsi="Times New Roman" w:eastAsia="宋体"/>
                <w:snapToGrid w:val="0"/>
                <w:color w:val="000000" w:themeColor="text1"/>
                <w:lang w:val="en-US" w:eastAsia="zh-CN"/>
                <w14:textFill>
                  <w14:solidFill>
                    <w14:schemeClr w14:val="tx1"/>
                  </w14:solidFill>
                </w14:textFill>
              </w:rPr>
              <w:t>密封</w:t>
            </w:r>
          </w:p>
        </w:tc>
        <w:tc>
          <w:tcPr>
            <w:tcW w:w="275" w:type="pct"/>
            <w:vMerge w:val="continue"/>
            <w:noWrap w:val="0"/>
            <w:vAlign w:val="center"/>
          </w:tcPr>
          <w:p w14:paraId="633A5654">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p>
        </w:tc>
        <w:tc>
          <w:tcPr>
            <w:tcW w:w="390" w:type="pct"/>
            <w:vMerge w:val="continue"/>
            <w:noWrap w:val="0"/>
            <w:vAlign w:val="center"/>
          </w:tcPr>
          <w:p w14:paraId="552FD807">
            <w:pPr>
              <w:pStyle w:val="143"/>
              <w:ind w:firstLine="0" w:firstLineChars="0"/>
              <w:rPr>
                <w:rFonts w:hint="eastAsia" w:ascii="Times New Roman" w:hAnsi="Times New Roman" w:eastAsia="宋体"/>
                <w:snapToGrid w:val="0"/>
                <w:color w:val="000000" w:themeColor="text1"/>
                <w:lang w:val="en-US" w:eastAsia="zh-CN"/>
                <w14:textFill>
                  <w14:solidFill>
                    <w14:schemeClr w14:val="tx1"/>
                  </w14:solidFill>
                </w14:textFill>
              </w:rPr>
            </w:pPr>
          </w:p>
        </w:tc>
      </w:tr>
    </w:tbl>
    <w:p w14:paraId="77331E74">
      <w:pPr>
        <w:pStyle w:val="85"/>
        <w:ind w:firstLine="482"/>
        <w:rPr>
          <w:b/>
          <w:bCs/>
          <w:color w:val="000000" w:themeColor="text1"/>
          <w14:textFill>
            <w14:solidFill>
              <w14:schemeClr w14:val="tx1"/>
            </w14:solidFill>
          </w14:textFill>
        </w:rPr>
      </w:pPr>
      <w:r>
        <w:rPr>
          <w:b/>
          <w:bCs/>
          <w:color w:val="000000" w:themeColor="text1"/>
          <w14:textFill>
            <w14:solidFill>
              <w14:schemeClr w14:val="tx1"/>
            </w14:solidFill>
          </w14:textFill>
        </w:rPr>
        <w:t>3、一般固废暂存、转移措施</w:t>
      </w:r>
    </w:p>
    <w:p w14:paraId="72E0260E">
      <w:pPr>
        <w:pStyle w:val="85"/>
        <w:rPr>
          <w:color w:val="000000" w:themeColor="text1"/>
          <w14:textFill>
            <w14:solidFill>
              <w14:schemeClr w14:val="tx1"/>
            </w14:solidFill>
          </w14:textFill>
        </w:rPr>
      </w:pPr>
      <w:r>
        <w:rPr>
          <w:color w:val="000000" w:themeColor="text1"/>
          <w14:textFill>
            <w14:solidFill>
              <w14:schemeClr w14:val="tx1"/>
            </w14:solidFill>
          </w14:textFill>
        </w:rPr>
        <w:t>厂区内一般工业固废的贮存应满足相应防渗漏、防雨淋、防扬尘等环境保护要求。委托他人运输、利用、处置工业固体废物时，应当对受托方的主体资格和技术能力进行核实，依法签订书面合同，在合同中约定污染防治要求。</w:t>
      </w:r>
    </w:p>
    <w:p w14:paraId="42688219">
      <w:pPr>
        <w:pStyle w:val="6"/>
        <w:rPr>
          <w:snapToGrid w:val="0"/>
          <w:color w:val="000000" w:themeColor="text1"/>
          <w14:textFill>
            <w14:solidFill>
              <w14:schemeClr w14:val="tx1"/>
            </w14:solidFill>
          </w14:textFill>
        </w:rPr>
      </w:pPr>
      <w:bookmarkStart w:id="352" w:name="_Toc5161"/>
      <w:r>
        <w:rPr>
          <w:snapToGrid w:val="0"/>
          <w:color w:val="000000" w:themeColor="text1"/>
          <w14:textFill>
            <w14:solidFill>
              <w14:schemeClr w14:val="tx1"/>
            </w14:solidFill>
          </w14:textFill>
        </w:rPr>
        <w:t>6.2.6风险防范措施</w:t>
      </w:r>
      <w:bookmarkEnd w:id="352"/>
    </w:p>
    <w:p w14:paraId="6F85F576">
      <w:pPr>
        <w:pStyle w:val="7"/>
        <w:rPr>
          <w:color w:val="000000" w:themeColor="text1"/>
          <w14:textFill>
            <w14:solidFill>
              <w14:schemeClr w14:val="tx1"/>
            </w14:solidFill>
          </w14:textFill>
        </w:rPr>
      </w:pPr>
      <w:r>
        <w:rPr>
          <w:snapToGrid w:val="0"/>
          <w:color w:val="000000" w:themeColor="text1"/>
          <w14:textFill>
            <w14:solidFill>
              <w14:schemeClr w14:val="tx1"/>
            </w14:solidFill>
          </w14:textFill>
        </w:rPr>
        <w:t>6.2.6.1</w:t>
      </w:r>
      <w:r>
        <w:rPr>
          <w:rFonts w:hint="eastAsia"/>
          <w:color w:val="000000" w:themeColor="text1"/>
          <w:lang w:val="en-US"/>
          <w14:textFill>
            <w14:solidFill>
              <w14:schemeClr w14:val="tx1"/>
            </w14:solidFill>
          </w14:textFill>
        </w:rPr>
        <w:t>选址、总图布置和建筑安全防范措施</w:t>
      </w:r>
    </w:p>
    <w:p w14:paraId="66C724D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建设项目在厂区总平面布置方面，严格执行相关规范要求，所有建、构筑物之间或与其它场所之间留有足够的防火间距，防止在火灾或爆炸时相互影响；严格按工艺处理物料特性，对厂区进行危险区划分。厂区道路划出专用车辆行驶路线、限速标志等并严格执行；在厂区总平面布置中配套建设应急救援设施、救援通道、应急疏散避难所等防护设施。按《安全标志》规定在装置区设置有关的安全标志。</w:t>
      </w:r>
    </w:p>
    <w:p w14:paraId="00DC6D07">
      <w:pPr>
        <w:pStyle w:val="7"/>
        <w:rPr>
          <w:color w:val="000000" w:themeColor="text1"/>
          <w14:textFill>
            <w14:solidFill>
              <w14:schemeClr w14:val="tx1"/>
            </w14:solidFill>
          </w14:textFill>
        </w:rPr>
      </w:pPr>
      <w:r>
        <w:rPr>
          <w:color w:val="000000" w:themeColor="text1"/>
          <w14:textFill>
            <w14:solidFill>
              <w14:schemeClr w14:val="tx1"/>
            </w14:solidFill>
          </w14:textFill>
        </w:rPr>
        <w:t>6.2.6.2</w:t>
      </w:r>
      <w:r>
        <w:rPr>
          <w:rFonts w:hint="eastAsia"/>
          <w:color w:val="000000" w:themeColor="text1"/>
          <w14:textFill>
            <w14:solidFill>
              <w14:schemeClr w14:val="tx1"/>
            </w14:solidFill>
          </w14:textFill>
        </w:rPr>
        <w:t>运输事故风险防范措施</w:t>
      </w:r>
    </w:p>
    <w:p w14:paraId="234F45C4">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为了尽量减少事故风险带来的危害，本项目应采取一些基本的事故防范措施，做好运输过程中的防范措施至关重要。针对运输中可能存在的风险特提出风险防范措施。</w:t>
      </w:r>
    </w:p>
    <w:p w14:paraId="333427BA">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本项目运输对环境的影响重点要考虑的是液碱、液体二氧化碳、</w:t>
      </w:r>
      <w:r>
        <w:rPr>
          <w:color w:val="000000" w:themeColor="text1"/>
          <w14:textFill>
            <w14:solidFill>
              <w14:schemeClr w14:val="tx1"/>
            </w14:solidFill>
          </w14:textFill>
        </w:rPr>
        <w:t>危险化学品</w:t>
      </w:r>
      <w:r>
        <w:rPr>
          <w:rFonts w:hint="eastAsia"/>
          <w:color w:val="000000" w:themeColor="text1"/>
          <w14:textFill>
            <w14:solidFill>
              <w14:schemeClr w14:val="tx1"/>
            </w14:solidFill>
          </w14:textFill>
        </w:rPr>
        <w:t>运输，建议项目采取的主要防范措施如下：</w:t>
      </w:r>
    </w:p>
    <w:p w14:paraId="72E4E06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一般采用汽车槽罐车运输，加强对车辆的管理，加强车检工作，保证上路车辆车况良好；依据国务院发布的《化学危险物品安全管理条例》有关要求，运输危险品须持有部门颁发的三张证书，即运输许可证、驾驶员执照及保安员证书；</w:t>
      </w:r>
    </w:p>
    <w:p w14:paraId="518198B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必须在车前醒目位置悬挂黄底黑字“危险品”字样的三角旗；严格禁止车辆超载、超速。必须严格按照危险品运输的相关规定，如必须配备固定装运危险品的车辆和驾驶员，运输危险品车辆的驾驶员一定要经过专业的培训，运输危险品的车辆必须在运输道路上保持安全车速，严禁外来明火，同时还必须有随车人员负责押送，随车人员必须经过专业的培训。</w:t>
      </w:r>
    </w:p>
    <w:p w14:paraId="73CD474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槽车运送时要灌装适量，不可超压超量运输；运输时按规定路线行驶，中途不得停留。</w:t>
      </w:r>
    </w:p>
    <w:p w14:paraId="2534469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危险品运输途中，道路管理部门应予以严密监控，以便发生情况能及时采取措施。</w:t>
      </w:r>
    </w:p>
    <w:p w14:paraId="6185A403">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一旦发生危险品运输泄漏事故，由当事人或目击者通过应急电话，立即通知应急指挥部，由其依据应急预案联络当地环保部门、公安部门、消防部门及其它有应急事故处理能力的当地部门，及时采取应急行动，确保在最短的时间将事故控制，以减少对环境的危害。</w:t>
      </w:r>
    </w:p>
    <w:p w14:paraId="5EF20305">
      <w:pPr>
        <w:pStyle w:val="7"/>
        <w:rPr>
          <w:color w:val="000000" w:themeColor="text1"/>
          <w14:textFill>
            <w14:solidFill>
              <w14:schemeClr w14:val="tx1"/>
            </w14:solidFill>
          </w14:textFill>
        </w:rPr>
      </w:pPr>
      <w:r>
        <w:rPr>
          <w:color w:val="000000" w:themeColor="text1"/>
          <w14:textFill>
            <w14:solidFill>
              <w14:schemeClr w14:val="tx1"/>
            </w14:solidFill>
          </w14:textFill>
        </w:rPr>
        <w:t>6.2.6.3</w:t>
      </w:r>
      <w:r>
        <w:rPr>
          <w:rFonts w:hint="eastAsia"/>
          <w:color w:val="000000" w:themeColor="text1"/>
          <w14:textFill>
            <w14:solidFill>
              <w14:schemeClr w14:val="tx1"/>
            </w14:solidFill>
          </w14:textFill>
        </w:rPr>
        <w:t>液碱和液体二氧化碳泄漏风险防范措施</w:t>
      </w:r>
    </w:p>
    <w:p w14:paraId="056AC14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为防止液碱泄漏污染周围环境，建设单位应对储存区地面进行防渗处理，并设置泄漏液收集系统，罐区周围设</w:t>
      </w:r>
      <w:r>
        <w:rPr>
          <w:color w:val="000000" w:themeColor="text1"/>
          <w14:textFill>
            <w14:solidFill>
              <w14:schemeClr w14:val="tx1"/>
            </w14:solidFill>
          </w14:textFill>
        </w:rPr>
        <w:t>6m×2m×1.2m</w:t>
      </w:r>
      <w:r>
        <w:rPr>
          <w:rFonts w:hint="eastAsia"/>
          <w:color w:val="000000" w:themeColor="text1"/>
          <w14:textFill>
            <w14:solidFill>
              <w14:schemeClr w14:val="tx1"/>
            </w14:solidFill>
          </w14:textFill>
        </w:rPr>
        <w:t>围堰，围堰内容积为</w:t>
      </w:r>
      <w:r>
        <w:rPr>
          <w:color w:val="000000" w:themeColor="text1"/>
          <w14:textFill>
            <w14:solidFill>
              <w14:schemeClr w14:val="tx1"/>
            </w14:solidFill>
          </w14:textFill>
        </w:rPr>
        <w:t>14.4</w:t>
      </w:r>
      <w:r>
        <w:rPr>
          <w:rFonts w:hint="eastAsia"/>
          <w:color w:val="000000" w:themeColor="text1"/>
          <w14:textFill>
            <w14:solidFill>
              <w14:schemeClr w14:val="tx1"/>
            </w14:solidFill>
          </w14:textFill>
        </w:rPr>
        <w:t>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；罐区配有防爆泵等应急收集装置，一旦出现泄漏，液碱采用泵将液碱收集至液碱回收储罐内，把事故风险控制在最小范围内。</w:t>
      </w:r>
    </w:p>
    <w:p w14:paraId="6B8611F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在二氧化碳罐区周围设</w:t>
      </w:r>
      <w:r>
        <w:rPr>
          <w:color w:val="000000" w:themeColor="text1"/>
          <w14:textFill>
            <w14:solidFill>
              <w14:schemeClr w14:val="tx1"/>
            </w14:solidFill>
          </w14:textFill>
        </w:rPr>
        <w:t>3</w:t>
      </w:r>
      <w:r>
        <w:rPr>
          <w:rFonts w:hint="eastAsia"/>
          <w:color w:val="000000" w:themeColor="text1"/>
          <w14:textFill>
            <w14:solidFill>
              <w14:schemeClr w14:val="tx1"/>
            </w14:solidFill>
          </w14:textFill>
        </w:rPr>
        <w:t>m×</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m×1</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m围堰，围堰内容积为</w:t>
      </w:r>
      <w:r>
        <w:rPr>
          <w:color w:val="000000" w:themeColor="text1"/>
          <w14:textFill>
            <w14:solidFill>
              <w14:schemeClr w14:val="tx1"/>
            </w14:solidFill>
          </w14:textFill>
        </w:rPr>
        <w:t>7.2</w:t>
      </w:r>
      <w:r>
        <w:rPr>
          <w:rFonts w:hint="eastAsia"/>
          <w:color w:val="000000" w:themeColor="text1"/>
          <w14:textFill>
            <w14:solidFill>
              <w14:schemeClr w14:val="tx1"/>
            </w14:solidFill>
          </w14:textFill>
        </w:rPr>
        <w:t>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；罐区配有防爆泵等应急收集装置，一旦出现泄漏，采用泵将液体二氧化碳收集至液体二氧化碳回收储罐内，把事故风险控制在最小范围内。</w:t>
      </w:r>
    </w:p>
    <w:p w14:paraId="116D1C83">
      <w:pPr>
        <w:pStyle w:val="7"/>
        <w:rPr>
          <w:color w:val="000000" w:themeColor="text1"/>
          <w14:textFill>
            <w14:solidFill>
              <w14:schemeClr w14:val="tx1"/>
            </w14:solidFill>
          </w14:textFill>
        </w:rPr>
      </w:pPr>
      <w:r>
        <w:rPr>
          <w:color w:val="000000" w:themeColor="text1"/>
          <w14:textFill>
            <w14:solidFill>
              <w14:schemeClr w14:val="tx1"/>
            </w14:solidFill>
          </w14:textFill>
        </w:rPr>
        <w:t>6.2.6.4</w:t>
      </w:r>
      <w:r>
        <w:rPr>
          <w:rFonts w:hint="eastAsia"/>
          <w:color w:val="000000" w:themeColor="text1"/>
          <w14:textFill>
            <w14:solidFill>
              <w14:schemeClr w14:val="tx1"/>
            </w14:solidFill>
          </w14:textFill>
        </w:rPr>
        <w:t>危险化学品泄漏风险防范措施</w:t>
      </w:r>
    </w:p>
    <w:p w14:paraId="21EB7BF9">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对于危险化学品的购买、储存、保管、使用等需按照《危险化学品安全管理条例》之规定管理。危险化学品中剧毒化学品必须向当地公安局申请领取购买凭证，凭证购买。危险化学品必须储存在专用仓库、专用场地或者专用储存室内，其储存方式、方法与储存数量必须符合国家有关规定，并由专人管理，危险化学品出入库，必须进行核查登记，并定期检查库存。剧毒化学品的储存必须在专用仓库内单独存放，实行双人收发、双人保管制度。储存单位应当将储存剧毒化学品数量、地点以及管理人员的情况，报当地公安部门和负责危险化学品安全监督管理综合部门备案。危险化学品专用仓库，应当符合国家相关规定(安全、消防)要求，设置明显标志。</w:t>
      </w:r>
    </w:p>
    <w:p w14:paraId="61FFC3A4">
      <w:pPr>
        <w:pStyle w:val="7"/>
        <w:rPr>
          <w:color w:val="000000" w:themeColor="text1"/>
          <w14:textFill>
            <w14:solidFill>
              <w14:schemeClr w14:val="tx1"/>
            </w14:solidFill>
          </w14:textFill>
        </w:rPr>
      </w:pPr>
      <w:r>
        <w:rPr>
          <w:color w:val="000000" w:themeColor="text1"/>
          <w14:textFill>
            <w14:solidFill>
              <w14:schemeClr w14:val="tx1"/>
            </w14:solidFill>
          </w14:textFill>
        </w:rPr>
        <w:t>6.2.6.5危险废物泄漏风险防范措施</w:t>
      </w:r>
    </w:p>
    <w:p w14:paraId="2C014FA8">
      <w:pPr>
        <w:pStyle w:val="85"/>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、危险废物事故应急措施</w:t>
      </w:r>
    </w:p>
    <w:p w14:paraId="4959BB25">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发生危险废物流失、泄漏、扩散和意外事故时，应当按照以下要求及时采取紧急处理措施：</w:t>
      </w:r>
    </w:p>
    <w:p w14:paraId="126D4F7D">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确定流失、泄漏、扩散的危险废物的类别、数量、发生时间、影响范围及严重程度；</w:t>
      </w:r>
    </w:p>
    <w:p w14:paraId="068F281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组织有关人员尽快按照应急方案，对发生危险废物泄漏、扩散的现场进行处理；</w:t>
      </w:r>
    </w:p>
    <w:p w14:paraId="3D02686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对被危险废物污染的区域进行处理时，应当尽可能减少对病人、医务人员、其它现场人员及环境的影响；</w:t>
      </w:r>
    </w:p>
    <w:p w14:paraId="206C1408">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采取适当的安全处置措施，对泄漏物及受污染的区域、物品进行消毒或者其他无害化处置，必要时封锁污染区域，以防扩大污染；</w:t>
      </w:r>
    </w:p>
    <w:p w14:paraId="6D493DD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工作人员应当做好卫生安全防护后进行工作。处理工作结束后，医疗卫生机构应当对事件的起因进行调查，并采取有效的防范措施预防类似事件的发生。</w:t>
      </w:r>
    </w:p>
    <w:p w14:paraId="2DD721A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危险废物贮存点地面采取防渗措施，满足《危险废物贮存污染控制标准》（GB 18597-2023）中</w:t>
      </w:r>
      <w:r>
        <w:rPr>
          <w:rFonts w:hint="eastAsia"/>
          <w:color w:val="000000" w:themeColor="text1"/>
          <w:lang w:val="en-US" w:eastAsia="zh-CN"/>
          <w14:textFill>
            <w14:solidFill>
              <w14:schemeClr w14:val="tx1"/>
            </w14:solidFill>
          </w14:textFill>
        </w:rPr>
        <w:t>基础防渗为至少 1 m 厚黏土层（渗透系数不大于 10</w:t>
      </w:r>
      <w:r>
        <w:rPr>
          <w:rFonts w:hint="eastAsia"/>
          <w:color w:val="000000" w:themeColor="text1"/>
          <w:vertAlign w:val="superscript"/>
          <w:lang w:val="en-US" w:eastAsia="zh-CN"/>
          <w14:textFill>
            <w14:solidFill>
              <w14:schemeClr w14:val="tx1"/>
            </w14:solidFill>
          </w14:textFill>
        </w:rPr>
        <w:t xml:space="preserve"> -7</w:t>
      </w:r>
      <w:r>
        <w:rPr>
          <w:rFonts w:hint="eastAsia"/>
          <w:color w:val="000000" w:themeColor="text1"/>
          <w:lang w:val="en-US" w:eastAsia="zh-CN"/>
          <w14:textFill>
            <w14:solidFill>
              <w14:schemeClr w14:val="tx1"/>
            </w14:solidFill>
          </w14:textFill>
        </w:rPr>
        <w:t xml:space="preserve"> cm/s），或至少2 mm 厚高密度聚乙烯膜等人工防渗材料（渗透系数不大于 10 </w:t>
      </w:r>
      <w:r>
        <w:rPr>
          <w:rFonts w:hint="eastAsia"/>
          <w:color w:val="000000" w:themeColor="text1"/>
          <w:vertAlign w:val="superscript"/>
          <w:lang w:val="en-US" w:eastAsia="zh-CN"/>
          <w14:textFill>
            <w14:solidFill>
              <w14:schemeClr w14:val="tx1"/>
            </w14:solidFill>
          </w14:textFill>
        </w:rPr>
        <w:t>-10</w:t>
      </w:r>
      <w:r>
        <w:rPr>
          <w:rFonts w:hint="eastAsia"/>
          <w:color w:val="000000" w:themeColor="text1"/>
          <w:lang w:val="en-US" w:eastAsia="zh-CN"/>
          <w14:textFill>
            <w14:solidFill>
              <w14:schemeClr w14:val="tx1"/>
            </w14:solidFill>
          </w14:textFill>
        </w:rPr>
        <w:t xml:space="preserve"> cm/s）</w:t>
      </w:r>
      <w:r>
        <w:rPr>
          <w:rFonts w:hint="eastAsia"/>
          <w:color w:val="000000" w:themeColor="text1"/>
          <w14:textFill>
            <w14:solidFill>
              <w14:schemeClr w14:val="tx1"/>
            </w14:solidFill>
          </w14:textFill>
        </w:rPr>
        <w:t>的要求。</w:t>
      </w:r>
    </w:p>
    <w:p w14:paraId="3132B98B">
      <w:pPr>
        <w:pStyle w:val="85"/>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、人员安全防护</w:t>
      </w:r>
    </w:p>
    <w:p w14:paraId="0204D3F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危险废物相关工作人员和管理人员应当达到以下要求：</w:t>
      </w:r>
    </w:p>
    <w:p w14:paraId="0E44E66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掌握国家相关法律、法规、规章和有关规范性文件的规定，熟悉本机构制定的危险废物管理的规章制度、工作流程和各项工作要求；</w:t>
      </w:r>
    </w:p>
    <w:p w14:paraId="0448BDD1">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掌握危险废物分类收集、运送、暂时贮存的正确方法和操作程序；</w:t>
      </w:r>
    </w:p>
    <w:p w14:paraId="75A6B9B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掌握危险废物分类中的安全知识、专业技术、职业卫生安全防护等知识；</w:t>
      </w:r>
    </w:p>
    <w:p w14:paraId="182F8390">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掌握在危险废物分类收集、运送、暂时贮存及处置过程中预防被危险废物刺伤、擦伤等伤害的措施及发生后的处理措施。</w:t>
      </w:r>
    </w:p>
    <w:p w14:paraId="71D6FC4F">
      <w:pPr>
        <w:pStyle w:val="7"/>
        <w:rPr>
          <w:color w:val="000000" w:themeColor="text1"/>
          <w14:textFill>
            <w14:solidFill>
              <w14:schemeClr w14:val="tx1"/>
            </w14:solidFill>
          </w14:textFill>
        </w:rPr>
      </w:pPr>
      <w:r>
        <w:rPr>
          <w:color w:val="000000" w:themeColor="text1"/>
          <w14:textFill>
            <w14:solidFill>
              <w14:schemeClr w14:val="tx1"/>
            </w14:solidFill>
          </w14:textFill>
        </w:rPr>
        <w:t>6.2.6.6</w:t>
      </w:r>
      <w:r>
        <w:rPr>
          <w:rFonts w:hint="eastAsia"/>
          <w:color w:val="000000" w:themeColor="text1"/>
          <w14:textFill>
            <w14:solidFill>
              <w14:schemeClr w14:val="tx1"/>
            </w14:solidFill>
          </w14:textFill>
        </w:rPr>
        <w:t>污水处理设施风险</w:t>
      </w:r>
      <w:r>
        <w:rPr>
          <w:color w:val="000000" w:themeColor="text1"/>
          <w14:textFill>
            <w14:solidFill>
              <w14:schemeClr w14:val="tx1"/>
            </w14:solidFill>
          </w14:textFill>
        </w:rPr>
        <w:t>防范</w:t>
      </w:r>
      <w:r>
        <w:rPr>
          <w:rFonts w:hint="eastAsia"/>
          <w:color w:val="000000" w:themeColor="text1"/>
          <w14:textFill>
            <w14:solidFill>
              <w14:schemeClr w14:val="tx1"/>
            </w14:solidFill>
          </w14:textFill>
        </w:rPr>
        <w:t>对策</w:t>
      </w:r>
      <w:r>
        <w:rPr>
          <w:color w:val="000000" w:themeColor="text1"/>
          <w14:textFill>
            <w14:solidFill>
              <w14:schemeClr w14:val="tx1"/>
            </w14:solidFill>
          </w14:textFill>
        </w:rPr>
        <w:t>和措施</w:t>
      </w:r>
    </w:p>
    <w:p w14:paraId="5F9A4A19">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污水处理设施是污水处理的最后环节，为了保证其正常运行，防止环境风险的发生，对污水处理设施除市政供电外，还配备应急电源，保证污水处理设施用电，并备有应急的消毒剂，避免在污水处理设备出现事故的时候所排放的污水不经过处理就排放情况的发生。</w:t>
      </w:r>
    </w:p>
    <w:p w14:paraId="3D199466">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污水处理设备间、排水管道地面采用防水混凝土，污水处理</w:t>
      </w:r>
      <w:r>
        <w:rPr>
          <w:rFonts w:hint="eastAsia"/>
          <w:color w:val="000000" w:themeColor="text1"/>
          <w:lang w:val="en-US" w:eastAsia="zh-CN"/>
          <w14:textFill>
            <w14:solidFill>
              <w14:schemeClr w14:val="tx1"/>
            </w14:solidFill>
          </w14:textFill>
        </w:rPr>
        <w:t>站各池体进行防渗处理</w:t>
      </w:r>
      <w:r>
        <w:rPr>
          <w:rFonts w:hint="eastAsia"/>
          <w:color w:val="000000" w:themeColor="text1"/>
          <w14:textFill>
            <w14:solidFill>
              <w14:schemeClr w14:val="tx1"/>
            </w14:solidFill>
          </w14:textFill>
        </w:rPr>
        <w:t>，防渗标准可以满足渗透系数≤1</w:t>
      </w:r>
      <w:r>
        <w:rPr>
          <w:rFonts w:cs="Times New Roman"/>
          <w:color w:val="000000" w:themeColor="text1"/>
          <w14:textFill>
            <w14:solidFill>
              <w14:schemeClr w14:val="tx1"/>
            </w14:solidFill>
          </w14:textFill>
        </w:rPr>
        <w:t>×</w:t>
      </w:r>
      <w:r>
        <w:rPr>
          <w:rFonts w:hint="eastAsia"/>
          <w:color w:val="000000" w:themeColor="text1"/>
          <w14:textFill>
            <w14:solidFill>
              <w14:schemeClr w14:val="tx1"/>
            </w14:solidFill>
          </w14:textFill>
        </w:rPr>
        <w:t>10</w:t>
      </w:r>
      <w:r>
        <w:rPr>
          <w:rFonts w:hint="eastAsia"/>
          <w:color w:val="000000" w:themeColor="text1"/>
          <w:vertAlign w:val="superscript"/>
          <w14:textFill>
            <w14:solidFill>
              <w14:schemeClr w14:val="tx1"/>
            </w14:solidFill>
          </w14:textFill>
        </w:rPr>
        <w:t>-7</w:t>
      </w:r>
      <w:r>
        <w:rPr>
          <w:rFonts w:hint="eastAsia"/>
          <w:color w:val="000000" w:themeColor="text1"/>
          <w14:textFill>
            <w14:solidFill>
              <w14:schemeClr w14:val="tx1"/>
            </w14:solidFill>
          </w14:textFill>
        </w:rPr>
        <w:t>cm/s。加强管理，严格监测，严防污水跑冒。</w:t>
      </w:r>
    </w:p>
    <w:p w14:paraId="195ED570">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事故情况下的处理措施：</w:t>
      </w:r>
    </w:p>
    <w:p w14:paraId="662EEEFF">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（1）污水处理系统出现故障，不能正常运行，污水不能达标排放，造成地表水污染。</w:t>
      </w:r>
    </w:p>
    <w:p w14:paraId="3193872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必须对污水处理系统进行专项检查、定期检查，及时维修或更换老化的设备及部件，消除隐患，防止事故发生；加强管理，对污水处理系统操作员工进行环保教育和职业技能培训，做到安全正常生产。</w:t>
      </w:r>
    </w:p>
    <w:p w14:paraId="03B4A6D5">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（2）污水处理系统设备出现故障，不能处理污水，造成所排废水污染物超标，可能对</w:t>
      </w:r>
      <w:r>
        <w:rPr>
          <w:rFonts w:hint="eastAsia"/>
          <w:color w:val="000000" w:themeColor="text1"/>
          <w:lang w:eastAsia="zh-CN"/>
          <w14:textFill>
            <w14:solidFill>
              <w14:schemeClr w14:val="tx1"/>
            </w14:solidFill>
          </w14:textFill>
        </w:rPr>
        <w:t>桦南县城镇污水处理厂</w:t>
      </w:r>
      <w:r>
        <w:rPr>
          <w:rFonts w:hint="eastAsia"/>
          <w:color w:val="000000" w:themeColor="text1"/>
          <w14:textFill>
            <w14:solidFill>
              <w14:schemeClr w14:val="tx1"/>
            </w14:solidFill>
          </w14:textFill>
        </w:rPr>
        <w:t>造成影响。</w:t>
      </w:r>
    </w:p>
    <w:p w14:paraId="4470EDA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当出现故障时，应关闭用水阀门，将事故状态下废水排入事故池，该池容积为</w:t>
      </w:r>
      <w:r>
        <w:rPr>
          <w:rFonts w:hint="eastAsia"/>
          <w:color w:val="000000" w:themeColor="text1"/>
          <w:lang w:val="en-US" w:eastAsia="zh-CN"/>
          <w14:textFill>
            <w14:solidFill>
              <w14:schemeClr w14:val="tx1"/>
            </w14:solidFill>
          </w14:textFill>
        </w:rPr>
        <w:t>300</w:t>
      </w:r>
      <w:r>
        <w:rPr>
          <w:rFonts w:hint="eastAsia"/>
          <w:color w:val="000000" w:themeColor="text1"/>
          <w14:textFill>
            <w14:solidFill>
              <w14:schemeClr w14:val="tx1"/>
            </w14:solidFill>
          </w14:textFill>
        </w:rPr>
        <w:t>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，可容纳</w:t>
      </w:r>
      <w:r>
        <w:rPr>
          <w:rFonts w:hint="eastAsia"/>
          <w:color w:val="000000" w:themeColor="text1"/>
          <w:lang w:val="en-US" w:eastAsia="zh-CN"/>
          <w14:textFill>
            <w14:solidFill>
              <w14:schemeClr w14:val="tx1"/>
            </w14:solidFill>
          </w14:textFill>
        </w:rPr>
        <w:t>2天</w:t>
      </w:r>
      <w:r>
        <w:rPr>
          <w:rFonts w:hint="eastAsia"/>
          <w:color w:val="000000" w:themeColor="text1"/>
          <w14:textFill>
            <w14:solidFill>
              <w14:schemeClr w14:val="tx1"/>
            </w14:solidFill>
          </w14:textFill>
        </w:rPr>
        <w:t>废水量，可以满足事故排水要求。</w:t>
      </w:r>
    </w:p>
    <w:p w14:paraId="3B5AFDCF">
      <w:pPr>
        <w:pStyle w:val="7"/>
        <w:rPr>
          <w:color w:val="000000" w:themeColor="text1"/>
          <w14:textFill>
            <w14:solidFill>
              <w14:schemeClr w14:val="tx1"/>
            </w14:solidFill>
          </w14:textFill>
        </w:rPr>
      </w:pPr>
      <w:r>
        <w:rPr>
          <w:color w:val="000000" w:themeColor="text1"/>
          <w14:textFill>
            <w14:solidFill>
              <w14:schemeClr w14:val="tx1"/>
            </w14:solidFill>
          </w14:textFill>
        </w:rPr>
        <w:t>6.2.6.7</w:t>
      </w:r>
      <w:r>
        <w:rPr>
          <w:rFonts w:hint="eastAsia"/>
          <w:color w:val="000000" w:themeColor="text1"/>
          <w14:textFill>
            <w14:solidFill>
              <w14:schemeClr w14:val="tx1"/>
            </w14:solidFill>
          </w14:textFill>
        </w:rPr>
        <w:t>沼气气室</w:t>
      </w:r>
      <w:r>
        <w:rPr>
          <w:color w:val="000000" w:themeColor="text1"/>
          <w14:textFill>
            <w14:solidFill>
              <w14:schemeClr w14:val="tx1"/>
            </w14:solidFill>
          </w14:textFill>
        </w:rPr>
        <w:t>火灾和爆炸风险防范措施</w:t>
      </w:r>
    </w:p>
    <w:p w14:paraId="2CC7C09F">
      <w:pPr>
        <w:pStyle w:val="85"/>
        <w:rPr>
          <w:color w:val="000000" w:themeColor="text1"/>
          <w:lang w:val="en-GB"/>
          <w14:textFill>
            <w14:solidFill>
              <w14:schemeClr w14:val="tx1"/>
            </w14:solidFill>
          </w14:textFill>
        </w:rPr>
      </w:pPr>
      <w:r>
        <w:rPr>
          <w:color w:val="000000" w:themeColor="text1"/>
          <w:lang w:val="en-GB"/>
          <w14:textFill>
            <w14:solidFill>
              <w14:schemeClr w14:val="tx1"/>
            </w14:solidFill>
          </w14:textFill>
        </w:rPr>
        <w:t>（1）沼气生产区安全管理措施</w:t>
      </w:r>
    </w:p>
    <w:p w14:paraId="0635661D">
      <w:pPr>
        <w:pStyle w:val="85"/>
        <w:rPr>
          <w:color w:val="000000" w:themeColor="text1"/>
          <w:lang w:val="en-GB"/>
          <w14:textFill>
            <w14:solidFill>
              <w14:schemeClr w14:val="tx1"/>
            </w14:solidFill>
          </w14:textFill>
        </w:rPr>
      </w:pPr>
      <w:r>
        <w:rPr>
          <w:color w:val="000000" w:themeColor="text1"/>
          <w:lang w:val="en-GB"/>
          <w14:textFill>
            <w14:solidFill>
              <w14:schemeClr w14:val="tx1"/>
            </w14:solidFill>
          </w14:textFill>
        </w:rPr>
        <w:t>贮气柜应划定一定距离范围内为防暴区，并设立禁止明火标志，防爆区要加强通风，防治沼气蓄积；配备必要的消防器材。</w:t>
      </w:r>
    </w:p>
    <w:p w14:paraId="499B0B8D">
      <w:pPr>
        <w:pStyle w:val="85"/>
        <w:rPr>
          <w:color w:val="000000" w:themeColor="text1"/>
          <w:lang w:val="en-GB"/>
          <w14:textFill>
            <w14:solidFill>
              <w14:schemeClr w14:val="tx1"/>
            </w14:solidFill>
          </w14:textFill>
        </w:rPr>
      </w:pPr>
      <w:r>
        <w:rPr>
          <w:color w:val="000000" w:themeColor="text1"/>
          <w:lang w:val="en-GB"/>
          <w14:textFill>
            <w14:solidFill>
              <w14:schemeClr w14:val="tx1"/>
            </w14:solidFill>
          </w14:textFill>
        </w:rPr>
        <w:t>贮气柜、沼气输送管道要加强定期巡查、调节、保养、维修，确保沼气贮存、输送设施气密性良好运营。</w:t>
      </w:r>
    </w:p>
    <w:p w14:paraId="5C16EFB8">
      <w:pPr>
        <w:pStyle w:val="85"/>
        <w:rPr>
          <w:color w:val="000000" w:themeColor="text1"/>
          <w:lang w:val="en-GB"/>
          <w14:textFill>
            <w14:solidFill>
              <w14:schemeClr w14:val="tx1"/>
            </w14:solidFill>
          </w14:textFill>
        </w:rPr>
      </w:pPr>
      <w:r>
        <w:rPr>
          <w:color w:val="000000" w:themeColor="text1"/>
          <w:lang w:val="en-GB"/>
          <w14:textFill>
            <w14:solidFill>
              <w14:schemeClr w14:val="tx1"/>
            </w14:solidFill>
          </w14:textFill>
        </w:rPr>
        <w:t>沼气制备系统设连续自动监测压力，自动调压，防止超压爆炸。当压力高于定值时，则应报警，并打开沼气使用系统，放散沼气。</w:t>
      </w:r>
    </w:p>
    <w:p w14:paraId="76F75B54">
      <w:pPr>
        <w:pStyle w:val="85"/>
        <w:rPr>
          <w:color w:val="000000" w:themeColor="text1"/>
          <w:lang w:val="en-GB"/>
          <w14:textFill>
            <w14:solidFill>
              <w14:schemeClr w14:val="tx1"/>
            </w14:solidFill>
          </w14:textFill>
        </w:rPr>
      </w:pPr>
      <w:r>
        <w:rPr>
          <w:color w:val="000000" w:themeColor="text1"/>
          <w:lang w:val="en-GB"/>
          <w14:textFill>
            <w14:solidFill>
              <w14:schemeClr w14:val="tx1"/>
            </w14:solidFill>
          </w14:textFill>
        </w:rPr>
        <w:t>制定项目沼气利用工程区电气运行和操作的巡回检查制度、检修制度、运行安全操作规程等各项规章制度。加强人员技术培训，电气维修人员必须经过培训，取得特种作业操作证后，方可上岗。防止因静电火花诱发沼气燃爆事故发生。</w:t>
      </w:r>
    </w:p>
    <w:p w14:paraId="0A779E87">
      <w:pPr>
        <w:pStyle w:val="85"/>
        <w:rPr>
          <w:color w:val="000000" w:themeColor="text1"/>
          <w:lang w:val="en-GB"/>
          <w14:textFill>
            <w14:solidFill>
              <w14:schemeClr w14:val="tx1"/>
            </w14:solidFill>
          </w14:textFill>
        </w:rPr>
      </w:pPr>
      <w:r>
        <w:rPr>
          <w:color w:val="000000" w:themeColor="text1"/>
          <w:lang w:val="en-GB"/>
          <w14:textFill>
            <w14:solidFill>
              <w14:schemeClr w14:val="tx1"/>
            </w14:solidFill>
          </w14:textFill>
        </w:rPr>
        <w:t>（2）沼气利用风险防范措施</w:t>
      </w:r>
    </w:p>
    <w:p w14:paraId="2A096202">
      <w:pPr>
        <w:pStyle w:val="85"/>
        <w:rPr>
          <w:color w:val="000000" w:themeColor="text1"/>
          <w:lang w:val="en-GB"/>
          <w14:textFill>
            <w14:solidFill>
              <w14:schemeClr w14:val="tx1"/>
            </w14:solidFill>
          </w14:textFill>
        </w:rPr>
      </w:pPr>
      <w:r>
        <w:rPr>
          <w:rFonts w:hint="eastAsia"/>
          <w:color w:val="000000" w:themeColor="text1"/>
          <w:lang w:val="en-GB"/>
          <w14:textFill>
            <w14:solidFill>
              <w14:schemeClr w14:val="tx1"/>
            </w14:solidFill>
          </w14:textFill>
        </w:rPr>
        <w:t>①</w:t>
      </w:r>
      <w:r>
        <w:rPr>
          <w:color w:val="000000" w:themeColor="text1"/>
          <w:lang w:val="en-GB"/>
          <w14:textFill>
            <w14:solidFill>
              <w14:schemeClr w14:val="tx1"/>
            </w14:solidFill>
          </w14:textFill>
        </w:rPr>
        <w:t>输送沼气导管上的阀门要灵活、严密，不能漏气；安装沼气泄漏报警装置。</w:t>
      </w:r>
    </w:p>
    <w:p w14:paraId="4501ACB6">
      <w:pPr>
        <w:pStyle w:val="85"/>
        <w:rPr>
          <w:color w:val="000000" w:themeColor="text1"/>
          <w:lang w:val="en-GB"/>
          <w14:textFill>
            <w14:solidFill>
              <w14:schemeClr w14:val="tx1"/>
            </w14:solidFill>
          </w14:textFill>
        </w:rPr>
      </w:pPr>
      <w:r>
        <w:rPr>
          <w:rFonts w:hint="eastAsia"/>
          <w:color w:val="000000" w:themeColor="text1"/>
          <w:lang w:val="en-GB"/>
          <w14:textFill>
            <w14:solidFill>
              <w14:schemeClr w14:val="tx1"/>
            </w14:solidFill>
          </w14:textFill>
        </w:rPr>
        <w:t>②</w:t>
      </w:r>
      <w:r>
        <w:rPr>
          <w:color w:val="000000" w:themeColor="text1"/>
          <w:lang w:val="en-GB"/>
          <w14:textFill>
            <w14:solidFill>
              <w14:schemeClr w14:val="tx1"/>
            </w14:solidFill>
          </w14:textFill>
        </w:rPr>
        <w:t>导气管应经常检查，确保不漏气。</w:t>
      </w:r>
    </w:p>
    <w:p w14:paraId="6C4B8E9E">
      <w:pPr>
        <w:pStyle w:val="85"/>
        <w:rPr>
          <w:color w:val="000000" w:themeColor="text1"/>
          <w:lang w:val="en-GB"/>
          <w14:textFill>
            <w14:solidFill>
              <w14:schemeClr w14:val="tx1"/>
            </w14:solidFill>
          </w14:textFill>
        </w:rPr>
      </w:pPr>
      <w:r>
        <w:rPr>
          <w:rFonts w:hint="eastAsia"/>
          <w:color w:val="000000" w:themeColor="text1"/>
          <w:lang w:val="en-GB"/>
          <w14:textFill>
            <w14:solidFill>
              <w14:schemeClr w14:val="tx1"/>
            </w14:solidFill>
          </w14:textFill>
        </w:rPr>
        <w:t>③</w:t>
      </w:r>
      <w:r>
        <w:rPr>
          <w:color w:val="000000" w:themeColor="text1"/>
          <w:lang w:val="en-GB"/>
          <w14:textFill>
            <w14:solidFill>
              <w14:schemeClr w14:val="tx1"/>
            </w14:solidFill>
          </w14:textFill>
        </w:rPr>
        <w:t>导气管上应装上压力表。压力过高应排出气体；压力不足时应停止使用，重新进料充气，以防止回火。</w:t>
      </w:r>
    </w:p>
    <w:p w14:paraId="29AB2EB3">
      <w:pPr>
        <w:pStyle w:val="85"/>
        <w:rPr>
          <w:color w:val="000000" w:themeColor="text1"/>
          <w:lang w:val="en-GB"/>
          <w14:textFill>
            <w14:solidFill>
              <w14:schemeClr w14:val="tx1"/>
            </w14:solidFill>
          </w14:textFill>
        </w:rPr>
      </w:pPr>
      <w:r>
        <w:rPr>
          <w:rFonts w:hint="eastAsia"/>
          <w:color w:val="000000" w:themeColor="text1"/>
          <w:lang w:val="en-GB"/>
          <w14:textFill>
            <w14:solidFill>
              <w14:schemeClr w14:val="tx1"/>
            </w14:solidFill>
          </w14:textFill>
        </w:rPr>
        <w:t>④</w:t>
      </w:r>
      <w:r>
        <w:rPr>
          <w:color w:val="000000" w:themeColor="text1"/>
          <w:lang w:val="en-GB"/>
          <w14:textFill>
            <w14:solidFill>
              <w14:schemeClr w14:val="tx1"/>
            </w14:solidFill>
          </w14:textFill>
        </w:rPr>
        <w:t>使用沼气必须与可燃物保持一定的安全距离，以保证安全。</w:t>
      </w:r>
    </w:p>
    <w:p w14:paraId="17CE992B">
      <w:pPr>
        <w:pStyle w:val="85"/>
        <w:rPr>
          <w:color w:val="000000" w:themeColor="text1"/>
          <w14:textFill>
            <w14:solidFill>
              <w14:schemeClr w14:val="tx1"/>
            </w14:solidFill>
          </w14:textFill>
        </w:rPr>
      </w:pPr>
      <w:r>
        <w:rPr>
          <w:rFonts w:hint="eastAsia"/>
          <w:color w:val="000000" w:themeColor="text1"/>
          <w:lang w:val="en-GB"/>
          <w14:textFill>
            <w14:solidFill>
              <w14:schemeClr w14:val="tx1"/>
            </w14:solidFill>
          </w14:textFill>
        </w:rPr>
        <w:t>⑤</w:t>
      </w:r>
      <w:r>
        <w:rPr>
          <w:color w:val="000000" w:themeColor="text1"/>
          <w:lang w:val="en-GB"/>
          <w14:textFill>
            <w14:solidFill>
              <w14:schemeClr w14:val="tx1"/>
            </w14:solidFill>
          </w14:textFill>
        </w:rPr>
        <w:t>使用沼气时发现漏气，应立即打开门窗，熄灭室内各种火源，以防沼气爆炸。</w:t>
      </w:r>
    </w:p>
    <w:p w14:paraId="56666323">
      <w:pPr>
        <w:pStyle w:val="7"/>
        <w:rPr>
          <w:snapToGrid w:val="0"/>
          <w:lang w:eastAsia="zh-CN"/>
        </w:rPr>
      </w:pPr>
      <w:r>
        <w:rPr>
          <w:rFonts w:hint="eastAsia"/>
          <w:snapToGrid w:val="0"/>
          <w:lang w:eastAsia="zh-CN"/>
        </w:rPr>
        <w:t>6</w:t>
      </w:r>
      <w:r>
        <w:rPr>
          <w:snapToGrid w:val="0"/>
          <w:lang w:eastAsia="zh-CN"/>
        </w:rPr>
        <w:t>.2.6.8</w:t>
      </w:r>
      <w:r>
        <w:rPr>
          <w:rFonts w:hint="eastAsia"/>
          <w:snapToGrid w:val="0"/>
          <w:lang w:eastAsia="zh-CN"/>
        </w:rPr>
        <w:t>柴油泄漏和火灾、爆炸风险防范措施</w:t>
      </w:r>
    </w:p>
    <w:p w14:paraId="4FB59436">
      <w:pPr>
        <w:pStyle w:val="85"/>
        <w:ind w:left="0" w:leftChars="0" w:firstLine="480" w:firstLineChars="200"/>
      </w:pPr>
      <w:r>
        <w:rPr>
          <w:rFonts w:hint="eastAsia"/>
        </w:rPr>
        <w:t>柴油泄漏若遇明火、高热能发生火灾安全事故发生后造成的环境污染事故。</w:t>
      </w:r>
      <w:r>
        <w:rPr>
          <w:rFonts w:hint="eastAsia"/>
          <w:lang w:val="en-US" w:eastAsia="zh-CN"/>
        </w:rPr>
        <w:t>应</w:t>
      </w:r>
      <w:r>
        <w:rPr>
          <w:rFonts w:hint="eastAsia"/>
        </w:rPr>
        <w:t>采取如下措施：</w:t>
      </w:r>
    </w:p>
    <w:p w14:paraId="477E0D69">
      <w:pPr>
        <w:pStyle w:val="85"/>
      </w:pPr>
      <w:r>
        <w:rPr>
          <w:rFonts w:hint="eastAsia"/>
        </w:rPr>
        <w:t>（1）建立、完善安全管理制度：严格按照规定进行工程建设情况的自查、整改和验收，并制定和执行相应的消防管理、安全防火培训、用火用电安全管理、灭火器材维护使用、岗位消防安全等一系列安全制度，并严格遵守执行。</w:t>
      </w:r>
    </w:p>
    <w:p w14:paraId="11DEA7EA">
      <w:pPr>
        <w:pStyle w:val="85"/>
      </w:pPr>
      <w:r>
        <w:rPr>
          <w:rFonts w:hint="eastAsia"/>
        </w:rPr>
        <w:t>（2）柴油</w:t>
      </w:r>
      <w:r>
        <w:rPr>
          <w:rFonts w:hint="eastAsia"/>
          <w:lang w:val="en-US" w:eastAsia="zh-CN"/>
        </w:rPr>
        <w:t>存储区</w:t>
      </w:r>
      <w:r>
        <w:rPr>
          <w:rFonts w:hint="eastAsia"/>
        </w:rPr>
        <w:t>落实防渗措施及非燃烧材料的防火堤围堰。</w:t>
      </w:r>
    </w:p>
    <w:p w14:paraId="6A1161AB">
      <w:pPr>
        <w:pStyle w:val="85"/>
      </w:pPr>
      <w:r>
        <w:rPr>
          <w:rFonts w:hint="eastAsia"/>
        </w:rPr>
        <w:t>（3）当火灾事故发生后应急消防组人员及时到达现场。由油箱柴油渗漏引起的火灾，且火势较小时，应及时穿防护服、带防毒面具、防护手套利用灭火设施积极灭火施救并同时报告应急救组长，应急救援组长根据情况分派相应的人员负责现场处置，由现场处置负责人制定处置方案，处置人员进入渗漏场所排查渗漏点，清除渗漏点附近的可燃物，同时对渗漏卡车进行堵漏。</w:t>
      </w:r>
    </w:p>
    <w:p w14:paraId="1D4391D1">
      <w:pPr>
        <w:pStyle w:val="85"/>
      </w:pPr>
      <w:r>
        <w:rPr>
          <w:rFonts w:hint="eastAsia"/>
        </w:rPr>
        <w:t>如果发现火灾较大时：第一发现火情（爆炸）人员或得知火情（爆炸）的值班人立即报</w:t>
      </w:r>
      <w:r>
        <w:t>119</w:t>
      </w:r>
      <w:r>
        <w:rPr>
          <w:rFonts w:hint="eastAsia"/>
        </w:rPr>
        <w:t>，说明火灾的具体地址、位置、单位名称、失火物品或装置名称、火势大小、火灾现场有无危险化学品、报警人姓名、报警所使用的电话号码，并在路口等候消防车辆；现场值班员或负责人将火情（爆炸情况）向应急救援组长汇报，应急救援组长通知所有成员迅速在指定位置集合，听从统一安排部署；各应急救援小组通知本组成员，按部署迅速展开行动。</w:t>
      </w:r>
    </w:p>
    <w:p w14:paraId="2CF7D5E6">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6.2.6.9应急</w:t>
      </w:r>
      <w:r>
        <w:rPr>
          <w:rFonts w:hint="eastAsia"/>
          <w:snapToGrid w:val="0"/>
          <w:color w:val="000000" w:themeColor="text1"/>
          <w14:textFill>
            <w14:solidFill>
              <w14:schemeClr w14:val="tx1"/>
            </w14:solidFill>
          </w14:textFill>
        </w:rPr>
        <w:t>预</w:t>
      </w:r>
      <w:r>
        <w:rPr>
          <w:snapToGrid w:val="0"/>
          <w:color w:val="000000" w:themeColor="text1"/>
          <w14:textFill>
            <w14:solidFill>
              <w14:schemeClr w14:val="tx1"/>
            </w14:solidFill>
          </w14:textFill>
        </w:rPr>
        <w:t>案</w:t>
      </w:r>
    </w:p>
    <w:p w14:paraId="3AD5957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风险事故应急预案是在贯彻预防为主的前提下，对建设项目可能出现事故，为及时控制危害源，抢救受害人员，指导居民防护和组织撤离，消除危害后果而组织的救援活动的预想方案。它需要建设单位和社会救援相结合。</w:t>
      </w:r>
    </w:p>
    <w:p w14:paraId="2ED4104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1、风险事故处置程序</w:t>
      </w:r>
    </w:p>
    <w:p w14:paraId="18818562">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风险事故处置的核心是及时报警，正确决策，迅速扑救。各部门充分配合、协调行动。</w:t>
      </w:r>
    </w:p>
    <w:p w14:paraId="3BE6B14E">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2、应急反应计划</w:t>
      </w:r>
    </w:p>
    <w:p w14:paraId="7FA9669E">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（1）应急组织及其职责</w:t>
      </w:r>
    </w:p>
    <w:p w14:paraId="20D2C87E">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处置中心应设有应急组织，负责事故时的组织工作。为保证安全生产不仅应制定《安全生产责任制》等安全生产制度，同时还应制定《环境保护管理规定》等制度。</w:t>
      </w:r>
    </w:p>
    <w:p w14:paraId="51623E73">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2</w:t>
      </w:r>
      <w:r>
        <w:rPr>
          <w:rFonts w:hint="eastAsia"/>
          <w:snapToGrid w:val="0"/>
          <w:color w:val="000000" w:themeColor="text1"/>
          <w:kern w:val="0"/>
          <w14:textFill>
            <w14:solidFill>
              <w14:schemeClr w14:val="tx1"/>
            </w14:solidFill>
          </w14:textFill>
        </w:rPr>
        <w:t>）应急设施、设备与器材</w:t>
      </w:r>
    </w:p>
    <w:p w14:paraId="41028FDA">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应急设施主要包括：防火灾、爆炸事故应急设施、设备与材料，例如：消火栓、消防水炮、室外箱式消火栓、小型灭火设备等消防设施；防有毒有害物料外溢、扩散的应急设施、设备与材料。</w:t>
      </w:r>
    </w:p>
    <w:p w14:paraId="1A558261">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除在生产装置现场应配有固定应急消防设施外，还根据装置特点配有应急防护器具。</w:t>
      </w:r>
    </w:p>
    <w:p w14:paraId="5D777118">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（3）应急通讯联络</w:t>
      </w:r>
    </w:p>
    <w:p w14:paraId="4A3A85DA">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应设完善的生产调度系统，应提供各部门有线电话直播；对重点和要害部位设有远程在线监控系统，应实现远程图像在线传输。通过监控可实现指挥调度。另外各生产装置生产现场配有报警电话和无线通讯对讲机。</w:t>
      </w:r>
    </w:p>
    <w:p w14:paraId="422DD7C2">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应急报警程序、通讯联络方式：生产装置一旦发生渗漏、火灾时，所有岗位人员首先采取自身保护措施并严格快速执行报警程序。</w:t>
      </w:r>
    </w:p>
    <w:p w14:paraId="73BB05F7">
      <w:pPr>
        <w:adjustRightInd/>
        <w:snapToGrid/>
        <w:spacing w:line="500" w:lineRule="exact"/>
        <w:ind w:firstLineChars="0"/>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①出现事故时，岗位人员立即报告厂当班调度；组织工艺处理措施；报告装置应急领导小组；拨打119报警电话，向消防支队说明具体情况；同时拨打120急救电话，并说明具体位置和现场情况，上述单位进入现场救护时应配备好自身护具，并根据报警情况，选择好救护路线（上风向进入现场）。</w:t>
      </w:r>
    </w:p>
    <w:p w14:paraId="68E0C26C">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②及时逐级报告。</w:t>
      </w:r>
    </w:p>
    <w:p w14:paraId="118FA671">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③应急指挥领导、成员接到报告后，立即赶赴现场按照各自的职责分工和应急处理程序进行应急处理。</w:t>
      </w:r>
    </w:p>
    <w:p w14:paraId="4EF10488">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④处理期间根据事态的发展，厂应急领导现场对事故险情进行评估，根据评估结果确定是否需要协助救援。</w:t>
      </w:r>
    </w:p>
    <w:p w14:paraId="0F47BA30">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（4）应急监测</w:t>
      </w:r>
    </w:p>
    <w:p w14:paraId="4DBE82AD">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项目事故应急监测依托当地政府的环境监测站，同时可根据不同性质、级别的环境污染事故与省、市专家库管理系统取得联系，进行咨询、求助和应急联动。</w:t>
      </w:r>
    </w:p>
    <w:p w14:paraId="20A80C61">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事故发生后，由建设单位委托有资质的机构对事故现场进行监测，根据不同的事故工况，设定相应的监测方案。监测要素主要为环境空气；监测项目主要为事故涉及的污染因子；监测范围主要根据事故大小及影响范围而定。根据监测结果，确认事故范围，并立即组织现场人员的疏散工作，通过指挥部门，联络医疗、卫生等各相关部门人员实施救援工作。如地表水体、地下水体受到污染，则应通过指挥部门与当地政府、卫生部门等进行联系，启动应急措施，防止造成社会危害和恐慌。</w:t>
      </w:r>
    </w:p>
    <w:p w14:paraId="69EF9D6F">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（5）应急安全、保卫应急队伍保障</w:t>
      </w:r>
    </w:p>
    <w:p w14:paraId="28778E02">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应急状态交通运输、医疗卫生、治安和交通管制保障主要依托当地政府，必要时与政府联动。</w:t>
      </w:r>
    </w:p>
    <w:p w14:paraId="0D8F9EAC">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（6）应急撤离措施</w:t>
      </w:r>
    </w:p>
    <w:p w14:paraId="59C6EBF3">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事故现场：发生重大事故，可能对厂区内、外人群安全构成危胁时，必须在指挥部指挥下，紧急疏散与事故应急救援无关的人员。疏散程序一般为给出紧急疏散信号（如鸣响警铃）；应急小组成员立即到达指定负责区域指导员工与来访人员有序撤离；在所有人离开后检查各人负责区域，确认没有任何无关人员滞留后再离开；发现受伤人员时，在确认环境安全的情况下，必须首先进行伤员救助。在不能确认环境安全或环境明显对救助者存在伤害时，应首先做好个体防护后再进行救助工作。员工在警报发出后，应无条件关闭正在操作的电气设备，按“紧急疏散示意图”离开大楼到指定地点集合。</w:t>
      </w:r>
    </w:p>
    <w:p w14:paraId="3F569D59">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（7）事故应急救援关闭程序与恢复措施</w:t>
      </w:r>
    </w:p>
    <w:p w14:paraId="78DF3186">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突发事故结束后，由事故应急指挥领导小组协同地方政府相关部门迅速成立事故调查小组，根据事故现场的实际情况，结合环境监测部门的监测结果，适时宣布关闭事故应急救援程序。同时要求有关部门负责事故现场的善后处理及邻近区域解除事故警戒和善后恢复措施。处置中心应制定事故后恢复正常工作和生活的措施，并组织实施。</w:t>
      </w:r>
    </w:p>
    <w:p w14:paraId="257BEBD9">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（8）事故调查与后评价</w:t>
      </w:r>
    </w:p>
    <w:p w14:paraId="1E13BB93">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事故结束后，按照《事故管理规定》事故单位组织评价单位和有关专家进行事故调查。主要调查内容包括：发生事故的单位、时间、地点、事故原因、事故损失情况、应急抢险预案实施效果、事故环境影响范围、程度及可接受性评价分析，并根据结果提出事故经验总结、应急预案修改方案、环境恢复措施及建议等。</w:t>
      </w:r>
    </w:p>
    <w:p w14:paraId="760FC4C6">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将调查内容上报地方有关环保部门和群众代表，组织有关专家进行讨论、审核，审核通过后事故应急程序关闭，否则应根据环境受损情况提出相应的环境修复措施和限期治理方案。</w:t>
      </w:r>
    </w:p>
    <w:p w14:paraId="55FCDFFB">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重大突发事故结束后6～12个月，组织有关地方环保局和环评单位对事故后环境影响进行后评价，调查环境修复措施落实情况及事故发生环境遗留问题，并把评价结论对外发布信息。</w:t>
      </w:r>
    </w:p>
    <w:p w14:paraId="61298A5B">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（9）应急培训与演习</w:t>
      </w:r>
    </w:p>
    <w:p w14:paraId="11ADADA9">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处置中心全体管理人员和工人都必须定期组织安全环保培训，经培训合格，才能正式持证上岗，对于关键岗位应选派熟悉应急预案的有经验技术人员负责。事故应急处置训练内容应当包括事故发生时的工艺技术处置和扑救、安全防护救助措施、环境保护应急处置方法等。事故发生时，工厂安全环保部门工作人员和富有事故处置经验的人员要轮流值班，监视事故现场及其处置作业，直至事故结束。</w:t>
      </w:r>
    </w:p>
    <w:p w14:paraId="4EEBF5C0">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应根据应急反应方案定期进行事故应急预案演练，检查和提高应急指挥的水平和队员的反应能力，及时发现组织、器材及人员等方面的问题，及时做出改进，以保证应急反应的有效进行。</w:t>
      </w:r>
    </w:p>
    <w:p w14:paraId="4D3F99EC">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0</w:t>
      </w:r>
      <w:r>
        <w:rPr>
          <w:rFonts w:hint="eastAsia"/>
          <w:snapToGrid w:val="0"/>
          <w:color w:val="000000" w:themeColor="text1"/>
          <w:kern w:val="0"/>
          <w14:textFill>
            <w14:solidFill>
              <w14:schemeClr w14:val="tx1"/>
            </w14:solidFill>
          </w14:textFill>
        </w:rPr>
        <w:t>）公众教育和信息</w:t>
      </w:r>
    </w:p>
    <w:p w14:paraId="1C00BE0A">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应与地方环保部门、民政局等相关部门建立起良好的公共安全健康应急预防体系，定期或不定期组织周围村民开展安全、健康、环保培训教育，将事故应急措施、方案以及撤离方案等及时传达给村民，并且经常组织事故情况下的应急演练。</w:t>
      </w:r>
      <w:r>
        <w:rPr>
          <w:snapToGrid w:val="0"/>
          <w:color w:val="000000" w:themeColor="text1"/>
          <w:kern w:val="0"/>
          <w14:textFill>
            <w14:solidFill>
              <w14:schemeClr w14:val="tx1"/>
            </w14:solidFill>
          </w14:textFill>
        </w:rPr>
        <w:t>应急预案主要内容见表6-2-</w:t>
      </w:r>
      <w:r>
        <w:rPr>
          <w:rFonts w:hint="eastAsia"/>
          <w:snapToGrid w:val="0"/>
          <w:color w:val="000000" w:themeColor="text1"/>
          <w:kern w:val="0"/>
          <w:lang w:val="en-US" w:eastAsia="zh-CN"/>
          <w14:textFill>
            <w14:solidFill>
              <w14:schemeClr w14:val="tx1"/>
            </w14:solidFill>
          </w14:textFill>
        </w:rPr>
        <w:t>11</w:t>
      </w:r>
      <w:r>
        <w:rPr>
          <w:snapToGrid w:val="0"/>
          <w:color w:val="000000" w:themeColor="text1"/>
          <w:kern w:val="0"/>
          <w14:textFill>
            <w14:solidFill>
              <w14:schemeClr w14:val="tx1"/>
            </w14:solidFill>
          </w14:textFill>
        </w:rPr>
        <w:t>。</w:t>
      </w:r>
    </w:p>
    <w:p w14:paraId="63874E29">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表6-2-</w:t>
      </w:r>
      <w:r>
        <w:rPr>
          <w:rFonts w:hint="eastAsia"/>
          <w:snapToGrid w:val="0"/>
          <w:color w:val="000000" w:themeColor="text1"/>
          <w:lang w:val="en-US" w:eastAsia="zh-CN"/>
          <w14:textFill>
            <w14:solidFill>
              <w14:schemeClr w14:val="tx1"/>
            </w14:solidFill>
          </w14:textFill>
        </w:rPr>
        <w:t>11</w:t>
      </w:r>
      <w:r>
        <w:rPr>
          <w:snapToGrid w:val="0"/>
          <w:color w:val="000000" w:themeColor="text1"/>
          <w14:textFill>
            <w14:solidFill>
              <w14:schemeClr w14:val="tx1"/>
            </w14:solidFill>
          </w14:textFill>
        </w:rPr>
        <w:t xml:space="preserve"> 应急预案内容</w:t>
      </w:r>
    </w:p>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2835"/>
        <w:gridCol w:w="4769"/>
      </w:tblGrid>
      <w:tr w14:paraId="61C099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 w:hRule="atLeast"/>
        </w:trPr>
        <w:tc>
          <w:tcPr>
            <w:tcW w:w="426" w:type="pct"/>
            <w:vAlign w:val="center"/>
          </w:tcPr>
          <w:p w14:paraId="58CE748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序号</w:t>
            </w:r>
          </w:p>
        </w:tc>
        <w:tc>
          <w:tcPr>
            <w:tcW w:w="1705" w:type="pct"/>
            <w:vAlign w:val="center"/>
          </w:tcPr>
          <w:p w14:paraId="03584B2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w:t>
            </w:r>
          </w:p>
        </w:tc>
        <w:tc>
          <w:tcPr>
            <w:tcW w:w="2868" w:type="pct"/>
            <w:vAlign w:val="center"/>
          </w:tcPr>
          <w:p w14:paraId="6D47421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内容及要求</w:t>
            </w:r>
          </w:p>
        </w:tc>
      </w:tr>
      <w:tr w14:paraId="1AF98C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34C3D4A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p>
        </w:tc>
        <w:tc>
          <w:tcPr>
            <w:tcW w:w="1705" w:type="pct"/>
            <w:vAlign w:val="center"/>
          </w:tcPr>
          <w:p w14:paraId="57C1476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应急计划区</w:t>
            </w:r>
          </w:p>
        </w:tc>
        <w:tc>
          <w:tcPr>
            <w:tcW w:w="2868" w:type="pct"/>
            <w:vAlign w:val="center"/>
          </w:tcPr>
          <w:p w14:paraId="2CDC5019">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污水处理站、危险品储存区</w:t>
            </w:r>
          </w:p>
        </w:tc>
      </w:tr>
      <w:tr w14:paraId="6201B4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728548E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w:t>
            </w:r>
          </w:p>
        </w:tc>
        <w:tc>
          <w:tcPr>
            <w:tcW w:w="1705" w:type="pct"/>
            <w:vAlign w:val="center"/>
          </w:tcPr>
          <w:p w14:paraId="7E4BFE0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应急组织机构、人员</w:t>
            </w:r>
          </w:p>
        </w:tc>
        <w:tc>
          <w:tcPr>
            <w:tcW w:w="2868" w:type="pct"/>
            <w:vAlign w:val="center"/>
          </w:tcPr>
          <w:p w14:paraId="445DEAB3">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实施三级应急组职机构，各级别主要负责人为应急计划协调第一人，应急人员必须为培训上岗熟练工；区域应急组织结构由当地政府、相关行业专家、卫生安全相关单位组成，并由当地政府进行统一调度</w:t>
            </w:r>
            <w:r>
              <w:rPr>
                <w:rFonts w:hint="eastAsia"/>
                <w:snapToGrid w:val="0"/>
                <w:color w:val="000000" w:themeColor="text1"/>
                <w:kern w:val="0"/>
                <w:lang w:eastAsia="zh-CN"/>
                <w14:textFill>
                  <w14:solidFill>
                    <w14:schemeClr w14:val="tx1"/>
                  </w14:solidFill>
                </w14:textFill>
              </w:rPr>
              <w:t>。</w:t>
            </w:r>
          </w:p>
        </w:tc>
      </w:tr>
      <w:tr w14:paraId="7E1591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768441F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w:t>
            </w:r>
          </w:p>
        </w:tc>
        <w:tc>
          <w:tcPr>
            <w:tcW w:w="1705" w:type="pct"/>
            <w:vAlign w:val="center"/>
          </w:tcPr>
          <w:p w14:paraId="4AE3D66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预案分级响应条件</w:t>
            </w:r>
          </w:p>
        </w:tc>
        <w:tc>
          <w:tcPr>
            <w:tcW w:w="2868" w:type="pct"/>
            <w:vAlign w:val="center"/>
          </w:tcPr>
          <w:p w14:paraId="21A6263C">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根据事故的严重程度制定相应级别的应急预案，以及适合相应情况的处理措施</w:t>
            </w:r>
          </w:p>
        </w:tc>
      </w:tr>
      <w:tr w14:paraId="7D878A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1C7532F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w:t>
            </w:r>
          </w:p>
        </w:tc>
        <w:tc>
          <w:tcPr>
            <w:tcW w:w="1705" w:type="pct"/>
            <w:vAlign w:val="center"/>
          </w:tcPr>
          <w:p w14:paraId="572FD88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应急救援保障</w:t>
            </w:r>
          </w:p>
        </w:tc>
        <w:tc>
          <w:tcPr>
            <w:tcW w:w="2868" w:type="pct"/>
            <w:vAlign w:val="center"/>
          </w:tcPr>
          <w:p w14:paraId="6193C8B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应急设施，设备与器材等</w:t>
            </w:r>
          </w:p>
        </w:tc>
      </w:tr>
      <w:tr w14:paraId="00D1F4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53DF7D77">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5</w:t>
            </w:r>
          </w:p>
        </w:tc>
        <w:tc>
          <w:tcPr>
            <w:tcW w:w="1705" w:type="pct"/>
            <w:vAlign w:val="center"/>
          </w:tcPr>
          <w:p w14:paraId="3FDD12AD">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报警、通讯联络方式</w:t>
            </w:r>
          </w:p>
        </w:tc>
        <w:tc>
          <w:tcPr>
            <w:tcW w:w="2868" w:type="pct"/>
            <w:vAlign w:val="center"/>
          </w:tcPr>
          <w:p w14:paraId="1F224586">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逐一细化应急状态下各主要负责单位的报警通讯方式、地点、电话号码以及相关配套的交通保障、管制、消防联络方法，涉及跨区域的还应与相关区域环境保护部门和上级环保部门保持联系，及时通报事故处理情况，以获得区域性支援</w:t>
            </w:r>
          </w:p>
        </w:tc>
      </w:tr>
      <w:tr w14:paraId="493633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11AC355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6</w:t>
            </w:r>
          </w:p>
        </w:tc>
        <w:tc>
          <w:tcPr>
            <w:tcW w:w="1705" w:type="pct"/>
            <w:vAlign w:val="center"/>
          </w:tcPr>
          <w:p w14:paraId="1687A0D4">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应急环境监测、抢险、救援及控制措施</w:t>
            </w:r>
          </w:p>
        </w:tc>
        <w:tc>
          <w:tcPr>
            <w:tcW w:w="2868" w:type="pct"/>
            <w:vAlign w:val="center"/>
          </w:tcPr>
          <w:p w14:paraId="6C31AFE7">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由专业队伍负责对事故现场进行侦查监测，对事故性质、参数与后果进行评估，为指挥部门提供决策依据</w:t>
            </w:r>
          </w:p>
        </w:tc>
      </w:tr>
      <w:tr w14:paraId="3CADCE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3F5090C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7</w:t>
            </w:r>
          </w:p>
        </w:tc>
        <w:tc>
          <w:tcPr>
            <w:tcW w:w="1705" w:type="pct"/>
            <w:vAlign w:val="center"/>
          </w:tcPr>
          <w:p w14:paraId="10CDDD3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应急检测、防护措施、清除渗漏措施和器材</w:t>
            </w:r>
          </w:p>
        </w:tc>
        <w:tc>
          <w:tcPr>
            <w:tcW w:w="2868" w:type="pct"/>
            <w:vAlign w:val="center"/>
          </w:tcPr>
          <w:p w14:paraId="44AD0536">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事故现场、邻近区域、控制防火区域，控制和清除污染措施及相应设备的数量、使用方法、使用人员</w:t>
            </w:r>
          </w:p>
        </w:tc>
      </w:tr>
      <w:tr w14:paraId="2536F7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72CD1FD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8</w:t>
            </w:r>
          </w:p>
        </w:tc>
        <w:tc>
          <w:tcPr>
            <w:tcW w:w="1705" w:type="pct"/>
            <w:vAlign w:val="center"/>
          </w:tcPr>
          <w:p w14:paraId="424C8C92">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人员紧急撤离、疏散，应急剂量控制、撤离组织计划</w:t>
            </w:r>
          </w:p>
        </w:tc>
        <w:tc>
          <w:tcPr>
            <w:tcW w:w="2868" w:type="pct"/>
            <w:vAlign w:val="center"/>
          </w:tcPr>
          <w:p w14:paraId="0DB99FDF">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事故现场及受事故影响的区域、人员对毒物应急剂量控制规定，撤离组织计划及救护，医疗救护与公众健康</w:t>
            </w:r>
          </w:p>
        </w:tc>
      </w:tr>
      <w:tr w14:paraId="64678E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48D0C36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9</w:t>
            </w:r>
          </w:p>
        </w:tc>
        <w:tc>
          <w:tcPr>
            <w:tcW w:w="1705" w:type="pct"/>
            <w:vAlign w:val="center"/>
          </w:tcPr>
          <w:p w14:paraId="0BE58E5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事故应急救援关闭程序与恢复措施</w:t>
            </w:r>
          </w:p>
        </w:tc>
        <w:tc>
          <w:tcPr>
            <w:tcW w:w="2868" w:type="pct"/>
            <w:vAlign w:val="center"/>
          </w:tcPr>
          <w:p w14:paraId="0091F7A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规定应急状态终止程序</w:t>
            </w:r>
          </w:p>
          <w:p w14:paraId="7AD73C1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事故现场上后处理，恢复措施</w:t>
            </w:r>
          </w:p>
          <w:p w14:paraId="2E28A6C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邻近区域解除事故警戒及善后恢复措施</w:t>
            </w:r>
          </w:p>
          <w:p w14:paraId="6892173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制定有关的环境恢复措施</w:t>
            </w:r>
          </w:p>
          <w:p w14:paraId="4792C39F">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组织专业人员对事故后的环境变化进行监测，对事故应急措施的环境可行性进行后影响评价</w:t>
            </w:r>
          </w:p>
        </w:tc>
      </w:tr>
      <w:tr w14:paraId="07A521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26" w:type="pct"/>
            <w:vAlign w:val="center"/>
          </w:tcPr>
          <w:p w14:paraId="73D8084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10</w:t>
            </w:r>
          </w:p>
        </w:tc>
        <w:tc>
          <w:tcPr>
            <w:tcW w:w="1705" w:type="pct"/>
            <w:vAlign w:val="center"/>
          </w:tcPr>
          <w:p w14:paraId="41C2C92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应急培训计划</w:t>
            </w:r>
          </w:p>
        </w:tc>
        <w:tc>
          <w:tcPr>
            <w:tcW w:w="2868" w:type="pct"/>
            <w:vAlign w:val="center"/>
          </w:tcPr>
          <w:p w14:paraId="68AB1DDA">
            <w:pPr>
              <w:pStyle w:val="143"/>
              <w:jc w:val="both"/>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应急计划制定后，平时安排人员培训与演练</w:t>
            </w:r>
          </w:p>
        </w:tc>
      </w:tr>
    </w:tbl>
    <w:p w14:paraId="3DD8DFE2">
      <w:pPr>
        <w:pStyle w:val="7"/>
        <w:rPr>
          <w:snapToGrid w:val="0"/>
          <w:color w:val="000000" w:themeColor="text1"/>
          <w14:textFill>
            <w14:solidFill>
              <w14:schemeClr w14:val="tx1"/>
            </w14:solidFill>
          </w14:textFill>
        </w:rPr>
      </w:pPr>
      <w:bookmarkStart w:id="353" w:name="_Toc480447676"/>
      <w:r>
        <w:rPr>
          <w:rFonts w:hint="eastAsia"/>
          <w:snapToGrid w:val="0"/>
          <w:color w:val="000000" w:themeColor="text1"/>
          <w14:textFill>
            <w14:solidFill>
              <w14:schemeClr w14:val="tx1"/>
            </w14:solidFill>
          </w14:textFill>
        </w:rPr>
        <w:t>6</w:t>
      </w:r>
      <w:r>
        <w:rPr>
          <w:snapToGrid w:val="0"/>
          <w:color w:val="000000" w:themeColor="text1"/>
          <w14:textFill>
            <w14:solidFill>
              <w14:schemeClr w14:val="tx1"/>
            </w14:solidFill>
          </w14:textFill>
        </w:rPr>
        <w:t>.2.6.10</w:t>
      </w:r>
      <w:r>
        <w:rPr>
          <w:rFonts w:hint="eastAsia"/>
          <w:snapToGrid w:val="0"/>
          <w:color w:val="000000" w:themeColor="text1"/>
          <w:lang w:eastAsia="zh-CN"/>
          <w14:textFill>
            <w14:solidFill>
              <w14:schemeClr w14:val="tx1"/>
            </w14:solidFill>
          </w14:textFill>
        </w:rPr>
        <w:t>环境风险评价结论与建议</w:t>
      </w:r>
    </w:p>
    <w:p w14:paraId="316502FA">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本项目严格按照国家的有关技术标准、规范进行设计和实施，综上，落实本报告提出的各项风险防范措施及完善、</w:t>
      </w:r>
      <w:r>
        <w:rPr>
          <w:rFonts w:hint="eastAsia"/>
          <w:snapToGrid w:val="0"/>
          <w:color w:val="000000" w:themeColor="text1"/>
          <w:lang w:val="en-US" w:eastAsia="zh-CN"/>
          <w14:textFill>
            <w14:solidFill>
              <w14:schemeClr w14:val="tx1"/>
            </w14:solidFill>
          </w14:textFill>
        </w:rPr>
        <w:t>编制</w:t>
      </w:r>
      <w:r>
        <w:rPr>
          <w:rFonts w:hint="eastAsia"/>
          <w:snapToGrid w:val="0"/>
          <w:color w:val="000000" w:themeColor="text1"/>
          <w14:textFill>
            <w14:solidFill>
              <w14:schemeClr w14:val="tx1"/>
            </w14:solidFill>
          </w14:textFill>
        </w:rPr>
        <w:t>本企业应急预案，项目所涉及的风险影响因素、风险危害程度与范围是可防控的。</w:t>
      </w:r>
    </w:p>
    <w:p w14:paraId="5A2C4253">
      <w:pPr>
        <w:pStyle w:val="6"/>
        <w:rPr>
          <w:snapToGrid w:val="0"/>
          <w:color w:val="000000" w:themeColor="text1"/>
          <w14:textFill>
            <w14:solidFill>
              <w14:schemeClr w14:val="tx1"/>
            </w14:solidFill>
          </w14:textFill>
        </w:rPr>
      </w:pPr>
      <w:bookmarkStart w:id="354" w:name="_Toc15782"/>
      <w:r>
        <w:rPr>
          <w:rFonts w:hint="eastAsia"/>
          <w:snapToGrid w:val="0"/>
          <w:color w:val="000000" w:themeColor="text1"/>
          <w14:textFill>
            <w14:solidFill>
              <w14:schemeClr w14:val="tx1"/>
            </w14:solidFill>
          </w14:textFill>
        </w:rPr>
        <w:t>6</w:t>
      </w:r>
      <w:r>
        <w:rPr>
          <w:snapToGrid w:val="0"/>
          <w:color w:val="000000" w:themeColor="text1"/>
          <w14:textFill>
            <w14:solidFill>
              <w14:schemeClr w14:val="tx1"/>
            </w14:solidFill>
          </w14:textFill>
        </w:rPr>
        <w:t>.2.7</w:t>
      </w:r>
      <w:r>
        <w:rPr>
          <w:rFonts w:hint="eastAsia"/>
          <w:snapToGrid w:val="0"/>
          <w:color w:val="000000" w:themeColor="text1"/>
          <w14:textFill>
            <w14:solidFill>
              <w14:schemeClr w14:val="tx1"/>
            </w14:solidFill>
          </w14:textFill>
        </w:rPr>
        <w:t>生态环境保护措施</w:t>
      </w:r>
      <w:bookmarkEnd w:id="354"/>
    </w:p>
    <w:p w14:paraId="23EC21C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本项目营运期间的生态环境影响主要是本项目运行产生的污染物对周边生态环境、景观、水土流失的影响。</w:t>
      </w:r>
    </w:p>
    <w:p w14:paraId="34762FF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本项目加强厂区绿化，既注重人文景观的延续性，又注重与自然景观融合，</w:t>
      </w:r>
      <w:r>
        <w:rPr>
          <w:color w:val="000000" w:themeColor="text1"/>
          <w14:textFill>
            <w14:solidFill>
              <w14:schemeClr w14:val="tx1"/>
            </w14:solidFill>
          </w14:textFill>
        </w:rPr>
        <w:t>在</w:t>
      </w:r>
      <w:r>
        <w:rPr>
          <w:rFonts w:hint="eastAsia"/>
          <w:color w:val="000000" w:themeColor="text1"/>
          <w14:textFill>
            <w14:solidFill>
              <w14:schemeClr w14:val="tx1"/>
            </w14:solidFill>
          </w14:textFill>
        </w:rPr>
        <w:t>厂区</w:t>
      </w:r>
      <w:r>
        <w:rPr>
          <w:color w:val="000000" w:themeColor="text1"/>
          <w14:textFill>
            <w14:solidFill>
              <w14:schemeClr w14:val="tx1"/>
            </w14:solidFill>
          </w14:textFill>
        </w:rPr>
        <w:t>道路两边种植灌木，厂界边缘地带种植杨、槐等高大乔木树种，形成多层防护林带</w:t>
      </w:r>
      <w:r>
        <w:rPr>
          <w:rFonts w:hint="eastAsia"/>
          <w:color w:val="000000" w:themeColor="text1"/>
          <w14:textFill>
            <w14:solidFill>
              <w14:schemeClr w14:val="tx1"/>
            </w14:solidFill>
          </w14:textFill>
        </w:rPr>
        <w:t>，即美化环境又可起到吸尘降噪的作用。</w:t>
      </w:r>
    </w:p>
    <w:p w14:paraId="4B0E259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综上所述，</w:t>
      </w:r>
      <w:r>
        <w:rPr>
          <w:color w:val="000000" w:themeColor="text1"/>
          <w14:textFill>
            <w14:solidFill>
              <w14:schemeClr w14:val="tx1"/>
            </w14:solidFill>
          </w14:textFill>
        </w:rPr>
        <w:t>本评价认为，在严格落实生态防护措施条件下，拟建项目对生态影响是可以接受的。</w:t>
      </w:r>
    </w:p>
    <w:p w14:paraId="650C3EED">
      <w:pPr>
        <w:pStyle w:val="5"/>
        <w:rPr>
          <w:snapToGrid w:val="0"/>
          <w:color w:val="000000" w:themeColor="text1"/>
          <w14:textFill>
            <w14:solidFill>
              <w14:schemeClr w14:val="tx1"/>
            </w14:solidFill>
          </w14:textFill>
        </w:rPr>
      </w:pPr>
      <w:bookmarkStart w:id="355" w:name="_Toc10526"/>
      <w:r>
        <w:rPr>
          <w:snapToGrid w:val="0"/>
          <w:color w:val="000000" w:themeColor="text1"/>
          <w14:textFill>
            <w14:solidFill>
              <w14:schemeClr w14:val="tx1"/>
            </w14:solidFill>
          </w14:textFill>
        </w:rPr>
        <w:t>6.3环境保护投资估算</w:t>
      </w:r>
      <w:bookmarkEnd w:id="353"/>
      <w:bookmarkEnd w:id="355"/>
    </w:p>
    <w:p w14:paraId="21D70030">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环保投资比按下式计算：</w:t>
      </w:r>
    </w:p>
    <w:p w14:paraId="502EEF1A">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drawing>
          <wp:inline distT="0" distB="0" distL="0" distR="0">
            <wp:extent cx="1809750" cy="6540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1813488" cy="655294"/>
                    </a:xfrm>
                    <a:prstGeom prst="rect">
                      <a:avLst/>
                    </a:prstGeom>
                    <a:noFill/>
                    <a:ln>
                      <a:noFill/>
                    </a:ln>
                  </pic:spPr>
                </pic:pic>
              </a:graphicData>
            </a:graphic>
          </wp:inline>
        </w:drawing>
      </w:r>
    </w:p>
    <w:p w14:paraId="3397A518">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式中：</w:t>
      </w:r>
      <w:r>
        <w:rPr>
          <w:i/>
          <w:snapToGrid w:val="0"/>
          <w:color w:val="000000" w:themeColor="text1"/>
          <w14:textFill>
            <w14:solidFill>
              <w14:schemeClr w14:val="tx1"/>
            </w14:solidFill>
          </w14:textFill>
        </w:rPr>
        <w:t>HJ</w:t>
      </w:r>
      <w:r>
        <w:rPr>
          <w:snapToGrid w:val="0"/>
          <w:color w:val="000000" w:themeColor="text1"/>
          <w14:textFill>
            <w14:solidFill>
              <w14:schemeClr w14:val="tx1"/>
            </w14:solidFill>
          </w14:textFill>
        </w:rPr>
        <w:t>—环保费用投资比，100％；</w:t>
      </w:r>
    </w:p>
    <w:p w14:paraId="5BA54BB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 xml:space="preserve">      </w:t>
      </w:r>
      <w:r>
        <w:rPr>
          <w:i/>
          <w:snapToGrid w:val="0"/>
          <w:color w:val="000000" w:themeColor="text1"/>
          <w14:textFill>
            <w14:solidFill>
              <w14:schemeClr w14:val="tx1"/>
            </w14:solidFill>
          </w14:textFill>
        </w:rPr>
        <w:t>HT</w:t>
      </w:r>
      <w:r>
        <w:rPr>
          <w:snapToGrid w:val="0"/>
          <w:color w:val="000000" w:themeColor="text1"/>
          <w14:textFill>
            <w14:solidFill>
              <w14:schemeClr w14:val="tx1"/>
            </w14:solidFill>
          </w14:textFill>
        </w:rPr>
        <w:t>—环保投资，万元；</w:t>
      </w:r>
    </w:p>
    <w:p w14:paraId="6F571FB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 xml:space="preserve">      </w:t>
      </w:r>
      <w:r>
        <w:rPr>
          <w:i/>
          <w:snapToGrid w:val="0"/>
          <w:color w:val="000000" w:themeColor="text1"/>
          <w14:textFill>
            <w14:solidFill>
              <w14:schemeClr w14:val="tx1"/>
            </w14:solidFill>
          </w14:textFill>
        </w:rPr>
        <w:t>JI</w:t>
      </w:r>
      <w:r>
        <w:rPr>
          <w:snapToGrid w:val="0"/>
          <w:color w:val="000000" w:themeColor="text1"/>
          <w14:textFill>
            <w14:solidFill>
              <w14:schemeClr w14:val="tx1"/>
            </w14:solidFill>
          </w14:textFill>
        </w:rPr>
        <w:t>—项目总投资，万元。</w:t>
      </w:r>
    </w:p>
    <w:p w14:paraId="7C69C1EB">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根据工程分析和环境影响</w:t>
      </w:r>
      <w:r>
        <w:rPr>
          <w:snapToGrid w:val="0"/>
          <w:color w:val="000000" w:themeColor="text1"/>
          <w:szCs w:val="24"/>
          <w14:textFill>
            <w14:solidFill>
              <w14:schemeClr w14:val="tx1"/>
            </w14:solidFill>
          </w14:textFill>
        </w:rPr>
        <w:t>预测</w:t>
      </w:r>
      <w:r>
        <w:rPr>
          <w:snapToGrid w:val="0"/>
          <w:color w:val="000000" w:themeColor="text1"/>
          <w14:textFill>
            <w14:solidFill>
              <w14:schemeClr w14:val="tx1"/>
            </w14:solidFill>
          </w14:textFill>
        </w:rPr>
        <w:t>及评价结果，本项目产生的污水、固废、臭气、噪声等对周围环境将会产生一定的影响，因此，必须采取相应的环境保护措施加以控制，并保证相应环保投资的投入，以使项目建成后生产过程中产生的各类污染物对周围环境的影响降低到最小程度。根据初步估算，本项目的环保投资见表6-3-1</w:t>
      </w:r>
      <w:r>
        <w:rPr>
          <w:rFonts w:hint="eastAsia"/>
          <w:snapToGrid w:val="0"/>
          <w:color w:val="000000" w:themeColor="text1"/>
          <w14:textFill>
            <w14:solidFill>
              <w14:schemeClr w14:val="tx1"/>
            </w14:solidFill>
          </w14:textFill>
        </w:rPr>
        <w:t>。</w:t>
      </w:r>
    </w:p>
    <w:p w14:paraId="004144FE">
      <w:pPr>
        <w:adjustRightInd/>
        <w:snapToGrid/>
        <w:spacing w:line="500" w:lineRule="exact"/>
        <w:rPr>
          <w:snapToGrid w:val="0"/>
          <w:color w:val="000000" w:themeColor="text1"/>
          <w:kern w:val="0"/>
          <w14:textFill>
            <w14:solidFill>
              <w14:schemeClr w14:val="tx1"/>
            </w14:solidFill>
          </w14:textFill>
        </w:rPr>
      </w:pPr>
      <w:bookmarkStart w:id="356" w:name="_Hlk480428871"/>
      <w:r>
        <w:rPr>
          <w:snapToGrid w:val="0"/>
          <w:color w:val="000000" w:themeColor="text1"/>
          <w:kern w:val="0"/>
          <w14:textFill>
            <w14:solidFill>
              <w14:schemeClr w14:val="tx1"/>
            </w14:solidFill>
          </w14:textFill>
        </w:rPr>
        <w:t>本项目总投资为</w:t>
      </w:r>
      <w:r>
        <w:rPr>
          <w:rFonts w:hint="eastAsia"/>
          <w:snapToGrid w:val="0"/>
          <w:color w:val="000000" w:themeColor="text1"/>
          <w:kern w:val="0"/>
          <w:lang w:val="en-US" w:eastAsia="zh-CN"/>
          <w14:textFill>
            <w14:solidFill>
              <w14:schemeClr w14:val="tx1"/>
            </w14:solidFill>
          </w14:textFill>
        </w:rPr>
        <w:t>3.5</w:t>
      </w:r>
      <w:r>
        <w:rPr>
          <w:snapToGrid w:val="0"/>
          <w:color w:val="000000" w:themeColor="text1"/>
          <w:kern w:val="0"/>
          <w14:textFill>
            <w14:solidFill>
              <w14:schemeClr w14:val="tx1"/>
            </w14:solidFill>
          </w14:textFill>
        </w:rPr>
        <w:t>亿元，环保投资估算为</w:t>
      </w:r>
      <w:r>
        <w:rPr>
          <w:rFonts w:hint="eastAsia"/>
          <w:snapToGrid w:val="0"/>
          <w:color w:val="000000" w:themeColor="text1"/>
          <w:kern w:val="0"/>
          <w:lang w:val="en-US" w:eastAsia="zh-CN"/>
          <w14:textFill>
            <w14:solidFill>
              <w14:schemeClr w14:val="tx1"/>
            </w14:solidFill>
          </w14:textFill>
        </w:rPr>
        <w:t>379</w:t>
      </w:r>
      <w:r>
        <w:rPr>
          <w:snapToGrid w:val="0"/>
          <w:color w:val="000000" w:themeColor="text1"/>
          <w:kern w:val="0"/>
          <w14:textFill>
            <w14:solidFill>
              <w14:schemeClr w14:val="tx1"/>
            </w14:solidFill>
          </w14:textFill>
        </w:rPr>
        <w:t>万元，占总投资的</w:t>
      </w:r>
      <w:r>
        <w:rPr>
          <w:rFonts w:hint="eastAsia"/>
          <w:snapToGrid w:val="0"/>
          <w:color w:val="000000" w:themeColor="text1"/>
          <w:kern w:val="0"/>
          <w:lang w:val="en-US" w:eastAsia="zh-CN"/>
          <w14:textFill>
            <w14:solidFill>
              <w14:schemeClr w14:val="tx1"/>
            </w14:solidFill>
          </w14:textFill>
        </w:rPr>
        <w:t>1.08</w:t>
      </w:r>
      <w:r>
        <w:rPr>
          <w:snapToGrid w:val="0"/>
          <w:color w:val="000000" w:themeColor="text1"/>
          <w:kern w:val="0"/>
          <w14:textFill>
            <w14:solidFill>
              <w14:schemeClr w14:val="tx1"/>
            </w14:solidFill>
          </w14:textFill>
        </w:rPr>
        <w:t>%。</w:t>
      </w:r>
    </w:p>
    <w:p w14:paraId="6300780C">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eastAsia="黑体"/>
          <w:snapToGrid w:val="0"/>
          <w:color w:val="000000" w:themeColor="text1"/>
          <w:kern w:val="0"/>
          <w:lang w:val="zh-CN" w:eastAsia="zh-CN"/>
          <w14:textFill>
            <w14:solidFill>
              <w14:schemeClr w14:val="tx1"/>
            </w14:solidFill>
          </w14:textFill>
        </w:rPr>
        <w:t>表6-3-1环保投资明细表</w:t>
      </w:r>
      <w:bookmarkEnd w:id="356"/>
    </w:p>
    <w:tbl>
      <w:tblPr>
        <w:tblStyle w:val="49"/>
        <w:tblW w:w="474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26"/>
        <w:gridCol w:w="933"/>
        <w:gridCol w:w="4463"/>
        <w:gridCol w:w="1573"/>
      </w:tblGrid>
      <w:tr w14:paraId="19AFD5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77" w:type="pct"/>
            <w:gridSpan w:val="2"/>
            <w:shd w:val="clear" w:color="auto" w:fill="auto"/>
            <w:vAlign w:val="center"/>
          </w:tcPr>
          <w:p w14:paraId="339DD7C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项目</w:t>
            </w:r>
          </w:p>
        </w:tc>
        <w:tc>
          <w:tcPr>
            <w:tcW w:w="2826" w:type="pct"/>
            <w:shd w:val="clear" w:color="auto" w:fill="auto"/>
            <w:vAlign w:val="center"/>
          </w:tcPr>
          <w:p w14:paraId="496AAF0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治理设施内容</w:t>
            </w:r>
          </w:p>
        </w:tc>
        <w:tc>
          <w:tcPr>
            <w:tcW w:w="996" w:type="pct"/>
            <w:shd w:val="clear" w:color="auto" w:fill="auto"/>
            <w:vAlign w:val="center"/>
          </w:tcPr>
          <w:p w14:paraId="1CCA587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金额（万元）</w:t>
            </w:r>
          </w:p>
        </w:tc>
      </w:tr>
      <w:tr w14:paraId="48D159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86" w:type="pct"/>
            <w:vMerge w:val="restart"/>
            <w:shd w:val="clear" w:color="auto" w:fill="auto"/>
            <w:vAlign w:val="center"/>
          </w:tcPr>
          <w:p w14:paraId="0995995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施工期</w:t>
            </w:r>
          </w:p>
        </w:tc>
        <w:tc>
          <w:tcPr>
            <w:tcW w:w="590" w:type="pct"/>
            <w:shd w:val="clear" w:color="auto" w:fill="auto"/>
            <w:vAlign w:val="center"/>
          </w:tcPr>
          <w:p w14:paraId="24492AE2">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噪声</w:t>
            </w:r>
          </w:p>
        </w:tc>
        <w:tc>
          <w:tcPr>
            <w:tcW w:w="2826" w:type="pct"/>
            <w:shd w:val="clear" w:color="auto" w:fill="auto"/>
            <w:vAlign w:val="center"/>
          </w:tcPr>
          <w:p w14:paraId="4B27D62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施工期设备的消声、减振措施</w:t>
            </w:r>
          </w:p>
        </w:tc>
        <w:tc>
          <w:tcPr>
            <w:tcW w:w="996" w:type="pct"/>
            <w:shd w:val="clear" w:color="auto" w:fill="auto"/>
            <w:vAlign w:val="center"/>
          </w:tcPr>
          <w:p w14:paraId="524F573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5</w:t>
            </w:r>
          </w:p>
        </w:tc>
      </w:tr>
      <w:tr w14:paraId="6E4B9C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22580EA3">
            <w:pPr>
              <w:pStyle w:val="143"/>
              <w:rPr>
                <w:snapToGrid w:val="0"/>
                <w:color w:val="000000" w:themeColor="text1"/>
                <w14:textFill>
                  <w14:solidFill>
                    <w14:schemeClr w14:val="tx1"/>
                  </w14:solidFill>
                </w14:textFill>
              </w:rPr>
            </w:pPr>
          </w:p>
        </w:tc>
        <w:tc>
          <w:tcPr>
            <w:tcW w:w="590" w:type="pct"/>
            <w:shd w:val="clear" w:color="auto" w:fill="auto"/>
            <w:vAlign w:val="center"/>
          </w:tcPr>
          <w:p w14:paraId="58C48AF7">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废水</w:t>
            </w:r>
          </w:p>
        </w:tc>
        <w:tc>
          <w:tcPr>
            <w:tcW w:w="2826" w:type="pct"/>
            <w:shd w:val="clear" w:color="auto" w:fill="auto"/>
            <w:vAlign w:val="center"/>
          </w:tcPr>
          <w:p w14:paraId="27364886">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施工废水沉淀池、</w:t>
            </w:r>
            <w:r>
              <w:rPr>
                <w:rFonts w:hint="eastAsia"/>
                <w:snapToGrid w:val="0"/>
                <w:color w:val="000000" w:themeColor="text1"/>
                <w:lang w:val="en-US" w:eastAsia="zh-CN"/>
                <w14:textFill>
                  <w14:solidFill>
                    <w14:schemeClr w14:val="tx1"/>
                  </w14:solidFill>
                </w14:textFill>
              </w:rPr>
              <w:t>临时防渗旱厕</w:t>
            </w:r>
            <w:r>
              <w:rPr>
                <w:snapToGrid w:val="0"/>
                <w:color w:val="000000" w:themeColor="text1"/>
                <w14:textFill>
                  <w14:solidFill>
                    <w14:schemeClr w14:val="tx1"/>
                  </w14:solidFill>
                </w14:textFill>
              </w:rPr>
              <w:t>、垃圾桶</w:t>
            </w:r>
          </w:p>
        </w:tc>
        <w:tc>
          <w:tcPr>
            <w:tcW w:w="996" w:type="pct"/>
            <w:shd w:val="clear" w:color="auto" w:fill="auto"/>
            <w:vAlign w:val="center"/>
          </w:tcPr>
          <w:p w14:paraId="68891731">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w:t>
            </w:r>
          </w:p>
        </w:tc>
      </w:tr>
      <w:tr w14:paraId="4C5AA8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65CC2550">
            <w:pPr>
              <w:pStyle w:val="143"/>
              <w:rPr>
                <w:snapToGrid w:val="0"/>
                <w:color w:val="000000" w:themeColor="text1"/>
                <w14:textFill>
                  <w14:solidFill>
                    <w14:schemeClr w14:val="tx1"/>
                  </w14:solidFill>
                </w14:textFill>
              </w:rPr>
            </w:pPr>
          </w:p>
        </w:tc>
        <w:tc>
          <w:tcPr>
            <w:tcW w:w="590" w:type="pct"/>
            <w:shd w:val="clear" w:color="auto" w:fill="auto"/>
            <w:vAlign w:val="center"/>
          </w:tcPr>
          <w:p w14:paraId="1FB5CF70">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废气</w:t>
            </w:r>
          </w:p>
        </w:tc>
        <w:tc>
          <w:tcPr>
            <w:tcW w:w="2826" w:type="pct"/>
            <w:shd w:val="clear" w:color="auto" w:fill="auto"/>
            <w:vAlign w:val="center"/>
          </w:tcPr>
          <w:p w14:paraId="63C0662C">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施工材料苫盖、洒水抑尘措施</w:t>
            </w:r>
          </w:p>
        </w:tc>
        <w:tc>
          <w:tcPr>
            <w:tcW w:w="996" w:type="pct"/>
            <w:shd w:val="clear" w:color="auto" w:fill="auto"/>
            <w:vAlign w:val="center"/>
          </w:tcPr>
          <w:p w14:paraId="671C8657">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w:t>
            </w:r>
          </w:p>
        </w:tc>
      </w:tr>
      <w:tr w14:paraId="4FC7FC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4CEEAD07">
            <w:pPr>
              <w:pStyle w:val="143"/>
              <w:rPr>
                <w:snapToGrid w:val="0"/>
                <w:color w:val="000000" w:themeColor="text1"/>
                <w14:textFill>
                  <w14:solidFill>
                    <w14:schemeClr w14:val="tx1"/>
                  </w14:solidFill>
                </w14:textFill>
              </w:rPr>
            </w:pPr>
          </w:p>
        </w:tc>
        <w:tc>
          <w:tcPr>
            <w:tcW w:w="590" w:type="pct"/>
            <w:shd w:val="clear" w:color="auto" w:fill="auto"/>
            <w:vAlign w:val="center"/>
          </w:tcPr>
          <w:p w14:paraId="7DF27C4E">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固废</w:t>
            </w:r>
          </w:p>
        </w:tc>
        <w:tc>
          <w:tcPr>
            <w:tcW w:w="2826" w:type="pct"/>
            <w:shd w:val="clear" w:color="auto" w:fill="auto"/>
            <w:vAlign w:val="center"/>
          </w:tcPr>
          <w:p w14:paraId="7B70D45C">
            <w:pPr>
              <w:pStyle w:val="143"/>
              <w:rPr>
                <w:snapToGrid w:val="0"/>
                <w:color w:val="000000" w:themeColor="text1"/>
                <w14:textFill>
                  <w14:solidFill>
                    <w14:schemeClr w14:val="tx1"/>
                  </w14:solidFill>
                </w14:textFill>
              </w:rPr>
            </w:pPr>
            <w:r>
              <w:rPr>
                <w:rFonts w:hint="eastAsia" w:ascii="Times New Roman"/>
                <w:color w:val="000000"/>
                <w:sz w:val="21"/>
                <w:szCs w:val="21"/>
              </w:rPr>
              <w:t>拆除工程产生的建筑垃圾，应用于场地平整等综合利用，不能利用部分</w:t>
            </w:r>
            <w:r>
              <w:rPr>
                <w:rFonts w:hint="eastAsia" w:hAnsi="宋体" w:eastAsia="Times New Roman"/>
                <w:color w:val="000000"/>
                <w:sz w:val="21"/>
                <w:szCs w:val="21"/>
              </w:rPr>
              <w:t>送政府部门指定地点处置</w:t>
            </w:r>
            <w:r>
              <w:rPr>
                <w:rFonts w:hint="eastAsia" w:hAnsi="宋体"/>
                <w:color w:val="000000"/>
                <w:sz w:val="21"/>
                <w:szCs w:val="21"/>
              </w:rPr>
              <w:t>；施工垃圾</w:t>
            </w:r>
            <w:r>
              <w:rPr>
                <w:rFonts w:hint="eastAsia" w:hAnsi="宋体" w:eastAsia="Times New Roman"/>
                <w:color w:val="000000"/>
                <w:sz w:val="21"/>
                <w:szCs w:val="21"/>
              </w:rPr>
              <w:t>送政府部门指定地点处置</w:t>
            </w:r>
            <w:r>
              <w:rPr>
                <w:rFonts w:hint="eastAsia" w:hAnsi="宋体"/>
                <w:color w:val="000000"/>
                <w:sz w:val="21"/>
                <w:szCs w:val="21"/>
              </w:rPr>
              <w:t>；施工生活垃圾</w:t>
            </w:r>
            <w:r>
              <w:rPr>
                <w:rFonts w:hint="eastAsia" w:hAnsi="宋体" w:eastAsia="Times New Roman"/>
                <w:color w:val="000000"/>
                <w:sz w:val="21"/>
                <w:szCs w:val="21"/>
              </w:rPr>
              <w:t>收集由当地环卫部门处理</w:t>
            </w:r>
          </w:p>
        </w:tc>
        <w:tc>
          <w:tcPr>
            <w:tcW w:w="996" w:type="pct"/>
            <w:shd w:val="clear" w:color="auto" w:fill="auto"/>
            <w:vAlign w:val="center"/>
          </w:tcPr>
          <w:p w14:paraId="328FC010">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w:t>
            </w:r>
          </w:p>
        </w:tc>
      </w:tr>
      <w:tr w14:paraId="073332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restart"/>
            <w:shd w:val="clear" w:color="auto" w:fill="auto"/>
            <w:vAlign w:val="center"/>
          </w:tcPr>
          <w:p w14:paraId="46290108">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运营期</w:t>
            </w:r>
          </w:p>
        </w:tc>
        <w:tc>
          <w:tcPr>
            <w:tcW w:w="590" w:type="pct"/>
            <w:vMerge w:val="restart"/>
            <w:shd w:val="clear" w:color="auto" w:fill="auto"/>
            <w:vAlign w:val="center"/>
          </w:tcPr>
          <w:p w14:paraId="0279F9FC">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地下水</w:t>
            </w:r>
          </w:p>
        </w:tc>
        <w:tc>
          <w:tcPr>
            <w:tcW w:w="2826" w:type="pct"/>
            <w:shd w:val="clear" w:color="auto" w:fill="auto"/>
            <w:vAlign w:val="center"/>
          </w:tcPr>
          <w:p w14:paraId="2E195ECF">
            <w:pPr>
              <w:pStyle w:val="143"/>
              <w:rPr>
                <w:snapToGrid w:val="0"/>
                <w:color w:val="000000" w:themeColor="text1"/>
                <w14:textFill>
                  <w14:solidFill>
                    <w14:schemeClr w14:val="tx1"/>
                  </w14:solidFill>
                </w14:textFill>
              </w:rPr>
            </w:pPr>
            <w:r>
              <w:rPr>
                <w:rFonts w:hint="eastAsia" w:ascii="Times New Roman"/>
                <w:snapToGrid w:val="0"/>
                <w:color w:val="000000"/>
                <w:kern w:val="2"/>
                <w:sz w:val="21"/>
                <w:szCs w:val="21"/>
              </w:rPr>
              <w:t>污水处理站</w:t>
            </w:r>
            <w:r>
              <w:rPr>
                <w:rFonts w:hint="eastAsia" w:ascii="Times New Roman"/>
                <w:snapToGrid w:val="0"/>
                <w:color w:val="000000"/>
                <w:kern w:val="2"/>
                <w:sz w:val="21"/>
                <w:szCs w:val="21"/>
                <w:lang w:eastAsia="zh-CN"/>
              </w:rPr>
              <w:t>、</w:t>
            </w:r>
            <w:r>
              <w:rPr>
                <w:rFonts w:hint="eastAsia"/>
                <w:snapToGrid w:val="0"/>
                <w:color w:val="000000" w:themeColor="text1"/>
                <w:kern w:val="0"/>
                <w:szCs w:val="21"/>
                <w:lang w:val="en-US" w:eastAsia="zh-CN"/>
                <w14:textFill>
                  <w14:solidFill>
                    <w14:schemeClr w14:val="tx1"/>
                  </w14:solidFill>
                </w14:textFill>
              </w:rPr>
              <w:t>柴油发电机房、</w:t>
            </w:r>
            <w:r>
              <w:rPr>
                <w:snapToGrid w:val="0"/>
                <w:color w:val="000000" w:themeColor="text1"/>
                <w:kern w:val="0"/>
                <w14:textFill>
                  <w14:solidFill>
                    <w14:schemeClr w14:val="tx1"/>
                  </w14:solidFill>
                </w14:textFill>
              </w:rPr>
              <w:t>危险废物贮存</w:t>
            </w:r>
            <w:r>
              <w:rPr>
                <w:rFonts w:hint="eastAsia"/>
                <w:snapToGrid w:val="0"/>
                <w:color w:val="000000" w:themeColor="text1"/>
                <w:kern w:val="0"/>
                <w:lang w:eastAsia="zh-CN"/>
                <w14:textFill>
                  <w14:solidFill>
                    <w14:schemeClr w14:val="tx1"/>
                  </w14:solidFill>
                </w14:textFill>
              </w:rPr>
              <w:t>点、</w:t>
            </w:r>
            <w:r>
              <w:rPr>
                <w:rFonts w:hint="eastAsia"/>
                <w:snapToGrid w:val="0"/>
                <w:color w:val="000000" w:themeColor="text1"/>
                <w:kern w:val="0"/>
                <w:szCs w:val="21"/>
                <w:lang w:val="en-US" w:eastAsia="zh-CN"/>
                <w14:textFill>
                  <w14:solidFill>
                    <w14:schemeClr w14:val="tx1"/>
                  </w14:solidFill>
                </w14:textFill>
              </w:rPr>
              <w:t>化验室、发酵罐区</w:t>
            </w:r>
            <w:r>
              <w:rPr>
                <w:rFonts w:hint="eastAsia"/>
                <w:snapToGrid w:val="0"/>
                <w:color w:val="000000" w:themeColor="text1"/>
                <w14:textFill>
                  <w14:solidFill>
                    <w14:schemeClr w14:val="tx1"/>
                  </w14:solidFill>
                </w14:textFill>
              </w:rPr>
              <w:t>按</w:t>
            </w:r>
            <w:r>
              <w:rPr>
                <w:rFonts w:hint="eastAsia"/>
                <w:snapToGrid w:val="0"/>
                <w:color w:val="000000" w:themeColor="text1"/>
                <w:lang w:val="en-US" w:eastAsia="zh-CN"/>
                <w14:textFill>
                  <w14:solidFill>
                    <w14:schemeClr w14:val="tx1"/>
                  </w14:solidFill>
                </w14:textFill>
              </w:rPr>
              <w:t>一般</w:t>
            </w:r>
            <w:r>
              <w:rPr>
                <w:rFonts w:hint="eastAsia"/>
                <w:snapToGrid w:val="0"/>
                <w:color w:val="000000" w:themeColor="text1"/>
                <w14:textFill>
                  <w14:solidFill>
                    <w14:schemeClr w14:val="tx1"/>
                  </w14:solidFill>
                </w14:textFill>
              </w:rPr>
              <w:t>防渗区采取防渗措施</w:t>
            </w:r>
          </w:p>
        </w:tc>
        <w:tc>
          <w:tcPr>
            <w:tcW w:w="996" w:type="pct"/>
            <w:shd w:val="clear" w:color="auto" w:fill="auto"/>
            <w:vAlign w:val="center"/>
          </w:tcPr>
          <w:p w14:paraId="1E56E8F1">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50</w:t>
            </w:r>
          </w:p>
        </w:tc>
      </w:tr>
      <w:tr w14:paraId="449EF5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5230C6BA">
            <w:pPr>
              <w:pStyle w:val="143"/>
              <w:rPr>
                <w:snapToGrid w:val="0"/>
                <w:color w:val="000000" w:themeColor="text1"/>
                <w14:textFill>
                  <w14:solidFill>
                    <w14:schemeClr w14:val="tx1"/>
                  </w14:solidFill>
                </w14:textFill>
              </w:rPr>
            </w:pPr>
          </w:p>
        </w:tc>
        <w:tc>
          <w:tcPr>
            <w:tcW w:w="590" w:type="pct"/>
            <w:vMerge w:val="continue"/>
            <w:shd w:val="clear" w:color="auto" w:fill="auto"/>
            <w:vAlign w:val="center"/>
          </w:tcPr>
          <w:p w14:paraId="5D3FFDF2">
            <w:pPr>
              <w:pStyle w:val="143"/>
              <w:rPr>
                <w:snapToGrid w:val="0"/>
                <w:color w:val="000000" w:themeColor="text1"/>
                <w14:textFill>
                  <w14:solidFill>
                    <w14:schemeClr w14:val="tx1"/>
                  </w14:solidFill>
                </w14:textFill>
              </w:rPr>
            </w:pPr>
          </w:p>
        </w:tc>
        <w:tc>
          <w:tcPr>
            <w:tcW w:w="2826" w:type="pct"/>
            <w:shd w:val="clear" w:color="auto" w:fill="auto"/>
            <w:vAlign w:val="center"/>
          </w:tcPr>
          <w:p w14:paraId="3444A8C2">
            <w:pPr>
              <w:pStyle w:val="143"/>
              <w:rPr>
                <w:snapToGrid w:val="0"/>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酿造车间、包装车间等其他区域</w:t>
            </w:r>
            <w:r>
              <w:rPr>
                <w:rFonts w:hint="eastAsia"/>
                <w:snapToGrid w:val="0"/>
                <w:color w:val="000000" w:themeColor="text1"/>
                <w14:textFill>
                  <w14:solidFill>
                    <w14:schemeClr w14:val="tx1"/>
                  </w14:solidFill>
                </w14:textFill>
              </w:rPr>
              <w:t>按一般防渗区采取防渗措施</w:t>
            </w:r>
          </w:p>
        </w:tc>
        <w:tc>
          <w:tcPr>
            <w:tcW w:w="996" w:type="pct"/>
            <w:shd w:val="clear" w:color="auto" w:fill="auto"/>
            <w:vAlign w:val="center"/>
          </w:tcPr>
          <w:p w14:paraId="490AF67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20</w:t>
            </w:r>
          </w:p>
        </w:tc>
      </w:tr>
      <w:tr w14:paraId="4090A9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79C973BB">
            <w:pPr>
              <w:pStyle w:val="143"/>
              <w:rPr>
                <w:snapToGrid w:val="0"/>
                <w:color w:val="000000" w:themeColor="text1"/>
                <w14:textFill>
                  <w14:solidFill>
                    <w14:schemeClr w14:val="tx1"/>
                  </w14:solidFill>
                </w14:textFill>
              </w:rPr>
            </w:pPr>
          </w:p>
        </w:tc>
        <w:tc>
          <w:tcPr>
            <w:tcW w:w="590" w:type="pct"/>
            <w:vMerge w:val="continue"/>
            <w:shd w:val="clear" w:color="auto" w:fill="auto"/>
            <w:vAlign w:val="center"/>
          </w:tcPr>
          <w:p w14:paraId="03937706">
            <w:pPr>
              <w:pStyle w:val="143"/>
              <w:rPr>
                <w:snapToGrid w:val="0"/>
                <w:color w:val="000000" w:themeColor="text1"/>
                <w14:textFill>
                  <w14:solidFill>
                    <w14:schemeClr w14:val="tx1"/>
                  </w14:solidFill>
                </w14:textFill>
              </w:rPr>
            </w:pPr>
          </w:p>
        </w:tc>
        <w:tc>
          <w:tcPr>
            <w:tcW w:w="2826" w:type="pct"/>
            <w:shd w:val="clear" w:color="auto" w:fill="auto"/>
            <w:vAlign w:val="center"/>
          </w:tcPr>
          <w:p w14:paraId="59767622">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14:textFill>
                  <w14:solidFill>
                    <w14:schemeClr w14:val="tx1"/>
                  </w14:solidFill>
                </w14:textFill>
              </w:rPr>
              <w:t>液碱罐区和液体二氧化碳罐区围堰</w:t>
            </w:r>
          </w:p>
        </w:tc>
        <w:tc>
          <w:tcPr>
            <w:tcW w:w="996" w:type="pct"/>
            <w:shd w:val="clear" w:color="auto" w:fill="auto"/>
            <w:vAlign w:val="center"/>
          </w:tcPr>
          <w:p w14:paraId="4896340E">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20</w:t>
            </w:r>
          </w:p>
        </w:tc>
      </w:tr>
      <w:tr w14:paraId="5B8F34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6161A187">
            <w:pPr>
              <w:pStyle w:val="143"/>
              <w:rPr>
                <w:snapToGrid w:val="0"/>
                <w:color w:val="000000" w:themeColor="text1"/>
                <w14:textFill>
                  <w14:solidFill>
                    <w14:schemeClr w14:val="tx1"/>
                  </w14:solidFill>
                </w14:textFill>
              </w:rPr>
            </w:pPr>
          </w:p>
        </w:tc>
        <w:tc>
          <w:tcPr>
            <w:tcW w:w="590" w:type="pct"/>
            <w:vMerge w:val="restart"/>
            <w:shd w:val="clear" w:color="auto" w:fill="auto"/>
            <w:vAlign w:val="center"/>
          </w:tcPr>
          <w:p w14:paraId="6938AA96">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废气</w:t>
            </w:r>
          </w:p>
        </w:tc>
        <w:tc>
          <w:tcPr>
            <w:tcW w:w="2826" w:type="pct"/>
            <w:shd w:val="clear" w:color="auto" w:fill="auto"/>
          </w:tcPr>
          <w:p w14:paraId="5CAB5F10">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原料间布袋除尘器</w:t>
            </w:r>
            <w:r>
              <w:rPr>
                <w:snapToGrid w:val="0"/>
                <w:color w:val="000000" w:themeColor="text1"/>
                <w14:textFill>
                  <w14:solidFill>
                    <w14:schemeClr w14:val="tx1"/>
                  </w14:solidFill>
                </w14:textFill>
              </w:rPr>
              <w:t>1</w:t>
            </w:r>
            <w:r>
              <w:rPr>
                <w:rFonts w:hint="eastAsia"/>
                <w:snapToGrid w:val="0"/>
                <w:color w:val="000000" w:themeColor="text1"/>
                <w14:textFill>
                  <w14:solidFill>
                    <w14:schemeClr w14:val="tx1"/>
                  </w14:solidFill>
                </w14:textFill>
              </w:rPr>
              <w:t>台</w:t>
            </w:r>
            <w:r>
              <w:rPr>
                <w:rFonts w:hint="eastAsia"/>
                <w:snapToGrid w:val="0"/>
                <w:color w:val="000000" w:themeColor="text1"/>
                <w:lang w:val="en-US"/>
                <w14:textFill>
                  <w14:solidFill>
                    <w14:schemeClr w14:val="tx1"/>
                  </w14:solidFill>
                </w14:textFill>
              </w:rPr>
              <w:t>+</w:t>
            </w:r>
            <w:r>
              <w:rPr>
                <w:snapToGrid w:val="0"/>
                <w:color w:val="000000" w:themeColor="text1"/>
                <w:lang w:val="en-US"/>
                <w14:textFill>
                  <w14:solidFill>
                    <w14:schemeClr w14:val="tx1"/>
                  </w14:solidFill>
                </w14:textFill>
              </w:rPr>
              <w:t>排气筒</w:t>
            </w:r>
          </w:p>
        </w:tc>
        <w:tc>
          <w:tcPr>
            <w:tcW w:w="996" w:type="pct"/>
            <w:shd w:val="clear" w:color="auto" w:fill="auto"/>
            <w:vAlign w:val="center"/>
          </w:tcPr>
          <w:p w14:paraId="356AC187">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15</w:t>
            </w:r>
          </w:p>
        </w:tc>
      </w:tr>
      <w:tr w14:paraId="2EA8E2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1FD578A3">
            <w:pPr>
              <w:pStyle w:val="143"/>
              <w:rPr>
                <w:snapToGrid w:val="0"/>
                <w:color w:val="000000" w:themeColor="text1"/>
                <w14:textFill>
                  <w14:solidFill>
                    <w14:schemeClr w14:val="tx1"/>
                  </w14:solidFill>
                </w14:textFill>
              </w:rPr>
            </w:pPr>
          </w:p>
        </w:tc>
        <w:tc>
          <w:tcPr>
            <w:tcW w:w="590" w:type="pct"/>
            <w:vMerge w:val="continue"/>
            <w:shd w:val="clear" w:color="auto" w:fill="auto"/>
            <w:vAlign w:val="center"/>
          </w:tcPr>
          <w:p w14:paraId="530A8C39">
            <w:pPr>
              <w:pStyle w:val="143"/>
              <w:rPr>
                <w:snapToGrid w:val="0"/>
                <w:color w:val="000000" w:themeColor="text1"/>
                <w14:textFill>
                  <w14:solidFill>
                    <w14:schemeClr w14:val="tx1"/>
                  </w14:solidFill>
                </w14:textFill>
              </w:rPr>
            </w:pPr>
          </w:p>
        </w:tc>
        <w:tc>
          <w:tcPr>
            <w:tcW w:w="2826" w:type="pct"/>
            <w:shd w:val="clear" w:color="auto" w:fill="auto"/>
          </w:tcPr>
          <w:p w14:paraId="5B81CDD2">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锅炉配套低氮燃烧器3套</w:t>
            </w:r>
            <w:r>
              <w:rPr>
                <w:rFonts w:hint="eastAsia"/>
                <w:snapToGrid w:val="0"/>
                <w:color w:val="000000" w:themeColor="text1"/>
                <w:lang w:val="en-US" w:eastAsia="zh-CN"/>
                <w14:textFill>
                  <w14:solidFill>
                    <w14:schemeClr w14:val="tx1"/>
                  </w14:solidFill>
                </w14:textFill>
              </w:rPr>
              <w:t>+烟囱</w:t>
            </w:r>
          </w:p>
        </w:tc>
        <w:tc>
          <w:tcPr>
            <w:tcW w:w="996" w:type="pct"/>
            <w:shd w:val="clear" w:color="auto" w:fill="auto"/>
            <w:vAlign w:val="center"/>
          </w:tcPr>
          <w:p w14:paraId="1DC1CB81">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50</w:t>
            </w:r>
          </w:p>
        </w:tc>
      </w:tr>
      <w:tr w14:paraId="165E8D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1FF3783D">
            <w:pPr>
              <w:pStyle w:val="143"/>
              <w:rPr>
                <w:snapToGrid w:val="0"/>
                <w:color w:val="000000" w:themeColor="text1"/>
                <w14:textFill>
                  <w14:solidFill>
                    <w14:schemeClr w14:val="tx1"/>
                  </w14:solidFill>
                </w14:textFill>
              </w:rPr>
            </w:pPr>
          </w:p>
        </w:tc>
        <w:tc>
          <w:tcPr>
            <w:tcW w:w="590" w:type="pct"/>
            <w:vMerge w:val="continue"/>
            <w:shd w:val="clear" w:color="auto" w:fill="auto"/>
            <w:vAlign w:val="center"/>
          </w:tcPr>
          <w:p w14:paraId="2A7E62FC">
            <w:pPr>
              <w:pStyle w:val="143"/>
              <w:rPr>
                <w:snapToGrid w:val="0"/>
                <w:color w:val="000000" w:themeColor="text1"/>
                <w14:textFill>
                  <w14:solidFill>
                    <w14:schemeClr w14:val="tx1"/>
                  </w14:solidFill>
                </w14:textFill>
              </w:rPr>
            </w:pPr>
          </w:p>
        </w:tc>
        <w:tc>
          <w:tcPr>
            <w:tcW w:w="2826" w:type="pct"/>
            <w:shd w:val="clear" w:color="auto" w:fill="auto"/>
          </w:tcPr>
          <w:p w14:paraId="5A588C42">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污水处理站</w:t>
            </w:r>
            <w:r>
              <w:rPr>
                <w:rFonts w:hint="eastAsia"/>
                <w:snapToGrid w:val="0"/>
                <w:color w:val="000000" w:themeColor="text1"/>
                <w14:textFill>
                  <w14:solidFill>
                    <w14:schemeClr w14:val="tx1"/>
                  </w14:solidFill>
                </w14:textFill>
              </w:rPr>
              <w:t>活性炭</w:t>
            </w:r>
            <w:r>
              <w:rPr>
                <w:snapToGrid w:val="0"/>
                <w:color w:val="000000" w:themeColor="text1"/>
                <w14:textFill>
                  <w14:solidFill>
                    <w14:schemeClr w14:val="tx1"/>
                  </w14:solidFill>
                </w14:textFill>
              </w:rPr>
              <w:t>吸附装置</w:t>
            </w:r>
            <w:r>
              <w:rPr>
                <w:rFonts w:hint="eastAsia"/>
                <w:snapToGrid w:val="0"/>
                <w:color w:val="000000" w:themeColor="text1"/>
                <w14:textFill>
                  <w14:solidFill>
                    <w14:schemeClr w14:val="tx1"/>
                  </w14:solidFill>
                </w14:textFill>
              </w:rPr>
              <w:t>1套</w:t>
            </w:r>
          </w:p>
        </w:tc>
        <w:tc>
          <w:tcPr>
            <w:tcW w:w="996" w:type="pct"/>
            <w:shd w:val="clear" w:color="auto" w:fill="auto"/>
            <w:vAlign w:val="center"/>
          </w:tcPr>
          <w:p w14:paraId="1209A07D">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w:t>
            </w:r>
          </w:p>
        </w:tc>
      </w:tr>
      <w:tr w14:paraId="7834A3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57689D2C">
            <w:pPr>
              <w:pStyle w:val="143"/>
              <w:rPr>
                <w:snapToGrid w:val="0"/>
                <w:color w:val="000000" w:themeColor="text1"/>
                <w14:textFill>
                  <w14:solidFill>
                    <w14:schemeClr w14:val="tx1"/>
                  </w14:solidFill>
                </w14:textFill>
              </w:rPr>
            </w:pPr>
          </w:p>
        </w:tc>
        <w:tc>
          <w:tcPr>
            <w:tcW w:w="590" w:type="pct"/>
            <w:vMerge w:val="continue"/>
            <w:shd w:val="clear" w:color="auto" w:fill="auto"/>
            <w:vAlign w:val="center"/>
          </w:tcPr>
          <w:p w14:paraId="7FCF1747">
            <w:pPr>
              <w:pStyle w:val="143"/>
              <w:rPr>
                <w:snapToGrid w:val="0"/>
                <w:color w:val="000000" w:themeColor="text1"/>
                <w14:textFill>
                  <w14:solidFill>
                    <w14:schemeClr w14:val="tx1"/>
                  </w14:solidFill>
                </w14:textFill>
              </w:rPr>
            </w:pPr>
          </w:p>
        </w:tc>
        <w:tc>
          <w:tcPr>
            <w:tcW w:w="2826" w:type="pct"/>
            <w:shd w:val="clear" w:color="auto" w:fill="auto"/>
          </w:tcPr>
          <w:p w14:paraId="431C3829">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发酵异味</w:t>
            </w:r>
            <w:r>
              <w:rPr>
                <w:rFonts w:hint="eastAsia"/>
                <w:snapToGrid w:val="0"/>
                <w:color w:val="000000" w:themeColor="text1"/>
                <w14:textFill>
                  <w14:solidFill>
                    <w14:schemeClr w14:val="tx1"/>
                  </w14:solidFill>
                </w14:textFill>
              </w:rPr>
              <w:t>活性炭</w:t>
            </w:r>
            <w:r>
              <w:rPr>
                <w:snapToGrid w:val="0"/>
                <w:color w:val="000000" w:themeColor="text1"/>
                <w14:textFill>
                  <w14:solidFill>
                    <w14:schemeClr w14:val="tx1"/>
                  </w14:solidFill>
                </w14:textFill>
              </w:rPr>
              <w:t>吸附装置</w:t>
            </w:r>
            <w:r>
              <w:rPr>
                <w:rFonts w:hint="eastAsia"/>
                <w:snapToGrid w:val="0"/>
                <w:color w:val="000000" w:themeColor="text1"/>
                <w14:textFill>
                  <w14:solidFill>
                    <w14:schemeClr w14:val="tx1"/>
                  </w14:solidFill>
                </w14:textFill>
              </w:rPr>
              <w:t>1套</w:t>
            </w:r>
          </w:p>
        </w:tc>
        <w:tc>
          <w:tcPr>
            <w:tcW w:w="996" w:type="pct"/>
            <w:shd w:val="clear" w:color="auto" w:fill="auto"/>
            <w:vAlign w:val="center"/>
          </w:tcPr>
          <w:p w14:paraId="44245B34">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w:t>
            </w:r>
          </w:p>
        </w:tc>
      </w:tr>
      <w:tr w14:paraId="65D01A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04770230">
            <w:pPr>
              <w:pStyle w:val="143"/>
              <w:rPr>
                <w:snapToGrid w:val="0"/>
                <w:color w:val="000000" w:themeColor="text1"/>
                <w14:textFill>
                  <w14:solidFill>
                    <w14:schemeClr w14:val="tx1"/>
                  </w14:solidFill>
                </w14:textFill>
              </w:rPr>
            </w:pPr>
          </w:p>
        </w:tc>
        <w:tc>
          <w:tcPr>
            <w:tcW w:w="590" w:type="pct"/>
            <w:vMerge w:val="continue"/>
            <w:shd w:val="clear" w:color="auto" w:fill="auto"/>
            <w:vAlign w:val="center"/>
          </w:tcPr>
          <w:p w14:paraId="354C0A87">
            <w:pPr>
              <w:pStyle w:val="143"/>
              <w:rPr>
                <w:snapToGrid w:val="0"/>
                <w:color w:val="000000" w:themeColor="text1"/>
                <w14:textFill>
                  <w14:solidFill>
                    <w14:schemeClr w14:val="tx1"/>
                  </w14:solidFill>
                </w14:textFill>
              </w:rPr>
            </w:pPr>
          </w:p>
        </w:tc>
        <w:tc>
          <w:tcPr>
            <w:tcW w:w="2826" w:type="pct"/>
            <w:shd w:val="clear" w:color="auto" w:fill="auto"/>
          </w:tcPr>
          <w:p w14:paraId="695366BA">
            <w:pPr>
              <w:pStyle w:val="143"/>
              <w:rPr>
                <w:snapToGrid w:val="0"/>
                <w:color w:val="000000" w:themeColor="text1"/>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沼气气室+</w:t>
            </w:r>
            <w:r>
              <w:rPr>
                <w:rFonts w:hint="eastAsia"/>
                <w:snapToGrid w:val="0"/>
                <w:color w:val="000000" w:themeColor="text1"/>
                <w:lang w:val="en-US" w:eastAsia="zh-CN"/>
                <w14:textFill>
                  <w14:solidFill>
                    <w14:schemeClr w14:val="tx1"/>
                  </w14:solidFill>
                </w14:textFill>
              </w:rPr>
              <w:t>干法</w:t>
            </w:r>
            <w:r>
              <w:rPr>
                <w:rFonts w:hint="eastAsia"/>
                <w:snapToGrid w:val="0"/>
                <w:color w:val="000000" w:themeColor="text1"/>
                <w14:textFill>
                  <w14:solidFill>
                    <w14:schemeClr w14:val="tx1"/>
                  </w14:solidFill>
                </w14:textFill>
              </w:rPr>
              <w:t>脱硫装置</w:t>
            </w:r>
            <w:r>
              <w:rPr>
                <w:rFonts w:hint="eastAsia"/>
                <w:snapToGrid w:val="0"/>
                <w:color w:val="000000" w:themeColor="text1"/>
                <w:lang w:eastAsia="zh-CN"/>
                <w14:textFill>
                  <w14:solidFill>
                    <w14:schemeClr w14:val="tx1"/>
                  </w14:solidFill>
                </w14:textFill>
              </w:rPr>
              <w:t>+火炬</w:t>
            </w:r>
          </w:p>
        </w:tc>
        <w:tc>
          <w:tcPr>
            <w:tcW w:w="996" w:type="pct"/>
            <w:shd w:val="clear" w:color="auto" w:fill="auto"/>
            <w:vAlign w:val="center"/>
          </w:tcPr>
          <w:p w14:paraId="3F98D92B">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15</w:t>
            </w:r>
          </w:p>
        </w:tc>
      </w:tr>
      <w:tr w14:paraId="294A7D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7B88AB66">
            <w:pPr>
              <w:pStyle w:val="143"/>
              <w:rPr>
                <w:snapToGrid w:val="0"/>
                <w:color w:val="000000" w:themeColor="text1"/>
                <w14:textFill>
                  <w14:solidFill>
                    <w14:schemeClr w14:val="tx1"/>
                  </w14:solidFill>
                </w14:textFill>
              </w:rPr>
            </w:pPr>
          </w:p>
        </w:tc>
        <w:tc>
          <w:tcPr>
            <w:tcW w:w="590" w:type="pct"/>
            <w:vMerge w:val="continue"/>
            <w:shd w:val="clear" w:color="auto" w:fill="auto"/>
            <w:vAlign w:val="center"/>
          </w:tcPr>
          <w:p w14:paraId="796D1B1D">
            <w:pPr>
              <w:pStyle w:val="143"/>
              <w:rPr>
                <w:snapToGrid w:val="0"/>
                <w:color w:val="000000" w:themeColor="text1"/>
                <w14:textFill>
                  <w14:solidFill>
                    <w14:schemeClr w14:val="tx1"/>
                  </w14:solidFill>
                </w14:textFill>
              </w:rPr>
            </w:pPr>
          </w:p>
        </w:tc>
        <w:tc>
          <w:tcPr>
            <w:tcW w:w="2826" w:type="pct"/>
            <w:shd w:val="clear" w:color="auto" w:fill="auto"/>
          </w:tcPr>
          <w:p w14:paraId="452468B5">
            <w:pPr>
              <w:pStyle w:val="143"/>
              <w:rPr>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食堂油烟净化设施</w:t>
            </w:r>
            <w:r>
              <w:rPr>
                <w:rFonts w:hint="eastAsia"/>
                <w:snapToGrid w:val="0"/>
                <w:color w:val="000000" w:themeColor="text1"/>
                <w:lang w:eastAsia="zh-CN"/>
                <w14:textFill>
                  <w14:solidFill>
                    <w14:schemeClr w14:val="tx1"/>
                  </w14:solidFill>
                </w14:textFill>
              </w:rPr>
              <w:t>+排气筒</w:t>
            </w:r>
          </w:p>
        </w:tc>
        <w:tc>
          <w:tcPr>
            <w:tcW w:w="996" w:type="pct"/>
            <w:shd w:val="clear" w:color="auto" w:fill="auto"/>
            <w:vAlign w:val="center"/>
          </w:tcPr>
          <w:p w14:paraId="20D1BCF3">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5</w:t>
            </w:r>
          </w:p>
        </w:tc>
      </w:tr>
      <w:tr w14:paraId="6E439A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29CD2000">
            <w:pPr>
              <w:pStyle w:val="143"/>
              <w:rPr>
                <w:snapToGrid w:val="0"/>
                <w:color w:val="000000" w:themeColor="text1"/>
                <w14:textFill>
                  <w14:solidFill>
                    <w14:schemeClr w14:val="tx1"/>
                  </w14:solidFill>
                </w14:textFill>
              </w:rPr>
            </w:pPr>
          </w:p>
        </w:tc>
        <w:tc>
          <w:tcPr>
            <w:tcW w:w="590" w:type="pct"/>
            <w:shd w:val="clear" w:color="auto" w:fill="auto"/>
            <w:vAlign w:val="center"/>
          </w:tcPr>
          <w:p w14:paraId="7AE25A08">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废水</w:t>
            </w:r>
          </w:p>
        </w:tc>
        <w:tc>
          <w:tcPr>
            <w:tcW w:w="2826" w:type="pct"/>
            <w:shd w:val="clear" w:color="auto" w:fill="auto"/>
          </w:tcPr>
          <w:p w14:paraId="3D5156F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污水处理站及事故池</w:t>
            </w:r>
          </w:p>
        </w:tc>
        <w:tc>
          <w:tcPr>
            <w:tcW w:w="996" w:type="pct"/>
            <w:shd w:val="clear" w:color="auto" w:fill="auto"/>
            <w:vAlign w:val="center"/>
          </w:tcPr>
          <w:p w14:paraId="74835AE9">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100</w:t>
            </w:r>
          </w:p>
        </w:tc>
      </w:tr>
      <w:tr w14:paraId="292D6D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0C8BBC01">
            <w:pPr>
              <w:pStyle w:val="143"/>
              <w:rPr>
                <w:snapToGrid w:val="0"/>
                <w:color w:val="000000" w:themeColor="text1"/>
                <w14:textFill>
                  <w14:solidFill>
                    <w14:schemeClr w14:val="tx1"/>
                  </w14:solidFill>
                </w14:textFill>
              </w:rPr>
            </w:pPr>
          </w:p>
        </w:tc>
        <w:tc>
          <w:tcPr>
            <w:tcW w:w="590" w:type="pct"/>
            <w:vMerge w:val="restart"/>
            <w:shd w:val="clear" w:color="auto" w:fill="auto"/>
            <w:vAlign w:val="center"/>
          </w:tcPr>
          <w:p w14:paraId="2D9BAA4C">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固废</w:t>
            </w:r>
          </w:p>
        </w:tc>
        <w:tc>
          <w:tcPr>
            <w:tcW w:w="2826" w:type="pct"/>
            <w:shd w:val="clear" w:color="auto" w:fill="auto"/>
            <w:vAlign w:val="center"/>
          </w:tcPr>
          <w:p w14:paraId="67B83C04">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危险废物贮存点设置、</w:t>
            </w:r>
            <w:r>
              <w:rPr>
                <w:snapToGrid w:val="0"/>
                <w:color w:val="000000" w:themeColor="text1"/>
                <w14:textFill>
                  <w14:solidFill>
                    <w14:schemeClr w14:val="tx1"/>
                  </w14:solidFill>
                </w14:textFill>
              </w:rPr>
              <w:t>危险废物外委处置</w:t>
            </w:r>
          </w:p>
        </w:tc>
        <w:tc>
          <w:tcPr>
            <w:tcW w:w="996" w:type="pct"/>
            <w:shd w:val="clear" w:color="auto" w:fill="auto"/>
            <w:vAlign w:val="center"/>
          </w:tcPr>
          <w:p w14:paraId="21E3548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10</w:t>
            </w:r>
          </w:p>
        </w:tc>
      </w:tr>
      <w:tr w14:paraId="31B47E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7F37D656">
            <w:pPr>
              <w:pStyle w:val="143"/>
              <w:rPr>
                <w:snapToGrid w:val="0"/>
                <w:color w:val="000000" w:themeColor="text1"/>
                <w14:textFill>
                  <w14:solidFill>
                    <w14:schemeClr w14:val="tx1"/>
                  </w14:solidFill>
                </w14:textFill>
              </w:rPr>
            </w:pPr>
          </w:p>
        </w:tc>
        <w:tc>
          <w:tcPr>
            <w:tcW w:w="590" w:type="pct"/>
            <w:vMerge w:val="continue"/>
            <w:shd w:val="clear" w:color="auto" w:fill="auto"/>
            <w:vAlign w:val="center"/>
          </w:tcPr>
          <w:p w14:paraId="5239EC5E">
            <w:pPr>
              <w:pStyle w:val="143"/>
              <w:rPr>
                <w:snapToGrid w:val="0"/>
                <w:color w:val="000000" w:themeColor="text1"/>
                <w14:textFill>
                  <w14:solidFill>
                    <w14:schemeClr w14:val="tx1"/>
                  </w14:solidFill>
                </w14:textFill>
              </w:rPr>
            </w:pPr>
          </w:p>
        </w:tc>
        <w:tc>
          <w:tcPr>
            <w:tcW w:w="2826" w:type="pct"/>
            <w:shd w:val="clear" w:color="auto" w:fill="auto"/>
            <w:vAlign w:val="center"/>
          </w:tcPr>
          <w:p w14:paraId="1C268D5E">
            <w:pPr>
              <w:pStyle w:val="143"/>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一般工业固体废物暂存与处置</w:t>
            </w:r>
          </w:p>
        </w:tc>
        <w:tc>
          <w:tcPr>
            <w:tcW w:w="996" w:type="pct"/>
            <w:shd w:val="clear" w:color="auto" w:fill="auto"/>
            <w:vAlign w:val="center"/>
          </w:tcPr>
          <w:p w14:paraId="0E0A06D3">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20</w:t>
            </w:r>
          </w:p>
        </w:tc>
      </w:tr>
      <w:tr w14:paraId="75AC85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7467E660">
            <w:pPr>
              <w:pStyle w:val="143"/>
              <w:rPr>
                <w:snapToGrid w:val="0"/>
                <w:color w:val="000000" w:themeColor="text1"/>
                <w14:textFill>
                  <w14:solidFill>
                    <w14:schemeClr w14:val="tx1"/>
                  </w14:solidFill>
                </w14:textFill>
              </w:rPr>
            </w:pPr>
          </w:p>
        </w:tc>
        <w:tc>
          <w:tcPr>
            <w:tcW w:w="590" w:type="pct"/>
            <w:shd w:val="clear" w:color="auto" w:fill="auto"/>
            <w:vAlign w:val="center"/>
          </w:tcPr>
          <w:p w14:paraId="1EFF5E3D">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噪声</w:t>
            </w:r>
          </w:p>
        </w:tc>
        <w:tc>
          <w:tcPr>
            <w:tcW w:w="2826" w:type="pct"/>
            <w:shd w:val="clear" w:color="auto" w:fill="auto"/>
            <w:vAlign w:val="center"/>
          </w:tcPr>
          <w:p w14:paraId="50FDD414">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吸声、隔声、减振等噪声治理措施</w:t>
            </w:r>
          </w:p>
        </w:tc>
        <w:tc>
          <w:tcPr>
            <w:tcW w:w="996" w:type="pct"/>
            <w:shd w:val="clear" w:color="auto" w:fill="auto"/>
            <w:vAlign w:val="center"/>
          </w:tcPr>
          <w:p w14:paraId="34BDEFFD">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10</w:t>
            </w:r>
          </w:p>
        </w:tc>
      </w:tr>
      <w:tr w14:paraId="17FD75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130D50C6">
            <w:pPr>
              <w:pStyle w:val="143"/>
              <w:rPr>
                <w:snapToGrid w:val="0"/>
                <w:color w:val="000000" w:themeColor="text1"/>
                <w14:textFill>
                  <w14:solidFill>
                    <w14:schemeClr w14:val="tx1"/>
                  </w14:solidFill>
                </w14:textFill>
              </w:rPr>
            </w:pPr>
          </w:p>
        </w:tc>
        <w:tc>
          <w:tcPr>
            <w:tcW w:w="590" w:type="pct"/>
            <w:shd w:val="clear" w:color="auto" w:fill="auto"/>
            <w:vAlign w:val="center"/>
          </w:tcPr>
          <w:p w14:paraId="29F25AB0">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生态</w:t>
            </w:r>
          </w:p>
        </w:tc>
        <w:tc>
          <w:tcPr>
            <w:tcW w:w="2826" w:type="pct"/>
            <w:shd w:val="clear" w:color="auto" w:fill="auto"/>
            <w:vAlign w:val="center"/>
          </w:tcPr>
          <w:p w14:paraId="00E06FB6">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厂区绿化</w:t>
            </w:r>
          </w:p>
        </w:tc>
        <w:tc>
          <w:tcPr>
            <w:tcW w:w="996" w:type="pct"/>
            <w:shd w:val="clear" w:color="auto" w:fill="auto"/>
            <w:vAlign w:val="center"/>
          </w:tcPr>
          <w:p w14:paraId="3D2A39F0">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20</w:t>
            </w:r>
          </w:p>
        </w:tc>
      </w:tr>
      <w:tr w14:paraId="423959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7181F4E7">
            <w:pPr>
              <w:pStyle w:val="143"/>
              <w:rPr>
                <w:snapToGrid w:val="0"/>
                <w:color w:val="000000" w:themeColor="text1"/>
                <w14:textFill>
                  <w14:solidFill>
                    <w14:schemeClr w14:val="tx1"/>
                  </w14:solidFill>
                </w14:textFill>
              </w:rPr>
            </w:pPr>
          </w:p>
        </w:tc>
        <w:tc>
          <w:tcPr>
            <w:tcW w:w="3417" w:type="pct"/>
            <w:gridSpan w:val="2"/>
            <w:shd w:val="clear" w:color="auto" w:fill="auto"/>
            <w:vAlign w:val="center"/>
          </w:tcPr>
          <w:p w14:paraId="219D444C">
            <w:pPr>
              <w:ind w:firstLine="420" w:firstLineChars="200"/>
              <w:jc w:val="center"/>
              <w:rPr>
                <w:snapToGrid w:val="0"/>
                <w:color w:val="000000" w:themeColor="text1"/>
                <w14:textFill>
                  <w14:solidFill>
                    <w14:schemeClr w14:val="tx1"/>
                  </w14:solidFill>
                </w14:textFill>
              </w:rPr>
            </w:pPr>
            <w:r>
              <w:rPr>
                <w:rFonts w:ascii="Times New Roman"/>
                <w:color w:val="000000"/>
                <w:sz w:val="21"/>
                <w:szCs w:val="21"/>
              </w:rPr>
              <w:t>运营期环保设施维护费用</w:t>
            </w:r>
          </w:p>
        </w:tc>
        <w:tc>
          <w:tcPr>
            <w:tcW w:w="996" w:type="pct"/>
            <w:shd w:val="clear" w:color="auto" w:fill="auto"/>
            <w:vAlign w:val="center"/>
          </w:tcPr>
          <w:p w14:paraId="2951CD2F">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10</w:t>
            </w:r>
          </w:p>
        </w:tc>
      </w:tr>
      <w:tr w14:paraId="395C71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86" w:type="pct"/>
            <w:vMerge w:val="continue"/>
            <w:shd w:val="clear" w:color="auto" w:fill="auto"/>
            <w:vAlign w:val="center"/>
          </w:tcPr>
          <w:p w14:paraId="2D19D416">
            <w:pPr>
              <w:pStyle w:val="143"/>
              <w:rPr>
                <w:snapToGrid w:val="0"/>
                <w:color w:val="000000" w:themeColor="text1"/>
                <w14:textFill>
                  <w14:solidFill>
                    <w14:schemeClr w14:val="tx1"/>
                  </w14:solidFill>
                </w14:textFill>
              </w:rPr>
            </w:pPr>
          </w:p>
        </w:tc>
        <w:tc>
          <w:tcPr>
            <w:tcW w:w="3417" w:type="pct"/>
            <w:gridSpan w:val="2"/>
            <w:shd w:val="clear" w:color="auto" w:fill="auto"/>
            <w:vAlign w:val="center"/>
          </w:tcPr>
          <w:p w14:paraId="52EA28B5">
            <w:pPr>
              <w:ind w:firstLine="420" w:firstLineChars="200"/>
              <w:jc w:val="center"/>
              <w:rPr>
                <w:snapToGrid w:val="0"/>
                <w:color w:val="000000" w:themeColor="text1"/>
                <w14:textFill>
                  <w14:solidFill>
                    <w14:schemeClr w14:val="tx1"/>
                  </w14:solidFill>
                </w14:textFill>
              </w:rPr>
            </w:pPr>
            <w:r>
              <w:rPr>
                <w:rFonts w:hint="eastAsia" w:ascii="Times New Roman"/>
                <w:color w:val="000000"/>
                <w:sz w:val="21"/>
                <w:szCs w:val="21"/>
              </w:rPr>
              <w:t>运营期环境管理与监测费用</w:t>
            </w:r>
          </w:p>
        </w:tc>
        <w:tc>
          <w:tcPr>
            <w:tcW w:w="996" w:type="pct"/>
            <w:shd w:val="clear" w:color="auto" w:fill="auto"/>
            <w:vAlign w:val="center"/>
          </w:tcPr>
          <w:p w14:paraId="7C2883FD">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10</w:t>
            </w:r>
          </w:p>
        </w:tc>
      </w:tr>
      <w:tr w14:paraId="4EB88C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177" w:type="pct"/>
            <w:gridSpan w:val="2"/>
            <w:shd w:val="clear" w:color="auto" w:fill="auto"/>
            <w:vAlign w:val="center"/>
          </w:tcPr>
          <w:p w14:paraId="2A84C1D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合计</w:t>
            </w:r>
          </w:p>
        </w:tc>
        <w:tc>
          <w:tcPr>
            <w:tcW w:w="2826" w:type="pct"/>
            <w:shd w:val="clear" w:color="auto" w:fill="auto"/>
            <w:vAlign w:val="center"/>
          </w:tcPr>
          <w:p w14:paraId="420E49C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p>
        </w:tc>
        <w:tc>
          <w:tcPr>
            <w:tcW w:w="996" w:type="pct"/>
            <w:shd w:val="clear" w:color="auto" w:fill="auto"/>
            <w:vAlign w:val="center"/>
          </w:tcPr>
          <w:p w14:paraId="39320362">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379</w:t>
            </w:r>
          </w:p>
        </w:tc>
      </w:tr>
    </w:tbl>
    <w:p w14:paraId="4BE3AFD9">
      <w:pPr>
        <w:pStyle w:val="143"/>
        <w:rPr>
          <w:snapToGrid w:val="0"/>
          <w:color w:val="000000" w:themeColor="text1"/>
          <w14:textFill>
            <w14:solidFill>
              <w14:schemeClr w14:val="tx1"/>
            </w14:solidFill>
          </w14:textFill>
        </w:rPr>
      </w:pPr>
    </w:p>
    <w:p w14:paraId="3E6F4527">
      <w:pPr>
        <w:rPr>
          <w:snapToGrid w:val="0"/>
          <w:color w:val="000000" w:themeColor="text1"/>
          <w:kern w:val="0"/>
          <w:szCs w:val="24"/>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4DBCC302">
      <w:pPr>
        <w:pStyle w:val="4"/>
        <w:rPr>
          <w:snapToGrid w:val="0"/>
          <w:color w:val="000000" w:themeColor="text1"/>
          <w14:textFill>
            <w14:solidFill>
              <w14:schemeClr w14:val="tx1"/>
            </w14:solidFill>
          </w14:textFill>
        </w:rPr>
      </w:pPr>
      <w:bookmarkStart w:id="357" w:name="_Toc480447677"/>
      <w:bookmarkStart w:id="358" w:name="_Toc4957"/>
      <w:r>
        <w:rPr>
          <w:snapToGrid w:val="0"/>
          <w:color w:val="000000" w:themeColor="text1"/>
          <w14:textFill>
            <w14:solidFill>
              <w14:schemeClr w14:val="tx1"/>
            </w14:solidFill>
          </w14:textFill>
        </w:rPr>
        <w:t>7环境</w:t>
      </w:r>
      <w:r>
        <w:rPr>
          <w:rFonts w:hint="eastAsia"/>
          <w:snapToGrid w:val="0"/>
          <w:color w:val="000000" w:themeColor="text1"/>
          <w14:textFill>
            <w14:solidFill>
              <w14:schemeClr w14:val="tx1"/>
            </w14:solidFill>
          </w14:textFill>
        </w:rPr>
        <w:t>影响</w:t>
      </w:r>
      <w:r>
        <w:rPr>
          <w:snapToGrid w:val="0"/>
          <w:color w:val="000000" w:themeColor="text1"/>
          <w14:textFill>
            <w14:solidFill>
              <w14:schemeClr w14:val="tx1"/>
            </w14:solidFill>
          </w14:textFill>
        </w:rPr>
        <w:t>经济损益分析</w:t>
      </w:r>
      <w:bookmarkEnd w:id="357"/>
      <w:bookmarkEnd w:id="358"/>
    </w:p>
    <w:p w14:paraId="57ABA23E">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环境经济损益分析主要是评价建设项目实施后，对环境造成的损失费用和采取各种环保治理措施所能收到的环保效果及其带来的经济和社会效益，衡量建设项目的环保投资在经济上的合理水平。</w:t>
      </w:r>
    </w:p>
    <w:p w14:paraId="5D91F566">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次评价根据工程分析、环境影响分析和污染防治措施等内容，确定本项目的经济损失和环境效益。其中，本项目的环境经济损失主要表现为治理污染所需要的环保投资，综合效益则表现为项目建成运行后所带来的环境、经济和社会三效益的总和</w:t>
      </w:r>
      <w:r>
        <w:rPr>
          <w:rFonts w:hint="eastAsia"/>
          <w:snapToGrid w:val="0"/>
          <w:color w:val="000000" w:themeColor="text1"/>
          <w14:textFill>
            <w14:solidFill>
              <w14:schemeClr w14:val="tx1"/>
            </w14:solidFill>
          </w14:textFill>
        </w:rPr>
        <w:t>。</w:t>
      </w:r>
    </w:p>
    <w:p w14:paraId="43802372">
      <w:pPr>
        <w:pStyle w:val="5"/>
        <w:rPr>
          <w:snapToGrid w:val="0"/>
          <w:color w:val="000000" w:themeColor="text1"/>
          <w14:textFill>
            <w14:solidFill>
              <w14:schemeClr w14:val="tx1"/>
            </w14:solidFill>
          </w14:textFill>
        </w:rPr>
      </w:pPr>
      <w:bookmarkStart w:id="359" w:name="_Toc480447678"/>
      <w:bookmarkStart w:id="360" w:name="_Toc24928"/>
      <w:r>
        <w:rPr>
          <w:snapToGrid w:val="0"/>
          <w:color w:val="000000" w:themeColor="text1"/>
          <w14:textFill>
            <w14:solidFill>
              <w14:schemeClr w14:val="tx1"/>
            </w14:solidFill>
          </w14:textFill>
        </w:rPr>
        <w:t>7.1</w:t>
      </w:r>
      <w:bookmarkEnd w:id="359"/>
      <w:r>
        <w:rPr>
          <w:snapToGrid w:val="0"/>
          <w:color w:val="000000" w:themeColor="text1"/>
          <w14:textFill>
            <w14:solidFill>
              <w14:schemeClr w14:val="tx1"/>
            </w14:solidFill>
          </w14:textFill>
        </w:rPr>
        <w:t>项目实施后对环境影响的变化情况</w:t>
      </w:r>
      <w:bookmarkEnd w:id="360"/>
    </w:p>
    <w:p w14:paraId="6616B5A4">
      <w:pPr>
        <w:pStyle w:val="85"/>
        <w:rPr>
          <w:snapToGrid w:val="0"/>
          <w:color w:val="000000" w:themeColor="text1"/>
          <w14:textFill>
            <w14:solidFill>
              <w14:schemeClr w14:val="tx1"/>
            </w14:solidFill>
          </w14:textFill>
        </w:rPr>
      </w:pPr>
      <w:bookmarkStart w:id="361" w:name="_Toc480447679"/>
      <w:r>
        <w:rPr>
          <w:snapToGrid w:val="0"/>
          <w:color w:val="000000" w:themeColor="text1"/>
          <w14:textFill>
            <w14:solidFill>
              <w14:schemeClr w14:val="tx1"/>
            </w14:solidFill>
          </w14:textFill>
        </w:rPr>
        <w:t>项目通过投入环保投资，采取各种环保措施对废气、废水、噪声、固体废物污染进行控制，实现了废物资源化利用，同时减少了项目对环境造成的污染，达到了削减污染物排放量，保护环境的目的，对环境影响较小。</w:t>
      </w:r>
    </w:p>
    <w:p w14:paraId="25DC9AA4">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由此可见</w:t>
      </w:r>
      <w:r>
        <w:rPr>
          <w:snapToGrid w:val="0"/>
          <w:color w:val="000000" w:themeColor="text1"/>
          <w14:textFill>
            <w14:solidFill>
              <w14:schemeClr w14:val="tx1"/>
            </w14:solidFill>
          </w14:textFill>
        </w:rPr>
        <w:t>，本项目的环境效益明显，满足达标排放和总量控制要求，并为现有环境所接受。</w:t>
      </w:r>
      <w:r>
        <w:rPr>
          <w:rFonts w:hint="eastAsia"/>
          <w:snapToGrid w:val="0"/>
          <w:color w:val="000000" w:themeColor="text1"/>
          <w14:textFill>
            <w14:solidFill>
              <w14:schemeClr w14:val="tx1"/>
            </w14:solidFill>
          </w14:textFill>
        </w:rPr>
        <w:t>并且</w:t>
      </w:r>
      <w:r>
        <w:rPr>
          <w:snapToGrid w:val="0"/>
          <w:color w:val="000000" w:themeColor="text1"/>
          <w14:textFill>
            <w14:solidFill>
              <w14:schemeClr w14:val="tx1"/>
            </w14:solidFill>
          </w14:textFill>
        </w:rPr>
        <w:t>，环保设施的经济效益不仅表现在其创造了多少产值，还表现在它的间接经济效益即环保设施的有效运行保证了人类良好的生活条件、生存环境和生产活动的可持续发展以及由此创造的可观经济效益。从该意义上讲，项目环保设施的间接经济效益是非常明显的。</w:t>
      </w:r>
    </w:p>
    <w:p w14:paraId="4F1AD8F0">
      <w:pPr>
        <w:pStyle w:val="5"/>
        <w:rPr>
          <w:snapToGrid w:val="0"/>
          <w:color w:val="000000" w:themeColor="text1"/>
          <w14:textFill>
            <w14:solidFill>
              <w14:schemeClr w14:val="tx1"/>
            </w14:solidFill>
          </w14:textFill>
        </w:rPr>
      </w:pPr>
      <w:bookmarkStart w:id="362" w:name="_Toc22787"/>
      <w:r>
        <w:rPr>
          <w:snapToGrid w:val="0"/>
          <w:color w:val="000000" w:themeColor="text1"/>
          <w14:textFill>
            <w14:solidFill>
              <w14:schemeClr w14:val="tx1"/>
            </w14:solidFill>
          </w14:textFill>
        </w:rPr>
        <w:t>7.2</w:t>
      </w:r>
      <w:r>
        <w:rPr>
          <w:rFonts w:hint="eastAsia"/>
          <w:snapToGrid w:val="0"/>
          <w:color w:val="000000" w:themeColor="text1"/>
          <w14:textFill>
            <w14:solidFill>
              <w14:schemeClr w14:val="tx1"/>
            </w14:solidFill>
          </w14:textFill>
        </w:rPr>
        <w:t>社会经济效益</w:t>
      </w:r>
      <w:r>
        <w:rPr>
          <w:snapToGrid w:val="0"/>
          <w:color w:val="000000" w:themeColor="text1"/>
          <w14:textFill>
            <w14:solidFill>
              <w14:schemeClr w14:val="tx1"/>
            </w14:solidFill>
          </w14:textFill>
        </w:rPr>
        <w:t>分析</w:t>
      </w:r>
      <w:bookmarkEnd w:id="361"/>
      <w:bookmarkEnd w:id="362"/>
    </w:p>
    <w:p w14:paraId="2FEA5D46">
      <w:pPr>
        <w:pStyle w:val="85"/>
        <w:rPr>
          <w:color w:val="000000" w:themeColor="text1"/>
          <w14:textFill>
            <w14:solidFill>
              <w14:schemeClr w14:val="tx1"/>
            </w14:solidFill>
          </w14:textFill>
        </w:rPr>
      </w:pPr>
      <w:bookmarkStart w:id="363" w:name="_Toc480447680"/>
      <w:r>
        <w:rPr>
          <w:rFonts w:hint="eastAsia"/>
          <w:color w:val="000000" w:themeColor="text1"/>
          <w14:textFill>
            <w14:solidFill>
              <w14:schemeClr w14:val="tx1"/>
            </w14:solidFill>
          </w14:textFill>
        </w:rPr>
        <w:t>本项目生产出来的高档</w:t>
      </w:r>
      <w:r>
        <w:rPr>
          <w:rFonts w:hint="eastAsia"/>
          <w:color w:val="000000" w:themeColor="text1"/>
          <w:lang w:val="en-US" w:eastAsia="zh-CN"/>
          <w14:textFill>
            <w14:solidFill>
              <w14:schemeClr w14:val="tx1"/>
            </w14:solidFill>
          </w14:textFill>
        </w:rPr>
        <w:t>紫苏</w:t>
      </w:r>
      <w:r>
        <w:rPr>
          <w:rFonts w:hint="eastAsia"/>
          <w:color w:val="000000" w:themeColor="text1"/>
          <w14:textFill>
            <w14:solidFill>
              <w14:schemeClr w14:val="tx1"/>
            </w14:solidFill>
          </w14:textFill>
        </w:rPr>
        <w:t>啤酒由</w:t>
      </w:r>
      <w:r>
        <w:rPr>
          <w:rFonts w:hint="eastAsia"/>
          <w:color w:val="000000" w:themeColor="text1"/>
          <w:lang w:eastAsia="zh-CN"/>
          <w14:textFill>
            <w14:solidFill>
              <w14:schemeClr w14:val="tx1"/>
            </w14:solidFill>
          </w14:textFill>
        </w:rPr>
        <w:t>黑龙江省紫沐禾精酿啤酒有限公司</w:t>
      </w:r>
      <w:r>
        <w:rPr>
          <w:rFonts w:hint="eastAsia"/>
          <w:color w:val="000000" w:themeColor="text1"/>
          <w14:textFill>
            <w14:solidFill>
              <w14:schemeClr w14:val="tx1"/>
            </w14:solidFill>
          </w14:textFill>
        </w:rPr>
        <w:t>统一销售，近期考虑</w:t>
      </w:r>
      <w:r>
        <w:rPr>
          <w:rFonts w:hint="eastAsia"/>
          <w:color w:val="000000" w:themeColor="text1"/>
          <w:lang w:eastAsia="zh-CN"/>
          <w14:textFill>
            <w14:solidFill>
              <w14:schemeClr w14:val="tx1"/>
            </w14:solidFill>
          </w14:textFill>
        </w:rPr>
        <w:t>佳木斯市</w:t>
      </w:r>
      <w:r>
        <w:rPr>
          <w:rFonts w:hint="eastAsia"/>
          <w:color w:val="000000" w:themeColor="text1"/>
          <w14:textFill>
            <w14:solidFill>
              <w14:schemeClr w14:val="tx1"/>
            </w14:solidFill>
          </w14:textFill>
        </w:rPr>
        <w:t>、哈尔滨市、齐齐哈尔市，逐渐推向黑龙江省北部、辽宁、吉林省各大城市，以及俄罗斯、韩国、朝鲜市场。本项目充分考虑了技术领先性在竞争中的作用以及啤酒生产行业大规模集约化生产对设备的严格要求，合理采用进口先进设备，在行业中具有先进性和领先性；并且具备广阔的市场以及稳定的供货渠道，能达到相当大的生产规模，产生较大的经济效益和社会效益。完全有可行性和可操作性。本项目原材料及动力供应有保障，工艺技术先进、成熟，生产优质啤酒，销售市场前景较好。因此，本项目具有较好经济效益和社会效益，并具较高的抗风险能力。</w:t>
      </w:r>
    </w:p>
    <w:p w14:paraId="22B61FE1">
      <w:pPr>
        <w:pStyle w:val="5"/>
        <w:rPr>
          <w:snapToGrid w:val="0"/>
          <w:color w:val="000000" w:themeColor="text1"/>
          <w14:textFill>
            <w14:solidFill>
              <w14:schemeClr w14:val="tx1"/>
            </w14:solidFill>
          </w14:textFill>
        </w:rPr>
      </w:pPr>
      <w:bookmarkStart w:id="364" w:name="_Toc30021"/>
      <w:r>
        <w:rPr>
          <w:snapToGrid w:val="0"/>
          <w:color w:val="000000" w:themeColor="text1"/>
          <w14:textFill>
            <w14:solidFill>
              <w14:schemeClr w14:val="tx1"/>
            </w14:solidFill>
          </w14:textFill>
        </w:rPr>
        <w:t>7</w:t>
      </w: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3</w:t>
      </w:r>
      <w:r>
        <w:rPr>
          <w:rFonts w:hint="eastAsia"/>
          <w:snapToGrid w:val="0"/>
          <w:color w:val="000000" w:themeColor="text1"/>
          <w14:textFill>
            <w14:solidFill>
              <w14:schemeClr w14:val="tx1"/>
            </w14:solidFill>
          </w14:textFill>
        </w:rPr>
        <w:t>环境效益分析</w:t>
      </w:r>
      <w:bookmarkEnd w:id="364"/>
    </w:p>
    <w:p w14:paraId="587394C1">
      <w:pPr>
        <w:pStyle w:val="6"/>
        <w:rPr>
          <w:color w:val="000000" w:themeColor="text1"/>
          <w14:textFill>
            <w14:solidFill>
              <w14:schemeClr w14:val="tx1"/>
            </w14:solidFill>
          </w14:textFill>
        </w:rPr>
      </w:pPr>
      <w:bookmarkStart w:id="365" w:name="_Toc24175"/>
      <w:r>
        <w:rPr>
          <w:rFonts w:hint="eastAsia"/>
          <w:color w:val="000000" w:themeColor="text1"/>
          <w14:textFill>
            <w14:solidFill>
              <w14:schemeClr w14:val="tx1"/>
            </w14:solidFill>
          </w14:textFill>
        </w:rPr>
        <w:t>7</w:t>
      </w:r>
      <w:r>
        <w:rPr>
          <w:color w:val="000000" w:themeColor="text1"/>
          <w14:textFill>
            <w14:solidFill>
              <w14:schemeClr w14:val="tx1"/>
            </w14:solidFill>
          </w14:textFill>
        </w:rPr>
        <w:t>.3.1</w:t>
      </w:r>
      <w:r>
        <w:rPr>
          <w:rFonts w:hint="eastAsia"/>
          <w:color w:val="000000" w:themeColor="text1"/>
          <w14:textFill>
            <w14:solidFill>
              <w14:schemeClr w14:val="tx1"/>
            </w14:solidFill>
          </w14:textFill>
        </w:rPr>
        <w:t>有利影响</w:t>
      </w:r>
      <w:bookmarkEnd w:id="365"/>
    </w:p>
    <w:p w14:paraId="79A698B8">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（1）在运营期，本项目建成后，厂区</w:t>
      </w:r>
      <w:r>
        <w:rPr>
          <w:bCs/>
          <w:color w:val="000000" w:themeColor="text1"/>
          <w14:textFill>
            <w14:solidFill>
              <w14:schemeClr w14:val="tx1"/>
            </w14:solidFill>
          </w14:textFill>
        </w:rPr>
        <w:t>废水</w:t>
      </w:r>
      <w:r>
        <w:rPr>
          <w:rFonts w:hint="eastAsia"/>
          <w:bCs/>
          <w:color w:val="000000" w:themeColor="text1"/>
          <w14:textFill>
            <w14:solidFill>
              <w14:schemeClr w14:val="tx1"/>
            </w14:solidFill>
          </w14:textFill>
        </w:rPr>
        <w:t>经厂内污水处理站处理达到《</w:t>
      </w:r>
      <w:r>
        <w:rPr>
          <w:rFonts w:hint="eastAsia"/>
          <w:bCs/>
          <w:color w:val="000000" w:themeColor="text1"/>
          <w:lang w:eastAsia="zh-CN"/>
          <w14:textFill>
            <w14:solidFill>
              <w14:schemeClr w14:val="tx1"/>
            </w14:solidFill>
          </w14:textFill>
        </w:rPr>
        <w:t>酒类制造业水污染物排放标准</w:t>
      </w:r>
      <w:r>
        <w:rPr>
          <w:rFonts w:hint="eastAsia"/>
          <w:bCs/>
          <w:color w:val="000000" w:themeColor="text1"/>
          <w14:textFill>
            <w14:solidFill>
              <w14:schemeClr w14:val="tx1"/>
            </w14:solidFill>
          </w14:textFill>
        </w:rPr>
        <w:t>》（</w:t>
      </w:r>
      <w:r>
        <w:rPr>
          <w:rFonts w:hint="eastAsia"/>
          <w:bCs/>
          <w:color w:val="000000" w:themeColor="text1"/>
          <w:lang w:eastAsia="zh-CN"/>
          <w14:textFill>
            <w14:solidFill>
              <w14:schemeClr w14:val="tx1"/>
            </w14:solidFill>
          </w14:textFill>
        </w:rPr>
        <w:t>GB19821-2025</w:t>
      </w:r>
      <w:r>
        <w:rPr>
          <w:rFonts w:hint="eastAsia"/>
          <w:bCs/>
          <w:color w:val="000000" w:themeColor="text1"/>
          <w14:textFill>
            <w14:solidFill>
              <w14:schemeClr w14:val="tx1"/>
            </w14:solidFill>
          </w14:textFill>
        </w:rPr>
        <w:t>）的</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rFonts w:hint="eastAsia"/>
          <w:bCs/>
          <w:color w:val="000000" w:themeColor="text1"/>
          <w14:textFill>
            <w14:solidFill>
              <w14:schemeClr w14:val="tx1"/>
            </w14:solidFill>
          </w14:textFill>
        </w:rPr>
        <w:t>和</w:t>
      </w:r>
      <w:r>
        <w:rPr>
          <w:rFonts w:hint="eastAsia"/>
          <w:bCs/>
          <w:color w:val="000000" w:themeColor="text1"/>
          <w:lang w:eastAsia="zh-CN"/>
          <w14:textFill>
            <w14:solidFill>
              <w14:schemeClr w14:val="tx1"/>
            </w14:solidFill>
          </w14:textFill>
        </w:rPr>
        <w:t>桦南县城镇污水处理厂</w:t>
      </w:r>
      <w:r>
        <w:rPr>
          <w:rFonts w:hint="eastAsia"/>
          <w:bCs/>
          <w:color w:val="000000" w:themeColor="text1"/>
          <w14:textFill>
            <w14:solidFill>
              <w14:schemeClr w14:val="tx1"/>
            </w14:solidFill>
          </w14:textFill>
        </w:rPr>
        <w:t>进水标准后排入市政污水管网，经</w:t>
      </w:r>
      <w:r>
        <w:rPr>
          <w:rFonts w:hint="eastAsia"/>
          <w:bCs/>
          <w:color w:val="000000" w:themeColor="text1"/>
          <w:lang w:eastAsia="zh-CN"/>
          <w14:textFill>
            <w14:solidFill>
              <w14:schemeClr w14:val="tx1"/>
            </w14:solidFill>
          </w14:textFill>
        </w:rPr>
        <w:t>桦南县城镇污水处理厂</w:t>
      </w:r>
      <w:r>
        <w:rPr>
          <w:rFonts w:hint="eastAsia"/>
          <w:bCs/>
          <w:color w:val="000000" w:themeColor="text1"/>
          <w14:textFill>
            <w14:solidFill>
              <w14:schemeClr w14:val="tx1"/>
            </w14:solidFill>
          </w14:textFill>
        </w:rPr>
        <w:t>处理后，排入</w:t>
      </w:r>
      <w:r>
        <w:rPr>
          <w:rFonts w:hint="default" w:eastAsia="宋体"/>
          <w:lang w:val="en-US" w:eastAsia="zh-CN"/>
        </w:rPr>
        <w:t>八虎力河，最终汇入倭肯河</w:t>
      </w:r>
      <w:r>
        <w:rPr>
          <w:rFonts w:hint="eastAsia"/>
          <w:lang w:val="en-US" w:eastAsia="zh-CN"/>
        </w:rPr>
        <w:t>，</w:t>
      </w:r>
      <w:r>
        <w:rPr>
          <w:rFonts w:hint="eastAsia"/>
          <w:bCs/>
          <w:color w:val="000000" w:themeColor="text1"/>
          <w14:textFill>
            <w14:solidFill>
              <w14:schemeClr w14:val="tx1"/>
            </w14:solidFill>
          </w14:textFill>
        </w:rPr>
        <w:t>具有良好的环境效益；此外，本项目建成后污水处理站设置除臭装置对恶臭气体进行有效处理后排放，原料间</w:t>
      </w:r>
      <w:r>
        <w:rPr>
          <w:bCs/>
          <w:color w:val="000000" w:themeColor="text1"/>
          <w14:textFill>
            <w14:solidFill>
              <w14:schemeClr w14:val="tx1"/>
            </w14:solidFill>
          </w14:textFill>
        </w:rPr>
        <w:t>粉尘经布袋除尘器处理后可实现达标排放</w:t>
      </w:r>
      <w:r>
        <w:rPr>
          <w:rFonts w:hint="eastAsia"/>
          <w:bCs/>
          <w:color w:val="000000" w:themeColor="text1"/>
          <w:lang w:eastAsia="zh-CN"/>
          <w14:textFill>
            <w14:solidFill>
              <w14:schemeClr w14:val="tx1"/>
            </w14:solidFill>
          </w14:textFill>
        </w:rPr>
        <w:t>，</w:t>
      </w:r>
      <w:r>
        <w:rPr>
          <w:rFonts w:hint="eastAsia"/>
          <w:bCs/>
          <w:color w:val="000000" w:themeColor="text1"/>
          <w:lang w:val="en-US" w:eastAsia="zh-CN"/>
          <w14:textFill>
            <w14:solidFill>
              <w14:schemeClr w14:val="tx1"/>
            </w14:solidFill>
          </w14:textFill>
        </w:rPr>
        <w:t>锅炉设置低氮燃烧装置</w:t>
      </w:r>
      <w:r>
        <w:rPr>
          <w:bCs/>
          <w:color w:val="000000" w:themeColor="text1"/>
          <w14:textFill>
            <w14:solidFill>
              <w14:schemeClr w14:val="tx1"/>
            </w14:solidFill>
          </w14:textFill>
        </w:rPr>
        <w:t>，</w:t>
      </w:r>
      <w:r>
        <w:rPr>
          <w:rFonts w:hint="eastAsia"/>
          <w:bCs/>
          <w:color w:val="000000" w:themeColor="text1"/>
          <w14:textFill>
            <w14:solidFill>
              <w14:schemeClr w14:val="tx1"/>
            </w14:solidFill>
          </w14:textFill>
        </w:rPr>
        <w:t>高噪声设备采用隔声减噪设备改善了项目内部声环境，都具有显著的环境效益。</w:t>
      </w:r>
    </w:p>
    <w:p w14:paraId="073DCA60">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（2）本项目建成后本项目产生的一般废物和危险废物均能全部实现有效处置，不会对环境造成破坏，维护区域环境卫生。</w:t>
      </w:r>
    </w:p>
    <w:p w14:paraId="68897E58">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其次，在整个环保投资中，绿化投资占有一部分比例。好的绿化设计能发挥极大的生态环境效益。植物具有制造氧气、净化空气、调节局地小气候、防风固沙、减噪灭菌等作用。植物叶片表面的毛、皱褶以及分泌物可以过滤空气、吸附粉尘，据报道，林地可减尘60.6%～90.8%，草地可减尘54.5%～89.3%。种植大面积的绿地可以大大减少地面扬尘的产生，保证场界内部的空气清新。</w:t>
      </w:r>
    </w:p>
    <w:p w14:paraId="6DF75F8A">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因此，通过以上分析，本工程环境效益较为显著。本项目采取的污染防治措施，可大大削减污染物排放量，并且均能满足相应的排放标准，做到与环境保护并重，在削减污染物排放量的同时，也减少了排污费的缴纳，从另一个方面创造了经济效益。</w:t>
      </w:r>
    </w:p>
    <w:p w14:paraId="60C017F6">
      <w:pPr>
        <w:pStyle w:val="6"/>
        <w:rPr>
          <w:color w:val="000000" w:themeColor="text1"/>
          <w14:textFill>
            <w14:solidFill>
              <w14:schemeClr w14:val="tx1"/>
            </w14:solidFill>
          </w14:textFill>
        </w:rPr>
      </w:pPr>
      <w:bookmarkStart w:id="366" w:name="_Toc21204"/>
      <w:r>
        <w:rPr>
          <w:rFonts w:hint="eastAsia"/>
          <w:color w:val="000000" w:themeColor="text1"/>
          <w14:textFill>
            <w14:solidFill>
              <w14:schemeClr w14:val="tx1"/>
            </w14:solidFill>
          </w14:textFill>
        </w:rPr>
        <w:t>7</w:t>
      </w:r>
      <w:r>
        <w:rPr>
          <w:color w:val="000000" w:themeColor="text1"/>
          <w14:textFill>
            <w14:solidFill>
              <w14:schemeClr w14:val="tx1"/>
            </w14:solidFill>
          </w14:textFill>
        </w:rPr>
        <w:t>.3.2</w:t>
      </w:r>
      <w:r>
        <w:rPr>
          <w:rFonts w:hint="eastAsia"/>
          <w:color w:val="000000" w:themeColor="text1"/>
          <w14:textFill>
            <w14:solidFill>
              <w14:schemeClr w14:val="tx1"/>
            </w14:solidFill>
          </w14:textFill>
        </w:rPr>
        <w:t>环境损失分析</w:t>
      </w:r>
      <w:bookmarkEnd w:id="366"/>
    </w:p>
    <w:p w14:paraId="236BD387">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本项目</w:t>
      </w:r>
      <w:r>
        <w:rPr>
          <w:bCs/>
          <w:color w:val="000000" w:themeColor="text1"/>
          <w14:textFill>
            <w14:solidFill>
              <w14:schemeClr w14:val="tx1"/>
            </w14:solidFill>
          </w14:textFill>
        </w:rPr>
        <w:t>的建设会对生态、声环境、大气环境等产生不利影响，用防护费用法估算环境损失，各要素损失如下：</w:t>
      </w:r>
    </w:p>
    <w:p w14:paraId="7A9EB9B5">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生态损失：</w:t>
      </w:r>
      <w:r>
        <w:rPr>
          <w:bCs/>
          <w:color w:val="000000" w:themeColor="text1"/>
          <w14:textFill>
            <w14:solidFill>
              <w14:schemeClr w14:val="tx1"/>
            </w14:solidFill>
          </w14:textFill>
        </w:rPr>
        <w:t>本项目用于生态</w:t>
      </w:r>
      <w:r>
        <w:rPr>
          <w:rFonts w:hint="eastAsia"/>
          <w:bCs/>
          <w:color w:val="000000" w:themeColor="text1"/>
          <w14:textFill>
            <w14:solidFill>
              <w14:schemeClr w14:val="tx1"/>
            </w14:solidFill>
          </w14:textFill>
        </w:rPr>
        <w:t>保护</w:t>
      </w:r>
      <w:r>
        <w:rPr>
          <w:bCs/>
          <w:color w:val="000000" w:themeColor="text1"/>
          <w14:textFill>
            <w14:solidFill>
              <w14:schemeClr w14:val="tx1"/>
            </w14:solidFill>
          </w14:textFill>
        </w:rPr>
        <w:t>及恢复的</w:t>
      </w:r>
      <w:r>
        <w:rPr>
          <w:rFonts w:hint="eastAsia"/>
          <w:bCs/>
          <w:color w:val="000000" w:themeColor="text1"/>
          <w14:textFill>
            <w14:solidFill>
              <w14:schemeClr w14:val="tx1"/>
            </w14:solidFill>
          </w14:textFill>
        </w:rPr>
        <w:t>投资</w:t>
      </w:r>
      <w:r>
        <w:rPr>
          <w:bCs/>
          <w:color w:val="000000" w:themeColor="text1"/>
          <w14:textFill>
            <w14:solidFill>
              <w14:schemeClr w14:val="tx1"/>
            </w14:solidFill>
          </w14:textFill>
        </w:rPr>
        <w:t>费用为</w:t>
      </w:r>
      <w:r>
        <w:rPr>
          <w:rFonts w:hint="eastAsia"/>
          <w:bCs/>
          <w:color w:val="000000" w:themeColor="text1"/>
          <w:lang w:val="en-US" w:eastAsia="zh-CN"/>
          <w14:textFill>
            <w14:solidFill>
              <w14:schemeClr w14:val="tx1"/>
            </w14:solidFill>
          </w14:textFill>
        </w:rPr>
        <w:t>20</w:t>
      </w:r>
      <w:r>
        <w:rPr>
          <w:rFonts w:hint="eastAsia"/>
          <w:bCs/>
          <w:color w:val="000000" w:themeColor="text1"/>
          <w14:textFill>
            <w14:solidFill>
              <w14:schemeClr w14:val="tx1"/>
            </w14:solidFill>
          </w14:textFill>
        </w:rPr>
        <w:t>万元；</w:t>
      </w:r>
    </w:p>
    <w:p w14:paraId="36474E07">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水环境</w:t>
      </w:r>
      <w:r>
        <w:rPr>
          <w:bCs/>
          <w:color w:val="000000" w:themeColor="text1"/>
          <w14:textFill>
            <w14:solidFill>
              <w14:schemeClr w14:val="tx1"/>
            </w14:solidFill>
          </w14:textFill>
        </w:rPr>
        <w:t>保护：本项目施工期及运行期废水</w:t>
      </w:r>
      <w:r>
        <w:rPr>
          <w:rFonts w:hint="eastAsia"/>
          <w:bCs/>
          <w:color w:val="000000" w:themeColor="text1"/>
          <w14:textFill>
            <w14:solidFill>
              <w14:schemeClr w14:val="tx1"/>
            </w14:solidFill>
          </w14:textFill>
        </w:rPr>
        <w:t>处理费用</w:t>
      </w:r>
      <w:r>
        <w:rPr>
          <w:bCs/>
          <w:color w:val="000000" w:themeColor="text1"/>
          <w14:textFill>
            <w14:solidFill>
              <w14:schemeClr w14:val="tx1"/>
            </w14:solidFill>
          </w14:textFill>
        </w:rPr>
        <w:t>为</w:t>
      </w:r>
      <w:r>
        <w:rPr>
          <w:rFonts w:hint="eastAsia"/>
          <w:bCs/>
          <w:color w:val="000000" w:themeColor="text1"/>
          <w:lang w:val="en-US" w:eastAsia="zh-CN"/>
          <w14:textFill>
            <w14:solidFill>
              <w14:schemeClr w14:val="tx1"/>
            </w14:solidFill>
          </w14:textFill>
        </w:rPr>
        <w:t>1</w:t>
      </w:r>
      <w:r>
        <w:rPr>
          <w:bCs/>
          <w:color w:val="000000" w:themeColor="text1"/>
          <w14:textFill>
            <w14:solidFill>
              <w14:schemeClr w14:val="tx1"/>
            </w14:solidFill>
          </w14:textFill>
        </w:rPr>
        <w:t>02</w:t>
      </w:r>
      <w:r>
        <w:rPr>
          <w:rFonts w:hint="eastAsia"/>
          <w:bCs/>
          <w:color w:val="000000" w:themeColor="text1"/>
          <w14:textFill>
            <w14:solidFill>
              <w14:schemeClr w14:val="tx1"/>
            </w14:solidFill>
          </w14:textFill>
        </w:rPr>
        <w:t>万元，</w:t>
      </w:r>
      <w:r>
        <w:rPr>
          <w:bCs/>
          <w:color w:val="000000" w:themeColor="text1"/>
          <w14:textFill>
            <w14:solidFill>
              <w14:schemeClr w14:val="tx1"/>
            </w14:solidFill>
          </w14:textFill>
        </w:rPr>
        <w:t>包括施工期废水沉淀池</w:t>
      </w:r>
      <w:r>
        <w:rPr>
          <w:rFonts w:hint="eastAsia"/>
          <w:bCs/>
          <w:color w:val="000000" w:themeColor="text1"/>
          <w14:textFill>
            <w14:solidFill>
              <w14:schemeClr w14:val="tx1"/>
            </w14:solidFill>
          </w14:textFill>
        </w:rPr>
        <w:t>、</w:t>
      </w:r>
      <w:r>
        <w:rPr>
          <w:rFonts w:hint="eastAsia"/>
          <w:snapToGrid w:val="0"/>
          <w:color w:val="000000" w:themeColor="text1"/>
          <w:lang w:val="en-US" w:eastAsia="zh-CN"/>
          <w14:textFill>
            <w14:solidFill>
              <w14:schemeClr w14:val="tx1"/>
            </w14:solidFill>
          </w14:textFill>
        </w:rPr>
        <w:t>临时防渗旱厕</w:t>
      </w:r>
      <w:r>
        <w:rPr>
          <w:rFonts w:hint="eastAsia"/>
          <w:bCs/>
          <w:color w:val="000000" w:themeColor="text1"/>
          <w14:textFill>
            <w14:solidFill>
              <w14:schemeClr w14:val="tx1"/>
            </w14:solidFill>
          </w14:textFill>
        </w:rPr>
        <w:t>、</w:t>
      </w:r>
      <w:r>
        <w:rPr>
          <w:bCs/>
          <w:color w:val="000000" w:themeColor="text1"/>
          <w14:textFill>
            <w14:solidFill>
              <w14:schemeClr w14:val="tx1"/>
            </w14:solidFill>
          </w14:textFill>
        </w:rPr>
        <w:t>运行期污水处理站</w:t>
      </w:r>
      <w:r>
        <w:rPr>
          <w:rFonts w:hint="eastAsia"/>
          <w:bCs/>
          <w:color w:val="000000" w:themeColor="text1"/>
          <w:lang w:eastAsia="zh-CN"/>
          <w14:textFill>
            <w14:solidFill>
              <w14:schemeClr w14:val="tx1"/>
            </w14:solidFill>
          </w14:textFill>
        </w:rPr>
        <w:t>、</w:t>
      </w:r>
      <w:r>
        <w:rPr>
          <w:rFonts w:hint="eastAsia"/>
          <w:bCs/>
          <w:color w:val="000000" w:themeColor="text1"/>
          <w:lang w:val="en-US" w:eastAsia="zh-CN"/>
          <w14:textFill>
            <w14:solidFill>
              <w14:schemeClr w14:val="tx1"/>
            </w14:solidFill>
          </w14:textFill>
        </w:rPr>
        <w:t>事故池</w:t>
      </w:r>
      <w:r>
        <w:rPr>
          <w:bCs/>
          <w:color w:val="000000" w:themeColor="text1"/>
          <w14:textFill>
            <w14:solidFill>
              <w14:schemeClr w14:val="tx1"/>
            </w14:solidFill>
          </w14:textFill>
        </w:rPr>
        <w:t>等；</w:t>
      </w:r>
    </w:p>
    <w:p w14:paraId="688928C0">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地下水</w:t>
      </w:r>
      <w:r>
        <w:rPr>
          <w:bCs/>
          <w:color w:val="000000" w:themeColor="text1"/>
          <w14:textFill>
            <w14:solidFill>
              <w14:schemeClr w14:val="tx1"/>
            </w14:solidFill>
          </w14:textFill>
        </w:rPr>
        <w:t>防渗</w:t>
      </w:r>
      <w:r>
        <w:rPr>
          <w:rFonts w:hint="eastAsia"/>
          <w:bCs/>
          <w:color w:val="000000" w:themeColor="text1"/>
          <w14:textFill>
            <w14:solidFill>
              <w14:schemeClr w14:val="tx1"/>
            </w14:solidFill>
          </w14:textFill>
        </w:rPr>
        <w:t>：</w:t>
      </w:r>
      <w:r>
        <w:rPr>
          <w:bCs/>
          <w:color w:val="000000" w:themeColor="text1"/>
          <w14:textFill>
            <w14:solidFill>
              <w14:schemeClr w14:val="tx1"/>
            </w14:solidFill>
          </w14:textFill>
        </w:rPr>
        <w:t>本项目用于地下水防渗工程的费用为</w:t>
      </w:r>
      <w:r>
        <w:rPr>
          <w:rFonts w:hint="eastAsia"/>
          <w:bCs/>
          <w:color w:val="000000" w:themeColor="text1"/>
          <w:lang w:val="en-US" w:eastAsia="zh-CN"/>
          <w14:textFill>
            <w14:solidFill>
              <w14:schemeClr w14:val="tx1"/>
            </w14:solidFill>
          </w14:textFill>
        </w:rPr>
        <w:t>90</w:t>
      </w:r>
      <w:r>
        <w:rPr>
          <w:rFonts w:hint="eastAsia"/>
          <w:bCs/>
          <w:color w:val="000000" w:themeColor="text1"/>
          <w14:textFill>
            <w14:solidFill>
              <w14:schemeClr w14:val="tx1"/>
            </w14:solidFill>
          </w14:textFill>
        </w:rPr>
        <w:t>万</w:t>
      </w:r>
      <w:r>
        <w:rPr>
          <w:bCs/>
          <w:color w:val="000000" w:themeColor="text1"/>
          <w14:textFill>
            <w14:solidFill>
              <w14:schemeClr w14:val="tx1"/>
            </w14:solidFill>
          </w14:textFill>
        </w:rPr>
        <w:t>；</w:t>
      </w:r>
    </w:p>
    <w:p w14:paraId="70ED2F27">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固废处理</w:t>
      </w:r>
      <w:r>
        <w:rPr>
          <w:bCs/>
          <w:color w:val="000000" w:themeColor="text1"/>
          <w14:textFill>
            <w14:solidFill>
              <w14:schemeClr w14:val="tx1"/>
            </w14:solidFill>
          </w14:textFill>
        </w:rPr>
        <w:t>处置</w:t>
      </w:r>
      <w:r>
        <w:rPr>
          <w:rFonts w:hint="eastAsia"/>
          <w:bCs/>
          <w:color w:val="000000" w:themeColor="text1"/>
          <w14:textFill>
            <w14:solidFill>
              <w14:schemeClr w14:val="tx1"/>
            </w14:solidFill>
          </w14:textFill>
        </w:rPr>
        <w:t>：</w:t>
      </w:r>
      <w:r>
        <w:rPr>
          <w:bCs/>
          <w:color w:val="000000" w:themeColor="text1"/>
          <w14:textFill>
            <w14:solidFill>
              <w14:schemeClr w14:val="tx1"/>
            </w14:solidFill>
          </w14:textFill>
        </w:rPr>
        <w:t>本项目用于固废处理处置费用为</w:t>
      </w:r>
      <w:r>
        <w:rPr>
          <w:rFonts w:hint="eastAsia"/>
          <w:bCs/>
          <w:color w:val="000000" w:themeColor="text1"/>
          <w:lang w:val="en-US" w:eastAsia="zh-CN"/>
          <w14:textFill>
            <w14:solidFill>
              <w14:schemeClr w14:val="tx1"/>
            </w14:solidFill>
          </w14:textFill>
        </w:rPr>
        <w:t>32</w:t>
      </w:r>
      <w:r>
        <w:rPr>
          <w:rFonts w:hint="eastAsia"/>
          <w:bCs/>
          <w:color w:val="000000" w:themeColor="text1"/>
          <w14:textFill>
            <w14:solidFill>
              <w14:schemeClr w14:val="tx1"/>
            </w14:solidFill>
          </w14:textFill>
        </w:rPr>
        <w:t>万，</w:t>
      </w:r>
      <w:r>
        <w:rPr>
          <w:bCs/>
          <w:color w:val="000000" w:themeColor="text1"/>
          <w14:textFill>
            <w14:solidFill>
              <w14:schemeClr w14:val="tx1"/>
            </w14:solidFill>
          </w14:textFill>
        </w:rPr>
        <w:t>包括</w:t>
      </w:r>
      <w:r>
        <w:rPr>
          <w:rFonts w:hint="eastAsia"/>
          <w:bCs/>
          <w:color w:val="000000" w:themeColor="text1"/>
          <w14:textFill>
            <w14:solidFill>
              <w14:schemeClr w14:val="tx1"/>
            </w14:solidFill>
          </w14:textFill>
        </w:rPr>
        <w:t>生活垃圾和其他一般固废的运输处置和危险废物外委处置</w:t>
      </w:r>
      <w:r>
        <w:rPr>
          <w:bCs/>
          <w:color w:val="000000" w:themeColor="text1"/>
          <w14:textFill>
            <w14:solidFill>
              <w14:schemeClr w14:val="tx1"/>
            </w14:solidFill>
          </w14:textFill>
        </w:rPr>
        <w:t>；</w:t>
      </w:r>
    </w:p>
    <w:p w14:paraId="5636F077">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废气处置</w:t>
      </w:r>
      <w:r>
        <w:rPr>
          <w:bCs/>
          <w:color w:val="000000" w:themeColor="text1"/>
          <w14:textFill>
            <w14:solidFill>
              <w14:schemeClr w14:val="tx1"/>
            </w14:solidFill>
          </w14:textFill>
        </w:rPr>
        <w:t>：</w:t>
      </w:r>
      <w:r>
        <w:rPr>
          <w:rFonts w:hint="eastAsia"/>
          <w:bCs/>
          <w:color w:val="000000" w:themeColor="text1"/>
          <w14:textFill>
            <w14:solidFill>
              <w14:schemeClr w14:val="tx1"/>
            </w14:solidFill>
          </w14:textFill>
        </w:rPr>
        <w:t>本项目</w:t>
      </w:r>
      <w:r>
        <w:rPr>
          <w:bCs/>
          <w:color w:val="000000" w:themeColor="text1"/>
          <w14:textFill>
            <w14:solidFill>
              <w14:schemeClr w14:val="tx1"/>
            </w14:solidFill>
          </w14:textFill>
        </w:rPr>
        <w:t>用于废气治理</w:t>
      </w:r>
      <w:r>
        <w:rPr>
          <w:rFonts w:hint="eastAsia"/>
          <w:bCs/>
          <w:color w:val="000000" w:themeColor="text1"/>
          <w14:textFill>
            <w14:solidFill>
              <w14:schemeClr w14:val="tx1"/>
            </w14:solidFill>
          </w14:textFill>
        </w:rPr>
        <w:t>费用</w:t>
      </w:r>
      <w:r>
        <w:rPr>
          <w:bCs/>
          <w:color w:val="000000" w:themeColor="text1"/>
          <w14:textFill>
            <w14:solidFill>
              <w14:schemeClr w14:val="tx1"/>
            </w14:solidFill>
          </w14:textFill>
        </w:rPr>
        <w:t>为</w:t>
      </w:r>
      <w:r>
        <w:rPr>
          <w:rFonts w:hint="eastAsia"/>
          <w:bCs/>
          <w:color w:val="000000" w:themeColor="text1"/>
          <w:lang w:val="en-US" w:eastAsia="zh-CN"/>
          <w14:textFill>
            <w14:solidFill>
              <w14:schemeClr w14:val="tx1"/>
            </w14:solidFill>
          </w14:textFill>
        </w:rPr>
        <w:t>120</w:t>
      </w:r>
      <w:r>
        <w:rPr>
          <w:rFonts w:hint="eastAsia"/>
          <w:bCs/>
          <w:color w:val="000000" w:themeColor="text1"/>
          <w14:textFill>
            <w14:solidFill>
              <w14:schemeClr w14:val="tx1"/>
            </w14:solidFill>
          </w14:textFill>
        </w:rPr>
        <w:t>万元</w:t>
      </w:r>
      <w:r>
        <w:rPr>
          <w:bCs/>
          <w:color w:val="000000" w:themeColor="text1"/>
          <w14:textFill>
            <w14:solidFill>
              <w14:schemeClr w14:val="tx1"/>
            </w14:solidFill>
          </w14:textFill>
        </w:rPr>
        <w:t>，包括</w:t>
      </w:r>
      <w:r>
        <w:rPr>
          <w:rFonts w:hint="eastAsia"/>
          <w:bCs/>
          <w:color w:val="000000" w:themeColor="text1"/>
          <w14:textFill>
            <w14:solidFill>
              <w14:schemeClr w14:val="tx1"/>
            </w14:solidFill>
          </w14:textFill>
        </w:rPr>
        <w:t>施工期施工材料苫盖、洒水抑尘措施和运行期生产</w:t>
      </w:r>
      <w:r>
        <w:rPr>
          <w:bCs/>
          <w:color w:val="000000" w:themeColor="text1"/>
          <w14:textFill>
            <w14:solidFill>
              <w14:schemeClr w14:val="tx1"/>
            </w14:solidFill>
          </w14:textFill>
        </w:rPr>
        <w:t>车间粉尘</w:t>
      </w:r>
      <w:r>
        <w:rPr>
          <w:rFonts w:hint="eastAsia"/>
          <w:bCs/>
          <w:color w:val="000000" w:themeColor="text1"/>
          <w14:textFill>
            <w14:solidFill>
              <w14:schemeClr w14:val="tx1"/>
            </w14:solidFill>
          </w14:textFill>
        </w:rPr>
        <w:t>处理、</w:t>
      </w:r>
      <w:r>
        <w:rPr>
          <w:rFonts w:hint="eastAsia"/>
          <w:bCs/>
          <w:color w:val="000000" w:themeColor="text1"/>
          <w:lang w:val="en-US" w:eastAsia="zh-CN"/>
          <w14:textFill>
            <w14:solidFill>
              <w14:schemeClr w14:val="tx1"/>
            </w14:solidFill>
          </w14:textFill>
        </w:rPr>
        <w:t>锅炉低氮燃烧、</w:t>
      </w:r>
      <w:r>
        <w:rPr>
          <w:bCs/>
          <w:color w:val="000000" w:themeColor="text1"/>
          <w14:textFill>
            <w14:solidFill>
              <w14:schemeClr w14:val="tx1"/>
            </w14:solidFill>
          </w14:textFill>
        </w:rPr>
        <w:t>污水处理站恶臭处理</w:t>
      </w:r>
      <w:r>
        <w:rPr>
          <w:rFonts w:hint="eastAsia"/>
          <w:bCs/>
          <w:color w:val="000000" w:themeColor="text1"/>
          <w14:textFill>
            <w14:solidFill>
              <w14:schemeClr w14:val="tx1"/>
            </w14:solidFill>
          </w14:textFill>
        </w:rPr>
        <w:t>、沼气脱水脱硫等；</w:t>
      </w:r>
    </w:p>
    <w:p w14:paraId="710973BD">
      <w:pPr>
        <w:pStyle w:val="85"/>
        <w:rPr>
          <w:bCs/>
          <w:color w:val="000000" w:themeColor="text1"/>
          <w14:textFill>
            <w14:solidFill>
              <w14:schemeClr w14:val="tx1"/>
            </w14:solidFill>
          </w14:textFill>
        </w:rPr>
      </w:pPr>
      <w:r>
        <w:rPr>
          <w:rFonts w:hint="eastAsia"/>
          <w:bCs/>
          <w:color w:val="000000" w:themeColor="text1"/>
          <w14:textFill>
            <w14:solidFill>
              <w14:schemeClr w14:val="tx1"/>
            </w14:solidFill>
          </w14:textFill>
        </w:rPr>
        <w:t>噪声</w:t>
      </w:r>
      <w:r>
        <w:rPr>
          <w:bCs/>
          <w:color w:val="000000" w:themeColor="text1"/>
          <w14:textFill>
            <w14:solidFill>
              <w14:schemeClr w14:val="tx1"/>
            </w14:solidFill>
          </w14:textFill>
        </w:rPr>
        <w:t>治理：</w:t>
      </w:r>
      <w:r>
        <w:rPr>
          <w:rFonts w:hint="eastAsia"/>
          <w:bCs/>
          <w:color w:val="000000" w:themeColor="text1"/>
          <w14:textFill>
            <w14:solidFill>
              <w14:schemeClr w14:val="tx1"/>
            </w14:solidFill>
          </w14:textFill>
        </w:rPr>
        <w:t>本项目施工期及运营期噪声</w:t>
      </w:r>
      <w:r>
        <w:rPr>
          <w:bCs/>
          <w:color w:val="000000" w:themeColor="text1"/>
          <w14:textFill>
            <w14:solidFill>
              <w14:schemeClr w14:val="tx1"/>
            </w14:solidFill>
          </w14:textFill>
        </w:rPr>
        <w:t>设备的</w:t>
      </w:r>
      <w:r>
        <w:rPr>
          <w:rFonts w:hint="eastAsia"/>
          <w:bCs/>
          <w:color w:val="000000" w:themeColor="text1"/>
          <w14:textFill>
            <w14:solidFill>
              <w14:schemeClr w14:val="tx1"/>
            </w14:solidFill>
          </w14:textFill>
        </w:rPr>
        <w:t>消声</w:t>
      </w:r>
      <w:r>
        <w:rPr>
          <w:bCs/>
          <w:color w:val="000000" w:themeColor="text1"/>
          <w14:textFill>
            <w14:solidFill>
              <w14:schemeClr w14:val="tx1"/>
            </w14:solidFill>
          </w14:textFill>
        </w:rPr>
        <w:t>、减振措施费用</w:t>
      </w:r>
      <w:r>
        <w:rPr>
          <w:rFonts w:hint="eastAsia"/>
          <w:bCs/>
          <w:color w:val="000000" w:themeColor="text1"/>
          <w14:textFill>
            <w14:solidFill>
              <w14:schemeClr w14:val="tx1"/>
            </w14:solidFill>
          </w14:textFill>
        </w:rPr>
        <w:t>为</w:t>
      </w:r>
      <w:r>
        <w:rPr>
          <w:bCs/>
          <w:color w:val="000000" w:themeColor="text1"/>
          <w14:textFill>
            <w14:solidFill>
              <w14:schemeClr w14:val="tx1"/>
            </w14:solidFill>
          </w14:textFill>
        </w:rPr>
        <w:t>15</w:t>
      </w:r>
      <w:r>
        <w:rPr>
          <w:rFonts w:hint="eastAsia"/>
          <w:bCs/>
          <w:color w:val="000000" w:themeColor="text1"/>
          <w14:textFill>
            <w14:solidFill>
              <w14:schemeClr w14:val="tx1"/>
            </w14:solidFill>
          </w14:textFill>
        </w:rPr>
        <w:t>万。</w:t>
      </w:r>
    </w:p>
    <w:p w14:paraId="54D1AA65">
      <w:pPr>
        <w:pStyle w:val="6"/>
        <w:rPr>
          <w:color w:val="000000" w:themeColor="text1"/>
          <w14:textFill>
            <w14:solidFill>
              <w14:schemeClr w14:val="tx1"/>
            </w14:solidFill>
          </w14:textFill>
        </w:rPr>
      </w:pPr>
      <w:bookmarkStart w:id="367" w:name="_Toc26857"/>
      <w:r>
        <w:rPr>
          <w:rFonts w:hint="eastAsia"/>
          <w:color w:val="000000" w:themeColor="text1"/>
          <w14:textFill>
            <w14:solidFill>
              <w14:schemeClr w14:val="tx1"/>
            </w14:solidFill>
          </w14:textFill>
        </w:rPr>
        <w:t>7</w:t>
      </w:r>
      <w:r>
        <w:rPr>
          <w:color w:val="000000" w:themeColor="text1"/>
          <w14:textFill>
            <w14:solidFill>
              <w14:schemeClr w14:val="tx1"/>
            </w14:solidFill>
          </w14:textFill>
        </w:rPr>
        <w:t>.3.3</w:t>
      </w:r>
      <w:r>
        <w:rPr>
          <w:rFonts w:hint="eastAsia"/>
          <w:color w:val="000000" w:themeColor="text1"/>
          <w14:textFill>
            <w14:solidFill>
              <w14:schemeClr w14:val="tx1"/>
            </w14:solidFill>
          </w14:textFill>
        </w:rPr>
        <w:t>环境效益分析</w:t>
      </w:r>
      <w:bookmarkEnd w:id="367"/>
    </w:p>
    <w:p w14:paraId="5F4EBF5E">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w:t>
      </w:r>
      <w:r>
        <w:rPr>
          <w:color w:val="000000" w:themeColor="text1"/>
          <w14:textFill>
            <w14:solidFill>
              <w14:schemeClr w14:val="tx1"/>
            </w14:solidFill>
          </w14:textFill>
        </w:rPr>
        <w:t>工程环境保护投资约为</w:t>
      </w:r>
      <w:r>
        <w:rPr>
          <w:rFonts w:hint="eastAsia"/>
          <w:color w:val="000000" w:themeColor="text1"/>
          <w:lang w:val="en-US" w:eastAsia="zh-CN"/>
          <w14:textFill>
            <w14:solidFill>
              <w14:schemeClr w14:val="tx1"/>
            </w14:solidFill>
          </w14:textFill>
        </w:rPr>
        <w:t>379</w:t>
      </w:r>
      <w:r>
        <w:rPr>
          <w:rFonts w:hint="eastAsia"/>
          <w:color w:val="000000" w:themeColor="text1"/>
          <w14:textFill>
            <w14:solidFill>
              <w14:schemeClr w14:val="tx1"/>
            </w14:solidFill>
          </w14:textFill>
        </w:rPr>
        <w:t>万元</w:t>
      </w:r>
      <w:r>
        <w:rPr>
          <w:color w:val="000000" w:themeColor="text1"/>
          <w14:textFill>
            <w14:solidFill>
              <w14:schemeClr w14:val="tx1"/>
            </w14:solidFill>
          </w14:textFill>
        </w:rPr>
        <w:t>，通过采取可行的环境保护措施</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项目建设的环境影响可以接受，环保投资比较明显。</w:t>
      </w:r>
    </w:p>
    <w:p w14:paraId="6B1053E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（1）生态</w:t>
      </w:r>
      <w:r>
        <w:rPr>
          <w:color w:val="000000" w:themeColor="text1"/>
          <w14:textFill>
            <w14:solidFill>
              <w14:schemeClr w14:val="tx1"/>
            </w14:solidFill>
          </w14:textFill>
        </w:rPr>
        <w:t>环境保护</w:t>
      </w:r>
    </w:p>
    <w:p w14:paraId="6C6F040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本项目施工期</w:t>
      </w:r>
      <w:r>
        <w:rPr>
          <w:color w:val="000000" w:themeColor="text1"/>
          <w14:textFill>
            <w14:solidFill>
              <w14:schemeClr w14:val="tx1"/>
            </w14:solidFill>
          </w14:textFill>
        </w:rPr>
        <w:t>通过</w:t>
      </w:r>
      <w:r>
        <w:rPr>
          <w:rFonts w:hint="eastAsia"/>
          <w:color w:val="000000" w:themeColor="text1"/>
          <w14:textFill>
            <w14:solidFill>
              <w14:schemeClr w14:val="tx1"/>
            </w14:solidFill>
          </w14:textFill>
        </w:rPr>
        <w:t>分层开挖</w:t>
      </w:r>
      <w:r>
        <w:rPr>
          <w:color w:val="000000" w:themeColor="text1"/>
          <w14:textFill>
            <w14:solidFill>
              <w14:schemeClr w14:val="tx1"/>
            </w14:solidFill>
          </w14:textFill>
        </w:rPr>
        <w:t>、分层堆放、分层回填措施</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减少水土流失，并通过后期植被恢复及绿化工程，</w:t>
      </w:r>
      <w:r>
        <w:rPr>
          <w:rFonts w:hint="eastAsia"/>
          <w:color w:val="000000" w:themeColor="text1"/>
          <w14:textFill>
            <w14:solidFill>
              <w14:schemeClr w14:val="tx1"/>
            </w14:solidFill>
          </w14:textFill>
        </w:rPr>
        <w:t>可</w:t>
      </w:r>
      <w:r>
        <w:rPr>
          <w:color w:val="000000" w:themeColor="text1"/>
          <w14:textFill>
            <w14:solidFill>
              <w14:schemeClr w14:val="tx1"/>
            </w14:solidFill>
          </w14:textFill>
        </w:rPr>
        <w:t>改善景观，也能隔声降噪和净化空气，减少</w:t>
      </w:r>
      <w:r>
        <w:rPr>
          <w:rFonts w:hint="eastAsia"/>
          <w:color w:val="000000" w:themeColor="text1"/>
          <w14:textFill>
            <w14:solidFill>
              <w14:schemeClr w14:val="tx1"/>
            </w14:solidFill>
          </w14:textFill>
        </w:rPr>
        <w:t>对生态</w:t>
      </w:r>
      <w:r>
        <w:rPr>
          <w:color w:val="000000" w:themeColor="text1"/>
          <w14:textFill>
            <w14:solidFill>
              <w14:schemeClr w14:val="tx1"/>
            </w14:solidFill>
          </w14:textFill>
        </w:rPr>
        <w:t>的影响</w:t>
      </w:r>
      <w:r>
        <w:rPr>
          <w:rFonts w:hint="eastAsia"/>
          <w:color w:val="000000" w:themeColor="text1"/>
          <w14:textFill>
            <w14:solidFill>
              <w14:schemeClr w14:val="tx1"/>
            </w14:solidFill>
          </w14:textFill>
        </w:rPr>
        <w:t>。</w:t>
      </w:r>
    </w:p>
    <w:p w14:paraId="79FA755A">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（2）水环境</w:t>
      </w:r>
      <w:r>
        <w:rPr>
          <w:color w:val="000000" w:themeColor="text1"/>
          <w14:textFill>
            <w14:solidFill>
              <w14:schemeClr w14:val="tx1"/>
            </w14:solidFill>
          </w14:textFill>
        </w:rPr>
        <w:t>保护</w:t>
      </w:r>
      <w:r>
        <w:rPr>
          <w:rFonts w:hint="eastAsia"/>
          <w:color w:val="000000" w:themeColor="text1"/>
          <w14:textFill>
            <w14:solidFill>
              <w14:schemeClr w14:val="tx1"/>
            </w14:solidFill>
          </w14:textFill>
        </w:rPr>
        <w:t>措施</w:t>
      </w:r>
    </w:p>
    <w:p w14:paraId="187504CB">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本项目施工废水经沉淀后上清液用于施工场地和道路洒水降尘，施工现场生活污水</w:t>
      </w:r>
      <w:r>
        <w:rPr>
          <w:rFonts w:hint="eastAsia"/>
          <w:color w:val="000000" w:themeColor="text1"/>
          <w:lang w:val="en-US" w:eastAsia="zh-CN"/>
          <w14:textFill>
            <w14:solidFill>
              <w14:schemeClr w14:val="tx1"/>
            </w14:solidFill>
          </w14:textFill>
        </w:rPr>
        <w:t>排入临时防渗旱厕，定期清掏。营运期</w:t>
      </w:r>
      <w:r>
        <w:rPr>
          <w:color w:val="000000" w:themeColor="text1"/>
          <w14:textFill>
            <w14:solidFill>
              <w14:schemeClr w14:val="tx1"/>
            </w14:solidFill>
          </w14:textFill>
        </w:rPr>
        <w:t>污水达到</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酒类制造业水污染物排放标准</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GB19821-2025</w:t>
      </w:r>
      <w:r>
        <w:rPr>
          <w:rFonts w:hint="eastAsia"/>
          <w:color w:val="000000" w:themeColor="text1"/>
          <w14:textFill>
            <w14:solidFill>
              <w14:schemeClr w14:val="tx1"/>
            </w14:solidFill>
          </w14:textFill>
        </w:rPr>
        <w:t>）的</w:t>
      </w:r>
      <w:r>
        <w:rPr>
          <w:rFonts w:hint="eastAsia"/>
          <w:color w:val="000000" w:themeColor="text1"/>
          <w:lang w:val="en-US" w:eastAsia="zh-CN"/>
          <w14:textFill>
            <w14:solidFill>
              <w14:schemeClr w14:val="tx1"/>
            </w14:solidFill>
          </w14:textFill>
        </w:rPr>
        <w:t>间接排放</w:t>
      </w:r>
      <w:r>
        <w:rPr>
          <w:rFonts w:hint="eastAsia"/>
          <w:color w:val="000000" w:themeColor="text1"/>
          <w14:textFill>
            <w14:solidFill>
              <w14:schemeClr w14:val="tx1"/>
            </w14:solidFill>
          </w14:textFill>
        </w:rPr>
        <w:t>标准和</w:t>
      </w:r>
      <w:r>
        <w:rPr>
          <w:rFonts w:hint="eastAsia"/>
          <w:color w:val="000000" w:themeColor="text1"/>
          <w:lang w:eastAsia="zh-CN"/>
          <w14:textFill>
            <w14:solidFill>
              <w14:schemeClr w14:val="tx1"/>
            </w14:solidFill>
          </w14:textFill>
        </w:rPr>
        <w:t>桦南县城镇污水处理厂</w:t>
      </w:r>
      <w:r>
        <w:rPr>
          <w:rFonts w:hint="eastAsia"/>
          <w:color w:val="000000" w:themeColor="text1"/>
          <w14:textFill>
            <w14:solidFill>
              <w14:schemeClr w14:val="tx1"/>
            </w14:solidFill>
          </w14:textFill>
        </w:rPr>
        <w:t>进水标准后，经市政管网进入</w:t>
      </w:r>
      <w:r>
        <w:rPr>
          <w:rFonts w:hint="eastAsia"/>
          <w:color w:val="000000" w:themeColor="text1"/>
          <w:lang w:eastAsia="zh-CN"/>
          <w14:textFill>
            <w14:solidFill>
              <w14:schemeClr w14:val="tx1"/>
            </w14:solidFill>
          </w14:textFill>
        </w:rPr>
        <w:t>桦南县城镇污水处理厂</w:t>
      </w:r>
      <w:r>
        <w:rPr>
          <w:rFonts w:hint="eastAsia"/>
          <w:color w:val="000000" w:themeColor="text1"/>
          <w14:textFill>
            <w14:solidFill>
              <w14:schemeClr w14:val="tx1"/>
            </w14:solidFill>
          </w14:textFill>
        </w:rPr>
        <w:t>，处理达到《城镇污水处理厂污染物排放标准》（GB18918-2002）中的一级A标准后排入</w:t>
      </w:r>
      <w:r>
        <w:rPr>
          <w:rFonts w:hint="default" w:eastAsia="宋体"/>
          <w:lang w:val="en-US" w:eastAsia="zh-CN"/>
        </w:rPr>
        <w:t>八虎力河，最终汇入倭肯河</w:t>
      </w:r>
      <w:r>
        <w:rPr>
          <w:color w:val="000000" w:themeColor="text1"/>
          <w14:textFill>
            <w14:solidFill>
              <w14:schemeClr w14:val="tx1"/>
            </w14:solidFill>
          </w14:textFill>
        </w:rPr>
        <w:t>。</w:t>
      </w:r>
    </w:p>
    <w:p w14:paraId="5C45A66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（3）地下水</w:t>
      </w:r>
      <w:r>
        <w:rPr>
          <w:color w:val="000000" w:themeColor="text1"/>
          <w14:textFill>
            <w14:solidFill>
              <w14:schemeClr w14:val="tx1"/>
            </w14:solidFill>
          </w14:textFill>
        </w:rPr>
        <w:t>防渗</w:t>
      </w:r>
      <w:r>
        <w:rPr>
          <w:rFonts w:hint="eastAsia"/>
          <w:color w:val="000000" w:themeColor="text1"/>
          <w14:textFill>
            <w14:solidFill>
              <w14:schemeClr w14:val="tx1"/>
            </w14:solidFill>
          </w14:textFill>
        </w:rPr>
        <w:t>措施</w:t>
      </w:r>
    </w:p>
    <w:p w14:paraId="770DA245">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w:t>
      </w:r>
      <w:r>
        <w:rPr>
          <w:rFonts w:hint="eastAsia"/>
          <w:color w:val="000000" w:themeColor="text1"/>
          <w:lang w:eastAsia="zh-CN"/>
          <w14:textFill>
            <w14:solidFill>
              <w14:schemeClr w14:val="tx1"/>
            </w14:solidFill>
          </w14:textFill>
        </w:rPr>
        <w:t>目将污水处理站、</w:t>
      </w:r>
      <w:r>
        <w:rPr>
          <w:rFonts w:hint="eastAsia"/>
          <w:color w:val="000000" w:themeColor="text1"/>
          <w:lang w:val="en-US" w:eastAsia="zh-CN"/>
          <w14:textFill>
            <w14:solidFill>
              <w14:schemeClr w14:val="tx1"/>
            </w14:solidFill>
          </w14:textFill>
        </w:rPr>
        <w:t>柴油发电机房、</w:t>
      </w:r>
      <w:r>
        <w:rPr>
          <w:rFonts w:hint="eastAsia"/>
          <w:color w:val="000000" w:themeColor="text1"/>
          <w:lang w:eastAsia="zh-CN"/>
          <w14:textFill>
            <w14:solidFill>
              <w14:schemeClr w14:val="tx1"/>
            </w14:solidFill>
          </w14:textFill>
        </w:rPr>
        <w:t>危险废物贮存点、</w:t>
      </w:r>
      <w:r>
        <w:rPr>
          <w:rFonts w:hint="eastAsia"/>
          <w:color w:val="000000" w:themeColor="text1"/>
          <w:lang w:val="en-US" w:eastAsia="zh-CN"/>
          <w14:textFill>
            <w14:solidFill>
              <w14:schemeClr w14:val="tx1"/>
            </w14:solidFill>
          </w14:textFill>
        </w:rPr>
        <w:t>化验室、发酵罐区</w:t>
      </w:r>
      <w:r>
        <w:rPr>
          <w:rFonts w:hint="eastAsia"/>
          <w:color w:val="000000" w:themeColor="text1"/>
          <w:lang w:eastAsia="zh-CN"/>
          <w14:textFill>
            <w14:solidFill>
              <w14:schemeClr w14:val="tx1"/>
            </w14:solidFill>
          </w14:textFill>
        </w:rPr>
        <w:t>设为</w:t>
      </w:r>
      <w:r>
        <w:rPr>
          <w:rFonts w:hint="eastAsia"/>
          <w:color w:val="000000" w:themeColor="text1"/>
          <w:lang w:val="en-US" w:eastAsia="zh-CN"/>
          <w14:textFill>
            <w14:solidFill>
              <w14:schemeClr w14:val="tx1"/>
            </w14:solidFill>
          </w14:textFill>
        </w:rPr>
        <w:t>一般</w:t>
      </w:r>
      <w:r>
        <w:rPr>
          <w:rFonts w:hint="eastAsia"/>
          <w:color w:val="000000" w:themeColor="text1"/>
          <w:lang w:eastAsia="zh-CN"/>
          <w14:textFill>
            <w14:solidFill>
              <w14:schemeClr w14:val="tx1"/>
            </w14:solidFill>
          </w14:textFill>
        </w:rPr>
        <w:t>防渗区，</w:t>
      </w:r>
      <w:r>
        <w:rPr>
          <w:rFonts w:hint="eastAsia"/>
          <w:color w:val="000000" w:themeColor="text1"/>
          <w:lang w:val="en-US" w:eastAsia="zh-CN"/>
          <w14:textFill>
            <w14:solidFill>
              <w14:schemeClr w14:val="tx1"/>
            </w14:solidFill>
          </w14:textFill>
        </w:rPr>
        <w:t>酿造车间、</w:t>
      </w:r>
      <w:r>
        <w:rPr>
          <w:rFonts w:hint="eastAsia"/>
          <w:snapToGrid w:val="0"/>
          <w:color w:val="000000" w:themeColor="text1"/>
          <w:kern w:val="0"/>
          <w:lang w:val="en-US" w:eastAsia="zh-CN"/>
          <w14:textFill>
            <w14:solidFill>
              <w14:schemeClr w14:val="tx1"/>
            </w14:solidFill>
          </w14:textFill>
        </w:rPr>
        <w:t>包装车间等其他区域</w:t>
      </w:r>
      <w:r>
        <w:rPr>
          <w:rFonts w:hint="eastAsia"/>
          <w:color w:val="000000" w:themeColor="text1"/>
          <w14:textFill>
            <w14:solidFill>
              <w14:schemeClr w14:val="tx1"/>
            </w14:solidFill>
          </w14:textFill>
        </w:rPr>
        <w:t>设为</w:t>
      </w:r>
      <w:r>
        <w:rPr>
          <w:rFonts w:hint="eastAsia"/>
          <w:color w:val="000000" w:themeColor="text1"/>
          <w:lang w:val="en-US" w:eastAsia="zh-CN"/>
          <w14:textFill>
            <w14:solidFill>
              <w14:schemeClr w14:val="tx1"/>
            </w14:solidFill>
          </w14:textFill>
        </w:rPr>
        <w:t>简单</w:t>
      </w:r>
      <w:r>
        <w:rPr>
          <w:rFonts w:hint="eastAsia"/>
          <w:color w:val="000000" w:themeColor="text1"/>
          <w14:textFill>
            <w14:solidFill>
              <w14:schemeClr w14:val="tx1"/>
            </w14:solidFill>
          </w14:textFill>
        </w:rPr>
        <w:t>防渗区，避免了</w:t>
      </w:r>
      <w:r>
        <w:rPr>
          <w:color w:val="000000" w:themeColor="text1"/>
          <w14:textFill>
            <w14:solidFill>
              <w14:schemeClr w14:val="tx1"/>
            </w14:solidFill>
          </w14:textFill>
        </w:rPr>
        <w:t>对地下水的污染</w:t>
      </w:r>
      <w:r>
        <w:rPr>
          <w:rFonts w:hint="eastAsia"/>
          <w:color w:val="000000" w:themeColor="text1"/>
          <w14:textFill>
            <w14:solidFill>
              <w14:schemeClr w14:val="tx1"/>
            </w14:solidFill>
          </w14:textFill>
        </w:rPr>
        <w:t>。</w:t>
      </w:r>
    </w:p>
    <w:p w14:paraId="61171DA3">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（4）固废处理</w:t>
      </w:r>
      <w:r>
        <w:rPr>
          <w:color w:val="000000" w:themeColor="text1"/>
          <w14:textFill>
            <w14:solidFill>
              <w14:schemeClr w14:val="tx1"/>
            </w14:solidFill>
          </w14:textFill>
        </w:rPr>
        <w:t>措施</w:t>
      </w:r>
    </w:p>
    <w:p w14:paraId="4ED8D7B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固体废物</w:t>
      </w:r>
      <w:r>
        <w:rPr>
          <w:color w:val="000000" w:themeColor="text1"/>
          <w14:textFill>
            <w14:solidFill>
              <w14:schemeClr w14:val="tx1"/>
            </w14:solidFill>
          </w14:textFill>
        </w:rPr>
        <w:t>分类收集、分类妥善处理，避免了对周边</w:t>
      </w:r>
      <w:r>
        <w:rPr>
          <w:rFonts w:hint="eastAsia"/>
          <w:color w:val="000000" w:themeColor="text1"/>
          <w14:textFill>
            <w14:solidFill>
              <w14:schemeClr w14:val="tx1"/>
            </w14:solidFill>
          </w14:textFill>
        </w:rPr>
        <w:t>水环境</w:t>
      </w:r>
      <w:r>
        <w:rPr>
          <w:color w:val="000000" w:themeColor="text1"/>
          <w14:textFill>
            <w14:solidFill>
              <w14:schemeClr w14:val="tx1"/>
            </w14:solidFill>
          </w14:textFill>
        </w:rPr>
        <w:t>、大气环境和环境卫生的影响，有利于人群健康和景观的改善。</w:t>
      </w:r>
    </w:p>
    <w:p w14:paraId="6FD7AD90">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（5）废气处理措施</w:t>
      </w:r>
    </w:p>
    <w:p w14:paraId="50845FB9">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施工期</w:t>
      </w:r>
      <w:r>
        <w:rPr>
          <w:color w:val="000000" w:themeColor="text1"/>
          <w14:textFill>
            <w14:solidFill>
              <w14:schemeClr w14:val="tx1"/>
            </w14:solidFill>
          </w14:textFill>
        </w:rPr>
        <w:t>围挡起直接阻挡扬尘飞扬的作用，洒水可降低施工扬尘的起尘量，经上述治理后，施工期产生的扬尘满足《大气污染物综合排放标准》（GB16297-1996）表2中无组织排放监控浓度限值。</w:t>
      </w:r>
    </w:p>
    <w:p w14:paraId="402A6EB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运营期污水处理站恶臭气体、发酵车间异味、锅炉烟气、原料处理间粉尘、沼气燃烧废气</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食堂油烟</w:t>
      </w:r>
      <w:r>
        <w:rPr>
          <w:color w:val="000000" w:themeColor="text1"/>
          <w14:textFill>
            <w14:solidFill>
              <w14:schemeClr w14:val="tx1"/>
            </w14:solidFill>
          </w14:textFill>
        </w:rPr>
        <w:t>等</w:t>
      </w:r>
      <w:r>
        <w:rPr>
          <w:rFonts w:hint="eastAsia"/>
          <w:color w:val="000000" w:themeColor="text1"/>
          <w14:textFill>
            <w14:solidFill>
              <w14:schemeClr w14:val="tx1"/>
            </w14:solidFill>
          </w14:textFill>
        </w:rPr>
        <w:t>均采取了措施</w:t>
      </w:r>
      <w:r>
        <w:rPr>
          <w:color w:val="000000" w:themeColor="text1"/>
          <w14:textFill>
            <w14:solidFill>
              <w14:schemeClr w14:val="tx1"/>
            </w14:solidFill>
          </w14:textFill>
        </w:rPr>
        <w:t>，可有效减少</w:t>
      </w:r>
      <w:r>
        <w:rPr>
          <w:rFonts w:hint="eastAsia"/>
          <w:color w:val="000000" w:themeColor="text1"/>
          <w14:textFill>
            <w14:solidFill>
              <w14:schemeClr w14:val="tx1"/>
            </w14:solidFill>
          </w14:textFill>
        </w:rPr>
        <w:t>废气</w:t>
      </w:r>
      <w:r>
        <w:rPr>
          <w:color w:val="000000" w:themeColor="text1"/>
          <w14:textFill>
            <w14:solidFill>
              <w14:schemeClr w14:val="tx1"/>
            </w14:solidFill>
          </w14:textFill>
        </w:rPr>
        <w:t>对周边环境的影响</w:t>
      </w:r>
      <w:r>
        <w:rPr>
          <w:rFonts w:hint="eastAsia"/>
          <w:color w:val="000000" w:themeColor="text1"/>
          <w14:textFill>
            <w14:solidFill>
              <w14:schemeClr w14:val="tx1"/>
            </w14:solidFill>
          </w14:textFill>
        </w:rPr>
        <w:t>。</w:t>
      </w:r>
    </w:p>
    <w:p w14:paraId="36E630A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（6）噪声治理措施</w:t>
      </w:r>
    </w:p>
    <w:p w14:paraId="5F6E0758">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施工期采用</w:t>
      </w:r>
      <w:r>
        <w:rPr>
          <w:color w:val="000000" w:themeColor="text1"/>
          <w14:textFill>
            <w14:solidFill>
              <w14:schemeClr w14:val="tx1"/>
            </w14:solidFill>
          </w14:textFill>
        </w:rPr>
        <w:t>低噪声设备、对设备进行</w:t>
      </w:r>
      <w:r>
        <w:rPr>
          <w:rFonts w:hint="eastAsia"/>
          <w:color w:val="000000" w:themeColor="text1"/>
          <w14:textFill>
            <w14:solidFill>
              <w14:schemeClr w14:val="tx1"/>
            </w14:solidFill>
          </w14:textFill>
        </w:rPr>
        <w:t>隔声</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减振处理</w:t>
      </w:r>
      <w:r>
        <w:rPr>
          <w:color w:val="000000" w:themeColor="text1"/>
          <w14:textFill>
            <w14:solidFill>
              <w14:schemeClr w14:val="tx1"/>
            </w14:solidFill>
          </w14:textFill>
        </w:rPr>
        <w:t>，本项目施工期间产生的噪声不会对周围环境造成明显影响，其施工场界声环境可满足</w:t>
      </w:r>
      <w:r>
        <w:rPr>
          <w:rFonts w:hint="eastAsia"/>
          <w:color w:val="000000" w:themeColor="text1"/>
          <w:lang w:eastAsia="zh-CN"/>
          <w14:textFill>
            <w14:solidFill>
              <w14:schemeClr w14:val="tx1"/>
            </w14:solidFill>
          </w14:textFill>
        </w:rPr>
        <w:t>《建筑施工噪声排放标准》（GB12523-2025）</w:t>
      </w:r>
      <w:r>
        <w:rPr>
          <w:color w:val="000000" w:themeColor="text1"/>
          <w14:textFill>
            <w14:solidFill>
              <w14:schemeClr w14:val="tx1"/>
            </w14:solidFill>
          </w14:textFill>
        </w:rPr>
        <w:t>要求</w:t>
      </w:r>
      <w:r>
        <w:rPr>
          <w:rFonts w:hint="eastAsia"/>
          <w:color w:val="000000" w:themeColor="text1"/>
          <w14:textFill>
            <w14:solidFill>
              <w14:schemeClr w14:val="tx1"/>
            </w14:solidFill>
          </w14:textFill>
        </w:rPr>
        <w:t>。</w:t>
      </w:r>
    </w:p>
    <w:p w14:paraId="088F8FEB">
      <w:pPr>
        <w:pStyle w:val="85"/>
        <w:rPr>
          <w:rFonts w:hint="eastAsia"/>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本项目</w:t>
      </w:r>
      <w:r>
        <w:rPr>
          <w:color w:val="000000" w:themeColor="text1"/>
          <w14:textFill>
            <w14:solidFill>
              <w14:schemeClr w14:val="tx1"/>
            </w14:solidFill>
          </w14:textFill>
        </w:rPr>
        <w:t>通过建筑隔声和设备消声、减振措施，可</w:t>
      </w:r>
      <w:r>
        <w:rPr>
          <w:rFonts w:hint="eastAsia"/>
          <w:color w:val="000000" w:themeColor="text1"/>
          <w14:textFill>
            <w14:solidFill>
              <w14:schemeClr w14:val="tx1"/>
            </w14:solidFill>
          </w14:textFill>
        </w:rPr>
        <w:t>使</w:t>
      </w:r>
      <w:r>
        <w:rPr>
          <w:rFonts w:hint="eastAsia"/>
          <w:color w:val="000000" w:themeColor="text1"/>
          <w:lang w:val="en-US" w:eastAsia="zh-CN"/>
          <w14:textFill>
            <w14:solidFill>
              <w14:schemeClr w14:val="tx1"/>
            </w14:solidFill>
          </w14:textFill>
        </w:rPr>
        <w:t>东侧、南侧、北侧</w:t>
      </w:r>
      <w:r>
        <w:rPr>
          <w:rFonts w:hint="eastAsia"/>
          <w:color w:val="000000" w:themeColor="text1"/>
          <w14:textFill>
            <w14:solidFill>
              <w14:schemeClr w14:val="tx1"/>
            </w14:solidFill>
          </w14:textFill>
        </w:rPr>
        <w:t>厂界</w:t>
      </w:r>
      <w:r>
        <w:rPr>
          <w:color w:val="000000" w:themeColor="text1"/>
          <w14:textFill>
            <w14:solidFill>
              <w14:schemeClr w14:val="tx1"/>
            </w14:solidFill>
          </w14:textFill>
        </w:rPr>
        <w:t>达到</w:t>
      </w:r>
      <w:r>
        <w:rPr>
          <w:rFonts w:hint="eastAsia"/>
          <w:color w:val="000000" w:themeColor="text1"/>
          <w14:textFill>
            <w14:solidFill>
              <w14:schemeClr w14:val="tx1"/>
            </w14:solidFill>
          </w14:textFill>
        </w:rPr>
        <w:t>《工业企业厂界环境噪声排放标准》（GB12348-2008）表1中的</w:t>
      </w:r>
      <w:r>
        <w:rPr>
          <w:color w:val="000000" w:themeColor="text1"/>
          <w14:textFill>
            <w14:solidFill>
              <w14:schemeClr w14:val="tx1"/>
            </w14:solidFill>
          </w14:textFill>
        </w:rPr>
        <w:t>3类</w:t>
      </w:r>
      <w:r>
        <w:rPr>
          <w:rFonts w:hint="eastAsia"/>
          <w:color w:val="000000" w:themeColor="text1"/>
          <w14:textFill>
            <w14:solidFill>
              <w14:schemeClr w14:val="tx1"/>
            </w14:solidFill>
          </w14:textFill>
        </w:rPr>
        <w:t>标准要求。</w:t>
      </w:r>
      <w:r>
        <w:rPr>
          <w:rFonts w:hint="eastAsia"/>
          <w:color w:val="000000" w:themeColor="text1"/>
          <w:lang w:val="en-US" w:eastAsia="zh-CN"/>
          <w14:textFill>
            <w14:solidFill>
              <w14:schemeClr w14:val="tx1"/>
            </w14:solidFill>
          </w14:textFill>
        </w:rPr>
        <w:t>西侧</w:t>
      </w:r>
      <w:r>
        <w:rPr>
          <w:rFonts w:hint="eastAsia"/>
          <w:color w:val="000000" w:themeColor="text1"/>
          <w14:textFill>
            <w14:solidFill>
              <w14:schemeClr w14:val="tx1"/>
            </w14:solidFill>
          </w14:textFill>
        </w:rPr>
        <w:t>厂界</w:t>
      </w:r>
      <w:r>
        <w:rPr>
          <w:color w:val="000000" w:themeColor="text1"/>
          <w14:textFill>
            <w14:solidFill>
              <w14:schemeClr w14:val="tx1"/>
            </w14:solidFill>
          </w14:textFill>
        </w:rPr>
        <w:t>达到</w:t>
      </w:r>
      <w:r>
        <w:rPr>
          <w:rFonts w:hint="eastAsia"/>
          <w:color w:val="000000" w:themeColor="text1"/>
          <w14:textFill>
            <w14:solidFill>
              <w14:schemeClr w14:val="tx1"/>
            </w14:solidFill>
          </w14:textFill>
        </w:rPr>
        <w:t>《工业企业厂界环境噪声排放标准》（GB12348-2008）表1中的</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类</w:t>
      </w:r>
      <w:r>
        <w:rPr>
          <w:rFonts w:hint="eastAsia"/>
          <w:color w:val="000000" w:themeColor="text1"/>
          <w14:textFill>
            <w14:solidFill>
              <w14:schemeClr w14:val="tx1"/>
            </w14:solidFill>
          </w14:textFill>
        </w:rPr>
        <w:t>标准要求</w:t>
      </w:r>
      <w:r>
        <w:rPr>
          <w:rFonts w:hint="eastAsia"/>
          <w:color w:val="000000" w:themeColor="text1"/>
          <w:lang w:eastAsia="zh-CN"/>
          <w14:textFill>
            <w14:solidFill>
              <w14:schemeClr w14:val="tx1"/>
            </w14:solidFill>
          </w14:textFill>
        </w:rPr>
        <w:t>。</w:t>
      </w:r>
    </w:p>
    <w:p w14:paraId="47395F30">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综上所述</w:t>
      </w:r>
      <w:r>
        <w:rPr>
          <w:color w:val="000000" w:themeColor="text1"/>
          <w14:textFill>
            <w14:solidFill>
              <w14:schemeClr w14:val="tx1"/>
            </w14:solidFill>
          </w14:textFill>
        </w:rPr>
        <w:t>，由环境</w:t>
      </w:r>
      <w:r>
        <w:rPr>
          <w:rFonts w:hint="eastAsia"/>
          <w:color w:val="000000" w:themeColor="text1"/>
          <w14:textFill>
            <w14:solidFill>
              <w14:schemeClr w14:val="tx1"/>
            </w14:solidFill>
          </w14:textFill>
        </w:rPr>
        <w:t>影响</w:t>
      </w:r>
      <w:r>
        <w:rPr>
          <w:color w:val="000000" w:themeColor="text1"/>
          <w14:textFill>
            <w14:solidFill>
              <w14:schemeClr w14:val="tx1"/>
            </w14:solidFill>
          </w14:textFill>
        </w:rPr>
        <w:t>导致的经济损失</w:t>
      </w:r>
      <w:r>
        <w:rPr>
          <w:rFonts w:hint="eastAsia"/>
          <w:color w:val="000000" w:themeColor="text1"/>
          <w14:textFill>
            <w14:solidFill>
              <w14:schemeClr w14:val="tx1"/>
            </w14:solidFill>
          </w14:textFill>
        </w:rPr>
        <w:t>较</w:t>
      </w:r>
      <w:r>
        <w:rPr>
          <w:color w:val="000000" w:themeColor="text1"/>
          <w14:textFill>
            <w14:solidFill>
              <w14:schemeClr w14:val="tx1"/>
            </w14:solidFill>
          </w14:textFill>
        </w:rPr>
        <w:t>拟建项目带来的</w:t>
      </w:r>
      <w:r>
        <w:rPr>
          <w:rFonts w:hint="eastAsia"/>
          <w:color w:val="000000" w:themeColor="text1"/>
          <w14:textFill>
            <w14:solidFill>
              <w14:schemeClr w14:val="tx1"/>
            </w14:solidFill>
          </w14:textFill>
        </w:rPr>
        <w:t>环境效益</w:t>
      </w:r>
      <w:r>
        <w:rPr>
          <w:color w:val="000000" w:themeColor="text1"/>
          <w14:textFill>
            <w14:solidFill>
              <w14:schemeClr w14:val="tx1"/>
            </w14:solidFill>
          </w14:textFill>
        </w:rPr>
        <w:t>和经济效益要</w:t>
      </w:r>
      <w:r>
        <w:rPr>
          <w:rFonts w:hint="eastAsia"/>
          <w:color w:val="000000" w:themeColor="text1"/>
          <w14:textFill>
            <w14:solidFill>
              <w14:schemeClr w14:val="tx1"/>
            </w14:solidFill>
          </w14:textFill>
        </w:rPr>
        <w:t>小的</w:t>
      </w:r>
      <w:r>
        <w:rPr>
          <w:color w:val="000000" w:themeColor="text1"/>
          <w14:textFill>
            <w14:solidFill>
              <w14:schemeClr w14:val="tx1"/>
            </w14:solidFill>
          </w14:textFill>
        </w:rPr>
        <w:t>多</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工程的建设将</w:t>
      </w:r>
      <w:r>
        <w:rPr>
          <w:rFonts w:hint="eastAsia"/>
          <w:color w:val="000000" w:themeColor="text1"/>
          <w14:textFill>
            <w14:solidFill>
              <w14:schemeClr w14:val="tx1"/>
            </w14:solidFill>
          </w14:textFill>
        </w:rPr>
        <w:t>产生</w:t>
      </w:r>
      <w:r>
        <w:rPr>
          <w:color w:val="000000" w:themeColor="text1"/>
          <w14:textFill>
            <w14:solidFill>
              <w14:schemeClr w14:val="tx1"/>
            </w14:solidFill>
          </w14:textFill>
        </w:rPr>
        <w:t>广泛的经济效益，拉动地区经济增长和社会发展，同时在环境保护方面也是</w:t>
      </w:r>
      <w:r>
        <w:rPr>
          <w:rFonts w:hint="eastAsia"/>
          <w:color w:val="000000" w:themeColor="text1"/>
          <w14:textFill>
            <w14:solidFill>
              <w14:schemeClr w14:val="tx1"/>
            </w14:solidFill>
          </w14:textFill>
        </w:rPr>
        <w:t>可以</w:t>
      </w:r>
      <w:r>
        <w:rPr>
          <w:color w:val="000000" w:themeColor="text1"/>
          <w14:textFill>
            <w14:solidFill>
              <w14:schemeClr w14:val="tx1"/>
            </w14:solidFill>
          </w14:textFill>
        </w:rPr>
        <w:t>接受的。</w:t>
      </w:r>
    </w:p>
    <w:bookmarkEnd w:id="363"/>
    <w:p w14:paraId="0F7E2A3F">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本项目实施后，将提高区域环境空气治理和水环境质量。通过本项目</w:t>
      </w:r>
      <w:r>
        <w:rPr>
          <w:rFonts w:hint="eastAsia"/>
          <w:color w:val="000000" w:themeColor="text1"/>
          <w:lang w:val="en-US" w:eastAsia="zh-CN"/>
          <w14:textFill>
            <w14:solidFill>
              <w14:schemeClr w14:val="tx1"/>
            </w14:solidFill>
          </w14:textFill>
        </w:rPr>
        <w:t>环保措施</w:t>
      </w:r>
      <w:r>
        <w:rPr>
          <w:rFonts w:hint="eastAsia"/>
          <w:color w:val="000000" w:themeColor="text1"/>
          <w14:textFill>
            <w14:solidFill>
              <w14:schemeClr w14:val="tx1"/>
            </w14:solidFill>
          </w14:textFill>
        </w:rPr>
        <w:t>的实施，可减轻对区域地表水环境、声环境、地下水环境、大气的污染风险。</w:t>
      </w:r>
    </w:p>
    <w:p w14:paraId="2EDDDDF9">
      <w:pPr>
        <w:pStyle w:val="5"/>
        <w:rPr>
          <w:snapToGrid w:val="0"/>
          <w:color w:val="000000" w:themeColor="text1"/>
          <w14:textFill>
            <w14:solidFill>
              <w14:schemeClr w14:val="tx1"/>
            </w14:solidFill>
          </w14:textFill>
        </w:rPr>
      </w:pPr>
      <w:bookmarkStart w:id="368" w:name="_Toc480447681"/>
      <w:bookmarkStart w:id="369" w:name="_Toc1038"/>
      <w:r>
        <w:rPr>
          <w:snapToGrid w:val="0"/>
          <w:color w:val="000000" w:themeColor="text1"/>
          <w14:textFill>
            <w14:solidFill>
              <w14:schemeClr w14:val="tx1"/>
            </w14:solidFill>
          </w14:textFill>
        </w:rPr>
        <w:t>7.4结论</w:t>
      </w:r>
      <w:bookmarkEnd w:id="368"/>
      <w:bookmarkEnd w:id="369"/>
    </w:p>
    <w:p w14:paraId="1099619E">
      <w:pPr>
        <w:adjustRightInd/>
        <w:snapToGrid/>
        <w:spacing w:line="500" w:lineRule="exact"/>
        <w:rPr>
          <w:snapToGrid w:val="0"/>
          <w:color w:val="000000" w:themeColor="text1"/>
          <w:kern w:val="0"/>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r>
        <w:rPr>
          <w:color w:val="000000" w:themeColor="text1"/>
          <w14:textFill>
            <w14:solidFill>
              <w14:schemeClr w14:val="tx1"/>
            </w14:solidFill>
          </w14:textFill>
        </w:rPr>
        <w:t>综上所述，在落实本评价提出的各项污染防治措施的前提下，本项目的建设能够达到经济效益、社会效益和环境效益的统一，既为地方经济发展做出贡献，又使污染物排放量在环境容量容许的范围内降低到最低。因此本项目的建设从环境</w:t>
      </w:r>
      <w:r>
        <w:rPr>
          <w:rFonts w:hint="eastAsia"/>
          <w:color w:val="000000" w:themeColor="text1"/>
          <w14:textFill>
            <w14:solidFill>
              <w14:schemeClr w14:val="tx1"/>
            </w14:solidFill>
          </w14:textFill>
        </w:rPr>
        <w:t>影响</w:t>
      </w:r>
      <w:r>
        <w:rPr>
          <w:color w:val="000000" w:themeColor="text1"/>
          <w14:textFill>
            <w14:solidFill>
              <w14:schemeClr w14:val="tx1"/>
            </w14:solidFill>
          </w14:textFill>
        </w:rPr>
        <w:t>经济损益的角度分析是可行的</w:t>
      </w:r>
      <w:r>
        <w:rPr>
          <w:snapToGrid w:val="0"/>
          <w:color w:val="000000" w:themeColor="text1"/>
          <w:kern w:val="0"/>
          <w14:textFill>
            <w14:solidFill>
              <w14:schemeClr w14:val="tx1"/>
            </w14:solidFill>
          </w14:textFill>
        </w:rPr>
        <w:t>。</w:t>
      </w:r>
    </w:p>
    <w:p w14:paraId="67429ACD">
      <w:pPr>
        <w:pStyle w:val="4"/>
        <w:rPr>
          <w:snapToGrid w:val="0"/>
          <w:color w:val="000000" w:themeColor="text1"/>
          <w14:textFill>
            <w14:solidFill>
              <w14:schemeClr w14:val="tx1"/>
            </w14:solidFill>
          </w14:textFill>
        </w:rPr>
      </w:pPr>
      <w:bookmarkStart w:id="370" w:name="_Toc106157196"/>
      <w:bookmarkStart w:id="371" w:name="_Toc73161218"/>
      <w:bookmarkStart w:id="372" w:name="_Toc74709503"/>
      <w:bookmarkStart w:id="373" w:name="_Toc106159387"/>
      <w:bookmarkStart w:id="374" w:name="_Toc107209647"/>
      <w:bookmarkStart w:id="375" w:name="_Toc110400384"/>
      <w:bookmarkStart w:id="376" w:name="_Toc106157355"/>
      <w:bookmarkStart w:id="377" w:name="_Toc107037124"/>
      <w:bookmarkStart w:id="378" w:name="_Toc72747948"/>
      <w:bookmarkStart w:id="379" w:name="_Toc106791234"/>
      <w:bookmarkStart w:id="380" w:name="_Toc72748366"/>
      <w:bookmarkStart w:id="381" w:name="_Toc480447682"/>
      <w:bookmarkStart w:id="382" w:name="_Toc106415529"/>
      <w:bookmarkStart w:id="383" w:name="_Toc73100699"/>
      <w:bookmarkStart w:id="384" w:name="_Toc107218493"/>
      <w:bookmarkStart w:id="385" w:name="_Toc74537701"/>
      <w:bookmarkStart w:id="386" w:name="_Toc107052532"/>
      <w:bookmarkStart w:id="387" w:name="_Toc75252815"/>
      <w:bookmarkStart w:id="388" w:name="_Toc118087455"/>
      <w:bookmarkStart w:id="389" w:name="_Toc456590416"/>
      <w:bookmarkStart w:id="390" w:name="_Toc72720550"/>
      <w:bookmarkStart w:id="391" w:name="_Toc106172601"/>
      <w:bookmarkStart w:id="392" w:name="_Toc107196364"/>
      <w:bookmarkStart w:id="393" w:name="_Toc213077353"/>
      <w:bookmarkStart w:id="394" w:name="_Toc13539"/>
      <w:bookmarkStart w:id="395" w:name="_Toc106447270"/>
      <w:bookmarkStart w:id="396" w:name="_Toc75075829"/>
      <w:bookmarkStart w:id="397" w:name="_Toc371751594"/>
      <w:bookmarkStart w:id="398" w:name="_Toc75075767"/>
      <w:bookmarkStart w:id="399" w:name="_Toc45678602"/>
      <w:bookmarkStart w:id="400" w:name="_Toc415146721"/>
      <w:r>
        <w:rPr>
          <w:snapToGrid w:val="0"/>
          <w:color w:val="000000" w:themeColor="text1"/>
          <w14:textFill>
            <w14:solidFill>
              <w14:schemeClr w14:val="tx1"/>
            </w14:solidFill>
          </w14:textFill>
        </w:rPr>
        <w:t>8环境管理与监测计划</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139915A">
      <w:pPr>
        <w:pStyle w:val="5"/>
        <w:rPr>
          <w:snapToGrid w:val="0"/>
          <w:color w:val="000000" w:themeColor="text1"/>
          <w14:textFill>
            <w14:solidFill>
              <w14:schemeClr w14:val="tx1"/>
            </w14:solidFill>
          </w14:textFill>
        </w:rPr>
      </w:pPr>
      <w:bookmarkStart w:id="401" w:name="_Toc480447683"/>
      <w:bookmarkStart w:id="402" w:name="_Toc455043909"/>
      <w:bookmarkStart w:id="403" w:name="_Toc342462533"/>
      <w:bookmarkStart w:id="404" w:name="_Toc3142"/>
      <w:bookmarkStart w:id="405" w:name="_Toc456590417"/>
      <w:r>
        <w:rPr>
          <w:snapToGrid w:val="0"/>
          <w:color w:val="000000" w:themeColor="text1"/>
          <w14:textFill>
            <w14:solidFill>
              <w14:schemeClr w14:val="tx1"/>
            </w14:solidFill>
          </w14:textFill>
        </w:rPr>
        <w:t>8.1环境管理</w:t>
      </w:r>
      <w:bookmarkEnd w:id="401"/>
      <w:bookmarkEnd w:id="402"/>
      <w:bookmarkEnd w:id="403"/>
      <w:bookmarkEnd w:id="404"/>
      <w:bookmarkEnd w:id="405"/>
    </w:p>
    <w:p w14:paraId="1889EC3C">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环境管理是以环境科学理论为基础，运用经济、法律、技术、行政、教育等手段对经济、社会发展过程中施加给环境的污染和破坏影响进行调节控制，实现经济、社会和环境效益的和谐统一。</w:t>
      </w:r>
    </w:p>
    <w:p w14:paraId="7E3878A9">
      <w:pPr>
        <w:pStyle w:val="6"/>
        <w:rPr>
          <w:snapToGrid w:val="0"/>
          <w:color w:val="000000" w:themeColor="text1"/>
          <w14:textFill>
            <w14:solidFill>
              <w14:schemeClr w14:val="tx1"/>
            </w14:solidFill>
          </w14:textFill>
        </w:rPr>
      </w:pPr>
      <w:bookmarkStart w:id="406" w:name="_Toc13925"/>
      <w:r>
        <w:rPr>
          <w:snapToGrid w:val="0"/>
          <w:color w:val="000000" w:themeColor="text1"/>
          <w14:textFill>
            <w14:solidFill>
              <w14:schemeClr w14:val="tx1"/>
            </w14:solidFill>
          </w14:textFill>
        </w:rPr>
        <w:t>8.1.1环境管理体系</w:t>
      </w:r>
      <w:bookmarkEnd w:id="406"/>
    </w:p>
    <w:p w14:paraId="5779DFF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为全面贯彻和落实国家及地方环保法律、法规，加强企业内部污染物排放监督控制，本项目将环境保护纳入企业管理和生产计划之中，企业内部必须建立相应的环境管理机构及监控计划。</w:t>
      </w:r>
    </w:p>
    <w:p w14:paraId="79912266">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8.1</w:t>
      </w:r>
      <w:r>
        <w:rPr>
          <w:snapToGrid w:val="0"/>
          <w:color w:val="000000" w:themeColor="text1"/>
          <w14:textFill>
            <w14:solidFill>
              <w14:schemeClr w14:val="tx1"/>
            </w14:solidFill>
          </w14:textFill>
        </w:rPr>
        <w:t>.1.1管理机构</w:t>
      </w:r>
    </w:p>
    <w:p w14:paraId="4FE19AF0">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工业企业环境管理，就是以管理工程和环境科学的理论为基础，运用技术、经济、法律、行政和教育手段，对损害环境质量的生产经营活动加以限制，协调发展生产与保护环境的关系，使生产目标与环境目标统一起来，经济效益与环境效益统一起来。</w:t>
      </w:r>
    </w:p>
    <w:p w14:paraId="1D01DB0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根据本项目的污染特点，建设单位应有一名副经理负责环保工作，设立环境保护管理机构，配备专职环保管理人员两人。</w:t>
      </w:r>
    </w:p>
    <w:p w14:paraId="6B3B8BD4">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8.1</w:t>
      </w:r>
      <w:r>
        <w:rPr>
          <w:snapToGrid w:val="0"/>
          <w:color w:val="000000" w:themeColor="text1"/>
          <w14:textFill>
            <w14:solidFill>
              <w14:schemeClr w14:val="tx1"/>
            </w14:solidFill>
          </w14:textFill>
        </w:rPr>
        <w:t>.1.2企业环境管理机构的基本职能与职责</w:t>
      </w:r>
    </w:p>
    <w:p w14:paraId="66703561">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基本职能</w:t>
      </w:r>
    </w:p>
    <w:p w14:paraId="79BCC3B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企业环境管理机构是企业管理工作的职能部门，其基本职能有以下三方面</w:t>
      </w:r>
      <w:r>
        <w:rPr>
          <w:rFonts w:hint="eastAsia"/>
          <w:snapToGrid w:val="0"/>
          <w:color w:val="000000" w:themeColor="text1"/>
          <w:kern w:val="0"/>
          <w14:textFill>
            <w14:solidFill>
              <w14:schemeClr w14:val="tx1"/>
            </w14:solidFill>
          </w14:textFill>
        </w:rPr>
        <w:t>。</w:t>
      </w:r>
    </w:p>
    <w:p w14:paraId="59AC6E5C">
      <w:pPr>
        <w:adjustRightInd/>
        <w:snapToGrid/>
        <w:spacing w:line="500" w:lineRule="exact"/>
        <w:rPr>
          <w:snapToGrid w:val="0"/>
          <w:color w:val="000000" w:themeColor="text1"/>
          <w:kern w:val="0"/>
          <w14:textFill>
            <w14:solidFill>
              <w14:schemeClr w14:val="tx1"/>
            </w14:solidFill>
          </w14:textFill>
        </w:rPr>
      </w:pPr>
      <w:r>
        <w:rPr>
          <w:rFonts w:hint="eastAsia" w:cs="宋体"/>
          <w:snapToGrid w:val="0"/>
          <w:color w:val="000000" w:themeColor="text1"/>
          <w:kern w:val="0"/>
          <w14:textFill>
            <w14:solidFill>
              <w14:schemeClr w14:val="tx1"/>
            </w14:solidFill>
          </w14:textFill>
        </w:rPr>
        <w:t>①</w:t>
      </w:r>
      <w:r>
        <w:rPr>
          <w:snapToGrid w:val="0"/>
          <w:color w:val="000000" w:themeColor="text1"/>
          <w:kern w:val="0"/>
          <w14:textFill>
            <w14:solidFill>
              <w14:schemeClr w14:val="tx1"/>
            </w14:solidFill>
          </w14:textFill>
        </w:rPr>
        <w:t>组织编制环境计划（包括规划）；</w:t>
      </w:r>
    </w:p>
    <w:p w14:paraId="4712B270">
      <w:pPr>
        <w:adjustRightInd/>
        <w:snapToGrid/>
        <w:spacing w:line="500" w:lineRule="exact"/>
        <w:rPr>
          <w:snapToGrid w:val="0"/>
          <w:color w:val="000000" w:themeColor="text1"/>
          <w:kern w:val="0"/>
          <w14:textFill>
            <w14:solidFill>
              <w14:schemeClr w14:val="tx1"/>
            </w14:solidFill>
          </w14:textFill>
        </w:rPr>
      </w:pPr>
      <w:r>
        <w:rPr>
          <w:rFonts w:hint="eastAsia" w:cs="宋体"/>
          <w:snapToGrid w:val="0"/>
          <w:color w:val="000000" w:themeColor="text1"/>
          <w:kern w:val="0"/>
          <w14:textFill>
            <w14:solidFill>
              <w14:schemeClr w14:val="tx1"/>
            </w14:solidFill>
          </w14:textFill>
        </w:rPr>
        <w:t>②</w:t>
      </w:r>
      <w:r>
        <w:rPr>
          <w:snapToGrid w:val="0"/>
          <w:color w:val="000000" w:themeColor="text1"/>
          <w:kern w:val="0"/>
          <w14:textFill>
            <w14:solidFill>
              <w14:schemeClr w14:val="tx1"/>
            </w14:solidFill>
          </w14:textFill>
        </w:rPr>
        <w:t>组织环境保护工作的协调；</w:t>
      </w:r>
    </w:p>
    <w:p w14:paraId="3354458F">
      <w:pPr>
        <w:adjustRightInd/>
        <w:snapToGrid/>
        <w:spacing w:line="500" w:lineRule="exact"/>
        <w:rPr>
          <w:snapToGrid w:val="0"/>
          <w:color w:val="000000" w:themeColor="text1"/>
          <w:kern w:val="0"/>
          <w14:textFill>
            <w14:solidFill>
              <w14:schemeClr w14:val="tx1"/>
            </w14:solidFill>
          </w14:textFill>
        </w:rPr>
      </w:pPr>
      <w:r>
        <w:rPr>
          <w:rFonts w:hint="eastAsia" w:cs="宋体"/>
          <w:snapToGrid w:val="0"/>
          <w:color w:val="000000" w:themeColor="text1"/>
          <w:kern w:val="0"/>
          <w14:textFill>
            <w14:solidFill>
              <w14:schemeClr w14:val="tx1"/>
            </w14:solidFill>
          </w14:textFill>
        </w:rPr>
        <w:t>③</w:t>
      </w:r>
      <w:r>
        <w:rPr>
          <w:snapToGrid w:val="0"/>
          <w:color w:val="000000" w:themeColor="text1"/>
          <w:kern w:val="0"/>
          <w14:textFill>
            <w14:solidFill>
              <w14:schemeClr w14:val="tx1"/>
            </w14:solidFill>
          </w14:textFill>
        </w:rPr>
        <w:t>实施企业环境监督。</w:t>
      </w:r>
    </w:p>
    <w:p w14:paraId="42FD54BE">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主要工作职责</w:t>
      </w:r>
    </w:p>
    <w:p w14:paraId="0BA8D60B">
      <w:pPr>
        <w:adjustRightInd/>
        <w:snapToGrid/>
        <w:spacing w:line="500" w:lineRule="exact"/>
        <w:rPr>
          <w:snapToGrid w:val="0"/>
          <w:color w:val="000000" w:themeColor="text1"/>
          <w:kern w:val="0"/>
          <w14:textFill>
            <w14:solidFill>
              <w14:schemeClr w14:val="tx1"/>
            </w14:solidFill>
          </w14:textFill>
        </w:rPr>
      </w:pPr>
      <w:r>
        <w:rPr>
          <w:rFonts w:hint="eastAsia" w:cs="宋体"/>
          <w:snapToGrid w:val="0"/>
          <w:color w:val="000000" w:themeColor="text1"/>
          <w:kern w:val="0"/>
          <w14:textFill>
            <w14:solidFill>
              <w14:schemeClr w14:val="tx1"/>
            </w14:solidFill>
          </w14:textFill>
        </w:rPr>
        <w:t>①</w:t>
      </w:r>
      <w:r>
        <w:rPr>
          <w:snapToGrid w:val="0"/>
          <w:color w:val="000000" w:themeColor="text1"/>
          <w:kern w:val="0"/>
          <w14:textFill>
            <w14:solidFill>
              <w14:schemeClr w14:val="tx1"/>
            </w14:solidFill>
          </w14:textFill>
        </w:rPr>
        <w:t>督促、检查本企业执行国家环境保护方针、政策、法规及本企业环境保护制度；</w:t>
      </w:r>
    </w:p>
    <w:p w14:paraId="67280F61">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fldChar w:fldCharType="begin"/>
      </w:r>
      <w:r>
        <w:rPr>
          <w:snapToGrid w:val="0"/>
          <w:color w:val="000000" w:themeColor="text1"/>
          <w:kern w:val="0"/>
          <w14:textFill>
            <w14:solidFill>
              <w14:schemeClr w14:val="tx1"/>
            </w14:solidFill>
          </w14:textFill>
        </w:rPr>
        <w:instrText xml:space="preserve"> = 2 \* GB3 </w:instrText>
      </w:r>
      <w:r>
        <w:rPr>
          <w:snapToGrid w:val="0"/>
          <w:color w:val="000000" w:themeColor="text1"/>
          <w:kern w:val="0"/>
          <w14:textFill>
            <w14:solidFill>
              <w14:schemeClr w14:val="tx1"/>
            </w14:solidFill>
          </w14:textFill>
        </w:rPr>
        <w:fldChar w:fldCharType="separate"/>
      </w:r>
      <w:r>
        <w:rPr>
          <w:rFonts w:hint="eastAsia" w:cs="宋体"/>
          <w:snapToGrid w:val="0"/>
          <w:color w:val="000000" w:themeColor="text1"/>
          <w:kern w:val="0"/>
          <w14:textFill>
            <w14:solidFill>
              <w14:schemeClr w14:val="tx1"/>
            </w14:solidFill>
          </w14:textFill>
        </w:rPr>
        <w:t>②</w:t>
      </w:r>
      <w:r>
        <w:rPr>
          <w:snapToGrid w:val="0"/>
          <w:color w:val="000000" w:themeColor="text1"/>
          <w:kern w:val="0"/>
          <w14:textFill>
            <w14:solidFill>
              <w14:schemeClr w14:val="tx1"/>
            </w14:solidFill>
          </w14:textFill>
        </w:rPr>
        <w:fldChar w:fldCharType="end"/>
      </w:r>
      <w:r>
        <w:rPr>
          <w:snapToGrid w:val="0"/>
          <w:color w:val="000000" w:themeColor="text1"/>
          <w:kern w:val="0"/>
          <w14:textFill>
            <w14:solidFill>
              <w14:schemeClr w14:val="tx1"/>
            </w14:solidFill>
          </w14:textFill>
        </w:rPr>
        <w:t>拟定本企业环境管理办法，按照国家和地区的规定指定本企业污染物排放指标和污染综合防治的经济技术原则，做好企业升级环保考核工作；</w:t>
      </w:r>
    </w:p>
    <w:p w14:paraId="06E2DC9A">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fldChar w:fldCharType="begin"/>
      </w:r>
      <w:r>
        <w:rPr>
          <w:snapToGrid w:val="0"/>
          <w:color w:val="000000" w:themeColor="text1"/>
          <w:kern w:val="0"/>
          <w14:textFill>
            <w14:solidFill>
              <w14:schemeClr w14:val="tx1"/>
            </w14:solidFill>
          </w14:textFill>
        </w:rPr>
        <w:instrText xml:space="preserve"> = 3 \* GB3 </w:instrText>
      </w:r>
      <w:r>
        <w:rPr>
          <w:snapToGrid w:val="0"/>
          <w:color w:val="000000" w:themeColor="text1"/>
          <w:kern w:val="0"/>
          <w14:textFill>
            <w14:solidFill>
              <w14:schemeClr w14:val="tx1"/>
            </w14:solidFill>
          </w14:textFill>
        </w:rPr>
        <w:fldChar w:fldCharType="separate"/>
      </w:r>
      <w:r>
        <w:rPr>
          <w:rFonts w:hint="eastAsia" w:cs="宋体"/>
          <w:snapToGrid w:val="0"/>
          <w:color w:val="000000" w:themeColor="text1"/>
          <w:kern w:val="0"/>
          <w14:textFill>
            <w14:solidFill>
              <w14:schemeClr w14:val="tx1"/>
            </w14:solidFill>
          </w14:textFill>
        </w:rPr>
        <w:t>③</w:t>
      </w:r>
      <w:r>
        <w:rPr>
          <w:snapToGrid w:val="0"/>
          <w:color w:val="000000" w:themeColor="text1"/>
          <w:kern w:val="0"/>
          <w14:textFill>
            <w14:solidFill>
              <w14:schemeClr w14:val="tx1"/>
            </w14:solidFill>
          </w14:textFill>
        </w:rPr>
        <w:fldChar w:fldCharType="end"/>
      </w:r>
      <w:r>
        <w:rPr>
          <w:snapToGrid w:val="0"/>
          <w:color w:val="000000" w:themeColor="text1"/>
          <w:kern w:val="0"/>
          <w14:textFill>
            <w14:solidFill>
              <w14:schemeClr w14:val="tx1"/>
            </w14:solidFill>
          </w14:textFill>
        </w:rPr>
        <w:t>负责组织污染源调查，填写环保报表；</w:t>
      </w:r>
    </w:p>
    <w:p w14:paraId="4835A3B0">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fldChar w:fldCharType="begin"/>
      </w:r>
      <w:r>
        <w:rPr>
          <w:snapToGrid w:val="0"/>
          <w:color w:val="000000" w:themeColor="text1"/>
          <w:kern w:val="0"/>
          <w14:textFill>
            <w14:solidFill>
              <w14:schemeClr w14:val="tx1"/>
            </w14:solidFill>
          </w14:textFill>
        </w:rPr>
        <w:instrText xml:space="preserve"> = 4 \* GB3 </w:instrText>
      </w:r>
      <w:r>
        <w:rPr>
          <w:snapToGrid w:val="0"/>
          <w:color w:val="000000" w:themeColor="text1"/>
          <w:kern w:val="0"/>
          <w14:textFill>
            <w14:solidFill>
              <w14:schemeClr w14:val="tx1"/>
            </w14:solidFill>
          </w14:textFill>
        </w:rPr>
        <w:fldChar w:fldCharType="separate"/>
      </w:r>
      <w:r>
        <w:rPr>
          <w:rFonts w:hint="eastAsia" w:cs="宋体"/>
          <w:snapToGrid w:val="0"/>
          <w:color w:val="000000" w:themeColor="text1"/>
          <w:kern w:val="0"/>
          <w14:textFill>
            <w14:solidFill>
              <w14:schemeClr w14:val="tx1"/>
            </w14:solidFill>
          </w14:textFill>
        </w:rPr>
        <w:t>④</w:t>
      </w:r>
      <w:r>
        <w:rPr>
          <w:snapToGrid w:val="0"/>
          <w:color w:val="000000" w:themeColor="text1"/>
          <w:kern w:val="0"/>
          <w14:textFill>
            <w14:solidFill>
              <w14:schemeClr w14:val="tx1"/>
            </w14:solidFill>
          </w14:textFill>
        </w:rPr>
        <w:fldChar w:fldCharType="end"/>
      </w:r>
      <w:r>
        <w:rPr>
          <w:snapToGrid w:val="0"/>
          <w:color w:val="000000" w:themeColor="text1"/>
          <w:kern w:val="0"/>
          <w14:textFill>
            <w14:solidFill>
              <w14:schemeClr w14:val="tx1"/>
            </w14:solidFill>
          </w14:textFill>
        </w:rPr>
        <w:t>组织推动本企业在基本建设、改扩建中，贯彻执行“三同时”的规定，并参加有关方案的审定及竣工验收工作；</w:t>
      </w:r>
    </w:p>
    <w:p w14:paraId="4CD56310">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fldChar w:fldCharType="begin"/>
      </w:r>
      <w:r>
        <w:rPr>
          <w:snapToGrid w:val="0"/>
          <w:color w:val="000000" w:themeColor="text1"/>
          <w:kern w:val="0"/>
          <w14:textFill>
            <w14:solidFill>
              <w14:schemeClr w14:val="tx1"/>
            </w14:solidFill>
          </w14:textFill>
        </w:rPr>
        <w:instrText xml:space="preserve"> = 5 \* GB3 </w:instrText>
      </w:r>
      <w:r>
        <w:rPr>
          <w:snapToGrid w:val="0"/>
          <w:color w:val="000000" w:themeColor="text1"/>
          <w:kern w:val="0"/>
          <w14:textFill>
            <w14:solidFill>
              <w14:schemeClr w14:val="tx1"/>
            </w14:solidFill>
          </w14:textFill>
        </w:rPr>
        <w:fldChar w:fldCharType="separate"/>
      </w:r>
      <w:r>
        <w:rPr>
          <w:rFonts w:hint="eastAsia" w:cs="宋体"/>
          <w:snapToGrid w:val="0"/>
          <w:color w:val="000000" w:themeColor="text1"/>
          <w:kern w:val="0"/>
          <w14:textFill>
            <w14:solidFill>
              <w14:schemeClr w14:val="tx1"/>
            </w14:solidFill>
          </w14:textFill>
        </w:rPr>
        <w:t>⑤</w:t>
      </w:r>
      <w:r>
        <w:rPr>
          <w:snapToGrid w:val="0"/>
          <w:color w:val="000000" w:themeColor="text1"/>
          <w:kern w:val="0"/>
          <w14:textFill>
            <w14:solidFill>
              <w14:schemeClr w14:val="tx1"/>
            </w14:solidFill>
          </w14:textFill>
        </w:rPr>
        <w:fldChar w:fldCharType="end"/>
      </w:r>
      <w:r>
        <w:rPr>
          <w:snapToGrid w:val="0"/>
          <w:color w:val="000000" w:themeColor="text1"/>
          <w:kern w:val="0"/>
          <w14:textFill>
            <w14:solidFill>
              <w14:schemeClr w14:val="tx1"/>
            </w14:solidFill>
          </w14:textFill>
        </w:rPr>
        <w:t>加强与主管环保部们的联系，会同有关单位做好环境预测，制定企业环境保护长远规划和年度计划，并督促实施；</w:t>
      </w:r>
    </w:p>
    <w:p w14:paraId="31464BA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fldChar w:fldCharType="begin"/>
      </w:r>
      <w:r>
        <w:rPr>
          <w:snapToGrid w:val="0"/>
          <w:color w:val="000000" w:themeColor="text1"/>
          <w:kern w:val="0"/>
          <w14:textFill>
            <w14:solidFill>
              <w14:schemeClr w14:val="tx1"/>
            </w14:solidFill>
          </w14:textFill>
        </w:rPr>
        <w:instrText xml:space="preserve"> = 6 \* GB3 </w:instrText>
      </w:r>
      <w:r>
        <w:rPr>
          <w:snapToGrid w:val="0"/>
          <w:color w:val="000000" w:themeColor="text1"/>
          <w:kern w:val="0"/>
          <w14:textFill>
            <w14:solidFill>
              <w14:schemeClr w14:val="tx1"/>
            </w14:solidFill>
          </w14:textFill>
        </w:rPr>
        <w:fldChar w:fldCharType="separate"/>
      </w:r>
      <w:r>
        <w:rPr>
          <w:rFonts w:hint="eastAsia" w:cs="宋体"/>
          <w:snapToGrid w:val="0"/>
          <w:color w:val="000000" w:themeColor="text1"/>
          <w:kern w:val="0"/>
          <w14:textFill>
            <w14:solidFill>
              <w14:schemeClr w14:val="tx1"/>
            </w14:solidFill>
          </w14:textFill>
        </w:rPr>
        <w:t>⑥</w:t>
      </w:r>
      <w:r>
        <w:rPr>
          <w:snapToGrid w:val="0"/>
          <w:color w:val="000000" w:themeColor="text1"/>
          <w:kern w:val="0"/>
          <w14:textFill>
            <w14:solidFill>
              <w14:schemeClr w14:val="tx1"/>
            </w14:solidFill>
          </w14:textFill>
        </w:rPr>
        <w:fldChar w:fldCharType="end"/>
      </w:r>
      <w:r>
        <w:rPr>
          <w:snapToGrid w:val="0"/>
          <w:color w:val="000000" w:themeColor="text1"/>
          <w:kern w:val="0"/>
          <w14:textFill>
            <w14:solidFill>
              <w14:schemeClr w14:val="tx1"/>
            </w14:solidFill>
          </w14:textFill>
        </w:rPr>
        <w:t>监督全</w:t>
      </w:r>
      <w:r>
        <w:rPr>
          <w:rFonts w:hint="eastAsia"/>
          <w:snapToGrid w:val="0"/>
          <w:color w:val="000000" w:themeColor="text1"/>
          <w:kern w:val="0"/>
          <w14:textFill>
            <w14:solidFill>
              <w14:schemeClr w14:val="tx1"/>
            </w14:solidFill>
          </w14:textFill>
        </w:rPr>
        <w:t>场</w:t>
      </w:r>
      <w:r>
        <w:rPr>
          <w:snapToGrid w:val="0"/>
          <w:color w:val="000000" w:themeColor="text1"/>
          <w:kern w:val="0"/>
          <w14:textFill>
            <w14:solidFill>
              <w14:schemeClr w14:val="tx1"/>
            </w14:solidFill>
          </w14:textFill>
        </w:rPr>
        <w:t>环境保护设施的运行与污染物的排放；</w:t>
      </w:r>
    </w:p>
    <w:p w14:paraId="70D05220">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fldChar w:fldCharType="begin"/>
      </w:r>
      <w:r>
        <w:rPr>
          <w:snapToGrid w:val="0"/>
          <w:color w:val="000000" w:themeColor="text1"/>
          <w:kern w:val="0"/>
          <w14:textFill>
            <w14:solidFill>
              <w14:schemeClr w14:val="tx1"/>
            </w14:solidFill>
          </w14:textFill>
        </w:rPr>
        <w:instrText xml:space="preserve"> = 7 \* GB3 </w:instrText>
      </w:r>
      <w:r>
        <w:rPr>
          <w:snapToGrid w:val="0"/>
          <w:color w:val="000000" w:themeColor="text1"/>
          <w:kern w:val="0"/>
          <w14:textFill>
            <w14:solidFill>
              <w14:schemeClr w14:val="tx1"/>
            </w14:solidFill>
          </w14:textFill>
        </w:rPr>
        <w:fldChar w:fldCharType="separate"/>
      </w:r>
      <w:r>
        <w:rPr>
          <w:rFonts w:hint="eastAsia" w:cs="宋体"/>
          <w:snapToGrid w:val="0"/>
          <w:color w:val="000000" w:themeColor="text1"/>
          <w:kern w:val="0"/>
          <w14:textFill>
            <w14:solidFill>
              <w14:schemeClr w14:val="tx1"/>
            </w14:solidFill>
          </w14:textFill>
        </w:rPr>
        <w:t>⑦</w:t>
      </w:r>
      <w:r>
        <w:rPr>
          <w:snapToGrid w:val="0"/>
          <w:color w:val="000000" w:themeColor="text1"/>
          <w:kern w:val="0"/>
          <w14:textFill>
            <w14:solidFill>
              <w14:schemeClr w14:val="tx1"/>
            </w14:solidFill>
          </w14:textFill>
        </w:rPr>
        <w:fldChar w:fldCharType="end"/>
      </w:r>
      <w:r>
        <w:rPr>
          <w:snapToGrid w:val="0"/>
          <w:color w:val="000000" w:themeColor="text1"/>
          <w:kern w:val="0"/>
          <w14:textFill>
            <w14:solidFill>
              <w14:schemeClr w14:val="tx1"/>
            </w14:solidFill>
          </w14:textFill>
        </w:rPr>
        <w:t>负责组织本企业污染事故的调查与处理；</w:t>
      </w:r>
    </w:p>
    <w:p w14:paraId="02EB926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fldChar w:fldCharType="begin"/>
      </w:r>
      <w:r>
        <w:rPr>
          <w:snapToGrid w:val="0"/>
          <w:color w:val="000000" w:themeColor="text1"/>
          <w:kern w:val="0"/>
          <w14:textFill>
            <w14:solidFill>
              <w14:schemeClr w14:val="tx1"/>
            </w14:solidFill>
          </w14:textFill>
        </w:rPr>
        <w:instrText xml:space="preserve"> = 8 \* GB3 </w:instrText>
      </w:r>
      <w:r>
        <w:rPr>
          <w:snapToGrid w:val="0"/>
          <w:color w:val="000000" w:themeColor="text1"/>
          <w:kern w:val="0"/>
          <w14:textFill>
            <w14:solidFill>
              <w14:schemeClr w14:val="tx1"/>
            </w14:solidFill>
          </w14:textFill>
        </w:rPr>
        <w:fldChar w:fldCharType="separate"/>
      </w:r>
      <w:r>
        <w:rPr>
          <w:rFonts w:hint="eastAsia" w:cs="宋体"/>
          <w:snapToGrid w:val="0"/>
          <w:color w:val="000000" w:themeColor="text1"/>
          <w:kern w:val="0"/>
          <w14:textFill>
            <w14:solidFill>
              <w14:schemeClr w14:val="tx1"/>
            </w14:solidFill>
          </w14:textFill>
        </w:rPr>
        <w:t>⑧</w:t>
      </w:r>
      <w:r>
        <w:rPr>
          <w:snapToGrid w:val="0"/>
          <w:color w:val="000000" w:themeColor="text1"/>
          <w:kern w:val="0"/>
          <w14:textFill>
            <w14:solidFill>
              <w14:schemeClr w14:val="tx1"/>
            </w14:solidFill>
          </w14:textFill>
        </w:rPr>
        <w:fldChar w:fldCharType="end"/>
      </w:r>
      <w:r>
        <w:rPr>
          <w:snapToGrid w:val="0"/>
          <w:color w:val="000000" w:themeColor="text1"/>
          <w:kern w:val="0"/>
          <w14:textFill>
            <w14:solidFill>
              <w14:schemeClr w14:val="tx1"/>
            </w14:solidFill>
          </w14:textFill>
        </w:rPr>
        <w:t>做好企业环境统计工作，建立环境保护档案。</w:t>
      </w:r>
    </w:p>
    <w:p w14:paraId="225B7DB7">
      <w:pPr>
        <w:adjustRightInd/>
        <w:snapToGrid/>
        <w:spacing w:line="500" w:lineRule="exact"/>
        <w:rPr>
          <w:snapToGrid w:val="0"/>
          <w:color w:val="000000" w:themeColor="text1"/>
          <w:kern w:val="0"/>
          <w14:textFill>
            <w14:solidFill>
              <w14:schemeClr w14:val="tx1"/>
            </w14:solidFill>
          </w14:textFill>
        </w:rPr>
      </w:pPr>
      <w:r>
        <w:rPr>
          <w:rFonts w:hint="eastAsia" w:cs="宋体"/>
          <w:snapToGrid w:val="0"/>
          <w:color w:val="000000" w:themeColor="text1"/>
          <w:kern w:val="0"/>
          <w14:textFill>
            <w14:solidFill>
              <w14:schemeClr w14:val="tx1"/>
            </w14:solidFill>
          </w14:textFill>
        </w:rPr>
        <w:t>⑨</w:t>
      </w:r>
      <w:r>
        <w:rPr>
          <w:snapToGrid w:val="0"/>
          <w:color w:val="000000" w:themeColor="text1"/>
          <w:kern w:val="0"/>
          <w14:textFill>
            <w14:solidFill>
              <w14:schemeClr w14:val="tx1"/>
            </w14:solidFill>
          </w14:textFill>
        </w:rPr>
        <w:t>会同有关单位组织开展清洁生产活动，负责广泛开展环境宣传教育活动，普及环境科学知识，推动清洁生产活动的深度开展。</w:t>
      </w:r>
    </w:p>
    <w:p w14:paraId="2AF28D3B">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8.1</w:t>
      </w:r>
      <w:r>
        <w:rPr>
          <w:snapToGrid w:val="0"/>
          <w:color w:val="000000" w:themeColor="text1"/>
          <w14:textFill>
            <w14:solidFill>
              <w14:schemeClr w14:val="tx1"/>
            </w14:solidFill>
          </w14:textFill>
        </w:rPr>
        <w:t>.1.3企业管理</w:t>
      </w:r>
    </w:p>
    <w:p w14:paraId="3620E04F">
      <w:pPr>
        <w:adjustRightInd/>
        <w:snapToGrid/>
        <w:spacing w:line="500" w:lineRule="exact"/>
        <w:rPr>
          <w:snapToGrid w:val="0"/>
          <w:color w:val="000000" w:themeColor="text1"/>
          <w:kern w:val="0"/>
          <w14:textFill>
            <w14:solidFill>
              <w14:schemeClr w14:val="tx1"/>
            </w14:solidFill>
          </w14:textFill>
        </w:rPr>
      </w:pPr>
      <w:r>
        <w:rPr>
          <w:rFonts w:hint="eastAsia" w:cs="宋体"/>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确保各项环保设施的正常运转，负责日常维护，并制定事故的应急处理方法；</w:t>
      </w:r>
    </w:p>
    <w:p w14:paraId="264A024E">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加强生产原材料管理，提出清洁生产方案，降低了污染物的可能产生量；</w:t>
      </w:r>
    </w:p>
    <w:p w14:paraId="00472861">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加强对生产设备的管理和维护，杜绝跑、冒、滴、漏现象的发生；</w:t>
      </w:r>
    </w:p>
    <w:p w14:paraId="44E4D400">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w:t>
      </w: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负责企业的日常环境监测工作。</w:t>
      </w:r>
    </w:p>
    <w:p w14:paraId="19A5D7C6">
      <w:pPr>
        <w:pStyle w:val="6"/>
        <w:rPr>
          <w:snapToGrid w:val="0"/>
          <w:color w:val="000000" w:themeColor="text1"/>
          <w14:textFill>
            <w14:solidFill>
              <w14:schemeClr w14:val="tx1"/>
            </w14:solidFill>
          </w14:textFill>
        </w:rPr>
      </w:pPr>
      <w:bookmarkStart w:id="407" w:name="_Toc7521"/>
      <w:r>
        <w:rPr>
          <w:snapToGrid w:val="0"/>
          <w:color w:val="000000" w:themeColor="text1"/>
          <w14:textFill>
            <w14:solidFill>
              <w14:schemeClr w14:val="tx1"/>
            </w14:solidFill>
          </w14:textFill>
        </w:rPr>
        <w:t>8.1.2环境管理</w:t>
      </w:r>
      <w:r>
        <w:rPr>
          <w:rFonts w:hint="eastAsia"/>
          <w:snapToGrid w:val="0"/>
          <w:color w:val="000000" w:themeColor="text1"/>
          <w14:textFill>
            <w14:solidFill>
              <w14:schemeClr w14:val="tx1"/>
            </w14:solidFill>
          </w14:textFill>
        </w:rPr>
        <w:t>内容</w:t>
      </w:r>
      <w:bookmarkEnd w:id="407"/>
    </w:p>
    <w:p w14:paraId="0A538BA4">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8.1</w:t>
      </w:r>
      <w:r>
        <w:rPr>
          <w:snapToGrid w:val="0"/>
          <w:color w:val="000000" w:themeColor="text1"/>
          <w14:textFill>
            <w14:solidFill>
              <w14:schemeClr w14:val="tx1"/>
            </w14:solidFill>
          </w14:textFill>
        </w:rPr>
        <w:t>.2.1施工期管理内容</w:t>
      </w:r>
    </w:p>
    <w:p w14:paraId="4220DBB5">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施工期对环境的影响主要为噪声、</w:t>
      </w:r>
      <w:r>
        <w:rPr>
          <w:rFonts w:hint="eastAsia"/>
          <w:snapToGrid w:val="0"/>
          <w:color w:val="000000" w:themeColor="text1"/>
          <w14:textFill>
            <w14:solidFill>
              <w14:schemeClr w14:val="tx1"/>
            </w14:solidFill>
          </w14:textFill>
        </w:rPr>
        <w:t>扬</w:t>
      </w:r>
      <w:r>
        <w:rPr>
          <w:snapToGrid w:val="0"/>
          <w:color w:val="000000" w:themeColor="text1"/>
          <w14:textFill>
            <w14:solidFill>
              <w14:schemeClr w14:val="tx1"/>
            </w14:solidFill>
          </w14:textFill>
        </w:rPr>
        <w:t>尘、施工废水、生活污水及建筑垃圾。施工过程中要做到建筑垃圾集中堆放、及时清运；施工废水设沉淀池；保证施工设备完好、先进，降低其噪声，固定声源隔声降噪等；指定行车路线，定期洒水、防止扬尘等。作业点要定期检查，督促环境管理措施的落实情况，增强施工人员的环保意识。</w:t>
      </w:r>
    </w:p>
    <w:p w14:paraId="01999363">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8.1</w:t>
      </w:r>
      <w:r>
        <w:rPr>
          <w:snapToGrid w:val="0"/>
          <w:color w:val="000000" w:themeColor="text1"/>
          <w14:textFill>
            <w14:solidFill>
              <w14:schemeClr w14:val="tx1"/>
            </w14:solidFill>
          </w14:textFill>
        </w:rPr>
        <w:t>.2.2运营期管理内容</w:t>
      </w:r>
    </w:p>
    <w:p w14:paraId="7BB7EE44">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w:t>
      </w:r>
      <w:r>
        <w:rPr>
          <w:snapToGrid w:val="0"/>
          <w:color w:val="000000" w:themeColor="text1"/>
          <w14:textFill>
            <w14:solidFill>
              <w14:schemeClr w14:val="tx1"/>
            </w14:solidFill>
          </w14:textFill>
        </w:rPr>
        <w:t>管理</w:t>
      </w:r>
      <w:r>
        <w:rPr>
          <w:rFonts w:hint="eastAsia"/>
          <w:snapToGrid w:val="0"/>
          <w:color w:val="000000" w:themeColor="text1"/>
          <w14:textFill>
            <w14:solidFill>
              <w14:schemeClr w14:val="tx1"/>
            </w14:solidFill>
          </w14:textFill>
        </w:rPr>
        <w:t>机构</w:t>
      </w:r>
    </w:p>
    <w:p w14:paraId="5A3C9479">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由企业设置的环保科负责项目运行期的环境管理工作，与当地环保部门及其授权监测部门保持密切联系，直接监管企业污染物的排放情况，并对其逐步实施总量控制；对超标排放及污染事故、纠纷进行处理。</w:t>
      </w:r>
    </w:p>
    <w:p w14:paraId="6118CF61">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2、运营期环境职责</w:t>
      </w:r>
    </w:p>
    <w:p w14:paraId="0FD8ABE2">
      <w:pPr>
        <w:adjustRightInd/>
        <w:snapToGrid/>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由分管环境的专人负责环保指标的落实，将环保指标逐级分解到科室、班组和个人，负责环保设备的运转和维护，确保其正常运转和达标排放，充分发挥其作用；配合地方环保监测部门进行日常环境监测，记录并及时上报污染源及环保措施运行动态</w:t>
      </w:r>
      <w:r>
        <w:rPr>
          <w:snapToGrid w:val="0"/>
          <w:color w:val="000000" w:themeColor="text1"/>
          <w:kern w:val="0"/>
          <w14:textFill>
            <w14:solidFill>
              <w14:schemeClr w14:val="tx1"/>
            </w14:solidFill>
          </w14:textFill>
        </w:rPr>
        <w:t>。</w:t>
      </w:r>
    </w:p>
    <w:p w14:paraId="24CD95D7">
      <w:pPr>
        <w:pStyle w:val="6"/>
        <w:rPr>
          <w:snapToGrid w:val="0"/>
          <w:color w:val="000000" w:themeColor="text1"/>
          <w14:textFill>
            <w14:solidFill>
              <w14:schemeClr w14:val="tx1"/>
            </w14:solidFill>
          </w14:textFill>
        </w:rPr>
      </w:pPr>
      <w:bookmarkStart w:id="408" w:name="_Toc5587"/>
      <w:r>
        <w:rPr>
          <w:snapToGrid w:val="0"/>
          <w:color w:val="000000" w:themeColor="text1"/>
          <w14:textFill>
            <w14:solidFill>
              <w14:schemeClr w14:val="tx1"/>
            </w14:solidFill>
          </w14:textFill>
        </w:rPr>
        <w:t>8.1.3施工期环境管理计划</w:t>
      </w:r>
      <w:bookmarkEnd w:id="408"/>
    </w:p>
    <w:p w14:paraId="7DFA2AD9">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（1）环境管理机构对施工期环境保护工作全面负责，履行施工期各阶段环境管理职责。</w:t>
      </w:r>
    </w:p>
    <w:p w14:paraId="014ACD8F">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（2）对施工队伍实行职责管理，要求施工队伍按要求文明施工，并做好监督、检查和教育工作。</w:t>
      </w:r>
    </w:p>
    <w:p w14:paraId="2DBC8AD7">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（3）按照环保主管部门的要求和本报告书中有关环境保护对策措施对施工程序和厂地布置实施统一安排。</w:t>
      </w:r>
    </w:p>
    <w:p w14:paraId="3527342C">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（4）土建工程需要土石方的挖掘与运输、管道挖沟、施工建材机械等占地，对产生的扬尘应及时洒水，及时清除弃土，避免二次扬尘。</w:t>
      </w:r>
    </w:p>
    <w:p w14:paraId="3C0947B3">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（5）合理布置施工厂内的机械和设备，把噪声较大的机械设备布置到远离居民的地点。</w:t>
      </w:r>
    </w:p>
    <w:p w14:paraId="4B1079B4">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施工期环境保护管理及监理的主要内容见表8-1-</w:t>
      </w:r>
      <w:r>
        <w:rPr>
          <w:rFonts w:hint="eastAsia"/>
          <w:snapToGrid w:val="0"/>
          <w:color w:val="000000" w:themeColor="text1"/>
          <w:kern w:val="0"/>
          <w:lang w:val="en-US" w:eastAsia="zh-CN"/>
          <w14:textFill>
            <w14:solidFill>
              <w14:schemeClr w14:val="tx1"/>
            </w14:solidFill>
          </w14:textFill>
        </w:rPr>
        <w:t>1</w:t>
      </w:r>
      <w:r>
        <w:rPr>
          <w:snapToGrid w:val="0"/>
          <w:color w:val="000000" w:themeColor="text1"/>
          <w:kern w:val="0"/>
          <w14:textFill>
            <w14:solidFill>
              <w14:schemeClr w14:val="tx1"/>
            </w14:solidFill>
          </w14:textFill>
        </w:rPr>
        <w:t>。</w:t>
      </w:r>
    </w:p>
    <w:p w14:paraId="5219BE1D">
      <w:pPr>
        <w:spacing w:line="500" w:lineRule="exact"/>
        <w:ind w:firstLine="0" w:firstLineChars="0"/>
        <w:jc w:val="center"/>
        <w:rPr>
          <w:rFonts w:eastAsia="黑体"/>
          <w:snapToGrid w:val="0"/>
          <w:color w:val="000000" w:themeColor="text1"/>
          <w:kern w:val="0"/>
          <w:lang w:val="zh-CN" w:eastAsia="zh-CN"/>
          <w14:textFill>
            <w14:solidFill>
              <w14:schemeClr w14:val="tx1"/>
            </w14:solidFill>
          </w14:textFill>
        </w:rPr>
      </w:pPr>
      <w:r>
        <w:rPr>
          <w:rFonts w:eastAsia="黑体"/>
          <w:snapToGrid w:val="0"/>
          <w:color w:val="000000" w:themeColor="text1"/>
          <w:kern w:val="0"/>
          <w:lang w:val="zh-CN" w:eastAsia="zh-CN"/>
          <w14:textFill>
            <w14:solidFill>
              <w14:schemeClr w14:val="tx1"/>
            </w14:solidFill>
          </w14:textFill>
        </w:rPr>
        <w:t>表8-1-</w:t>
      </w:r>
      <w:r>
        <w:rPr>
          <w:rFonts w:hint="eastAsia" w:eastAsia="黑体"/>
          <w:snapToGrid w:val="0"/>
          <w:color w:val="000000" w:themeColor="text1"/>
          <w:kern w:val="0"/>
          <w:lang w:val="en-US" w:eastAsia="zh-CN"/>
          <w14:textFill>
            <w14:solidFill>
              <w14:schemeClr w14:val="tx1"/>
            </w14:solidFill>
          </w14:textFill>
        </w:rPr>
        <w:t>1</w:t>
      </w:r>
      <w:r>
        <w:rPr>
          <w:rFonts w:eastAsia="黑体"/>
          <w:snapToGrid w:val="0"/>
          <w:color w:val="000000" w:themeColor="text1"/>
          <w:kern w:val="0"/>
          <w:lang w:val="zh-CN" w:eastAsia="zh-CN"/>
          <w14:textFill>
            <w14:solidFill>
              <w14:schemeClr w14:val="tx1"/>
            </w14:solidFill>
          </w14:textFill>
        </w:rPr>
        <w:t>施工期环境管理和监理的主要内容</w:t>
      </w:r>
    </w:p>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3687"/>
        <w:gridCol w:w="1581"/>
        <w:gridCol w:w="1885"/>
      </w:tblGrid>
      <w:tr w14:paraId="33725F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697" w:type="pct"/>
            <w:vAlign w:val="center"/>
          </w:tcPr>
          <w:p w14:paraId="409F429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防治对象</w:t>
            </w:r>
          </w:p>
        </w:tc>
        <w:tc>
          <w:tcPr>
            <w:tcW w:w="2218" w:type="pct"/>
            <w:vAlign w:val="center"/>
          </w:tcPr>
          <w:p w14:paraId="38C97AF6">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防治措施</w:t>
            </w:r>
          </w:p>
        </w:tc>
        <w:tc>
          <w:tcPr>
            <w:tcW w:w="951" w:type="pct"/>
            <w:vAlign w:val="center"/>
          </w:tcPr>
          <w:p w14:paraId="247EF162">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环境管理</w:t>
            </w:r>
          </w:p>
        </w:tc>
        <w:tc>
          <w:tcPr>
            <w:tcW w:w="1134" w:type="pct"/>
            <w:vAlign w:val="center"/>
          </w:tcPr>
          <w:p w14:paraId="34FEF10D">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环境监理</w:t>
            </w:r>
          </w:p>
        </w:tc>
      </w:tr>
      <w:tr w14:paraId="663A7C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697" w:type="pct"/>
            <w:vMerge w:val="restart"/>
            <w:vAlign w:val="center"/>
          </w:tcPr>
          <w:p w14:paraId="45BD3128">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施工扬尘</w:t>
            </w:r>
          </w:p>
        </w:tc>
        <w:tc>
          <w:tcPr>
            <w:tcW w:w="2218" w:type="pct"/>
            <w:vAlign w:val="center"/>
          </w:tcPr>
          <w:p w14:paraId="06139EA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施工厂地硬化</w:t>
            </w:r>
          </w:p>
        </w:tc>
        <w:tc>
          <w:tcPr>
            <w:tcW w:w="951" w:type="pct"/>
            <w:vMerge w:val="restart"/>
            <w:vAlign w:val="center"/>
          </w:tcPr>
          <w:p w14:paraId="39B94AD3">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施工单位环保措施要落实到人，做好施工厂地环境管理和保洁工</w:t>
            </w:r>
            <w:r>
              <w:rPr>
                <w:rFonts w:hint="eastAsia"/>
                <w:snapToGrid w:val="0"/>
                <w:color w:val="000000" w:themeColor="text1"/>
                <w:kern w:val="0"/>
                <w:sz w:val="21"/>
                <w:lang w:val="zh-CN"/>
                <w14:textFill>
                  <w14:solidFill>
                    <w14:schemeClr w14:val="tx1"/>
                  </w14:solidFill>
                </w14:textFill>
              </w:rPr>
              <w:t>作</w:t>
            </w:r>
          </w:p>
        </w:tc>
        <w:tc>
          <w:tcPr>
            <w:tcW w:w="1134" w:type="pct"/>
            <w:vMerge w:val="restart"/>
            <w:vAlign w:val="center"/>
          </w:tcPr>
          <w:p w14:paraId="14784D4F">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建设行政管理部门及环境管理部门进行定期检查。</w:t>
            </w:r>
          </w:p>
        </w:tc>
      </w:tr>
      <w:tr w14:paraId="424F03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697" w:type="pct"/>
            <w:vMerge w:val="continue"/>
            <w:vAlign w:val="center"/>
          </w:tcPr>
          <w:p w14:paraId="6CBBD30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7C9C4C5F">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建筑垃圾及多余弃土及时清运</w:t>
            </w:r>
          </w:p>
        </w:tc>
        <w:tc>
          <w:tcPr>
            <w:tcW w:w="951" w:type="pct"/>
            <w:vMerge w:val="continue"/>
            <w:vAlign w:val="center"/>
          </w:tcPr>
          <w:p w14:paraId="132AD0A0">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6C924431">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0A1ABC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697" w:type="pct"/>
            <w:vMerge w:val="continue"/>
            <w:vAlign w:val="center"/>
          </w:tcPr>
          <w:p w14:paraId="6C3C0350">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5558113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施工场地车辆出入口设置车辆冲洗及沉淀设施</w:t>
            </w:r>
          </w:p>
        </w:tc>
        <w:tc>
          <w:tcPr>
            <w:tcW w:w="951" w:type="pct"/>
            <w:vMerge w:val="continue"/>
            <w:vAlign w:val="center"/>
          </w:tcPr>
          <w:p w14:paraId="2E986BD4">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286D747E">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626B6F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697" w:type="pct"/>
            <w:vMerge w:val="continue"/>
            <w:vAlign w:val="center"/>
          </w:tcPr>
          <w:p w14:paraId="3EBA587E">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0DE19F89">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对工地及进出口定期洒水抑尘、清扫，保持工地整齐干净</w:t>
            </w:r>
          </w:p>
        </w:tc>
        <w:tc>
          <w:tcPr>
            <w:tcW w:w="951" w:type="pct"/>
            <w:vMerge w:val="continue"/>
            <w:vAlign w:val="center"/>
          </w:tcPr>
          <w:p w14:paraId="23B2025E">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7F11A171">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0BDDA0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9" w:hRule="atLeast"/>
        </w:trPr>
        <w:tc>
          <w:tcPr>
            <w:tcW w:w="697" w:type="pct"/>
            <w:vMerge w:val="continue"/>
            <w:vAlign w:val="center"/>
          </w:tcPr>
          <w:p w14:paraId="4E9AA5FB">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1DDE7E6E">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对回填土方进行压实或喷覆盖剂处理</w:t>
            </w:r>
          </w:p>
        </w:tc>
        <w:tc>
          <w:tcPr>
            <w:tcW w:w="951" w:type="pct"/>
            <w:vMerge w:val="continue"/>
            <w:vAlign w:val="center"/>
          </w:tcPr>
          <w:p w14:paraId="7BA4F92E">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restart"/>
            <w:vAlign w:val="center"/>
          </w:tcPr>
          <w:p w14:paraId="02F854E6">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建设行政管理部门及环境管理部门进行定期检查</w:t>
            </w:r>
          </w:p>
        </w:tc>
      </w:tr>
      <w:tr w14:paraId="3205E2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697" w:type="pct"/>
            <w:vMerge w:val="continue"/>
            <w:vAlign w:val="center"/>
          </w:tcPr>
          <w:p w14:paraId="505D30ED">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222AE69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建筑工地按有关规定进行围挡</w:t>
            </w:r>
          </w:p>
        </w:tc>
        <w:tc>
          <w:tcPr>
            <w:tcW w:w="951" w:type="pct"/>
            <w:vMerge w:val="continue"/>
            <w:vAlign w:val="center"/>
          </w:tcPr>
          <w:p w14:paraId="62DC9B4C">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443EA327">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715A9E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697" w:type="pct"/>
            <w:vMerge w:val="restart"/>
            <w:vAlign w:val="center"/>
          </w:tcPr>
          <w:p w14:paraId="26C60F0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施工噪声</w:t>
            </w:r>
          </w:p>
        </w:tc>
        <w:tc>
          <w:tcPr>
            <w:tcW w:w="2218" w:type="pct"/>
            <w:vAlign w:val="center"/>
          </w:tcPr>
          <w:p w14:paraId="173BBF4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将投标方的低噪声施工设备和技术作为中标内容</w:t>
            </w:r>
          </w:p>
        </w:tc>
        <w:tc>
          <w:tcPr>
            <w:tcW w:w="951" w:type="pct"/>
            <w:vMerge w:val="continue"/>
            <w:vAlign w:val="center"/>
          </w:tcPr>
          <w:p w14:paraId="6A262663">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restart"/>
            <w:vAlign w:val="center"/>
          </w:tcPr>
          <w:p w14:paraId="549BA01F">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环保监理部门对夜间施工噪声进行监督检查</w:t>
            </w:r>
          </w:p>
        </w:tc>
      </w:tr>
      <w:tr w14:paraId="7FABC8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697" w:type="pct"/>
            <w:vMerge w:val="continue"/>
            <w:vAlign w:val="center"/>
          </w:tcPr>
          <w:p w14:paraId="3C76DB8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36D11D91">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施工单位开工15日前，携带施工资料等到当地环保部门申报《建设施工环保审批表》，经批准后方可施工</w:t>
            </w:r>
          </w:p>
        </w:tc>
        <w:tc>
          <w:tcPr>
            <w:tcW w:w="951" w:type="pct"/>
            <w:vMerge w:val="continue"/>
            <w:vAlign w:val="center"/>
          </w:tcPr>
          <w:p w14:paraId="0F6814C0">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26F0D1C2">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47FF07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697" w:type="pct"/>
            <w:vMerge w:val="continue"/>
            <w:vAlign w:val="center"/>
          </w:tcPr>
          <w:p w14:paraId="7C304774">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6332155D">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夜间禁止施工（22：00～6：00）</w:t>
            </w:r>
          </w:p>
        </w:tc>
        <w:tc>
          <w:tcPr>
            <w:tcW w:w="951" w:type="pct"/>
            <w:vMerge w:val="continue"/>
            <w:vAlign w:val="center"/>
          </w:tcPr>
          <w:p w14:paraId="136A841A">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785AA1D3">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7004CD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697" w:type="pct"/>
            <w:vMerge w:val="continue"/>
            <w:vAlign w:val="center"/>
          </w:tcPr>
          <w:p w14:paraId="1DC8D5BE">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3CBCA4A7">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因施工浇筑需要连续作业的施工前3天内，由施工单位报环保部门审批</w:t>
            </w:r>
          </w:p>
        </w:tc>
        <w:tc>
          <w:tcPr>
            <w:tcW w:w="951" w:type="pct"/>
            <w:vMerge w:val="continue"/>
            <w:vAlign w:val="center"/>
          </w:tcPr>
          <w:p w14:paraId="2C057136">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67D4F696">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51A521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697" w:type="pct"/>
            <w:vMerge w:val="restart"/>
            <w:vAlign w:val="center"/>
          </w:tcPr>
          <w:p w14:paraId="03564939">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废水</w:t>
            </w:r>
          </w:p>
        </w:tc>
        <w:tc>
          <w:tcPr>
            <w:tcW w:w="2218" w:type="pct"/>
            <w:vAlign w:val="center"/>
          </w:tcPr>
          <w:p w14:paraId="2043B699">
            <w:pPr>
              <w:adjustRightInd/>
              <w:snapToGrid/>
              <w:spacing w:line="240" w:lineRule="auto"/>
              <w:ind w:firstLine="0" w:firstLineChars="0"/>
              <w:rPr>
                <w:rFonts w:hint="default"/>
                <w:snapToGrid w:val="0"/>
                <w:color w:val="000000" w:themeColor="text1"/>
                <w:kern w:val="0"/>
                <w:sz w:val="21"/>
                <w:lang w:val="en-US"/>
                <w14:textFill>
                  <w14:solidFill>
                    <w14:schemeClr w14:val="tx1"/>
                  </w14:solidFill>
                </w14:textFill>
              </w:rPr>
            </w:pPr>
            <w:r>
              <w:rPr>
                <w:rFonts w:hint="eastAsia"/>
                <w:snapToGrid w:val="0"/>
                <w:color w:val="000000" w:themeColor="text1"/>
                <w:kern w:val="0"/>
                <w:sz w:val="21"/>
                <w:lang w:eastAsia="zh-CN"/>
                <w14:textFill>
                  <w14:solidFill>
                    <w14:schemeClr w14:val="tx1"/>
                  </w14:solidFill>
                </w14:textFill>
              </w:rPr>
              <w:t>施工现场生活污水排入</w:t>
            </w:r>
            <w:r>
              <w:rPr>
                <w:rFonts w:hint="eastAsia"/>
                <w:snapToGrid w:val="0"/>
                <w:color w:val="000000" w:themeColor="text1"/>
                <w:kern w:val="0"/>
                <w:sz w:val="21"/>
                <w:lang w:val="en-US" w:eastAsia="zh-CN"/>
                <w14:textFill>
                  <w14:solidFill>
                    <w14:schemeClr w14:val="tx1"/>
                  </w14:solidFill>
                </w14:textFill>
              </w:rPr>
              <w:t>临时防渗旱厕，定期清掏</w:t>
            </w:r>
          </w:p>
        </w:tc>
        <w:tc>
          <w:tcPr>
            <w:tcW w:w="951" w:type="pct"/>
            <w:vMerge w:val="continue"/>
            <w:vAlign w:val="center"/>
          </w:tcPr>
          <w:p w14:paraId="60C0C979">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restart"/>
            <w:vAlign w:val="center"/>
          </w:tcPr>
          <w:p w14:paraId="5EFE0225">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对于污水收集设施进行认真检查</w:t>
            </w:r>
          </w:p>
        </w:tc>
      </w:tr>
      <w:tr w14:paraId="74B85E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697" w:type="pct"/>
            <w:vMerge w:val="continue"/>
            <w:vAlign w:val="center"/>
          </w:tcPr>
          <w:p w14:paraId="47013B14">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1544433D">
            <w:pPr>
              <w:adjustRightInd/>
              <w:snapToGrid/>
              <w:spacing w:line="240" w:lineRule="auto"/>
              <w:ind w:firstLine="0" w:firstLineChars="0"/>
              <w:rPr>
                <w:snapToGrid w:val="0"/>
                <w:color w:val="000000" w:themeColor="text1"/>
                <w:kern w:val="0"/>
                <w:sz w:val="21"/>
                <w:lang w:val="zh-CN"/>
                <w14:textFill>
                  <w14:solidFill>
                    <w14:schemeClr w14:val="tx1"/>
                  </w14:solidFill>
                </w14:textFill>
              </w:rPr>
            </w:pPr>
            <w:r>
              <w:rPr>
                <w:rFonts w:hint="eastAsia"/>
                <w:snapToGrid w:val="0"/>
                <w:color w:val="000000" w:themeColor="text1"/>
                <w:kern w:val="0"/>
                <w:sz w:val="21"/>
                <w:lang w:val="zh-CN"/>
                <w14:textFill>
                  <w14:solidFill>
                    <w14:schemeClr w14:val="tx1"/>
                  </w14:solidFill>
                </w14:textFill>
              </w:rPr>
              <w:t>施工现场设置临时沉淀池，</w:t>
            </w:r>
            <w:r>
              <w:rPr>
                <w:rFonts w:hint="eastAsia"/>
                <w:snapToGrid w:val="0"/>
                <w:color w:val="000000" w:themeColor="text1"/>
                <w:kern w:val="0"/>
                <w:sz w:val="21"/>
                <w14:textFill>
                  <w14:solidFill>
                    <w14:schemeClr w14:val="tx1"/>
                  </w14:solidFill>
                </w14:textFill>
              </w:rPr>
              <w:t>施工废水经沉淀后上清液用于施工场地和道路洒水降尘</w:t>
            </w:r>
          </w:p>
        </w:tc>
        <w:tc>
          <w:tcPr>
            <w:tcW w:w="951" w:type="pct"/>
            <w:vMerge w:val="continue"/>
            <w:vAlign w:val="center"/>
          </w:tcPr>
          <w:p w14:paraId="76D42DE2">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44F1362E">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18382D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697" w:type="pct"/>
            <w:vMerge w:val="continue"/>
            <w:vAlign w:val="center"/>
          </w:tcPr>
          <w:p w14:paraId="601F5AC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2218" w:type="pct"/>
            <w:vAlign w:val="center"/>
          </w:tcPr>
          <w:p w14:paraId="2DE98D3C">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避免在雨</w:t>
            </w:r>
            <w:r>
              <w:rPr>
                <w:rFonts w:hint="eastAsia"/>
                <w:snapToGrid w:val="0"/>
                <w:color w:val="000000" w:themeColor="text1"/>
                <w:kern w:val="0"/>
                <w:sz w:val="21"/>
                <w:lang w:val="zh-CN"/>
                <w14:textFill>
                  <w14:solidFill>
                    <w14:schemeClr w14:val="tx1"/>
                  </w14:solidFill>
                </w14:textFill>
              </w:rPr>
              <w:t>天</w:t>
            </w:r>
            <w:r>
              <w:rPr>
                <w:snapToGrid w:val="0"/>
                <w:color w:val="000000" w:themeColor="text1"/>
                <w:kern w:val="0"/>
                <w:sz w:val="21"/>
                <w:lang w:val="zh-CN" w:eastAsia="zh-CN"/>
                <w14:textFill>
                  <w14:solidFill>
                    <w14:schemeClr w14:val="tx1"/>
                  </w14:solidFill>
                </w14:textFill>
              </w:rPr>
              <w:t>进行基础开挖施工</w:t>
            </w:r>
          </w:p>
        </w:tc>
        <w:tc>
          <w:tcPr>
            <w:tcW w:w="951" w:type="pct"/>
            <w:vMerge w:val="continue"/>
            <w:vAlign w:val="center"/>
          </w:tcPr>
          <w:p w14:paraId="73DBF89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Merge w:val="continue"/>
            <w:vAlign w:val="center"/>
          </w:tcPr>
          <w:p w14:paraId="58DC5866">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p>
        </w:tc>
      </w:tr>
      <w:tr w14:paraId="5A5E46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697" w:type="pct"/>
            <w:vAlign w:val="center"/>
          </w:tcPr>
          <w:p w14:paraId="3E243591">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建筑及生活垃圾</w:t>
            </w:r>
          </w:p>
        </w:tc>
        <w:tc>
          <w:tcPr>
            <w:tcW w:w="2218" w:type="pct"/>
            <w:vAlign w:val="center"/>
          </w:tcPr>
          <w:p w14:paraId="0E27D538">
            <w:pPr>
              <w:adjustRightInd/>
              <w:snapToGrid/>
              <w:spacing w:line="240" w:lineRule="auto"/>
              <w:ind w:firstLine="0" w:firstLineChars="0"/>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建筑垃圾及多余弃土及时用于场地平整，及时压实</w:t>
            </w:r>
          </w:p>
        </w:tc>
        <w:tc>
          <w:tcPr>
            <w:tcW w:w="951" w:type="pct"/>
            <w:vMerge w:val="continue"/>
            <w:vAlign w:val="center"/>
          </w:tcPr>
          <w:p w14:paraId="292B7B2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p>
        </w:tc>
        <w:tc>
          <w:tcPr>
            <w:tcW w:w="1134" w:type="pct"/>
            <w:vAlign w:val="center"/>
          </w:tcPr>
          <w:p w14:paraId="041FFDF5">
            <w:pPr>
              <w:adjustRightInd/>
              <w:snapToGrid/>
              <w:spacing w:line="240" w:lineRule="auto"/>
              <w:ind w:firstLine="0" w:firstLineChars="0"/>
              <w:jc w:val="center"/>
              <w:rPr>
                <w:snapToGrid w:val="0"/>
                <w:color w:val="000000" w:themeColor="text1"/>
                <w:kern w:val="0"/>
                <w:sz w:val="21"/>
                <w:lang w:val="zh-CN" w:eastAsia="zh-CN"/>
                <w14:textFill>
                  <w14:solidFill>
                    <w14:schemeClr w14:val="tx1"/>
                  </w14:solidFill>
                </w14:textFill>
              </w:rPr>
            </w:pPr>
            <w:r>
              <w:rPr>
                <w:snapToGrid w:val="0"/>
                <w:color w:val="000000" w:themeColor="text1"/>
                <w:kern w:val="0"/>
                <w:sz w:val="21"/>
                <w:lang w:val="zh-CN" w:eastAsia="zh-CN"/>
                <w14:textFill>
                  <w14:solidFill>
                    <w14:schemeClr w14:val="tx1"/>
                  </w14:solidFill>
                </w14:textFill>
              </w:rPr>
              <w:t>不外排</w:t>
            </w:r>
          </w:p>
        </w:tc>
      </w:tr>
    </w:tbl>
    <w:p w14:paraId="6DBE5DFC">
      <w:pPr>
        <w:pStyle w:val="6"/>
        <w:rPr>
          <w:snapToGrid w:val="0"/>
          <w:color w:val="000000" w:themeColor="text1"/>
          <w14:textFill>
            <w14:solidFill>
              <w14:schemeClr w14:val="tx1"/>
            </w14:solidFill>
          </w14:textFill>
        </w:rPr>
      </w:pPr>
      <w:bookmarkStart w:id="409" w:name="_Toc19450"/>
      <w:bookmarkStart w:id="410" w:name="_Toc455043910"/>
      <w:bookmarkStart w:id="411" w:name="_Toc456590418"/>
      <w:bookmarkStart w:id="412" w:name="_Toc342462534"/>
      <w:r>
        <w:rPr>
          <w:snapToGrid w:val="0"/>
          <w:color w:val="000000" w:themeColor="text1"/>
          <w14:textFill>
            <w14:solidFill>
              <w14:schemeClr w14:val="tx1"/>
            </w14:solidFill>
          </w14:textFill>
        </w:rPr>
        <w:t>8.1.4运营期环境管理计划</w:t>
      </w:r>
      <w:bookmarkEnd w:id="409"/>
    </w:p>
    <w:p w14:paraId="7F58977E">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（1）环保管理机构应对</w:t>
      </w:r>
      <w:r>
        <w:rPr>
          <w:rFonts w:hint="eastAsia"/>
          <w:snapToGrid w:val="0"/>
          <w:color w:val="000000" w:themeColor="text1"/>
          <w:kern w:val="0"/>
          <w14:textFill>
            <w14:solidFill>
              <w14:schemeClr w14:val="tx1"/>
            </w14:solidFill>
          </w14:textFill>
        </w:rPr>
        <w:t>场</w:t>
      </w:r>
      <w:r>
        <w:rPr>
          <w:snapToGrid w:val="0"/>
          <w:color w:val="000000" w:themeColor="text1"/>
          <w:kern w:val="0"/>
          <w14:textFill>
            <w14:solidFill>
              <w14:schemeClr w14:val="tx1"/>
            </w14:solidFill>
          </w14:textFill>
        </w:rPr>
        <w:t>内环保实行统一管理，并对厂区的环境质量全面进行监测。</w:t>
      </w:r>
    </w:p>
    <w:p w14:paraId="04B8BA48">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（2）环保管理机构应做好日常环保设施与生产主体设备的统一管理，加强维护、定期检查，确保污染治理设施与主体设备正常运行。当治理设施发生故障时，应启动应急预案，防止污染事故的发生。</w:t>
      </w:r>
    </w:p>
    <w:p w14:paraId="3DCF1939">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（3）定期对污水处理</w:t>
      </w:r>
      <w:r>
        <w:rPr>
          <w:rFonts w:hint="eastAsia"/>
          <w:snapToGrid w:val="0"/>
          <w:color w:val="000000" w:themeColor="text1"/>
          <w:kern w:val="0"/>
          <w14:textFill>
            <w14:solidFill>
              <w14:schemeClr w14:val="tx1"/>
            </w14:solidFill>
          </w14:textFill>
        </w:rPr>
        <w:t>站</w:t>
      </w:r>
      <w:r>
        <w:rPr>
          <w:snapToGrid w:val="0"/>
          <w:color w:val="000000" w:themeColor="text1"/>
          <w:kern w:val="0"/>
          <w14:textFill>
            <w14:solidFill>
              <w14:schemeClr w14:val="tx1"/>
            </w14:solidFill>
          </w14:textFill>
        </w:rPr>
        <w:t>的环保工作情况进行考核，制定考核与奖惩的具体办法，将环保考核纳入生产考核的主要部分。</w:t>
      </w:r>
    </w:p>
    <w:p w14:paraId="4D077AF8">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（4）对主要污染源进行定期监测，建立污染源档案。发现污染物非正常排放时，应分析原因，并及时采取相应措施，以控制污染，使污染物满足达标排放要求。</w:t>
      </w:r>
    </w:p>
    <w:p w14:paraId="692D64A1">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（5）接受环保部门的检查、指导，参加有关会议及经验交流活动。</w:t>
      </w:r>
    </w:p>
    <w:p w14:paraId="2DDB7BF9">
      <w:pPr>
        <w:pStyle w:val="206"/>
        <w:rPr>
          <w:color w:val="000000" w:themeColor="text1"/>
          <w14:textFill>
            <w14:solidFill>
              <w14:schemeClr w14:val="tx1"/>
            </w14:solidFill>
          </w14:textFill>
        </w:rPr>
      </w:pPr>
    </w:p>
    <w:p w14:paraId="3F0566A3">
      <w:pPr>
        <w:adjustRightInd/>
        <w:snapToGrid/>
        <w:spacing w:line="500" w:lineRule="exact"/>
        <w:rPr>
          <w:snapToGrid w:val="0"/>
          <w:color w:val="000000" w:themeColor="text1"/>
          <w:kern w:val="0"/>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43BB2808">
      <w:pPr>
        <w:pStyle w:val="6"/>
        <w:rPr>
          <w:rFonts w:cs="Times New Roman"/>
          <w:snapToGrid w:val="0"/>
          <w:color w:val="000000" w:themeColor="text1"/>
          <w:szCs w:val="20"/>
          <w:lang w:val="zh-CN" w:eastAsia="zh-CN"/>
          <w14:textFill>
            <w14:solidFill>
              <w14:schemeClr w14:val="tx1"/>
            </w14:solidFill>
          </w14:textFill>
        </w:rPr>
      </w:pPr>
      <w:bookmarkStart w:id="413" w:name="_Toc5118"/>
      <w:r>
        <w:rPr>
          <w:snapToGrid w:val="0"/>
          <w:color w:val="000000" w:themeColor="text1"/>
          <w14:textFill>
            <w14:solidFill>
              <w14:schemeClr w14:val="tx1"/>
            </w14:solidFill>
          </w14:textFill>
        </w:rPr>
        <w:t>8.1.5污染物排放清单</w:t>
      </w:r>
      <w:bookmarkEnd w:id="413"/>
    </w:p>
    <w:p w14:paraId="3A79B7AD">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本项目污染物排放清单详见表8-1-</w:t>
      </w:r>
      <w:r>
        <w:rPr>
          <w:rFonts w:hint="eastAsia"/>
          <w:snapToGrid w:val="0"/>
          <w:color w:val="000000" w:themeColor="text1"/>
          <w:kern w:val="0"/>
          <w:lang w:val="en-US" w:eastAsia="zh-CN"/>
          <w14:textFill>
            <w14:solidFill>
              <w14:schemeClr w14:val="tx1"/>
            </w14:solidFill>
          </w14:textFill>
        </w:rPr>
        <w:t>2</w:t>
      </w:r>
      <w:r>
        <w:rPr>
          <w:snapToGrid w:val="0"/>
          <w:color w:val="000000" w:themeColor="text1"/>
          <w:kern w:val="0"/>
          <w14:textFill>
            <w14:solidFill>
              <w14:schemeClr w14:val="tx1"/>
            </w14:solidFill>
          </w14:textFill>
        </w:rPr>
        <w:t>。</w:t>
      </w:r>
    </w:p>
    <w:p w14:paraId="73A699BB">
      <w:pPr>
        <w:spacing w:line="500" w:lineRule="exact"/>
        <w:ind w:firstLine="0" w:firstLineChars="0"/>
        <w:jc w:val="center"/>
        <w:rPr>
          <w:rFonts w:eastAsia="黑体"/>
          <w:snapToGrid w:val="0"/>
          <w:color w:val="000000" w:themeColor="text1"/>
          <w:kern w:val="0"/>
          <w:highlight w:val="none"/>
          <w:lang w:val="zh-CN" w:eastAsia="zh-CN"/>
          <w14:textFill>
            <w14:solidFill>
              <w14:schemeClr w14:val="tx1"/>
            </w14:solidFill>
          </w14:textFill>
        </w:rPr>
      </w:pPr>
      <w:bookmarkStart w:id="414" w:name="_Hlk480431254"/>
      <w:r>
        <w:rPr>
          <w:rFonts w:eastAsia="黑体"/>
          <w:snapToGrid w:val="0"/>
          <w:color w:val="000000" w:themeColor="text1"/>
          <w:kern w:val="0"/>
          <w:highlight w:val="none"/>
          <w:lang w:val="zh-CN" w:eastAsia="zh-CN"/>
          <w14:textFill>
            <w14:solidFill>
              <w14:schemeClr w14:val="tx1"/>
            </w14:solidFill>
          </w14:textFill>
        </w:rPr>
        <w:t>表8-1-</w:t>
      </w:r>
      <w:r>
        <w:rPr>
          <w:rFonts w:hint="eastAsia" w:eastAsia="黑体"/>
          <w:snapToGrid w:val="0"/>
          <w:color w:val="000000" w:themeColor="text1"/>
          <w:kern w:val="0"/>
          <w:highlight w:val="none"/>
          <w:lang w:val="en-US" w:eastAsia="zh-CN"/>
          <w14:textFill>
            <w14:solidFill>
              <w14:schemeClr w14:val="tx1"/>
            </w14:solidFill>
          </w14:textFill>
        </w:rPr>
        <w:t>2</w:t>
      </w:r>
      <w:r>
        <w:rPr>
          <w:rFonts w:eastAsia="黑体"/>
          <w:snapToGrid w:val="0"/>
          <w:color w:val="000000" w:themeColor="text1"/>
          <w:kern w:val="0"/>
          <w:highlight w:val="none"/>
          <w:lang w:val="zh-CN" w:eastAsia="zh-CN"/>
          <w14:textFill>
            <w14:solidFill>
              <w14:schemeClr w14:val="tx1"/>
            </w14:solidFill>
          </w14:textFill>
        </w:rPr>
        <w:t>污染物排放</w:t>
      </w:r>
      <w:r>
        <w:rPr>
          <w:rFonts w:hint="eastAsia" w:eastAsia="黑体"/>
          <w:snapToGrid w:val="0"/>
          <w:color w:val="000000" w:themeColor="text1"/>
          <w:kern w:val="0"/>
          <w:highlight w:val="none"/>
          <w:lang w:val="zh-CN"/>
          <w14:textFill>
            <w14:solidFill>
              <w14:schemeClr w14:val="tx1"/>
            </w14:solidFill>
          </w14:textFill>
        </w:rPr>
        <w:t>清单</w:t>
      </w:r>
      <w:r>
        <w:rPr>
          <w:rFonts w:eastAsia="黑体"/>
          <w:snapToGrid w:val="0"/>
          <w:color w:val="000000" w:themeColor="text1"/>
          <w:kern w:val="0"/>
          <w:highlight w:val="none"/>
          <w:lang w:val="zh-CN" w:eastAsia="zh-CN"/>
          <w14:textFill>
            <w14:solidFill>
              <w14:schemeClr w14:val="tx1"/>
            </w14:solidFill>
          </w14:textFill>
        </w:rPr>
        <w:t>一览表</w:t>
      </w:r>
    </w:p>
    <w:tbl>
      <w:tblPr>
        <w:tblStyle w:val="38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49"/>
        <w:gridCol w:w="835"/>
        <w:gridCol w:w="1112"/>
        <w:gridCol w:w="4605"/>
        <w:gridCol w:w="1452"/>
        <w:gridCol w:w="1377"/>
        <w:gridCol w:w="3728"/>
      </w:tblGrid>
      <w:tr w14:paraId="7F575B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Align w:val="center"/>
          </w:tcPr>
          <w:p w14:paraId="596499B6">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环境要素</w:t>
            </w:r>
          </w:p>
        </w:tc>
        <w:tc>
          <w:tcPr>
            <w:tcW w:w="697" w:type="pct"/>
            <w:gridSpan w:val="2"/>
            <w:vAlign w:val="center"/>
          </w:tcPr>
          <w:p w14:paraId="0369C1D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管理项目</w:t>
            </w:r>
          </w:p>
        </w:tc>
        <w:tc>
          <w:tcPr>
            <w:tcW w:w="1649" w:type="pct"/>
            <w:vAlign w:val="center"/>
          </w:tcPr>
          <w:p w14:paraId="0B3E566F">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污染防治措施</w:t>
            </w:r>
          </w:p>
        </w:tc>
        <w:tc>
          <w:tcPr>
            <w:tcW w:w="520" w:type="pct"/>
            <w:vAlign w:val="center"/>
          </w:tcPr>
          <w:p w14:paraId="7186A76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排放浓度</w:t>
            </w:r>
            <w:r>
              <w:rPr>
                <w:rFonts w:hint="eastAsia"/>
                <w:snapToGrid w:val="0"/>
                <w:color w:val="000000" w:themeColor="text1"/>
                <w:kern w:val="0"/>
                <w:lang w:eastAsia="zh-CN"/>
                <w14:textFill>
                  <w14:solidFill>
                    <w14:schemeClr w14:val="tx1"/>
                  </w14:solidFill>
                </w14:textFill>
              </w:rPr>
              <w:t>mg</w:t>
            </w:r>
            <w:r>
              <w:rPr>
                <w:snapToGrid w:val="0"/>
                <w:color w:val="000000" w:themeColor="text1"/>
                <w:kern w:val="0"/>
                <w14:textFill>
                  <w14:solidFill>
                    <w14:schemeClr w14:val="tx1"/>
                  </w14:solidFill>
                </w14:textFill>
              </w:rPr>
              <w:t>/L</w:t>
            </w:r>
          </w:p>
        </w:tc>
        <w:tc>
          <w:tcPr>
            <w:tcW w:w="493" w:type="pct"/>
            <w:vAlign w:val="center"/>
          </w:tcPr>
          <w:p w14:paraId="55D20F4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排放量</w:t>
            </w:r>
            <w:r>
              <w:rPr>
                <w:rFonts w:hint="eastAsia"/>
                <w:snapToGrid w:val="0"/>
                <w:color w:val="000000" w:themeColor="text1"/>
                <w:kern w:val="0"/>
                <w:lang w:eastAsia="zh-CN"/>
                <w14:textFill>
                  <w14:solidFill>
                    <w14:schemeClr w14:val="tx1"/>
                  </w14:solidFill>
                </w14:textFill>
              </w:rPr>
              <w:t>t/a</w:t>
            </w:r>
          </w:p>
        </w:tc>
        <w:tc>
          <w:tcPr>
            <w:tcW w:w="1335" w:type="pct"/>
            <w:vAlign w:val="center"/>
          </w:tcPr>
          <w:p w14:paraId="76A0512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执行标准</w:t>
            </w:r>
          </w:p>
        </w:tc>
      </w:tr>
      <w:bookmarkEnd w:id="414"/>
      <w:tr w14:paraId="54F65B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restart"/>
            <w:vAlign w:val="center"/>
          </w:tcPr>
          <w:p w14:paraId="5566DEE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地表水环境</w:t>
            </w:r>
          </w:p>
        </w:tc>
        <w:tc>
          <w:tcPr>
            <w:tcW w:w="299" w:type="pct"/>
            <w:vMerge w:val="restart"/>
            <w:vAlign w:val="center"/>
          </w:tcPr>
          <w:p w14:paraId="66818F17">
            <w:pPr>
              <w:pStyle w:val="143"/>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综合废水</w:t>
            </w:r>
          </w:p>
        </w:tc>
        <w:tc>
          <w:tcPr>
            <w:tcW w:w="398" w:type="pct"/>
            <w:vAlign w:val="center"/>
          </w:tcPr>
          <w:p w14:paraId="135B6363">
            <w:pPr>
              <w:pStyle w:val="143"/>
              <w:ind w:firstLine="0" w:firstLineChars="0"/>
              <w:rPr>
                <w:rFonts w:hint="eastAsia"/>
                <w:snapToGrid w:val="0"/>
                <w:color w:val="000000" w:themeColor="text1"/>
                <w:kern w:val="0"/>
                <w:lang w:val="en-US"/>
                <w14:textFill>
                  <w14:solidFill>
                    <w14:schemeClr w14:val="tx1"/>
                  </w14:solidFill>
                </w14:textFill>
              </w:rPr>
            </w:pPr>
            <w:r>
              <w:rPr>
                <w:snapToGrid w:val="0"/>
                <w:color w:val="000000" w:themeColor="text1"/>
                <w14:textFill>
                  <w14:solidFill>
                    <w14:schemeClr w14:val="tx1"/>
                  </w14:solidFill>
                </w14:textFill>
              </w:rPr>
              <w:t>COD</w:t>
            </w:r>
          </w:p>
        </w:tc>
        <w:tc>
          <w:tcPr>
            <w:tcW w:w="1649" w:type="pct"/>
            <w:vMerge w:val="restart"/>
            <w:vAlign w:val="center"/>
          </w:tcPr>
          <w:p w14:paraId="3400945F">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排入企业自建污水处理站处理，</w:t>
            </w:r>
            <w:r>
              <w:rPr>
                <w:rFonts w:hint="eastAsia"/>
                <w:bCs/>
                <w:snapToGrid w:val="0"/>
                <w:color w:val="000000" w:themeColor="text1"/>
                <w:kern w:val="0"/>
                <w:lang w:val="en-US" w:eastAsia="zh-CN"/>
                <w14:textFill>
                  <w14:solidFill>
                    <w14:schemeClr w14:val="tx1"/>
                  </w14:solidFill>
                </w14:textFill>
              </w:rPr>
              <w:t>污水处理</w:t>
            </w:r>
            <w:r>
              <w:rPr>
                <w:bCs/>
                <w:snapToGrid w:val="0"/>
                <w:color w:val="000000" w:themeColor="text1"/>
                <w:kern w:val="0"/>
                <w:lang w:val="en-US" w:eastAsia="zh-CN"/>
                <w14:textFill>
                  <w14:solidFill>
                    <w14:schemeClr w14:val="tx1"/>
                  </w14:solidFill>
                </w14:textFill>
              </w:rPr>
              <w:t>能力</w:t>
            </w:r>
            <w:r>
              <w:rPr>
                <w:rFonts w:hint="eastAsia"/>
                <w:bCs/>
                <w:snapToGrid w:val="0"/>
                <w:color w:val="000000" w:themeColor="text1"/>
                <w:kern w:val="0"/>
                <w:lang w:val="en-US" w:eastAsia="zh-CN"/>
                <w14:textFill>
                  <w14:solidFill>
                    <w14:schemeClr w14:val="tx1"/>
                  </w14:solidFill>
                </w14:textFill>
              </w:rPr>
              <w:t>2</w:t>
            </w:r>
            <w:r>
              <w:rPr>
                <w:bCs/>
                <w:snapToGrid w:val="0"/>
                <w:color w:val="000000" w:themeColor="text1"/>
                <w:kern w:val="0"/>
                <w:lang w:val="en-US" w:eastAsia="zh-CN"/>
                <w14:textFill>
                  <w14:solidFill>
                    <w14:schemeClr w14:val="tx1"/>
                  </w14:solidFill>
                </w14:textFill>
              </w:rPr>
              <w:t>00m</w:t>
            </w:r>
            <w:r>
              <w:rPr>
                <w:bCs/>
                <w:snapToGrid w:val="0"/>
                <w:color w:val="000000" w:themeColor="text1"/>
                <w:kern w:val="0"/>
                <w:vertAlign w:val="superscript"/>
                <w:lang w:val="en-US" w:eastAsia="zh-CN"/>
                <w14:textFill>
                  <w14:solidFill>
                    <w14:schemeClr w14:val="tx1"/>
                  </w14:solidFill>
                </w14:textFill>
              </w:rPr>
              <w:t>3</w:t>
            </w:r>
            <w:r>
              <w:rPr>
                <w:bCs/>
                <w:snapToGrid w:val="0"/>
                <w:color w:val="000000" w:themeColor="text1"/>
                <w:kern w:val="0"/>
                <w:lang w:val="en-US" w:eastAsia="zh-CN"/>
                <w14:textFill>
                  <w14:solidFill>
                    <w14:schemeClr w14:val="tx1"/>
                  </w14:solidFill>
                </w14:textFill>
              </w:rPr>
              <w:t>/d</w:t>
            </w:r>
            <w:r>
              <w:rPr>
                <w:rFonts w:hint="eastAsia"/>
                <w:bCs/>
                <w:snapToGrid w:val="0"/>
                <w:color w:val="000000" w:themeColor="text1"/>
                <w:kern w:val="0"/>
                <w:lang w:val="en-US"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初沉池+调节池+UASB+A/O+二沉池+污泥池</w:t>
            </w:r>
          </w:p>
        </w:tc>
        <w:tc>
          <w:tcPr>
            <w:tcW w:w="520" w:type="pct"/>
            <w:vAlign w:val="center"/>
          </w:tcPr>
          <w:p w14:paraId="0BCC47A6">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125</w:t>
            </w:r>
          </w:p>
        </w:tc>
        <w:tc>
          <w:tcPr>
            <w:tcW w:w="493" w:type="pct"/>
            <w:vAlign w:val="center"/>
          </w:tcPr>
          <w:p w14:paraId="1548DE53">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4.63</w:t>
            </w:r>
          </w:p>
        </w:tc>
        <w:tc>
          <w:tcPr>
            <w:tcW w:w="1335" w:type="pct"/>
            <w:vMerge w:val="restart"/>
            <w:vAlign w:val="center"/>
          </w:tcPr>
          <w:p w14:paraId="2785D984">
            <w:pPr>
              <w:pStyle w:val="143"/>
              <w:jc w:val="both"/>
              <w:rPr>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w:t>
            </w:r>
            <w:r>
              <w:rPr>
                <w:rFonts w:hint="eastAsia"/>
                <w:bCs/>
                <w:snapToGrid w:val="0"/>
                <w:color w:val="000000" w:themeColor="text1"/>
                <w:kern w:val="0"/>
                <w:lang w:val="en-US" w:eastAsia="zh-CN"/>
                <w14:textFill>
                  <w14:solidFill>
                    <w14:schemeClr w14:val="tx1"/>
                  </w14:solidFill>
                </w14:textFill>
              </w:rPr>
              <w:t>酒类制造业水污染物排放标准</w:t>
            </w:r>
            <w:r>
              <w:rPr>
                <w:rFonts w:hint="eastAsia"/>
                <w:bCs/>
                <w:snapToGrid w:val="0"/>
                <w:color w:val="000000" w:themeColor="text1"/>
                <w:kern w:val="0"/>
                <w:lang w:val="en-US"/>
                <w14:textFill>
                  <w14:solidFill>
                    <w14:schemeClr w14:val="tx1"/>
                  </w14:solidFill>
                </w14:textFill>
              </w:rPr>
              <w:t>》（</w:t>
            </w:r>
            <w:r>
              <w:rPr>
                <w:rFonts w:hint="eastAsia"/>
                <w:bCs/>
                <w:snapToGrid w:val="0"/>
                <w:color w:val="000000" w:themeColor="text1"/>
                <w:kern w:val="0"/>
                <w:lang w:val="en-US" w:eastAsia="zh-CN"/>
                <w14:textFill>
                  <w14:solidFill>
                    <w14:schemeClr w14:val="tx1"/>
                  </w14:solidFill>
                </w14:textFill>
              </w:rPr>
              <w:t>GB19821-2025</w:t>
            </w:r>
            <w:r>
              <w:rPr>
                <w:rFonts w:hint="eastAsia"/>
                <w:bCs/>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rFonts w:hint="eastAsia"/>
                <w:bCs/>
                <w:snapToGrid w:val="0"/>
                <w:color w:val="000000" w:themeColor="text1"/>
                <w:kern w:val="0"/>
                <w:lang w:val="en-US" w:eastAsia="zh-CN"/>
                <w14:textFill>
                  <w14:solidFill>
                    <w14:schemeClr w14:val="tx1"/>
                  </w14:solidFill>
                </w14:textFill>
              </w:rPr>
              <w:t>和</w:t>
            </w:r>
            <w:r>
              <w:rPr>
                <w:rFonts w:hint="eastAsia"/>
                <w:snapToGrid w:val="0"/>
                <w:color w:val="000000" w:themeColor="text1"/>
                <w:kern w:val="0"/>
                <w:lang w:val="en-US" w:eastAsia="zh-CN"/>
                <w14:textFill>
                  <w14:solidFill>
                    <w14:schemeClr w14:val="tx1"/>
                  </w14:solidFill>
                </w14:textFill>
              </w:rPr>
              <w:t>桦南县城镇污水处理厂进水指标</w:t>
            </w:r>
          </w:p>
        </w:tc>
      </w:tr>
      <w:tr w14:paraId="7035B7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0A2A6A1C">
            <w:pPr>
              <w:pStyle w:val="143"/>
              <w:rPr>
                <w:snapToGrid w:val="0"/>
                <w:color w:val="000000" w:themeColor="text1"/>
                <w:kern w:val="0"/>
                <w14:textFill>
                  <w14:solidFill>
                    <w14:schemeClr w14:val="tx1"/>
                  </w14:solidFill>
                </w14:textFill>
              </w:rPr>
            </w:pPr>
          </w:p>
        </w:tc>
        <w:tc>
          <w:tcPr>
            <w:tcW w:w="299" w:type="pct"/>
            <w:vMerge w:val="continue"/>
            <w:vAlign w:val="center"/>
          </w:tcPr>
          <w:p w14:paraId="18355EBC">
            <w:pPr>
              <w:pStyle w:val="143"/>
              <w:rPr>
                <w:rFonts w:hint="eastAsia"/>
                <w:snapToGrid w:val="0"/>
                <w:color w:val="000000" w:themeColor="text1"/>
                <w:kern w:val="0"/>
                <w:lang w:val="en-US"/>
                <w14:textFill>
                  <w14:solidFill>
                    <w14:schemeClr w14:val="tx1"/>
                  </w14:solidFill>
                </w14:textFill>
              </w:rPr>
            </w:pPr>
          </w:p>
        </w:tc>
        <w:tc>
          <w:tcPr>
            <w:tcW w:w="398" w:type="pct"/>
            <w:vAlign w:val="center"/>
          </w:tcPr>
          <w:p w14:paraId="52800C5E">
            <w:pPr>
              <w:pStyle w:val="143"/>
              <w:ind w:firstLine="0" w:firstLineChars="0"/>
              <w:rPr>
                <w:rFonts w:hint="eastAsia"/>
                <w:snapToGrid w:val="0"/>
                <w:color w:val="000000" w:themeColor="text1"/>
                <w:kern w:val="0"/>
                <w:lang w:val="en-US"/>
                <w14:textFill>
                  <w14:solidFill>
                    <w14:schemeClr w14:val="tx1"/>
                  </w14:solidFill>
                </w14:textFill>
              </w:rPr>
            </w:pPr>
            <w:r>
              <w:rPr>
                <w:rFonts w:hint="eastAsia"/>
                <w:snapToGrid w:val="0"/>
                <w:color w:val="000000" w:themeColor="text1"/>
                <w:lang w:eastAsia="zh-CN"/>
                <w14:textFill>
                  <w14:solidFill>
                    <w14:schemeClr w14:val="tx1"/>
                  </w14:solidFill>
                </w14:textFill>
              </w:rPr>
              <w:t>B</w:t>
            </w:r>
            <w:r>
              <w:rPr>
                <w:snapToGrid w:val="0"/>
                <w:color w:val="000000" w:themeColor="text1"/>
                <w:lang w:eastAsia="zh-CN"/>
                <w14:textFill>
                  <w14:solidFill>
                    <w14:schemeClr w14:val="tx1"/>
                  </w14:solidFill>
                </w14:textFill>
              </w:rPr>
              <w:t>OD</w:t>
            </w:r>
            <w:r>
              <w:rPr>
                <w:snapToGrid w:val="0"/>
                <w:color w:val="000000" w:themeColor="text1"/>
                <w:vertAlign w:val="subscript"/>
                <w:lang w:eastAsia="zh-CN"/>
                <w14:textFill>
                  <w14:solidFill>
                    <w14:schemeClr w14:val="tx1"/>
                  </w14:solidFill>
                </w14:textFill>
              </w:rPr>
              <w:t>5</w:t>
            </w:r>
          </w:p>
        </w:tc>
        <w:tc>
          <w:tcPr>
            <w:tcW w:w="1649" w:type="pct"/>
            <w:vMerge w:val="continue"/>
            <w:vAlign w:val="center"/>
          </w:tcPr>
          <w:p w14:paraId="15674339">
            <w:pPr>
              <w:pStyle w:val="143"/>
              <w:rPr>
                <w:snapToGrid w:val="0"/>
                <w:color w:val="000000" w:themeColor="text1"/>
                <w:kern w:val="0"/>
                <w14:textFill>
                  <w14:solidFill>
                    <w14:schemeClr w14:val="tx1"/>
                  </w14:solidFill>
                </w14:textFill>
              </w:rPr>
            </w:pPr>
          </w:p>
        </w:tc>
        <w:tc>
          <w:tcPr>
            <w:tcW w:w="520" w:type="pct"/>
            <w:vAlign w:val="center"/>
          </w:tcPr>
          <w:p w14:paraId="3BA9E7B6">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30</w:t>
            </w:r>
          </w:p>
        </w:tc>
        <w:tc>
          <w:tcPr>
            <w:tcW w:w="493" w:type="pct"/>
            <w:vAlign w:val="center"/>
          </w:tcPr>
          <w:p w14:paraId="358AA9B7">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1.11</w:t>
            </w:r>
          </w:p>
        </w:tc>
        <w:tc>
          <w:tcPr>
            <w:tcW w:w="1335" w:type="pct"/>
            <w:vMerge w:val="continue"/>
            <w:vAlign w:val="center"/>
          </w:tcPr>
          <w:p w14:paraId="239D9A50">
            <w:pPr>
              <w:pStyle w:val="143"/>
              <w:rPr>
                <w:snapToGrid w:val="0"/>
                <w:color w:val="000000" w:themeColor="text1"/>
                <w:kern w:val="0"/>
                <w14:textFill>
                  <w14:solidFill>
                    <w14:schemeClr w14:val="tx1"/>
                  </w14:solidFill>
                </w14:textFill>
              </w:rPr>
            </w:pPr>
          </w:p>
        </w:tc>
      </w:tr>
      <w:tr w14:paraId="50AF74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57D9B513">
            <w:pPr>
              <w:pStyle w:val="143"/>
              <w:rPr>
                <w:snapToGrid w:val="0"/>
                <w:color w:val="000000" w:themeColor="text1"/>
                <w:kern w:val="0"/>
                <w14:textFill>
                  <w14:solidFill>
                    <w14:schemeClr w14:val="tx1"/>
                  </w14:solidFill>
                </w14:textFill>
              </w:rPr>
            </w:pPr>
          </w:p>
        </w:tc>
        <w:tc>
          <w:tcPr>
            <w:tcW w:w="299" w:type="pct"/>
            <w:vMerge w:val="continue"/>
            <w:vAlign w:val="center"/>
          </w:tcPr>
          <w:p w14:paraId="56048653">
            <w:pPr>
              <w:pStyle w:val="143"/>
              <w:rPr>
                <w:rFonts w:hint="eastAsia"/>
                <w:snapToGrid w:val="0"/>
                <w:color w:val="000000" w:themeColor="text1"/>
                <w:kern w:val="0"/>
                <w:lang w:val="en-US"/>
                <w14:textFill>
                  <w14:solidFill>
                    <w14:schemeClr w14:val="tx1"/>
                  </w14:solidFill>
                </w14:textFill>
              </w:rPr>
            </w:pPr>
          </w:p>
        </w:tc>
        <w:tc>
          <w:tcPr>
            <w:tcW w:w="398" w:type="pct"/>
            <w:vAlign w:val="center"/>
          </w:tcPr>
          <w:p w14:paraId="06A1F1A0">
            <w:pPr>
              <w:pStyle w:val="143"/>
              <w:ind w:firstLine="0" w:firstLineChars="0"/>
              <w:rPr>
                <w:rFonts w:hint="eastAsia"/>
                <w:snapToGrid w:val="0"/>
                <w:color w:val="000000" w:themeColor="text1"/>
                <w:kern w:val="0"/>
                <w:lang w:val="en-US"/>
                <w14:textFill>
                  <w14:solidFill>
                    <w14:schemeClr w14:val="tx1"/>
                  </w14:solidFill>
                </w14:textFill>
              </w:rPr>
            </w:pPr>
            <w:r>
              <w:rPr>
                <w:rFonts w:hint="eastAsia"/>
                <w:snapToGrid w:val="0"/>
                <w:color w:val="000000" w:themeColor="text1"/>
                <w:lang w:eastAsia="zh-CN"/>
                <w14:textFill>
                  <w14:solidFill>
                    <w14:schemeClr w14:val="tx1"/>
                  </w14:solidFill>
                </w14:textFill>
              </w:rPr>
              <w:t>S</w:t>
            </w:r>
            <w:r>
              <w:rPr>
                <w:snapToGrid w:val="0"/>
                <w:color w:val="000000" w:themeColor="text1"/>
                <w:lang w:eastAsia="zh-CN"/>
                <w14:textFill>
                  <w14:solidFill>
                    <w14:schemeClr w14:val="tx1"/>
                  </w14:solidFill>
                </w14:textFill>
              </w:rPr>
              <w:t>S</w:t>
            </w:r>
          </w:p>
        </w:tc>
        <w:tc>
          <w:tcPr>
            <w:tcW w:w="1649" w:type="pct"/>
            <w:vMerge w:val="continue"/>
            <w:vAlign w:val="center"/>
          </w:tcPr>
          <w:p w14:paraId="0DBF47F1">
            <w:pPr>
              <w:pStyle w:val="143"/>
              <w:rPr>
                <w:snapToGrid w:val="0"/>
                <w:color w:val="000000" w:themeColor="text1"/>
                <w:kern w:val="0"/>
                <w14:textFill>
                  <w14:solidFill>
                    <w14:schemeClr w14:val="tx1"/>
                  </w14:solidFill>
                </w14:textFill>
              </w:rPr>
            </w:pPr>
          </w:p>
        </w:tc>
        <w:tc>
          <w:tcPr>
            <w:tcW w:w="520" w:type="pct"/>
            <w:vAlign w:val="center"/>
          </w:tcPr>
          <w:p w14:paraId="527C1647">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21</w:t>
            </w:r>
          </w:p>
        </w:tc>
        <w:tc>
          <w:tcPr>
            <w:tcW w:w="493" w:type="pct"/>
            <w:vAlign w:val="center"/>
          </w:tcPr>
          <w:p w14:paraId="7E37A098">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0.78</w:t>
            </w:r>
          </w:p>
        </w:tc>
        <w:tc>
          <w:tcPr>
            <w:tcW w:w="1335" w:type="pct"/>
            <w:vMerge w:val="continue"/>
            <w:vAlign w:val="center"/>
          </w:tcPr>
          <w:p w14:paraId="3718E254">
            <w:pPr>
              <w:pStyle w:val="143"/>
              <w:rPr>
                <w:snapToGrid w:val="0"/>
                <w:color w:val="000000" w:themeColor="text1"/>
                <w:kern w:val="0"/>
                <w14:textFill>
                  <w14:solidFill>
                    <w14:schemeClr w14:val="tx1"/>
                  </w14:solidFill>
                </w14:textFill>
              </w:rPr>
            </w:pPr>
          </w:p>
        </w:tc>
      </w:tr>
      <w:tr w14:paraId="7986E9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761FBBF9">
            <w:pPr>
              <w:pStyle w:val="143"/>
              <w:rPr>
                <w:snapToGrid w:val="0"/>
                <w:color w:val="000000" w:themeColor="text1"/>
                <w:kern w:val="0"/>
                <w14:textFill>
                  <w14:solidFill>
                    <w14:schemeClr w14:val="tx1"/>
                  </w14:solidFill>
                </w14:textFill>
              </w:rPr>
            </w:pPr>
          </w:p>
        </w:tc>
        <w:tc>
          <w:tcPr>
            <w:tcW w:w="299" w:type="pct"/>
            <w:vMerge w:val="continue"/>
            <w:vAlign w:val="center"/>
          </w:tcPr>
          <w:p w14:paraId="3A7B3CD0">
            <w:pPr>
              <w:pStyle w:val="143"/>
              <w:rPr>
                <w:rFonts w:hint="eastAsia"/>
                <w:snapToGrid w:val="0"/>
                <w:color w:val="000000" w:themeColor="text1"/>
                <w:kern w:val="0"/>
                <w:lang w:val="en-US"/>
                <w14:textFill>
                  <w14:solidFill>
                    <w14:schemeClr w14:val="tx1"/>
                  </w14:solidFill>
                </w14:textFill>
              </w:rPr>
            </w:pPr>
          </w:p>
        </w:tc>
        <w:tc>
          <w:tcPr>
            <w:tcW w:w="398" w:type="pct"/>
            <w:vAlign w:val="center"/>
          </w:tcPr>
          <w:p w14:paraId="24D8CD0F">
            <w:pPr>
              <w:pStyle w:val="143"/>
              <w:ind w:firstLine="0" w:firstLineChars="0"/>
              <w:rPr>
                <w:rFonts w:hint="eastAsia"/>
                <w:snapToGrid w:val="0"/>
                <w:color w:val="000000" w:themeColor="text1"/>
                <w:kern w:val="0"/>
                <w:lang w:val="en-US"/>
                <w14:textFill>
                  <w14:solidFill>
                    <w14:schemeClr w14:val="tx1"/>
                  </w14:solidFill>
                </w14:textFill>
              </w:rPr>
            </w:pPr>
            <w:r>
              <w:rPr>
                <w:snapToGrid w:val="0"/>
                <w:color w:val="000000" w:themeColor="text1"/>
                <w:lang w:val="en-US" w:eastAsia="zh-CN"/>
                <w14:textFill>
                  <w14:solidFill>
                    <w14:schemeClr w14:val="tx1"/>
                  </w14:solidFill>
                </w14:textFill>
              </w:rPr>
              <w:t>NH</w:t>
            </w:r>
            <w:r>
              <w:rPr>
                <w:snapToGrid w:val="0"/>
                <w:color w:val="000000" w:themeColor="text1"/>
                <w:vertAlign w:val="subscript"/>
                <w:lang w:val="en-US" w:eastAsia="zh-CN"/>
                <w14:textFill>
                  <w14:solidFill>
                    <w14:schemeClr w14:val="tx1"/>
                  </w14:solidFill>
                </w14:textFill>
              </w:rPr>
              <w:t>3</w:t>
            </w:r>
            <w:r>
              <w:rPr>
                <w:snapToGrid w:val="0"/>
                <w:color w:val="000000" w:themeColor="text1"/>
                <w:lang w:val="en-US" w:eastAsia="zh-CN"/>
                <w14:textFill>
                  <w14:solidFill>
                    <w14:schemeClr w14:val="tx1"/>
                  </w14:solidFill>
                </w14:textFill>
              </w:rPr>
              <w:t>-N</w:t>
            </w:r>
          </w:p>
        </w:tc>
        <w:tc>
          <w:tcPr>
            <w:tcW w:w="1649" w:type="pct"/>
            <w:vMerge w:val="continue"/>
            <w:vAlign w:val="center"/>
          </w:tcPr>
          <w:p w14:paraId="2C3F7598">
            <w:pPr>
              <w:pStyle w:val="143"/>
              <w:rPr>
                <w:snapToGrid w:val="0"/>
                <w:color w:val="000000" w:themeColor="text1"/>
                <w:kern w:val="0"/>
                <w14:textFill>
                  <w14:solidFill>
                    <w14:schemeClr w14:val="tx1"/>
                  </w14:solidFill>
                </w14:textFill>
              </w:rPr>
            </w:pPr>
          </w:p>
        </w:tc>
        <w:tc>
          <w:tcPr>
            <w:tcW w:w="520" w:type="pct"/>
            <w:vAlign w:val="center"/>
          </w:tcPr>
          <w:p w14:paraId="17417BE4">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13.5</w:t>
            </w:r>
          </w:p>
        </w:tc>
        <w:tc>
          <w:tcPr>
            <w:tcW w:w="493" w:type="pct"/>
            <w:vAlign w:val="center"/>
          </w:tcPr>
          <w:p w14:paraId="198F0417">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0.50</w:t>
            </w:r>
          </w:p>
        </w:tc>
        <w:tc>
          <w:tcPr>
            <w:tcW w:w="1335" w:type="pct"/>
            <w:vMerge w:val="continue"/>
            <w:vAlign w:val="center"/>
          </w:tcPr>
          <w:p w14:paraId="1E9C9EDB">
            <w:pPr>
              <w:pStyle w:val="143"/>
              <w:rPr>
                <w:snapToGrid w:val="0"/>
                <w:color w:val="000000" w:themeColor="text1"/>
                <w:kern w:val="0"/>
                <w14:textFill>
                  <w14:solidFill>
                    <w14:schemeClr w14:val="tx1"/>
                  </w14:solidFill>
                </w14:textFill>
              </w:rPr>
            </w:pPr>
          </w:p>
        </w:tc>
      </w:tr>
      <w:tr w14:paraId="6B8F6A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47B44CC9">
            <w:pPr>
              <w:pStyle w:val="143"/>
              <w:rPr>
                <w:snapToGrid w:val="0"/>
                <w:color w:val="000000" w:themeColor="text1"/>
                <w:kern w:val="0"/>
                <w14:textFill>
                  <w14:solidFill>
                    <w14:schemeClr w14:val="tx1"/>
                  </w14:solidFill>
                </w14:textFill>
              </w:rPr>
            </w:pPr>
          </w:p>
        </w:tc>
        <w:tc>
          <w:tcPr>
            <w:tcW w:w="299" w:type="pct"/>
            <w:vMerge w:val="continue"/>
            <w:vAlign w:val="center"/>
          </w:tcPr>
          <w:p w14:paraId="6AF2A258">
            <w:pPr>
              <w:pStyle w:val="143"/>
              <w:rPr>
                <w:rFonts w:hint="eastAsia"/>
                <w:snapToGrid w:val="0"/>
                <w:color w:val="000000" w:themeColor="text1"/>
                <w:kern w:val="0"/>
                <w:lang w:val="en-US"/>
                <w14:textFill>
                  <w14:solidFill>
                    <w14:schemeClr w14:val="tx1"/>
                  </w14:solidFill>
                </w14:textFill>
              </w:rPr>
            </w:pPr>
          </w:p>
        </w:tc>
        <w:tc>
          <w:tcPr>
            <w:tcW w:w="398" w:type="pct"/>
            <w:vAlign w:val="center"/>
          </w:tcPr>
          <w:p w14:paraId="794AF650">
            <w:pPr>
              <w:pStyle w:val="143"/>
              <w:ind w:firstLine="0" w:firstLineChars="0"/>
              <w:rPr>
                <w:rFonts w:hint="eastAsia"/>
                <w:snapToGrid w:val="0"/>
                <w:color w:val="000000" w:themeColor="text1"/>
                <w:kern w:val="0"/>
                <w:lang w:val="en-US"/>
                <w14:textFill>
                  <w14:solidFill>
                    <w14:schemeClr w14:val="tx1"/>
                  </w14:solidFill>
                </w14:textFill>
              </w:rPr>
            </w:pPr>
            <w:r>
              <w:rPr>
                <w:rFonts w:hint="eastAsia"/>
                <w:snapToGrid w:val="0"/>
                <w:color w:val="000000" w:themeColor="text1"/>
                <w14:textFill>
                  <w14:solidFill>
                    <w14:schemeClr w14:val="tx1"/>
                  </w14:solidFill>
                </w14:textFill>
              </w:rPr>
              <w:t>T</w:t>
            </w:r>
            <w:r>
              <w:rPr>
                <w:snapToGrid w:val="0"/>
                <w:color w:val="000000" w:themeColor="text1"/>
                <w14:textFill>
                  <w14:solidFill>
                    <w14:schemeClr w14:val="tx1"/>
                  </w14:solidFill>
                </w14:textFill>
              </w:rPr>
              <w:t>P</w:t>
            </w:r>
          </w:p>
        </w:tc>
        <w:tc>
          <w:tcPr>
            <w:tcW w:w="1649" w:type="pct"/>
            <w:vMerge w:val="continue"/>
            <w:vAlign w:val="center"/>
          </w:tcPr>
          <w:p w14:paraId="4BD84E14">
            <w:pPr>
              <w:pStyle w:val="143"/>
              <w:rPr>
                <w:snapToGrid w:val="0"/>
                <w:color w:val="000000" w:themeColor="text1"/>
                <w:kern w:val="0"/>
                <w14:textFill>
                  <w14:solidFill>
                    <w14:schemeClr w14:val="tx1"/>
                  </w14:solidFill>
                </w14:textFill>
              </w:rPr>
            </w:pPr>
          </w:p>
        </w:tc>
        <w:tc>
          <w:tcPr>
            <w:tcW w:w="520" w:type="pct"/>
            <w:vAlign w:val="center"/>
          </w:tcPr>
          <w:p w14:paraId="46D9522D">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2.5</w:t>
            </w:r>
          </w:p>
        </w:tc>
        <w:tc>
          <w:tcPr>
            <w:tcW w:w="493" w:type="pct"/>
            <w:vAlign w:val="center"/>
          </w:tcPr>
          <w:p w14:paraId="44382836">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0.09</w:t>
            </w:r>
          </w:p>
        </w:tc>
        <w:tc>
          <w:tcPr>
            <w:tcW w:w="1335" w:type="pct"/>
            <w:vMerge w:val="continue"/>
            <w:vAlign w:val="center"/>
          </w:tcPr>
          <w:p w14:paraId="396B7C61">
            <w:pPr>
              <w:pStyle w:val="143"/>
              <w:rPr>
                <w:snapToGrid w:val="0"/>
                <w:color w:val="000000" w:themeColor="text1"/>
                <w:kern w:val="0"/>
                <w14:textFill>
                  <w14:solidFill>
                    <w14:schemeClr w14:val="tx1"/>
                  </w14:solidFill>
                </w14:textFill>
              </w:rPr>
            </w:pPr>
          </w:p>
        </w:tc>
      </w:tr>
      <w:tr w14:paraId="07FF6C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14D6450F">
            <w:pPr>
              <w:pStyle w:val="143"/>
              <w:rPr>
                <w:snapToGrid w:val="0"/>
                <w:color w:val="000000" w:themeColor="text1"/>
                <w:kern w:val="0"/>
                <w14:textFill>
                  <w14:solidFill>
                    <w14:schemeClr w14:val="tx1"/>
                  </w14:solidFill>
                </w14:textFill>
              </w:rPr>
            </w:pPr>
          </w:p>
        </w:tc>
        <w:tc>
          <w:tcPr>
            <w:tcW w:w="299" w:type="pct"/>
            <w:vMerge w:val="continue"/>
            <w:vAlign w:val="center"/>
          </w:tcPr>
          <w:p w14:paraId="18A627C0">
            <w:pPr>
              <w:pStyle w:val="143"/>
              <w:rPr>
                <w:rFonts w:hint="eastAsia"/>
                <w:snapToGrid w:val="0"/>
                <w:color w:val="000000" w:themeColor="text1"/>
                <w:kern w:val="0"/>
                <w:lang w:val="en-US"/>
                <w14:textFill>
                  <w14:solidFill>
                    <w14:schemeClr w14:val="tx1"/>
                  </w14:solidFill>
                </w14:textFill>
              </w:rPr>
            </w:pPr>
          </w:p>
        </w:tc>
        <w:tc>
          <w:tcPr>
            <w:tcW w:w="398" w:type="pct"/>
            <w:vAlign w:val="center"/>
          </w:tcPr>
          <w:p w14:paraId="55A36635">
            <w:pPr>
              <w:pStyle w:val="143"/>
              <w:ind w:firstLine="0" w:firstLineChars="0"/>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TN</w:t>
            </w:r>
          </w:p>
        </w:tc>
        <w:tc>
          <w:tcPr>
            <w:tcW w:w="1649" w:type="pct"/>
            <w:vMerge w:val="continue"/>
            <w:vAlign w:val="center"/>
          </w:tcPr>
          <w:p w14:paraId="59A5600E">
            <w:pPr>
              <w:pStyle w:val="143"/>
              <w:rPr>
                <w:snapToGrid w:val="0"/>
                <w:color w:val="000000" w:themeColor="text1"/>
                <w:kern w:val="0"/>
                <w14:textFill>
                  <w14:solidFill>
                    <w14:schemeClr w14:val="tx1"/>
                  </w14:solidFill>
                </w14:textFill>
              </w:rPr>
            </w:pPr>
          </w:p>
        </w:tc>
        <w:tc>
          <w:tcPr>
            <w:tcW w:w="520" w:type="pct"/>
            <w:vAlign w:val="center"/>
          </w:tcPr>
          <w:p w14:paraId="7BA1C691">
            <w:pPr>
              <w:pStyle w:val="143"/>
              <w:ind w:firstLine="0" w:firstLineChars="0"/>
              <w:rPr>
                <w:rFonts w:eastAsia="等线" w:cs="Times New Roman"/>
                <w:snapToGrid w:val="0"/>
                <w:color w:val="000000" w:themeColor="text1"/>
                <w:kern w:val="0"/>
                <w:szCs w:val="21"/>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37.5</w:t>
            </w:r>
          </w:p>
        </w:tc>
        <w:tc>
          <w:tcPr>
            <w:tcW w:w="493" w:type="pct"/>
            <w:vAlign w:val="center"/>
          </w:tcPr>
          <w:p w14:paraId="4F7E5138">
            <w:pPr>
              <w:pStyle w:val="143"/>
              <w:ind w:firstLine="0" w:firstLineChars="0"/>
              <w:rPr>
                <w:rFonts w:eastAsia="等线" w:cs="Times New Roman"/>
                <w:snapToGrid w:val="0"/>
                <w:color w:val="000000" w:themeColor="text1"/>
                <w:kern w:val="0"/>
                <w:szCs w:val="21"/>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1.39</w:t>
            </w:r>
          </w:p>
        </w:tc>
        <w:tc>
          <w:tcPr>
            <w:tcW w:w="1335" w:type="pct"/>
            <w:vMerge w:val="continue"/>
            <w:vAlign w:val="center"/>
          </w:tcPr>
          <w:p w14:paraId="16C9F4F1">
            <w:pPr>
              <w:pStyle w:val="143"/>
              <w:rPr>
                <w:snapToGrid w:val="0"/>
                <w:color w:val="000000" w:themeColor="text1"/>
                <w:kern w:val="0"/>
                <w14:textFill>
                  <w14:solidFill>
                    <w14:schemeClr w14:val="tx1"/>
                  </w14:solidFill>
                </w14:textFill>
              </w:rPr>
            </w:pPr>
          </w:p>
        </w:tc>
      </w:tr>
      <w:tr w14:paraId="17AFE4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160D11E4">
            <w:pPr>
              <w:pStyle w:val="143"/>
              <w:rPr>
                <w:snapToGrid w:val="0"/>
                <w:color w:val="000000" w:themeColor="text1"/>
                <w:kern w:val="0"/>
                <w14:textFill>
                  <w14:solidFill>
                    <w14:schemeClr w14:val="tx1"/>
                  </w14:solidFill>
                </w14:textFill>
              </w:rPr>
            </w:pPr>
          </w:p>
        </w:tc>
        <w:tc>
          <w:tcPr>
            <w:tcW w:w="299" w:type="pct"/>
            <w:vMerge w:val="continue"/>
            <w:vAlign w:val="center"/>
          </w:tcPr>
          <w:p w14:paraId="1208EC29">
            <w:pPr>
              <w:pStyle w:val="143"/>
              <w:rPr>
                <w:rFonts w:hint="eastAsia"/>
                <w:snapToGrid w:val="0"/>
                <w:color w:val="000000" w:themeColor="text1"/>
                <w:kern w:val="0"/>
                <w:lang w:val="en-US"/>
                <w14:textFill>
                  <w14:solidFill>
                    <w14:schemeClr w14:val="tx1"/>
                  </w14:solidFill>
                </w14:textFill>
              </w:rPr>
            </w:pPr>
          </w:p>
        </w:tc>
        <w:tc>
          <w:tcPr>
            <w:tcW w:w="398" w:type="pct"/>
            <w:vAlign w:val="center"/>
          </w:tcPr>
          <w:p w14:paraId="00FAA9E6">
            <w:pPr>
              <w:pStyle w:val="143"/>
              <w:ind w:firstLine="0" w:firstLineChars="0"/>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动植物油</w:t>
            </w:r>
          </w:p>
        </w:tc>
        <w:tc>
          <w:tcPr>
            <w:tcW w:w="1649" w:type="pct"/>
            <w:vMerge w:val="continue"/>
            <w:vAlign w:val="center"/>
          </w:tcPr>
          <w:p w14:paraId="06287793">
            <w:pPr>
              <w:pStyle w:val="143"/>
              <w:rPr>
                <w:snapToGrid w:val="0"/>
                <w:color w:val="000000" w:themeColor="text1"/>
                <w:kern w:val="0"/>
                <w14:textFill>
                  <w14:solidFill>
                    <w14:schemeClr w14:val="tx1"/>
                  </w14:solidFill>
                </w14:textFill>
              </w:rPr>
            </w:pPr>
          </w:p>
        </w:tc>
        <w:tc>
          <w:tcPr>
            <w:tcW w:w="520" w:type="pct"/>
            <w:vAlign w:val="center"/>
          </w:tcPr>
          <w:p w14:paraId="7E416325">
            <w:pPr>
              <w:pStyle w:val="143"/>
              <w:ind w:firstLine="0" w:firstLineChars="0"/>
              <w:rPr>
                <w:rFonts w:eastAsia="等线" w:cs="Times New Roman"/>
                <w:snapToGrid w:val="0"/>
                <w:color w:val="000000" w:themeColor="text1"/>
                <w:kern w:val="0"/>
                <w:szCs w:val="21"/>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40</w:t>
            </w:r>
          </w:p>
        </w:tc>
        <w:tc>
          <w:tcPr>
            <w:tcW w:w="493" w:type="pct"/>
            <w:vAlign w:val="center"/>
          </w:tcPr>
          <w:p w14:paraId="7456751F">
            <w:pPr>
              <w:pStyle w:val="143"/>
              <w:ind w:firstLine="0" w:firstLineChars="0"/>
              <w:rPr>
                <w:rFonts w:eastAsia="等线" w:cs="Times New Roman"/>
                <w:snapToGrid w:val="0"/>
                <w:color w:val="000000" w:themeColor="text1"/>
                <w:kern w:val="0"/>
                <w:szCs w:val="21"/>
                <w14:textFill>
                  <w14:solidFill>
                    <w14:schemeClr w14:val="tx1"/>
                  </w14:solidFill>
                </w14:textFill>
              </w:rPr>
            </w:pPr>
            <w:r>
              <w:rPr>
                <w:rFonts w:hint="eastAsia" w:cs="Times New Roman"/>
                <w:snapToGrid w:val="0"/>
                <w:color w:val="000000" w:themeColor="text1"/>
                <w:szCs w:val="21"/>
                <w:lang w:val="en-US" w:eastAsia="zh-CN"/>
                <w14:textFill>
                  <w14:solidFill>
                    <w14:schemeClr w14:val="tx1"/>
                  </w14:solidFill>
                </w14:textFill>
              </w:rPr>
              <w:t>1.48</w:t>
            </w:r>
          </w:p>
        </w:tc>
        <w:tc>
          <w:tcPr>
            <w:tcW w:w="1335" w:type="pct"/>
            <w:vMerge w:val="continue"/>
            <w:vAlign w:val="center"/>
          </w:tcPr>
          <w:p w14:paraId="2B0FE439">
            <w:pPr>
              <w:pStyle w:val="143"/>
              <w:rPr>
                <w:snapToGrid w:val="0"/>
                <w:color w:val="000000" w:themeColor="text1"/>
                <w:kern w:val="0"/>
                <w14:textFill>
                  <w14:solidFill>
                    <w14:schemeClr w14:val="tx1"/>
                  </w14:solidFill>
                </w14:textFill>
              </w:rPr>
            </w:pPr>
          </w:p>
        </w:tc>
      </w:tr>
      <w:tr w14:paraId="7A700E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restart"/>
            <w:vAlign w:val="center"/>
          </w:tcPr>
          <w:p w14:paraId="5DEC725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环境空气</w:t>
            </w:r>
          </w:p>
        </w:tc>
        <w:tc>
          <w:tcPr>
            <w:tcW w:w="299" w:type="pct"/>
            <w:vMerge w:val="restart"/>
            <w:vAlign w:val="center"/>
          </w:tcPr>
          <w:p w14:paraId="52EBD823">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沼气</w:t>
            </w:r>
          </w:p>
        </w:tc>
        <w:tc>
          <w:tcPr>
            <w:tcW w:w="398" w:type="pct"/>
            <w:vAlign w:val="center"/>
          </w:tcPr>
          <w:p w14:paraId="3CCF90B4">
            <w:pPr>
              <w:pStyle w:val="143"/>
              <w:rPr>
                <w:snapToGrid w:val="0"/>
                <w:color w:val="000000" w:themeColor="text1"/>
                <w:kern w:val="0"/>
                <w:vertAlign w:val="subscript"/>
                <w:lang w:eastAsia="zh-CN"/>
                <w14:textFill>
                  <w14:solidFill>
                    <w14:schemeClr w14:val="tx1"/>
                  </w14:solidFill>
                </w14:textFill>
              </w:rPr>
            </w:pPr>
            <w:r>
              <w:rPr>
                <w:rFonts w:hint="eastAsia"/>
                <w:snapToGrid w:val="0"/>
                <w:color w:val="000000" w:themeColor="text1"/>
                <w:kern w:val="0"/>
                <w:lang w:val="en-US"/>
                <w14:textFill>
                  <w14:solidFill>
                    <w14:schemeClr w14:val="tx1"/>
                  </w14:solidFill>
                </w14:textFill>
              </w:rPr>
              <w:t>颗粒物</w:t>
            </w:r>
          </w:p>
        </w:tc>
        <w:tc>
          <w:tcPr>
            <w:tcW w:w="1649" w:type="pct"/>
            <w:vMerge w:val="restart"/>
            <w:vAlign w:val="center"/>
          </w:tcPr>
          <w:p w14:paraId="01EF2901">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沼气自动燃烧器燃烧</w:t>
            </w:r>
          </w:p>
        </w:tc>
        <w:tc>
          <w:tcPr>
            <w:tcW w:w="520" w:type="pct"/>
            <w:vAlign w:val="center"/>
          </w:tcPr>
          <w:p w14:paraId="4F04B626">
            <w:pPr>
              <w:pStyle w:val="143"/>
              <w:rPr>
                <w:rFonts w:eastAsia="等线"/>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02CC9EC9">
            <w:pPr>
              <w:pStyle w:val="143"/>
              <w:ind w:firstLine="0" w:firstLineChars="0"/>
              <w:rPr>
                <w:rFonts w:eastAsia="等线"/>
                <w:snapToGrid w:val="0"/>
                <w:color w:val="000000" w:themeColor="text1"/>
                <w:kern w:val="0"/>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0.0073</w:t>
            </w:r>
          </w:p>
        </w:tc>
        <w:tc>
          <w:tcPr>
            <w:tcW w:w="1335" w:type="pct"/>
            <w:vMerge w:val="restart"/>
            <w:vAlign w:val="center"/>
          </w:tcPr>
          <w:p w14:paraId="7EF43A5D">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《大气污染物综合排放标准》（GB16297-1996）表2中无组织排放监控浓度限值</w:t>
            </w:r>
          </w:p>
        </w:tc>
      </w:tr>
      <w:tr w14:paraId="468DBE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2E72F1AB">
            <w:pPr>
              <w:pStyle w:val="143"/>
              <w:rPr>
                <w:snapToGrid w:val="0"/>
                <w:color w:val="000000" w:themeColor="text1"/>
                <w:kern w:val="0"/>
                <w14:textFill>
                  <w14:solidFill>
                    <w14:schemeClr w14:val="tx1"/>
                  </w14:solidFill>
                </w14:textFill>
              </w:rPr>
            </w:pPr>
          </w:p>
        </w:tc>
        <w:tc>
          <w:tcPr>
            <w:tcW w:w="299" w:type="pct"/>
            <w:vMerge w:val="continue"/>
            <w:vAlign w:val="center"/>
          </w:tcPr>
          <w:p w14:paraId="0AADFB33">
            <w:pPr>
              <w:pStyle w:val="143"/>
              <w:rPr>
                <w:snapToGrid w:val="0"/>
                <w:color w:val="000000" w:themeColor="text1"/>
                <w:kern w:val="0"/>
                <w14:textFill>
                  <w14:solidFill>
                    <w14:schemeClr w14:val="tx1"/>
                  </w14:solidFill>
                </w14:textFill>
              </w:rPr>
            </w:pPr>
          </w:p>
        </w:tc>
        <w:tc>
          <w:tcPr>
            <w:tcW w:w="398" w:type="pct"/>
            <w:vAlign w:val="center"/>
          </w:tcPr>
          <w:p w14:paraId="4F8A9158">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S</w:t>
            </w:r>
            <w:r>
              <w:rPr>
                <w:snapToGrid w:val="0"/>
                <w:color w:val="000000" w:themeColor="text1"/>
                <w:kern w:val="0"/>
                <w14:textFill>
                  <w14:solidFill>
                    <w14:schemeClr w14:val="tx1"/>
                  </w14:solidFill>
                </w14:textFill>
              </w:rPr>
              <w:t>O</w:t>
            </w:r>
            <w:r>
              <w:rPr>
                <w:snapToGrid w:val="0"/>
                <w:color w:val="000000" w:themeColor="text1"/>
                <w:kern w:val="0"/>
                <w:vertAlign w:val="subscript"/>
                <w14:textFill>
                  <w14:solidFill>
                    <w14:schemeClr w14:val="tx1"/>
                  </w14:solidFill>
                </w14:textFill>
              </w:rPr>
              <w:t>2</w:t>
            </w:r>
          </w:p>
        </w:tc>
        <w:tc>
          <w:tcPr>
            <w:tcW w:w="1649" w:type="pct"/>
            <w:vMerge w:val="continue"/>
            <w:vAlign w:val="center"/>
          </w:tcPr>
          <w:p w14:paraId="11F6B131">
            <w:pPr>
              <w:pStyle w:val="143"/>
              <w:jc w:val="both"/>
              <w:rPr>
                <w:snapToGrid w:val="0"/>
                <w:color w:val="000000" w:themeColor="text1"/>
                <w:kern w:val="0"/>
                <w:szCs w:val="21"/>
                <w14:textFill>
                  <w14:solidFill>
                    <w14:schemeClr w14:val="tx1"/>
                  </w14:solidFill>
                </w14:textFill>
              </w:rPr>
            </w:pPr>
          </w:p>
        </w:tc>
        <w:tc>
          <w:tcPr>
            <w:tcW w:w="520" w:type="pct"/>
            <w:vAlign w:val="center"/>
          </w:tcPr>
          <w:p w14:paraId="3FF85E92">
            <w:pPr>
              <w:pStyle w:val="143"/>
              <w:rPr>
                <w:rFonts w:eastAsia="等线"/>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3650E29A">
            <w:pPr>
              <w:pStyle w:val="143"/>
              <w:ind w:firstLine="0" w:firstLineChars="0"/>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0.0012</w:t>
            </w:r>
          </w:p>
        </w:tc>
        <w:tc>
          <w:tcPr>
            <w:tcW w:w="1335" w:type="pct"/>
            <w:vMerge w:val="continue"/>
            <w:vAlign w:val="center"/>
          </w:tcPr>
          <w:p w14:paraId="5812066F">
            <w:pPr>
              <w:pStyle w:val="143"/>
              <w:jc w:val="both"/>
              <w:rPr>
                <w:snapToGrid w:val="0"/>
                <w:color w:val="000000" w:themeColor="text1"/>
                <w:kern w:val="0"/>
                <w14:textFill>
                  <w14:solidFill>
                    <w14:schemeClr w14:val="tx1"/>
                  </w14:solidFill>
                </w14:textFill>
              </w:rPr>
            </w:pPr>
          </w:p>
        </w:tc>
      </w:tr>
      <w:tr w14:paraId="084DF6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601F1E35">
            <w:pPr>
              <w:pStyle w:val="143"/>
              <w:rPr>
                <w:snapToGrid w:val="0"/>
                <w:color w:val="000000" w:themeColor="text1"/>
                <w:kern w:val="0"/>
                <w14:textFill>
                  <w14:solidFill>
                    <w14:schemeClr w14:val="tx1"/>
                  </w14:solidFill>
                </w14:textFill>
              </w:rPr>
            </w:pPr>
          </w:p>
        </w:tc>
        <w:tc>
          <w:tcPr>
            <w:tcW w:w="299" w:type="pct"/>
            <w:vMerge w:val="continue"/>
            <w:vAlign w:val="center"/>
          </w:tcPr>
          <w:p w14:paraId="24D6C1E1">
            <w:pPr>
              <w:pStyle w:val="143"/>
              <w:rPr>
                <w:snapToGrid w:val="0"/>
                <w:color w:val="000000" w:themeColor="text1"/>
                <w:kern w:val="0"/>
                <w14:textFill>
                  <w14:solidFill>
                    <w14:schemeClr w14:val="tx1"/>
                  </w14:solidFill>
                </w14:textFill>
              </w:rPr>
            </w:pPr>
          </w:p>
        </w:tc>
        <w:tc>
          <w:tcPr>
            <w:tcW w:w="398" w:type="pct"/>
            <w:vAlign w:val="center"/>
          </w:tcPr>
          <w:p w14:paraId="5DD89A6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N</w:t>
            </w:r>
            <w:r>
              <w:rPr>
                <w:snapToGrid w:val="0"/>
                <w:color w:val="000000" w:themeColor="text1"/>
                <w:kern w:val="0"/>
                <w14:textFill>
                  <w14:solidFill>
                    <w14:schemeClr w14:val="tx1"/>
                  </w14:solidFill>
                </w14:textFill>
              </w:rPr>
              <w:t>O</w:t>
            </w:r>
            <w:r>
              <w:rPr>
                <w:snapToGrid w:val="0"/>
                <w:color w:val="000000" w:themeColor="text1"/>
                <w:kern w:val="0"/>
                <w:vertAlign w:val="subscript"/>
                <w14:textFill>
                  <w14:solidFill>
                    <w14:schemeClr w14:val="tx1"/>
                  </w14:solidFill>
                </w14:textFill>
              </w:rPr>
              <w:t>X</w:t>
            </w:r>
          </w:p>
        </w:tc>
        <w:tc>
          <w:tcPr>
            <w:tcW w:w="1649" w:type="pct"/>
            <w:vMerge w:val="continue"/>
            <w:vAlign w:val="center"/>
          </w:tcPr>
          <w:p w14:paraId="59A8F83A">
            <w:pPr>
              <w:pStyle w:val="143"/>
              <w:jc w:val="both"/>
              <w:rPr>
                <w:snapToGrid w:val="0"/>
                <w:color w:val="000000" w:themeColor="text1"/>
                <w:kern w:val="0"/>
                <w:szCs w:val="21"/>
                <w14:textFill>
                  <w14:solidFill>
                    <w14:schemeClr w14:val="tx1"/>
                  </w14:solidFill>
                </w14:textFill>
              </w:rPr>
            </w:pPr>
          </w:p>
        </w:tc>
        <w:tc>
          <w:tcPr>
            <w:tcW w:w="520" w:type="pct"/>
            <w:vAlign w:val="center"/>
          </w:tcPr>
          <w:p w14:paraId="42479E7D">
            <w:pPr>
              <w:pStyle w:val="143"/>
              <w:rPr>
                <w:rFonts w:eastAsia="等线"/>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5097FDF2">
            <w:pPr>
              <w:pStyle w:val="143"/>
              <w:ind w:firstLine="0" w:firstLineChars="0"/>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0.0482</w:t>
            </w:r>
          </w:p>
        </w:tc>
        <w:tc>
          <w:tcPr>
            <w:tcW w:w="1335" w:type="pct"/>
            <w:vMerge w:val="continue"/>
            <w:vAlign w:val="center"/>
          </w:tcPr>
          <w:p w14:paraId="71F61343">
            <w:pPr>
              <w:pStyle w:val="143"/>
              <w:jc w:val="both"/>
              <w:rPr>
                <w:snapToGrid w:val="0"/>
                <w:color w:val="000000" w:themeColor="text1"/>
                <w:kern w:val="0"/>
                <w14:textFill>
                  <w14:solidFill>
                    <w14:schemeClr w14:val="tx1"/>
                  </w14:solidFill>
                </w14:textFill>
              </w:rPr>
            </w:pPr>
          </w:p>
        </w:tc>
      </w:tr>
      <w:tr w14:paraId="36D8C7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68952F37">
            <w:pPr>
              <w:pStyle w:val="143"/>
              <w:rPr>
                <w:snapToGrid w:val="0"/>
                <w:color w:val="000000" w:themeColor="text1"/>
                <w:kern w:val="0"/>
                <w14:textFill>
                  <w14:solidFill>
                    <w14:schemeClr w14:val="tx1"/>
                  </w14:solidFill>
                </w14:textFill>
              </w:rPr>
            </w:pPr>
          </w:p>
        </w:tc>
        <w:tc>
          <w:tcPr>
            <w:tcW w:w="299" w:type="pct"/>
            <w:vMerge w:val="restart"/>
            <w:vAlign w:val="center"/>
          </w:tcPr>
          <w:p w14:paraId="3E4132EA">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发酵车间</w:t>
            </w:r>
          </w:p>
        </w:tc>
        <w:tc>
          <w:tcPr>
            <w:tcW w:w="398" w:type="pct"/>
            <w:vAlign w:val="center"/>
          </w:tcPr>
          <w:p w14:paraId="664AFDFE">
            <w:pPr>
              <w:pStyle w:val="143"/>
              <w:rPr>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CO</w:t>
            </w:r>
            <w:r>
              <w:rPr>
                <w:snapToGrid w:val="0"/>
                <w:color w:val="000000" w:themeColor="text1"/>
                <w:kern w:val="0"/>
                <w:vertAlign w:val="subscript"/>
                <w14:textFill>
                  <w14:solidFill>
                    <w14:schemeClr w14:val="tx1"/>
                  </w14:solidFill>
                </w14:textFill>
              </w:rPr>
              <w:t>2</w:t>
            </w:r>
          </w:p>
        </w:tc>
        <w:tc>
          <w:tcPr>
            <w:tcW w:w="1649" w:type="pct"/>
            <w:vAlign w:val="center"/>
          </w:tcPr>
          <w:p w14:paraId="65FEE1F2">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szCs w:val="21"/>
                <w:lang w:val="en-US"/>
                <w14:textFill>
                  <w14:solidFill>
                    <w14:schemeClr w14:val="tx1"/>
                  </w14:solidFill>
                </w14:textFill>
              </w:rPr>
              <w:t>C</w:t>
            </w:r>
            <w:r>
              <w:rPr>
                <w:snapToGrid w:val="0"/>
                <w:color w:val="000000" w:themeColor="text1"/>
                <w:kern w:val="0"/>
                <w:szCs w:val="21"/>
                <w:lang w:val="en-US"/>
                <w14:textFill>
                  <w14:solidFill>
                    <w14:schemeClr w14:val="tx1"/>
                  </w14:solidFill>
                </w14:textFill>
              </w:rPr>
              <w:t>O</w:t>
            </w:r>
            <w:r>
              <w:rPr>
                <w:snapToGrid w:val="0"/>
                <w:color w:val="000000" w:themeColor="text1"/>
                <w:kern w:val="0"/>
                <w:szCs w:val="21"/>
                <w:vertAlign w:val="subscript"/>
                <w:lang w:val="en-US"/>
                <w14:textFill>
                  <w14:solidFill>
                    <w14:schemeClr w14:val="tx1"/>
                  </w14:solidFill>
                </w14:textFill>
              </w:rPr>
              <w:t>2</w:t>
            </w:r>
            <w:r>
              <w:rPr>
                <w:rFonts w:hint="eastAsia"/>
                <w:snapToGrid w:val="0"/>
                <w:color w:val="000000" w:themeColor="text1"/>
                <w:kern w:val="0"/>
                <w:szCs w:val="21"/>
                <w:lang w:val="en-US"/>
                <w14:textFill>
                  <w14:solidFill>
                    <w14:schemeClr w14:val="tx1"/>
                  </w14:solidFill>
                </w14:textFill>
              </w:rPr>
              <w:t>回收装置</w:t>
            </w:r>
          </w:p>
        </w:tc>
        <w:tc>
          <w:tcPr>
            <w:tcW w:w="520" w:type="pct"/>
            <w:vAlign w:val="center"/>
          </w:tcPr>
          <w:p w14:paraId="7E2EF799">
            <w:pPr>
              <w:pStyle w:val="143"/>
              <w:rPr>
                <w:rFonts w:eastAsia="等线"/>
                <w:snapToGrid w:val="0"/>
                <w:color w:val="000000" w:themeColor="text1"/>
                <w:kern w:val="0"/>
                <w:lang w:eastAsia="zh-CN"/>
                <w14:textFill>
                  <w14:solidFill>
                    <w14:schemeClr w14:val="tx1"/>
                  </w14:solidFill>
                </w14:textFill>
              </w:rPr>
            </w:pPr>
            <w:r>
              <w:rPr>
                <w:rFonts w:hint="eastAsia" w:eastAsia="等线"/>
                <w:snapToGrid w:val="0"/>
                <w:color w:val="000000" w:themeColor="text1"/>
                <w:kern w:val="0"/>
                <w:lang w:eastAsia="zh-CN"/>
                <w14:textFill>
                  <w14:solidFill>
                    <w14:schemeClr w14:val="tx1"/>
                  </w14:solidFill>
                </w14:textFill>
              </w:rPr>
              <w:t>/</w:t>
            </w:r>
          </w:p>
        </w:tc>
        <w:tc>
          <w:tcPr>
            <w:tcW w:w="493" w:type="pct"/>
            <w:vAlign w:val="center"/>
          </w:tcPr>
          <w:p w14:paraId="6ADD9DFE">
            <w:pPr>
              <w:pStyle w:val="143"/>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115.29</w:t>
            </w:r>
          </w:p>
        </w:tc>
        <w:tc>
          <w:tcPr>
            <w:tcW w:w="1335" w:type="pct"/>
            <w:vAlign w:val="center"/>
          </w:tcPr>
          <w:p w14:paraId="53030B63">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r>
      <w:tr w14:paraId="72ADF7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5D6D72CA">
            <w:pPr>
              <w:pStyle w:val="143"/>
              <w:rPr>
                <w:snapToGrid w:val="0"/>
                <w:color w:val="000000" w:themeColor="text1"/>
                <w:kern w:val="0"/>
                <w14:textFill>
                  <w14:solidFill>
                    <w14:schemeClr w14:val="tx1"/>
                  </w14:solidFill>
                </w14:textFill>
              </w:rPr>
            </w:pPr>
          </w:p>
        </w:tc>
        <w:tc>
          <w:tcPr>
            <w:tcW w:w="299" w:type="pct"/>
            <w:vMerge w:val="continue"/>
            <w:vAlign w:val="center"/>
          </w:tcPr>
          <w:p w14:paraId="4AD9A47F">
            <w:pPr>
              <w:pStyle w:val="143"/>
              <w:rPr>
                <w:snapToGrid w:val="0"/>
                <w:color w:val="000000" w:themeColor="text1"/>
                <w:kern w:val="0"/>
                <w14:textFill>
                  <w14:solidFill>
                    <w14:schemeClr w14:val="tx1"/>
                  </w14:solidFill>
                </w14:textFill>
              </w:rPr>
            </w:pPr>
          </w:p>
        </w:tc>
        <w:tc>
          <w:tcPr>
            <w:tcW w:w="398" w:type="pct"/>
            <w:vAlign w:val="center"/>
          </w:tcPr>
          <w:p w14:paraId="1A88724F">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异味</w:t>
            </w:r>
          </w:p>
        </w:tc>
        <w:tc>
          <w:tcPr>
            <w:tcW w:w="1649" w:type="pct"/>
            <w:vAlign w:val="center"/>
          </w:tcPr>
          <w:p w14:paraId="7F95EFD3">
            <w:pPr>
              <w:pStyle w:val="143"/>
              <w:rPr>
                <w:snapToGrid w:val="0"/>
                <w:color w:val="000000" w:themeColor="text1"/>
                <w:kern w:val="0"/>
                <w:szCs w:val="21"/>
                <w14:textFill>
                  <w14:solidFill>
                    <w14:schemeClr w14:val="tx1"/>
                  </w14:solidFill>
                </w14:textFill>
              </w:rPr>
            </w:pPr>
            <w:r>
              <w:rPr>
                <w:rFonts w:hint="eastAsia"/>
                <w:snapToGrid w:val="0"/>
                <w:color w:val="000000" w:themeColor="text1"/>
                <w:kern w:val="0"/>
                <w:szCs w:val="21"/>
                <w:lang w:val="en-US"/>
                <w14:textFill>
                  <w14:solidFill>
                    <w14:schemeClr w14:val="tx1"/>
                  </w14:solidFill>
                </w14:textFill>
              </w:rPr>
              <w:t>活性炭吸附装置</w:t>
            </w:r>
          </w:p>
        </w:tc>
        <w:tc>
          <w:tcPr>
            <w:tcW w:w="1013" w:type="pct"/>
            <w:gridSpan w:val="2"/>
            <w:vAlign w:val="center"/>
          </w:tcPr>
          <w:p w14:paraId="4A757F8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18AAFCB9">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《恶臭污染物排放标准》（GB14554-93）表1中二级新扩改建标准</w:t>
            </w:r>
          </w:p>
        </w:tc>
      </w:tr>
      <w:tr w14:paraId="109A90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77E76C78">
            <w:pPr>
              <w:pStyle w:val="143"/>
              <w:rPr>
                <w:snapToGrid w:val="0"/>
                <w:color w:val="000000" w:themeColor="text1"/>
                <w:kern w:val="0"/>
                <w14:textFill>
                  <w14:solidFill>
                    <w14:schemeClr w14:val="tx1"/>
                  </w14:solidFill>
                </w14:textFill>
              </w:rPr>
            </w:pPr>
          </w:p>
        </w:tc>
        <w:tc>
          <w:tcPr>
            <w:tcW w:w="299" w:type="pct"/>
            <w:vMerge w:val="restart"/>
            <w:vAlign w:val="center"/>
          </w:tcPr>
          <w:p w14:paraId="04393ACC">
            <w:pPr>
              <w:pStyle w:val="143"/>
              <w:rPr>
                <w:snapToGrid w:val="0"/>
                <w:color w:val="000000" w:themeColor="text1"/>
                <w:kern w:val="0"/>
                <w:lang w:eastAsia="zh-CN"/>
                <w14:textFill>
                  <w14:solidFill>
                    <w14:schemeClr w14:val="tx1"/>
                  </w14:solidFill>
                </w14:textFill>
              </w:rPr>
            </w:pPr>
            <w:r>
              <w:rPr>
                <w:snapToGrid w:val="0"/>
                <w:color w:val="000000" w:themeColor="text1"/>
                <w:kern w:val="0"/>
                <w:lang w:val="en-US" w:eastAsia="zh-CN"/>
                <w14:textFill>
                  <w14:solidFill>
                    <w14:schemeClr w14:val="tx1"/>
                  </w14:solidFill>
                </w14:textFill>
              </w:rPr>
              <w:t>污水处理站</w:t>
            </w:r>
          </w:p>
        </w:tc>
        <w:tc>
          <w:tcPr>
            <w:tcW w:w="398" w:type="pct"/>
            <w:vAlign w:val="center"/>
          </w:tcPr>
          <w:p w14:paraId="229159A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N</w:t>
            </w:r>
            <w:r>
              <w:rPr>
                <w:snapToGrid w:val="0"/>
                <w:color w:val="000000" w:themeColor="text1"/>
                <w:kern w:val="0"/>
                <w14:textFill>
                  <w14:solidFill>
                    <w14:schemeClr w14:val="tx1"/>
                  </w14:solidFill>
                </w14:textFill>
              </w:rPr>
              <w:t>H</w:t>
            </w:r>
            <w:r>
              <w:rPr>
                <w:snapToGrid w:val="0"/>
                <w:color w:val="000000" w:themeColor="text1"/>
                <w:kern w:val="0"/>
                <w:vertAlign w:val="subscript"/>
                <w14:textFill>
                  <w14:solidFill>
                    <w14:schemeClr w14:val="tx1"/>
                  </w14:solidFill>
                </w14:textFill>
              </w:rPr>
              <w:t>3</w:t>
            </w:r>
          </w:p>
        </w:tc>
        <w:tc>
          <w:tcPr>
            <w:tcW w:w="1649" w:type="pct"/>
            <w:vMerge w:val="restart"/>
            <w:vAlign w:val="center"/>
          </w:tcPr>
          <w:p w14:paraId="246BE736">
            <w:pPr>
              <w:pStyle w:val="143"/>
              <w:rPr>
                <w:snapToGrid w:val="0"/>
                <w:color w:val="000000" w:themeColor="text1"/>
                <w:kern w:val="0"/>
                <w14:textFill>
                  <w14:solidFill>
                    <w14:schemeClr w14:val="tx1"/>
                  </w14:solidFill>
                </w14:textFill>
              </w:rPr>
            </w:pPr>
            <w:r>
              <w:rPr>
                <w:rFonts w:hint="eastAsia"/>
                <w:snapToGrid w:val="0"/>
                <w:color w:val="000000" w:themeColor="text1"/>
                <w:kern w:val="0"/>
                <w:szCs w:val="21"/>
                <w:lang w:val="en-US" w:eastAsia="zh-CN"/>
                <w14:textFill>
                  <w14:solidFill>
                    <w14:schemeClr w14:val="tx1"/>
                  </w14:solidFill>
                </w14:textFill>
              </w:rPr>
              <w:t>负压收集+</w:t>
            </w:r>
            <w:r>
              <w:rPr>
                <w:rFonts w:hint="eastAsia"/>
                <w:snapToGrid w:val="0"/>
                <w:color w:val="000000" w:themeColor="text1"/>
                <w:lang w:val="en-US" w:eastAsia="zh-CN"/>
                <w14:textFill>
                  <w14:solidFill>
                    <w14:schemeClr w14:val="tx1"/>
                  </w14:solidFill>
                </w14:textFill>
              </w:rPr>
              <w:t>活性炭吸附</w:t>
            </w:r>
            <w:r>
              <w:rPr>
                <w:rFonts w:hint="eastAsia"/>
                <w:snapToGrid w:val="0"/>
                <w:color w:val="000000" w:themeColor="text1"/>
                <w:kern w:val="0"/>
                <w:szCs w:val="21"/>
                <w:lang w:val="en-US" w:eastAsia="zh-CN"/>
                <w14:textFill>
                  <w14:solidFill>
                    <w14:schemeClr w14:val="tx1"/>
                  </w14:solidFill>
                </w14:textFill>
              </w:rPr>
              <w:t>+</w:t>
            </w:r>
            <w:r>
              <w:rPr>
                <w:snapToGrid w:val="0"/>
                <w:color w:val="000000" w:themeColor="text1"/>
                <w:kern w:val="0"/>
                <w:szCs w:val="21"/>
                <w:lang w:val="en-US" w:eastAsia="zh-CN"/>
                <w14:textFill>
                  <w14:solidFill>
                    <w14:schemeClr w14:val="tx1"/>
                  </w14:solidFill>
                </w14:textFill>
              </w:rPr>
              <w:t>15</w:t>
            </w:r>
            <w:r>
              <w:rPr>
                <w:rFonts w:hint="eastAsia"/>
                <w:snapToGrid w:val="0"/>
                <w:color w:val="000000" w:themeColor="text1"/>
                <w:kern w:val="0"/>
                <w:szCs w:val="21"/>
                <w:lang w:val="en-US" w:eastAsia="zh-CN"/>
                <w14:textFill>
                  <w14:solidFill>
                    <w14:schemeClr w14:val="tx1"/>
                  </w14:solidFill>
                </w14:textFill>
              </w:rPr>
              <w:t>m排气筒D</w:t>
            </w:r>
            <w:r>
              <w:rPr>
                <w:snapToGrid w:val="0"/>
                <w:color w:val="000000" w:themeColor="text1"/>
                <w:kern w:val="0"/>
                <w:szCs w:val="21"/>
                <w:lang w:val="en-US" w:eastAsia="zh-CN"/>
                <w14:textFill>
                  <w14:solidFill>
                    <w14:schemeClr w14:val="tx1"/>
                  </w14:solidFill>
                </w14:textFill>
              </w:rPr>
              <w:t>A00</w:t>
            </w:r>
            <w:r>
              <w:rPr>
                <w:rFonts w:hint="eastAsia"/>
                <w:snapToGrid w:val="0"/>
                <w:color w:val="000000" w:themeColor="text1"/>
                <w:kern w:val="0"/>
                <w:szCs w:val="21"/>
                <w:lang w:val="en-US" w:eastAsia="zh-CN"/>
                <w14:textFill>
                  <w14:solidFill>
                    <w14:schemeClr w14:val="tx1"/>
                  </w14:solidFill>
                </w14:textFill>
              </w:rPr>
              <w:t>1</w:t>
            </w:r>
          </w:p>
        </w:tc>
        <w:tc>
          <w:tcPr>
            <w:tcW w:w="520" w:type="pct"/>
            <w:vAlign w:val="center"/>
          </w:tcPr>
          <w:p w14:paraId="5A91B87D">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0.47</w:t>
            </w:r>
          </w:p>
        </w:tc>
        <w:tc>
          <w:tcPr>
            <w:tcW w:w="493" w:type="pct"/>
            <w:vAlign w:val="center"/>
          </w:tcPr>
          <w:p w14:paraId="235F8441">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0.03</w:t>
            </w:r>
          </w:p>
        </w:tc>
        <w:tc>
          <w:tcPr>
            <w:tcW w:w="1335" w:type="pct"/>
            <w:vMerge w:val="restart"/>
            <w:vAlign w:val="center"/>
          </w:tcPr>
          <w:p w14:paraId="22617A39">
            <w:pPr>
              <w:pStyle w:val="143"/>
              <w:jc w:val="both"/>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《恶臭污染物排放标准》（GB14554-93）表2中15m高排气筒标准要求</w:t>
            </w:r>
          </w:p>
        </w:tc>
      </w:tr>
      <w:tr w14:paraId="140E96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14A88C1A">
            <w:pPr>
              <w:pStyle w:val="143"/>
              <w:rPr>
                <w:snapToGrid w:val="0"/>
                <w:color w:val="000000" w:themeColor="text1"/>
                <w:kern w:val="0"/>
                <w14:textFill>
                  <w14:solidFill>
                    <w14:schemeClr w14:val="tx1"/>
                  </w14:solidFill>
                </w14:textFill>
              </w:rPr>
            </w:pPr>
          </w:p>
        </w:tc>
        <w:tc>
          <w:tcPr>
            <w:tcW w:w="299" w:type="pct"/>
            <w:vMerge w:val="continue"/>
            <w:vAlign w:val="center"/>
          </w:tcPr>
          <w:p w14:paraId="2113863B">
            <w:pPr>
              <w:pStyle w:val="143"/>
              <w:rPr>
                <w:snapToGrid w:val="0"/>
                <w:color w:val="000000" w:themeColor="text1"/>
                <w:kern w:val="0"/>
                <w14:textFill>
                  <w14:solidFill>
                    <w14:schemeClr w14:val="tx1"/>
                  </w14:solidFill>
                </w14:textFill>
              </w:rPr>
            </w:pPr>
          </w:p>
        </w:tc>
        <w:tc>
          <w:tcPr>
            <w:tcW w:w="398" w:type="pct"/>
            <w:vAlign w:val="center"/>
          </w:tcPr>
          <w:p w14:paraId="05115589">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H</w:t>
            </w:r>
            <w:r>
              <w:rPr>
                <w:snapToGrid w:val="0"/>
                <w:color w:val="000000" w:themeColor="text1"/>
                <w:kern w:val="0"/>
                <w:vertAlign w:val="subscript"/>
                <w14:textFill>
                  <w14:solidFill>
                    <w14:schemeClr w14:val="tx1"/>
                  </w14:solidFill>
                </w14:textFill>
              </w:rPr>
              <w:t>2</w:t>
            </w:r>
            <w:r>
              <w:rPr>
                <w:snapToGrid w:val="0"/>
                <w:color w:val="000000" w:themeColor="text1"/>
                <w:kern w:val="0"/>
                <w14:textFill>
                  <w14:solidFill>
                    <w14:schemeClr w14:val="tx1"/>
                  </w14:solidFill>
                </w14:textFill>
              </w:rPr>
              <w:t>S</w:t>
            </w:r>
          </w:p>
        </w:tc>
        <w:tc>
          <w:tcPr>
            <w:tcW w:w="1649" w:type="pct"/>
            <w:vMerge w:val="continue"/>
            <w:vAlign w:val="center"/>
          </w:tcPr>
          <w:p w14:paraId="050B22EB">
            <w:pPr>
              <w:pStyle w:val="143"/>
              <w:rPr>
                <w:snapToGrid w:val="0"/>
                <w:color w:val="000000" w:themeColor="text1"/>
                <w:kern w:val="0"/>
                <w14:textFill>
                  <w14:solidFill>
                    <w14:schemeClr w14:val="tx1"/>
                  </w14:solidFill>
                </w14:textFill>
              </w:rPr>
            </w:pPr>
          </w:p>
        </w:tc>
        <w:tc>
          <w:tcPr>
            <w:tcW w:w="520" w:type="pct"/>
            <w:vAlign w:val="center"/>
          </w:tcPr>
          <w:p w14:paraId="1747430D">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0.019</w:t>
            </w:r>
          </w:p>
        </w:tc>
        <w:tc>
          <w:tcPr>
            <w:tcW w:w="493" w:type="pct"/>
            <w:vAlign w:val="center"/>
          </w:tcPr>
          <w:p w14:paraId="23E40D9C">
            <w:pPr>
              <w:pStyle w:val="143"/>
              <w:ind w:firstLine="0" w:firstLineChars="0"/>
              <w:rPr>
                <w:snapToGrid w:val="0"/>
                <w:color w:val="000000" w:themeColor="text1"/>
                <w:kern w:val="0"/>
                <w14:textFill>
                  <w14:solidFill>
                    <w14:schemeClr w14:val="tx1"/>
                  </w14:solidFill>
                </w14:textFill>
              </w:rPr>
            </w:pPr>
            <w:r>
              <w:rPr>
                <w:rFonts w:cs="Times New Roman"/>
                <w:snapToGrid w:val="0"/>
                <w:color w:val="000000" w:themeColor="text1"/>
                <w14:textFill>
                  <w14:solidFill>
                    <w14:schemeClr w14:val="tx1"/>
                  </w14:solidFill>
                </w14:textFill>
              </w:rPr>
              <w:t>4.93×10</w:t>
            </w:r>
            <w:r>
              <w:rPr>
                <w:rFonts w:cs="Times New Roman"/>
                <w:snapToGrid w:val="0"/>
                <w:color w:val="000000" w:themeColor="text1"/>
                <w:vertAlign w:val="superscript"/>
                <w14:textFill>
                  <w14:solidFill>
                    <w14:schemeClr w14:val="tx1"/>
                  </w14:solidFill>
                </w14:textFill>
              </w:rPr>
              <w:t>-5</w:t>
            </w:r>
          </w:p>
        </w:tc>
        <w:tc>
          <w:tcPr>
            <w:tcW w:w="1335" w:type="pct"/>
            <w:vMerge w:val="continue"/>
            <w:vAlign w:val="center"/>
          </w:tcPr>
          <w:p w14:paraId="7EEAE2E0">
            <w:pPr>
              <w:pStyle w:val="143"/>
              <w:rPr>
                <w:snapToGrid w:val="0"/>
                <w:color w:val="000000" w:themeColor="text1"/>
                <w:kern w:val="0"/>
                <w14:textFill>
                  <w14:solidFill>
                    <w14:schemeClr w14:val="tx1"/>
                  </w14:solidFill>
                </w14:textFill>
              </w:rPr>
            </w:pPr>
          </w:p>
        </w:tc>
      </w:tr>
      <w:tr w14:paraId="6411A4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316AAEF8">
            <w:pPr>
              <w:pStyle w:val="143"/>
              <w:rPr>
                <w:snapToGrid w:val="0"/>
                <w:color w:val="000000" w:themeColor="text1"/>
                <w:kern w:val="0"/>
                <w14:textFill>
                  <w14:solidFill>
                    <w14:schemeClr w14:val="tx1"/>
                  </w14:solidFill>
                </w14:textFill>
              </w:rPr>
            </w:pPr>
          </w:p>
        </w:tc>
        <w:tc>
          <w:tcPr>
            <w:tcW w:w="299" w:type="pct"/>
            <w:vMerge w:val="continue"/>
            <w:vAlign w:val="center"/>
          </w:tcPr>
          <w:p w14:paraId="64C71CDC">
            <w:pPr>
              <w:pStyle w:val="143"/>
              <w:rPr>
                <w:snapToGrid w:val="0"/>
                <w:color w:val="000000" w:themeColor="text1"/>
                <w:kern w:val="0"/>
                <w14:textFill>
                  <w14:solidFill>
                    <w14:schemeClr w14:val="tx1"/>
                  </w14:solidFill>
                </w14:textFill>
              </w:rPr>
            </w:pPr>
          </w:p>
        </w:tc>
        <w:tc>
          <w:tcPr>
            <w:tcW w:w="398" w:type="pct"/>
            <w:vAlign w:val="center"/>
          </w:tcPr>
          <w:p w14:paraId="45AB09AD">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臭气浓度</w:t>
            </w:r>
          </w:p>
        </w:tc>
        <w:tc>
          <w:tcPr>
            <w:tcW w:w="1649" w:type="pct"/>
            <w:vMerge w:val="continue"/>
            <w:vAlign w:val="center"/>
          </w:tcPr>
          <w:p w14:paraId="4D9EFEF3">
            <w:pPr>
              <w:pStyle w:val="143"/>
              <w:rPr>
                <w:snapToGrid w:val="0"/>
                <w:color w:val="000000" w:themeColor="text1"/>
                <w:kern w:val="0"/>
                <w14:textFill>
                  <w14:solidFill>
                    <w14:schemeClr w14:val="tx1"/>
                  </w14:solidFill>
                </w14:textFill>
              </w:rPr>
            </w:pPr>
          </w:p>
        </w:tc>
        <w:tc>
          <w:tcPr>
            <w:tcW w:w="520" w:type="pct"/>
            <w:vAlign w:val="center"/>
          </w:tcPr>
          <w:p w14:paraId="67A78698">
            <w:pPr>
              <w:pStyle w:val="143"/>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w:t>
            </w:r>
            <w:r>
              <w:rPr>
                <w:bCs/>
                <w:snapToGrid w:val="0"/>
                <w:color w:val="000000" w:themeColor="text1"/>
                <w14:textFill>
                  <w14:solidFill>
                    <w14:schemeClr w14:val="tx1"/>
                  </w14:solidFill>
                </w14:textFill>
              </w:rPr>
              <w:t>2000（无量纲）</w:t>
            </w:r>
          </w:p>
        </w:tc>
        <w:tc>
          <w:tcPr>
            <w:tcW w:w="493" w:type="pct"/>
            <w:vAlign w:val="center"/>
          </w:tcPr>
          <w:p w14:paraId="20E358A7">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1335" w:type="pct"/>
            <w:vMerge w:val="continue"/>
            <w:vAlign w:val="center"/>
          </w:tcPr>
          <w:p w14:paraId="4CCCB391">
            <w:pPr>
              <w:pStyle w:val="143"/>
              <w:rPr>
                <w:snapToGrid w:val="0"/>
                <w:color w:val="000000" w:themeColor="text1"/>
                <w:kern w:val="0"/>
                <w14:textFill>
                  <w14:solidFill>
                    <w14:schemeClr w14:val="tx1"/>
                  </w14:solidFill>
                </w14:textFill>
              </w:rPr>
            </w:pPr>
          </w:p>
        </w:tc>
      </w:tr>
      <w:tr w14:paraId="467128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1B51832E">
            <w:pPr>
              <w:pStyle w:val="143"/>
              <w:rPr>
                <w:snapToGrid w:val="0"/>
                <w:color w:val="000000" w:themeColor="text1"/>
                <w:kern w:val="0"/>
                <w14:textFill>
                  <w14:solidFill>
                    <w14:schemeClr w14:val="tx1"/>
                  </w14:solidFill>
                </w14:textFill>
              </w:rPr>
            </w:pPr>
          </w:p>
        </w:tc>
        <w:tc>
          <w:tcPr>
            <w:tcW w:w="299" w:type="pct"/>
            <w:vMerge w:val="continue"/>
            <w:vAlign w:val="center"/>
          </w:tcPr>
          <w:p w14:paraId="212246B7">
            <w:pPr>
              <w:pStyle w:val="143"/>
              <w:rPr>
                <w:snapToGrid w:val="0"/>
                <w:color w:val="000000" w:themeColor="text1"/>
                <w:kern w:val="0"/>
                <w:lang w:eastAsia="zh-CN"/>
                <w14:textFill>
                  <w14:solidFill>
                    <w14:schemeClr w14:val="tx1"/>
                  </w14:solidFill>
                </w14:textFill>
              </w:rPr>
            </w:pPr>
          </w:p>
        </w:tc>
        <w:tc>
          <w:tcPr>
            <w:tcW w:w="398" w:type="pct"/>
            <w:vAlign w:val="center"/>
          </w:tcPr>
          <w:p w14:paraId="3AFFAD80">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N</w:t>
            </w:r>
            <w:r>
              <w:rPr>
                <w:snapToGrid w:val="0"/>
                <w:color w:val="000000" w:themeColor="text1"/>
                <w:kern w:val="0"/>
                <w14:textFill>
                  <w14:solidFill>
                    <w14:schemeClr w14:val="tx1"/>
                  </w14:solidFill>
                </w14:textFill>
              </w:rPr>
              <w:t>H</w:t>
            </w:r>
            <w:r>
              <w:rPr>
                <w:snapToGrid w:val="0"/>
                <w:color w:val="000000" w:themeColor="text1"/>
                <w:kern w:val="0"/>
                <w:vertAlign w:val="subscript"/>
                <w14:textFill>
                  <w14:solidFill>
                    <w14:schemeClr w14:val="tx1"/>
                  </w14:solidFill>
                </w14:textFill>
              </w:rPr>
              <w:t>3</w:t>
            </w:r>
          </w:p>
        </w:tc>
        <w:tc>
          <w:tcPr>
            <w:tcW w:w="1649" w:type="pct"/>
            <w:vMerge w:val="restart"/>
            <w:vAlign w:val="center"/>
          </w:tcPr>
          <w:p w14:paraId="7DAFEB3A">
            <w:pPr>
              <w:pStyle w:val="143"/>
              <w:rPr>
                <w:snapToGrid w:val="0"/>
                <w:color w:val="000000" w:themeColor="text1"/>
                <w:kern w:val="0"/>
                <w14:textFill>
                  <w14:solidFill>
                    <w14:schemeClr w14:val="tx1"/>
                  </w14:solidFill>
                </w14:textFill>
              </w:rPr>
            </w:pPr>
            <w:r>
              <w:rPr>
                <w:rFonts w:hint="eastAsia" w:ascii="Times New Roman"/>
                <w:snapToGrid w:val="0"/>
                <w:color w:val="000000"/>
                <w:szCs w:val="24"/>
              </w:rPr>
              <w:t>污水处理站产生恶臭气体的单元加盖密闭，定期喷洒除臭剂</w:t>
            </w:r>
          </w:p>
        </w:tc>
        <w:tc>
          <w:tcPr>
            <w:tcW w:w="520" w:type="pct"/>
            <w:vAlign w:val="center"/>
          </w:tcPr>
          <w:p w14:paraId="60E0073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0D814EE7">
            <w:pPr>
              <w:pStyle w:val="143"/>
              <w:ind w:firstLine="0" w:firstLineChars="0"/>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1.69</w:t>
            </w:r>
            <w:r>
              <w:rPr>
                <w:rFonts w:cs="Times New Roman"/>
                <w:snapToGrid w:val="0"/>
                <w:color w:val="000000" w:themeColor="text1"/>
                <w:lang w:val="en-US"/>
                <w14:textFill>
                  <w14:solidFill>
                    <w14:schemeClr w14:val="tx1"/>
                  </w14:solidFill>
                </w14:textFill>
              </w:rPr>
              <w:t>×10</w:t>
            </w:r>
            <w:r>
              <w:rPr>
                <w:rFonts w:cs="Times New Roman"/>
                <w:snapToGrid w:val="0"/>
                <w:color w:val="000000" w:themeColor="text1"/>
                <w:vertAlign w:val="superscript"/>
                <w:lang w:val="en-US"/>
                <w14:textFill>
                  <w14:solidFill>
                    <w14:schemeClr w14:val="tx1"/>
                  </w14:solidFill>
                </w14:textFill>
              </w:rPr>
              <w:t>-</w:t>
            </w:r>
            <w:r>
              <w:rPr>
                <w:rFonts w:hint="eastAsia" w:cs="Times New Roman"/>
                <w:snapToGrid w:val="0"/>
                <w:color w:val="000000" w:themeColor="text1"/>
                <w:vertAlign w:val="superscript"/>
                <w:lang w:val="en-US" w:eastAsia="zh-CN"/>
                <w14:textFill>
                  <w14:solidFill>
                    <w14:schemeClr w14:val="tx1"/>
                  </w14:solidFill>
                </w14:textFill>
              </w:rPr>
              <w:t>2</w:t>
            </w:r>
          </w:p>
        </w:tc>
        <w:tc>
          <w:tcPr>
            <w:tcW w:w="1335" w:type="pct"/>
            <w:vMerge w:val="restart"/>
            <w:vAlign w:val="center"/>
          </w:tcPr>
          <w:p w14:paraId="34BCB4CF">
            <w:pPr>
              <w:pStyle w:val="143"/>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《恶臭污染物排放标准》（GB14554-93）表1中二级新扩改建标准</w:t>
            </w:r>
          </w:p>
        </w:tc>
      </w:tr>
      <w:tr w14:paraId="03C56C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0107C147">
            <w:pPr>
              <w:pStyle w:val="143"/>
              <w:rPr>
                <w:snapToGrid w:val="0"/>
                <w:color w:val="000000" w:themeColor="text1"/>
                <w:kern w:val="0"/>
                <w14:textFill>
                  <w14:solidFill>
                    <w14:schemeClr w14:val="tx1"/>
                  </w14:solidFill>
                </w14:textFill>
              </w:rPr>
            </w:pPr>
          </w:p>
        </w:tc>
        <w:tc>
          <w:tcPr>
            <w:tcW w:w="299" w:type="pct"/>
            <w:vMerge w:val="continue"/>
            <w:vAlign w:val="center"/>
          </w:tcPr>
          <w:p w14:paraId="218E63F0">
            <w:pPr>
              <w:pStyle w:val="143"/>
              <w:rPr>
                <w:snapToGrid w:val="0"/>
                <w:color w:val="000000" w:themeColor="text1"/>
                <w:kern w:val="0"/>
                <w14:textFill>
                  <w14:solidFill>
                    <w14:schemeClr w14:val="tx1"/>
                  </w14:solidFill>
                </w14:textFill>
              </w:rPr>
            </w:pPr>
          </w:p>
        </w:tc>
        <w:tc>
          <w:tcPr>
            <w:tcW w:w="398" w:type="pct"/>
            <w:vAlign w:val="center"/>
          </w:tcPr>
          <w:p w14:paraId="6E9CA8EE">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H</w:t>
            </w:r>
            <w:r>
              <w:rPr>
                <w:snapToGrid w:val="0"/>
                <w:color w:val="000000" w:themeColor="text1"/>
                <w:kern w:val="0"/>
                <w:vertAlign w:val="subscript"/>
                <w14:textFill>
                  <w14:solidFill>
                    <w14:schemeClr w14:val="tx1"/>
                  </w14:solidFill>
                </w14:textFill>
              </w:rPr>
              <w:t>2</w:t>
            </w:r>
            <w:r>
              <w:rPr>
                <w:snapToGrid w:val="0"/>
                <w:color w:val="000000" w:themeColor="text1"/>
                <w:kern w:val="0"/>
                <w14:textFill>
                  <w14:solidFill>
                    <w14:schemeClr w14:val="tx1"/>
                  </w14:solidFill>
                </w14:textFill>
              </w:rPr>
              <w:t>S</w:t>
            </w:r>
          </w:p>
        </w:tc>
        <w:tc>
          <w:tcPr>
            <w:tcW w:w="1649" w:type="pct"/>
            <w:vMerge w:val="continue"/>
            <w:vAlign w:val="center"/>
          </w:tcPr>
          <w:p w14:paraId="0B09A764">
            <w:pPr>
              <w:pStyle w:val="143"/>
              <w:rPr>
                <w:snapToGrid w:val="0"/>
                <w:color w:val="000000" w:themeColor="text1"/>
                <w:kern w:val="0"/>
                <w14:textFill>
                  <w14:solidFill>
                    <w14:schemeClr w14:val="tx1"/>
                  </w14:solidFill>
                </w14:textFill>
              </w:rPr>
            </w:pPr>
          </w:p>
        </w:tc>
        <w:tc>
          <w:tcPr>
            <w:tcW w:w="520" w:type="pct"/>
            <w:vAlign w:val="center"/>
          </w:tcPr>
          <w:p w14:paraId="0C675902">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73CE659C">
            <w:pPr>
              <w:pStyle w:val="143"/>
              <w:ind w:firstLine="0" w:firstLineChars="0"/>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6.5</w:t>
            </w:r>
            <w:r>
              <w:rPr>
                <w:rFonts w:cs="Times New Roman"/>
                <w:snapToGrid w:val="0"/>
                <w:color w:val="000000" w:themeColor="text1"/>
                <w:lang w:val="en-US"/>
                <w14:textFill>
                  <w14:solidFill>
                    <w14:schemeClr w14:val="tx1"/>
                  </w14:solidFill>
                </w14:textFill>
              </w:rPr>
              <w:t>×10</w:t>
            </w:r>
            <w:r>
              <w:rPr>
                <w:rFonts w:cs="Times New Roman"/>
                <w:snapToGrid w:val="0"/>
                <w:color w:val="000000" w:themeColor="text1"/>
                <w:vertAlign w:val="superscript"/>
                <w:lang w:val="en-US"/>
                <w14:textFill>
                  <w14:solidFill>
                    <w14:schemeClr w14:val="tx1"/>
                  </w14:solidFill>
                </w14:textFill>
              </w:rPr>
              <w:t>-</w:t>
            </w:r>
            <w:r>
              <w:rPr>
                <w:rFonts w:hint="eastAsia" w:cs="Times New Roman"/>
                <w:snapToGrid w:val="0"/>
                <w:color w:val="000000" w:themeColor="text1"/>
                <w:vertAlign w:val="superscript"/>
                <w:lang w:val="en-US" w:eastAsia="zh-CN"/>
                <w14:textFill>
                  <w14:solidFill>
                    <w14:schemeClr w14:val="tx1"/>
                  </w14:solidFill>
                </w14:textFill>
              </w:rPr>
              <w:t>4</w:t>
            </w:r>
          </w:p>
        </w:tc>
        <w:tc>
          <w:tcPr>
            <w:tcW w:w="1335" w:type="pct"/>
            <w:vMerge w:val="continue"/>
            <w:vAlign w:val="center"/>
          </w:tcPr>
          <w:p w14:paraId="501D013D">
            <w:pPr>
              <w:pStyle w:val="143"/>
              <w:rPr>
                <w:snapToGrid w:val="0"/>
                <w:color w:val="000000" w:themeColor="text1"/>
                <w:kern w:val="0"/>
                <w14:textFill>
                  <w14:solidFill>
                    <w14:schemeClr w14:val="tx1"/>
                  </w14:solidFill>
                </w14:textFill>
              </w:rPr>
            </w:pPr>
          </w:p>
        </w:tc>
      </w:tr>
      <w:tr w14:paraId="20E49A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23C96A23">
            <w:pPr>
              <w:pStyle w:val="143"/>
              <w:rPr>
                <w:snapToGrid w:val="0"/>
                <w:color w:val="000000" w:themeColor="text1"/>
                <w:kern w:val="0"/>
                <w14:textFill>
                  <w14:solidFill>
                    <w14:schemeClr w14:val="tx1"/>
                  </w14:solidFill>
                </w14:textFill>
              </w:rPr>
            </w:pPr>
          </w:p>
        </w:tc>
        <w:tc>
          <w:tcPr>
            <w:tcW w:w="299" w:type="pct"/>
            <w:vMerge w:val="continue"/>
            <w:vAlign w:val="center"/>
          </w:tcPr>
          <w:p w14:paraId="00F980C8">
            <w:pPr>
              <w:pStyle w:val="143"/>
              <w:rPr>
                <w:snapToGrid w:val="0"/>
                <w:color w:val="000000" w:themeColor="text1"/>
                <w:kern w:val="0"/>
                <w14:textFill>
                  <w14:solidFill>
                    <w14:schemeClr w14:val="tx1"/>
                  </w14:solidFill>
                </w14:textFill>
              </w:rPr>
            </w:pPr>
          </w:p>
        </w:tc>
        <w:tc>
          <w:tcPr>
            <w:tcW w:w="398" w:type="pct"/>
            <w:vAlign w:val="center"/>
          </w:tcPr>
          <w:p w14:paraId="7ECE37BE">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臭气浓度</w:t>
            </w:r>
          </w:p>
        </w:tc>
        <w:tc>
          <w:tcPr>
            <w:tcW w:w="1649" w:type="pct"/>
            <w:vMerge w:val="continue"/>
            <w:vAlign w:val="center"/>
          </w:tcPr>
          <w:p w14:paraId="483D71FB">
            <w:pPr>
              <w:pStyle w:val="143"/>
              <w:rPr>
                <w:snapToGrid w:val="0"/>
                <w:color w:val="000000" w:themeColor="text1"/>
                <w:kern w:val="0"/>
                <w14:textFill>
                  <w14:solidFill>
                    <w14:schemeClr w14:val="tx1"/>
                  </w14:solidFill>
                </w14:textFill>
              </w:rPr>
            </w:pPr>
          </w:p>
        </w:tc>
        <w:tc>
          <w:tcPr>
            <w:tcW w:w="520" w:type="pct"/>
            <w:vAlign w:val="center"/>
          </w:tcPr>
          <w:p w14:paraId="784A763C">
            <w:pPr>
              <w:pStyle w:val="143"/>
              <w:rPr>
                <w:snapToGrid w:val="0"/>
                <w:color w:val="000000" w:themeColor="text1"/>
                <w:kern w:val="0"/>
                <w:lang w:eastAsia="zh-CN"/>
                <w14:textFill>
                  <w14:solidFill>
                    <w14:schemeClr w14:val="tx1"/>
                  </w14:solidFill>
                </w14:textFill>
              </w:rPr>
            </w:pPr>
            <w:r>
              <w:rPr>
                <w:rFonts w:hint="eastAsia"/>
                <w:bCs/>
                <w:snapToGrid w:val="0"/>
                <w:color w:val="000000" w:themeColor="text1"/>
                <w:sz w:val="21"/>
                <w:szCs w:val="21"/>
                <w:lang w:val="en-US" w:eastAsia="zh-CN"/>
                <w14:textFill>
                  <w14:solidFill>
                    <w14:schemeClr w14:val="tx1"/>
                  </w14:solidFill>
                </w14:textFill>
              </w:rPr>
              <w:t>＜</w:t>
            </w:r>
            <w:r>
              <w:rPr>
                <w:rFonts w:ascii="Times New Roman"/>
                <w:snapToGrid w:val="0"/>
                <w:color w:val="000000"/>
                <w:sz w:val="21"/>
                <w:szCs w:val="21"/>
              </w:rPr>
              <w:t>20（无量纲）</w:t>
            </w:r>
          </w:p>
        </w:tc>
        <w:tc>
          <w:tcPr>
            <w:tcW w:w="493" w:type="pct"/>
            <w:vAlign w:val="center"/>
          </w:tcPr>
          <w:p w14:paraId="5BA6C3A5">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Merge w:val="continue"/>
            <w:vAlign w:val="center"/>
          </w:tcPr>
          <w:p w14:paraId="27AC87DB">
            <w:pPr>
              <w:pStyle w:val="143"/>
              <w:rPr>
                <w:snapToGrid w:val="0"/>
                <w:color w:val="000000" w:themeColor="text1"/>
                <w:kern w:val="0"/>
                <w14:textFill>
                  <w14:solidFill>
                    <w14:schemeClr w14:val="tx1"/>
                  </w14:solidFill>
                </w14:textFill>
              </w:rPr>
            </w:pPr>
          </w:p>
        </w:tc>
      </w:tr>
      <w:tr w14:paraId="77B85E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228822CE">
            <w:pPr>
              <w:pStyle w:val="143"/>
              <w:rPr>
                <w:snapToGrid w:val="0"/>
                <w:color w:val="000000" w:themeColor="text1"/>
                <w:kern w:val="0"/>
                <w14:textFill>
                  <w14:solidFill>
                    <w14:schemeClr w14:val="tx1"/>
                  </w14:solidFill>
                </w14:textFill>
              </w:rPr>
            </w:pPr>
          </w:p>
        </w:tc>
        <w:tc>
          <w:tcPr>
            <w:tcW w:w="299" w:type="pct"/>
            <w:vMerge w:val="restart"/>
            <w:vAlign w:val="center"/>
          </w:tcPr>
          <w:p w14:paraId="5BABEDBC">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燃气</w:t>
            </w:r>
            <w:r>
              <w:rPr>
                <w:rFonts w:hint="eastAsia"/>
                <w:snapToGrid w:val="0"/>
                <w:color w:val="000000" w:themeColor="text1"/>
                <w:kern w:val="0"/>
                <w:lang w:val="en-US"/>
                <w14:textFill>
                  <w14:solidFill>
                    <w14:schemeClr w14:val="tx1"/>
                  </w14:solidFill>
                </w14:textFill>
              </w:rPr>
              <w:t>锅炉</w:t>
            </w:r>
          </w:p>
        </w:tc>
        <w:tc>
          <w:tcPr>
            <w:tcW w:w="398" w:type="pct"/>
            <w:vAlign w:val="center"/>
          </w:tcPr>
          <w:p w14:paraId="6DCC2846">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14:textFill>
                  <w14:solidFill>
                    <w14:schemeClr w14:val="tx1"/>
                  </w14:solidFill>
                </w14:textFill>
              </w:rPr>
              <w:t>颗粒物</w:t>
            </w:r>
          </w:p>
        </w:tc>
        <w:tc>
          <w:tcPr>
            <w:tcW w:w="1649" w:type="pct"/>
            <w:vMerge w:val="restart"/>
            <w:vAlign w:val="center"/>
          </w:tcPr>
          <w:p w14:paraId="4C32039C">
            <w:pPr>
              <w:pStyle w:val="143"/>
              <w:rPr>
                <w:rFonts w:hint="eastAsia" w:eastAsia="宋体"/>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低氮燃烧器+</w:t>
            </w:r>
            <w:r>
              <w:rPr>
                <w:snapToGrid w:val="0"/>
                <w:color w:val="000000" w:themeColor="text1"/>
                <w:kern w:val="0"/>
                <w14:textFill>
                  <w14:solidFill>
                    <w14:schemeClr w14:val="tx1"/>
                  </w14:solidFill>
                </w14:textFill>
              </w:rPr>
              <w:t>25</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val="en-US"/>
                <w14:textFill>
                  <w14:solidFill>
                    <w14:schemeClr w14:val="tx1"/>
                  </w14:solidFill>
                </w14:textFill>
              </w:rPr>
              <w:t>烟囱D</w:t>
            </w:r>
            <w:r>
              <w:rPr>
                <w:snapToGrid w:val="0"/>
                <w:color w:val="000000" w:themeColor="text1"/>
                <w:kern w:val="0"/>
                <w:lang w:val="en-US"/>
                <w14:textFill>
                  <w14:solidFill>
                    <w14:schemeClr w14:val="tx1"/>
                  </w14:solidFill>
                </w14:textFill>
              </w:rPr>
              <w:t>A00</w:t>
            </w:r>
            <w:r>
              <w:rPr>
                <w:rFonts w:hint="eastAsia"/>
                <w:snapToGrid w:val="0"/>
                <w:color w:val="000000" w:themeColor="text1"/>
                <w:kern w:val="0"/>
                <w:lang w:val="en-US" w:eastAsia="zh-CN"/>
                <w14:textFill>
                  <w14:solidFill>
                    <w14:schemeClr w14:val="tx1"/>
                  </w14:solidFill>
                </w14:textFill>
              </w:rPr>
              <w:t>2</w:t>
            </w:r>
          </w:p>
        </w:tc>
        <w:tc>
          <w:tcPr>
            <w:tcW w:w="520" w:type="pct"/>
            <w:vAlign w:val="center"/>
          </w:tcPr>
          <w:p w14:paraId="35C14D04">
            <w:pPr>
              <w:pStyle w:val="143"/>
              <w:ind w:firstLine="0" w:firstLineChars="0"/>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9.95</w:t>
            </w:r>
          </w:p>
        </w:tc>
        <w:tc>
          <w:tcPr>
            <w:tcW w:w="493" w:type="pct"/>
            <w:vAlign w:val="center"/>
          </w:tcPr>
          <w:p w14:paraId="53B46805">
            <w:pPr>
              <w:pStyle w:val="143"/>
              <w:ind w:firstLine="0" w:firstLineChars="0"/>
              <w:rPr>
                <w:snapToGrid w:val="0"/>
                <w:color w:val="000000" w:themeColor="text1"/>
                <w:kern w:val="0"/>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0.11</w:t>
            </w:r>
          </w:p>
        </w:tc>
        <w:tc>
          <w:tcPr>
            <w:tcW w:w="1335" w:type="pct"/>
            <w:vMerge w:val="restart"/>
            <w:vAlign w:val="center"/>
          </w:tcPr>
          <w:p w14:paraId="4B07724A">
            <w:pPr>
              <w:pStyle w:val="143"/>
              <w:jc w:val="both"/>
              <w:rPr>
                <w:snapToGrid w:val="0"/>
                <w:color w:val="000000" w:themeColor="text1"/>
                <w:kern w:val="0"/>
                <w14:textFill>
                  <w14:solidFill>
                    <w14:schemeClr w14:val="tx1"/>
                  </w14:solidFill>
                </w14:textFill>
              </w:rPr>
            </w:pPr>
            <w:r>
              <w:rPr>
                <w:rFonts w:hint="eastAsia"/>
                <w:bCs/>
                <w:snapToGrid w:val="0"/>
                <w:color w:val="000000" w:themeColor="text1"/>
                <w:kern w:val="0"/>
                <w:lang w:val="en-US"/>
                <w14:textFill>
                  <w14:solidFill>
                    <w14:schemeClr w14:val="tx1"/>
                  </w14:solidFill>
                </w14:textFill>
              </w:rPr>
              <w:t>《锅炉大气污染物排放标准》（GB13271-2014）表2</w:t>
            </w:r>
            <w:r>
              <w:rPr>
                <w:rFonts w:hint="eastAsia"/>
                <w:bCs/>
                <w:snapToGrid w:val="0"/>
                <w:color w:val="000000" w:themeColor="text1"/>
                <w:kern w:val="0"/>
                <w:lang w:val="en-US" w:eastAsia="zh-CN"/>
                <w14:textFill>
                  <w14:solidFill>
                    <w14:schemeClr w14:val="tx1"/>
                  </w14:solidFill>
                </w14:textFill>
              </w:rPr>
              <w:t>燃气</w:t>
            </w:r>
            <w:r>
              <w:rPr>
                <w:rFonts w:hint="eastAsia"/>
                <w:bCs/>
                <w:snapToGrid w:val="0"/>
                <w:color w:val="000000" w:themeColor="text1"/>
                <w:kern w:val="0"/>
                <w:lang w:val="en-US"/>
                <w14:textFill>
                  <w14:solidFill>
                    <w14:schemeClr w14:val="tx1"/>
                  </w14:solidFill>
                </w14:textFill>
              </w:rPr>
              <w:t>锅炉标准</w:t>
            </w:r>
          </w:p>
        </w:tc>
      </w:tr>
      <w:tr w14:paraId="0E87EF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3AA2DC7C">
            <w:pPr>
              <w:pStyle w:val="143"/>
              <w:rPr>
                <w:snapToGrid w:val="0"/>
                <w:color w:val="000000" w:themeColor="text1"/>
                <w:kern w:val="0"/>
                <w14:textFill>
                  <w14:solidFill>
                    <w14:schemeClr w14:val="tx1"/>
                  </w14:solidFill>
                </w14:textFill>
              </w:rPr>
            </w:pPr>
          </w:p>
        </w:tc>
        <w:tc>
          <w:tcPr>
            <w:tcW w:w="299" w:type="pct"/>
            <w:vMerge w:val="continue"/>
            <w:vAlign w:val="center"/>
          </w:tcPr>
          <w:p w14:paraId="14F146E2">
            <w:pPr>
              <w:pStyle w:val="143"/>
              <w:rPr>
                <w:snapToGrid w:val="0"/>
                <w:color w:val="000000" w:themeColor="text1"/>
                <w:kern w:val="0"/>
                <w14:textFill>
                  <w14:solidFill>
                    <w14:schemeClr w14:val="tx1"/>
                  </w14:solidFill>
                </w14:textFill>
              </w:rPr>
            </w:pPr>
          </w:p>
        </w:tc>
        <w:tc>
          <w:tcPr>
            <w:tcW w:w="398" w:type="pct"/>
            <w:vAlign w:val="center"/>
          </w:tcPr>
          <w:p w14:paraId="07390AA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S</w:t>
            </w:r>
            <w:r>
              <w:rPr>
                <w:snapToGrid w:val="0"/>
                <w:color w:val="000000" w:themeColor="text1"/>
                <w:kern w:val="0"/>
                <w14:textFill>
                  <w14:solidFill>
                    <w14:schemeClr w14:val="tx1"/>
                  </w14:solidFill>
                </w14:textFill>
              </w:rPr>
              <w:t>O</w:t>
            </w:r>
            <w:r>
              <w:rPr>
                <w:snapToGrid w:val="0"/>
                <w:color w:val="000000" w:themeColor="text1"/>
                <w:kern w:val="0"/>
                <w:vertAlign w:val="subscript"/>
                <w14:textFill>
                  <w14:solidFill>
                    <w14:schemeClr w14:val="tx1"/>
                  </w14:solidFill>
                </w14:textFill>
              </w:rPr>
              <w:t>2</w:t>
            </w:r>
          </w:p>
        </w:tc>
        <w:tc>
          <w:tcPr>
            <w:tcW w:w="1649" w:type="pct"/>
            <w:vMerge w:val="continue"/>
            <w:vAlign w:val="center"/>
          </w:tcPr>
          <w:p w14:paraId="325B0F4C">
            <w:pPr>
              <w:pStyle w:val="143"/>
              <w:rPr>
                <w:snapToGrid w:val="0"/>
                <w:color w:val="000000" w:themeColor="text1"/>
                <w:kern w:val="0"/>
                <w14:textFill>
                  <w14:solidFill>
                    <w14:schemeClr w14:val="tx1"/>
                  </w14:solidFill>
                </w14:textFill>
              </w:rPr>
            </w:pPr>
          </w:p>
        </w:tc>
        <w:tc>
          <w:tcPr>
            <w:tcW w:w="520" w:type="pct"/>
            <w:vAlign w:val="center"/>
          </w:tcPr>
          <w:p w14:paraId="6A66B3E5">
            <w:pPr>
              <w:pStyle w:val="143"/>
              <w:ind w:firstLine="0" w:firstLineChars="0"/>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19.36</w:t>
            </w:r>
          </w:p>
        </w:tc>
        <w:tc>
          <w:tcPr>
            <w:tcW w:w="493" w:type="pct"/>
            <w:vAlign w:val="center"/>
          </w:tcPr>
          <w:p w14:paraId="01103781">
            <w:pPr>
              <w:pStyle w:val="143"/>
              <w:ind w:firstLine="0" w:firstLineChars="0"/>
              <w:rPr>
                <w:snapToGrid w:val="0"/>
                <w:color w:val="000000" w:themeColor="text1"/>
                <w:kern w:val="0"/>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1.54</w:t>
            </w:r>
          </w:p>
        </w:tc>
        <w:tc>
          <w:tcPr>
            <w:tcW w:w="1335" w:type="pct"/>
            <w:vMerge w:val="continue"/>
            <w:vAlign w:val="center"/>
          </w:tcPr>
          <w:p w14:paraId="662E0523">
            <w:pPr>
              <w:pStyle w:val="143"/>
              <w:rPr>
                <w:snapToGrid w:val="0"/>
                <w:color w:val="000000" w:themeColor="text1"/>
                <w:kern w:val="0"/>
                <w14:textFill>
                  <w14:solidFill>
                    <w14:schemeClr w14:val="tx1"/>
                  </w14:solidFill>
                </w14:textFill>
              </w:rPr>
            </w:pPr>
          </w:p>
        </w:tc>
      </w:tr>
      <w:tr w14:paraId="794A6D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072E9E48">
            <w:pPr>
              <w:pStyle w:val="143"/>
              <w:rPr>
                <w:snapToGrid w:val="0"/>
                <w:color w:val="000000" w:themeColor="text1"/>
                <w:kern w:val="0"/>
                <w14:textFill>
                  <w14:solidFill>
                    <w14:schemeClr w14:val="tx1"/>
                  </w14:solidFill>
                </w14:textFill>
              </w:rPr>
            </w:pPr>
          </w:p>
        </w:tc>
        <w:tc>
          <w:tcPr>
            <w:tcW w:w="299" w:type="pct"/>
            <w:vMerge w:val="continue"/>
            <w:vAlign w:val="center"/>
          </w:tcPr>
          <w:p w14:paraId="227AE894">
            <w:pPr>
              <w:pStyle w:val="143"/>
              <w:rPr>
                <w:snapToGrid w:val="0"/>
                <w:color w:val="000000" w:themeColor="text1"/>
                <w:kern w:val="0"/>
                <w14:textFill>
                  <w14:solidFill>
                    <w14:schemeClr w14:val="tx1"/>
                  </w14:solidFill>
                </w14:textFill>
              </w:rPr>
            </w:pPr>
          </w:p>
        </w:tc>
        <w:tc>
          <w:tcPr>
            <w:tcW w:w="398" w:type="pct"/>
            <w:vAlign w:val="center"/>
          </w:tcPr>
          <w:p w14:paraId="603946FC">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14:textFill>
                  <w14:solidFill>
                    <w14:schemeClr w14:val="tx1"/>
                  </w14:solidFill>
                </w14:textFill>
              </w:rPr>
              <w:t>N</w:t>
            </w:r>
            <w:r>
              <w:rPr>
                <w:snapToGrid w:val="0"/>
                <w:color w:val="000000" w:themeColor="text1"/>
                <w:kern w:val="0"/>
                <w14:textFill>
                  <w14:solidFill>
                    <w14:schemeClr w14:val="tx1"/>
                  </w14:solidFill>
                </w14:textFill>
              </w:rPr>
              <w:t>O</w:t>
            </w:r>
            <w:r>
              <w:rPr>
                <w:snapToGrid w:val="0"/>
                <w:color w:val="000000" w:themeColor="text1"/>
                <w:kern w:val="0"/>
                <w:vertAlign w:val="subscript"/>
                <w14:textFill>
                  <w14:solidFill>
                    <w14:schemeClr w14:val="tx1"/>
                  </w14:solidFill>
                </w14:textFill>
              </w:rPr>
              <w:t>X</w:t>
            </w:r>
          </w:p>
        </w:tc>
        <w:tc>
          <w:tcPr>
            <w:tcW w:w="1649" w:type="pct"/>
            <w:vMerge w:val="continue"/>
            <w:vAlign w:val="center"/>
          </w:tcPr>
          <w:p w14:paraId="10652DDB">
            <w:pPr>
              <w:pStyle w:val="143"/>
              <w:rPr>
                <w:snapToGrid w:val="0"/>
                <w:color w:val="000000" w:themeColor="text1"/>
                <w:kern w:val="0"/>
                <w14:textFill>
                  <w14:solidFill>
                    <w14:schemeClr w14:val="tx1"/>
                  </w14:solidFill>
                </w14:textFill>
              </w:rPr>
            </w:pPr>
          </w:p>
        </w:tc>
        <w:tc>
          <w:tcPr>
            <w:tcW w:w="520" w:type="pct"/>
            <w:vAlign w:val="center"/>
          </w:tcPr>
          <w:p w14:paraId="149CEB26">
            <w:pPr>
              <w:pStyle w:val="143"/>
              <w:ind w:firstLine="0" w:firstLineChars="0"/>
              <w:rPr>
                <w:snapToGrid w:val="0"/>
                <w:color w:val="000000" w:themeColor="text1"/>
                <w:kern w:val="0"/>
                <w:lang w:eastAsia="zh-CN"/>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180</w:t>
            </w:r>
          </w:p>
        </w:tc>
        <w:tc>
          <w:tcPr>
            <w:tcW w:w="493" w:type="pct"/>
            <w:vAlign w:val="center"/>
          </w:tcPr>
          <w:p w14:paraId="62F5DA4F">
            <w:pPr>
              <w:pStyle w:val="143"/>
              <w:ind w:firstLine="0" w:firstLineChars="0"/>
              <w:rPr>
                <w:snapToGrid w:val="0"/>
                <w:color w:val="000000" w:themeColor="text1"/>
                <w:kern w:val="0"/>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14.19</w:t>
            </w:r>
          </w:p>
        </w:tc>
        <w:tc>
          <w:tcPr>
            <w:tcW w:w="1335" w:type="pct"/>
            <w:vMerge w:val="continue"/>
            <w:vAlign w:val="center"/>
          </w:tcPr>
          <w:p w14:paraId="0CC4E9CF">
            <w:pPr>
              <w:pStyle w:val="143"/>
              <w:rPr>
                <w:snapToGrid w:val="0"/>
                <w:color w:val="000000" w:themeColor="text1"/>
                <w:kern w:val="0"/>
                <w14:textFill>
                  <w14:solidFill>
                    <w14:schemeClr w14:val="tx1"/>
                  </w14:solidFill>
                </w14:textFill>
              </w:rPr>
            </w:pPr>
          </w:p>
        </w:tc>
      </w:tr>
      <w:tr w14:paraId="2F2DAD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07B1B372">
            <w:pPr>
              <w:pStyle w:val="143"/>
              <w:rPr>
                <w:snapToGrid w:val="0"/>
                <w:color w:val="000000" w:themeColor="text1"/>
                <w:kern w:val="0"/>
                <w14:textFill>
                  <w14:solidFill>
                    <w14:schemeClr w14:val="tx1"/>
                  </w14:solidFill>
                </w14:textFill>
              </w:rPr>
            </w:pPr>
          </w:p>
        </w:tc>
        <w:tc>
          <w:tcPr>
            <w:tcW w:w="299" w:type="pct"/>
            <w:vAlign w:val="center"/>
          </w:tcPr>
          <w:p w14:paraId="473DC746">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原料处理间</w:t>
            </w:r>
          </w:p>
        </w:tc>
        <w:tc>
          <w:tcPr>
            <w:tcW w:w="398" w:type="pct"/>
            <w:vAlign w:val="center"/>
          </w:tcPr>
          <w:p w14:paraId="28129E60">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粉尘</w:t>
            </w:r>
          </w:p>
        </w:tc>
        <w:tc>
          <w:tcPr>
            <w:tcW w:w="1649" w:type="pct"/>
            <w:vAlign w:val="center"/>
          </w:tcPr>
          <w:p w14:paraId="6D528976">
            <w:pPr>
              <w:pStyle w:val="143"/>
              <w:rPr>
                <w:rFonts w:hint="eastAsia" w:eastAsia="宋体"/>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14:textFill>
                  <w14:solidFill>
                    <w14:schemeClr w14:val="tx1"/>
                  </w14:solidFill>
                </w14:textFill>
              </w:rPr>
              <w:t>封闭设备+布袋除尘器+</w:t>
            </w:r>
            <w:r>
              <w:rPr>
                <w:rFonts w:hint="eastAsia"/>
                <w:snapToGrid w:val="0"/>
                <w:color w:val="000000" w:themeColor="text1"/>
                <w:kern w:val="0"/>
                <w:lang w:val="en-US" w:eastAsia="zh-CN"/>
                <w14:textFill>
                  <w14:solidFill>
                    <w14:schemeClr w14:val="tx1"/>
                  </w14:solidFill>
                </w14:textFill>
              </w:rPr>
              <w:t>15</w:t>
            </w:r>
            <w:r>
              <w:rPr>
                <w:rFonts w:hint="eastAsia"/>
                <w:snapToGrid w:val="0"/>
                <w:color w:val="000000" w:themeColor="text1"/>
                <w:kern w:val="0"/>
                <w:lang w:val="en-US"/>
                <w14:textFill>
                  <w14:solidFill>
                    <w14:schemeClr w14:val="tx1"/>
                  </w14:solidFill>
                </w14:textFill>
              </w:rPr>
              <w:t>m高排气筒D</w:t>
            </w:r>
            <w:r>
              <w:rPr>
                <w:snapToGrid w:val="0"/>
                <w:color w:val="000000" w:themeColor="text1"/>
                <w:kern w:val="0"/>
                <w:lang w:val="en-US"/>
                <w14:textFill>
                  <w14:solidFill>
                    <w14:schemeClr w14:val="tx1"/>
                  </w14:solidFill>
                </w14:textFill>
              </w:rPr>
              <w:t>A00</w:t>
            </w:r>
            <w:r>
              <w:rPr>
                <w:rFonts w:hint="eastAsia"/>
                <w:snapToGrid w:val="0"/>
                <w:color w:val="000000" w:themeColor="text1"/>
                <w:kern w:val="0"/>
                <w:lang w:val="en-US" w:eastAsia="zh-CN"/>
                <w14:textFill>
                  <w14:solidFill>
                    <w14:schemeClr w14:val="tx1"/>
                  </w14:solidFill>
                </w14:textFill>
              </w:rPr>
              <w:t>3</w:t>
            </w:r>
          </w:p>
        </w:tc>
        <w:tc>
          <w:tcPr>
            <w:tcW w:w="520" w:type="pct"/>
            <w:vAlign w:val="center"/>
          </w:tcPr>
          <w:p w14:paraId="127063BD">
            <w:pPr>
              <w:pStyle w:val="143"/>
              <w:ind w:firstLine="0" w:firstLineChars="0"/>
              <w:rPr>
                <w:snapToGrid w:val="0"/>
                <w:color w:val="000000" w:themeColor="text1"/>
                <w:kern w:val="0"/>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0.58</w:t>
            </w:r>
          </w:p>
        </w:tc>
        <w:tc>
          <w:tcPr>
            <w:tcW w:w="493" w:type="pct"/>
            <w:vAlign w:val="center"/>
          </w:tcPr>
          <w:p w14:paraId="7CAF047A">
            <w:pPr>
              <w:pStyle w:val="143"/>
              <w:ind w:firstLine="0" w:firstLineChars="0"/>
              <w:rPr>
                <w:snapToGrid w:val="0"/>
                <w:color w:val="000000" w:themeColor="text1"/>
                <w:kern w:val="0"/>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0.021</w:t>
            </w:r>
          </w:p>
        </w:tc>
        <w:tc>
          <w:tcPr>
            <w:tcW w:w="1335" w:type="pct"/>
            <w:vAlign w:val="center"/>
          </w:tcPr>
          <w:p w14:paraId="614BACB6">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《大气污染物综合排放标准》（GB16297-1996）表2中二级标准（排放速率严格50%执行）要求</w:t>
            </w:r>
          </w:p>
        </w:tc>
      </w:tr>
      <w:tr w14:paraId="0AEB4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59A11915">
            <w:pPr>
              <w:pStyle w:val="143"/>
              <w:rPr>
                <w:snapToGrid w:val="0"/>
                <w:color w:val="000000" w:themeColor="text1"/>
                <w:kern w:val="0"/>
                <w14:textFill>
                  <w14:solidFill>
                    <w14:schemeClr w14:val="tx1"/>
                  </w14:solidFill>
                </w14:textFill>
              </w:rPr>
            </w:pPr>
          </w:p>
        </w:tc>
        <w:tc>
          <w:tcPr>
            <w:tcW w:w="299" w:type="pct"/>
            <w:vMerge w:val="restart"/>
            <w:vAlign w:val="center"/>
          </w:tcPr>
          <w:p w14:paraId="1DF285B1">
            <w:pPr>
              <w:pStyle w:val="143"/>
              <w:rPr>
                <w:rFonts w:hint="eastAsia"/>
                <w:snapToGrid w:val="0"/>
                <w:color w:val="000000" w:themeColor="text1"/>
                <w:kern w:val="0"/>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柴油发电间</w:t>
            </w:r>
          </w:p>
        </w:tc>
        <w:tc>
          <w:tcPr>
            <w:tcW w:w="398" w:type="pct"/>
            <w:vAlign w:val="center"/>
          </w:tcPr>
          <w:p w14:paraId="60B7FAFB">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颗粒物</w:t>
            </w:r>
          </w:p>
        </w:tc>
        <w:tc>
          <w:tcPr>
            <w:tcW w:w="1649" w:type="pct"/>
            <w:vMerge w:val="restart"/>
            <w:vAlign w:val="center"/>
          </w:tcPr>
          <w:p w14:paraId="00AAC46C">
            <w:pPr>
              <w:pStyle w:val="143"/>
              <w:rPr>
                <w:rFonts w:hint="eastAsia"/>
                <w:snapToGrid w:val="0"/>
                <w:color w:val="000000" w:themeColor="text1"/>
                <w:kern w:val="0"/>
                <w:lang w:val="en-US"/>
                <w14:textFill>
                  <w14:solidFill>
                    <w14:schemeClr w14:val="tx1"/>
                  </w14:solidFill>
                </w14:textFill>
              </w:rPr>
            </w:pPr>
            <w:r>
              <w:rPr>
                <w:rFonts w:ascii="Times New Roman"/>
                <w:snapToGrid w:val="0"/>
                <w:color w:val="000000"/>
                <w:sz w:val="21"/>
                <w:szCs w:val="21"/>
              </w:rPr>
              <w:t>经内置烟井引至冷库房顶高空排放</w:t>
            </w:r>
          </w:p>
        </w:tc>
        <w:tc>
          <w:tcPr>
            <w:tcW w:w="520" w:type="pct"/>
            <w:vAlign w:val="center"/>
          </w:tcPr>
          <w:p w14:paraId="41A056CB">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sz w:val="21"/>
                <w:szCs w:val="21"/>
                <w:lang w:val="en-US" w:eastAsia="zh-CN" w:bidi="ar"/>
                <w14:textFill>
                  <w14:solidFill>
                    <w14:schemeClr w14:val="tx1"/>
                  </w14:solidFill>
                </w14:textFill>
              </w:rPr>
              <w:t>45.1</w:t>
            </w:r>
          </w:p>
        </w:tc>
        <w:tc>
          <w:tcPr>
            <w:tcW w:w="493" w:type="pct"/>
            <w:vAlign w:val="center"/>
          </w:tcPr>
          <w:p w14:paraId="3FCE8F13">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sz w:val="21"/>
                <w:szCs w:val="21"/>
                <w:lang w:val="en-US" w:eastAsia="zh-CN" w:bidi="ar"/>
                <w14:textFill>
                  <w14:solidFill>
                    <w14:schemeClr w14:val="tx1"/>
                  </w14:solidFill>
                </w14:textFill>
              </w:rPr>
              <w:t>7.54×10</w:t>
            </w:r>
            <w:r>
              <w:rPr>
                <w:rFonts w:hint="eastAsia"/>
                <w:snapToGrid w:val="0"/>
                <w:color w:val="000000" w:themeColor="text1"/>
                <w:sz w:val="21"/>
                <w:szCs w:val="21"/>
                <w:vertAlign w:val="superscript"/>
                <w:lang w:val="en-US" w:eastAsia="zh-CN" w:bidi="ar"/>
                <w14:textFill>
                  <w14:solidFill>
                    <w14:schemeClr w14:val="tx1"/>
                  </w14:solidFill>
                </w14:textFill>
              </w:rPr>
              <w:t>-3</w:t>
            </w:r>
          </w:p>
        </w:tc>
        <w:tc>
          <w:tcPr>
            <w:tcW w:w="1335" w:type="pct"/>
            <w:vMerge w:val="restart"/>
            <w:vAlign w:val="center"/>
          </w:tcPr>
          <w:p w14:paraId="1CAF2148">
            <w:pPr>
              <w:pStyle w:val="143"/>
              <w:rPr>
                <w:rFonts w:hint="eastAsia"/>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《大气污染物综合排放标准》（GB16297-1996）表2无组织排放浓度限值要求</w:t>
            </w:r>
          </w:p>
        </w:tc>
      </w:tr>
      <w:tr w14:paraId="410BB1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2247E7DF">
            <w:pPr>
              <w:pStyle w:val="143"/>
              <w:rPr>
                <w:snapToGrid w:val="0"/>
                <w:color w:val="000000" w:themeColor="text1"/>
                <w:kern w:val="0"/>
                <w14:textFill>
                  <w14:solidFill>
                    <w14:schemeClr w14:val="tx1"/>
                  </w14:solidFill>
                </w14:textFill>
              </w:rPr>
            </w:pPr>
          </w:p>
        </w:tc>
        <w:tc>
          <w:tcPr>
            <w:tcW w:w="299" w:type="pct"/>
            <w:vMerge w:val="continue"/>
            <w:vAlign w:val="center"/>
          </w:tcPr>
          <w:p w14:paraId="5848B2A2">
            <w:pPr>
              <w:pStyle w:val="143"/>
              <w:rPr>
                <w:rFonts w:hint="eastAsia"/>
                <w:snapToGrid w:val="0"/>
                <w:color w:val="000000" w:themeColor="text1"/>
                <w:kern w:val="0"/>
                <w:lang w:val="en-US"/>
                <w14:textFill>
                  <w14:solidFill>
                    <w14:schemeClr w14:val="tx1"/>
                  </w14:solidFill>
                </w14:textFill>
              </w:rPr>
            </w:pPr>
          </w:p>
        </w:tc>
        <w:tc>
          <w:tcPr>
            <w:tcW w:w="398" w:type="pct"/>
            <w:vAlign w:val="center"/>
          </w:tcPr>
          <w:p w14:paraId="4AB5C470">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S</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2</w:t>
            </w:r>
          </w:p>
        </w:tc>
        <w:tc>
          <w:tcPr>
            <w:tcW w:w="1649" w:type="pct"/>
            <w:vMerge w:val="continue"/>
            <w:vAlign w:val="center"/>
          </w:tcPr>
          <w:p w14:paraId="7574F1E6">
            <w:pPr>
              <w:pStyle w:val="143"/>
              <w:rPr>
                <w:rFonts w:hint="eastAsia"/>
                <w:snapToGrid w:val="0"/>
                <w:color w:val="000000" w:themeColor="text1"/>
                <w:kern w:val="0"/>
                <w:lang w:val="en-US"/>
                <w14:textFill>
                  <w14:solidFill>
                    <w14:schemeClr w14:val="tx1"/>
                  </w14:solidFill>
                </w14:textFill>
              </w:rPr>
            </w:pPr>
          </w:p>
        </w:tc>
        <w:tc>
          <w:tcPr>
            <w:tcW w:w="520" w:type="pct"/>
            <w:vAlign w:val="center"/>
          </w:tcPr>
          <w:p w14:paraId="35EAF529">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sz w:val="21"/>
                <w:szCs w:val="21"/>
                <w:lang w:val="en-US" w:eastAsia="zh-CN" w:bidi="ar"/>
                <w14:textFill>
                  <w14:solidFill>
                    <w14:schemeClr w14:val="tx1"/>
                  </w14:solidFill>
                </w14:textFill>
              </w:rPr>
              <w:t>30.3</w:t>
            </w:r>
          </w:p>
        </w:tc>
        <w:tc>
          <w:tcPr>
            <w:tcW w:w="493" w:type="pct"/>
            <w:vAlign w:val="center"/>
          </w:tcPr>
          <w:p w14:paraId="548E2A67">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sz w:val="21"/>
                <w:szCs w:val="21"/>
                <w:lang w:val="en-US" w:eastAsia="zh-CN" w:bidi="ar"/>
                <w14:textFill>
                  <w14:solidFill>
                    <w14:schemeClr w14:val="tx1"/>
                  </w14:solidFill>
                </w14:textFill>
              </w:rPr>
              <w:t>5.07×10</w:t>
            </w:r>
            <w:r>
              <w:rPr>
                <w:rFonts w:hint="eastAsia"/>
                <w:snapToGrid w:val="0"/>
                <w:color w:val="000000" w:themeColor="text1"/>
                <w:sz w:val="21"/>
                <w:szCs w:val="21"/>
                <w:vertAlign w:val="superscript"/>
                <w:lang w:val="en-US" w:eastAsia="zh-CN" w:bidi="ar"/>
                <w14:textFill>
                  <w14:solidFill>
                    <w14:schemeClr w14:val="tx1"/>
                  </w14:solidFill>
                </w14:textFill>
              </w:rPr>
              <w:t>-3</w:t>
            </w:r>
          </w:p>
        </w:tc>
        <w:tc>
          <w:tcPr>
            <w:tcW w:w="1335" w:type="pct"/>
            <w:vMerge w:val="continue"/>
            <w:vAlign w:val="center"/>
          </w:tcPr>
          <w:p w14:paraId="68423060">
            <w:pPr>
              <w:pStyle w:val="143"/>
              <w:rPr>
                <w:rFonts w:hint="eastAsia"/>
                <w:snapToGrid w:val="0"/>
                <w:color w:val="000000" w:themeColor="text1"/>
                <w:kern w:val="0"/>
                <w:lang w:val="en-US"/>
                <w14:textFill>
                  <w14:solidFill>
                    <w14:schemeClr w14:val="tx1"/>
                  </w14:solidFill>
                </w14:textFill>
              </w:rPr>
            </w:pPr>
          </w:p>
        </w:tc>
      </w:tr>
      <w:tr w14:paraId="72EFA4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09851C23">
            <w:pPr>
              <w:pStyle w:val="143"/>
              <w:rPr>
                <w:snapToGrid w:val="0"/>
                <w:color w:val="000000" w:themeColor="text1"/>
                <w:kern w:val="0"/>
                <w14:textFill>
                  <w14:solidFill>
                    <w14:schemeClr w14:val="tx1"/>
                  </w14:solidFill>
                </w14:textFill>
              </w:rPr>
            </w:pPr>
          </w:p>
        </w:tc>
        <w:tc>
          <w:tcPr>
            <w:tcW w:w="299" w:type="pct"/>
            <w:vMerge w:val="continue"/>
            <w:vAlign w:val="center"/>
          </w:tcPr>
          <w:p w14:paraId="00927E8C">
            <w:pPr>
              <w:pStyle w:val="143"/>
              <w:rPr>
                <w:rFonts w:hint="eastAsia"/>
                <w:snapToGrid w:val="0"/>
                <w:color w:val="000000" w:themeColor="text1"/>
                <w:kern w:val="0"/>
                <w:lang w:val="en-US"/>
                <w14:textFill>
                  <w14:solidFill>
                    <w14:schemeClr w14:val="tx1"/>
                  </w14:solidFill>
                </w14:textFill>
              </w:rPr>
            </w:pPr>
          </w:p>
        </w:tc>
        <w:tc>
          <w:tcPr>
            <w:tcW w:w="398" w:type="pct"/>
            <w:vAlign w:val="center"/>
          </w:tcPr>
          <w:p w14:paraId="6616E1DA">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lang w:eastAsia="zh-CN"/>
                <w14:textFill>
                  <w14:solidFill>
                    <w14:schemeClr w14:val="tx1"/>
                  </w14:solidFill>
                </w14:textFill>
              </w:rPr>
              <w:t>N</w:t>
            </w:r>
            <w:r>
              <w:rPr>
                <w:snapToGrid w:val="0"/>
                <w:color w:val="000000" w:themeColor="text1"/>
                <w:lang w:eastAsia="zh-CN"/>
                <w14:textFill>
                  <w14:solidFill>
                    <w14:schemeClr w14:val="tx1"/>
                  </w14:solidFill>
                </w14:textFill>
              </w:rPr>
              <w:t>O</w:t>
            </w:r>
            <w:r>
              <w:rPr>
                <w:snapToGrid w:val="0"/>
                <w:color w:val="000000" w:themeColor="text1"/>
                <w:vertAlign w:val="subscript"/>
                <w:lang w:eastAsia="zh-CN"/>
                <w14:textFill>
                  <w14:solidFill>
                    <w14:schemeClr w14:val="tx1"/>
                  </w14:solidFill>
                </w14:textFill>
              </w:rPr>
              <w:t>X</w:t>
            </w:r>
          </w:p>
        </w:tc>
        <w:tc>
          <w:tcPr>
            <w:tcW w:w="1649" w:type="pct"/>
            <w:vMerge w:val="continue"/>
            <w:vAlign w:val="center"/>
          </w:tcPr>
          <w:p w14:paraId="6B8CDF87">
            <w:pPr>
              <w:pStyle w:val="143"/>
              <w:rPr>
                <w:rFonts w:hint="eastAsia"/>
                <w:snapToGrid w:val="0"/>
                <w:color w:val="000000" w:themeColor="text1"/>
                <w:kern w:val="0"/>
                <w:lang w:val="en-US"/>
                <w14:textFill>
                  <w14:solidFill>
                    <w14:schemeClr w14:val="tx1"/>
                  </w14:solidFill>
                </w14:textFill>
              </w:rPr>
            </w:pPr>
          </w:p>
        </w:tc>
        <w:tc>
          <w:tcPr>
            <w:tcW w:w="520" w:type="pct"/>
            <w:vAlign w:val="center"/>
          </w:tcPr>
          <w:p w14:paraId="0C3751F1">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sz w:val="21"/>
                <w:szCs w:val="21"/>
                <w:lang w:val="en-US" w:eastAsia="zh-CN" w:bidi="ar"/>
                <w14:textFill>
                  <w14:solidFill>
                    <w14:schemeClr w14:val="tx1"/>
                  </w14:solidFill>
                </w14:textFill>
              </w:rPr>
              <w:t>83.8</w:t>
            </w:r>
          </w:p>
        </w:tc>
        <w:tc>
          <w:tcPr>
            <w:tcW w:w="493" w:type="pct"/>
            <w:vAlign w:val="center"/>
          </w:tcPr>
          <w:p w14:paraId="3ADDB75A">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snapToGrid w:val="0"/>
                <w:color w:val="000000" w:themeColor="text1"/>
                <w:lang w:val="en-US" w:eastAsia="zh-CN"/>
                <w14:textFill>
                  <w14:solidFill>
                    <w14:schemeClr w14:val="tx1"/>
                  </w14:solidFill>
                </w14:textFill>
              </w:rPr>
            </w:pPr>
            <w:r>
              <w:rPr>
                <w:rFonts w:hint="eastAsia"/>
                <w:snapToGrid w:val="0"/>
                <w:color w:val="000000" w:themeColor="text1"/>
                <w:sz w:val="21"/>
                <w:szCs w:val="21"/>
                <w:lang w:val="en-US" w:eastAsia="zh-CN" w:bidi="ar"/>
                <w14:textFill>
                  <w14:solidFill>
                    <w14:schemeClr w14:val="tx1"/>
                  </w14:solidFill>
                </w14:textFill>
              </w:rPr>
              <w:t>14.02×10</w:t>
            </w:r>
            <w:r>
              <w:rPr>
                <w:rFonts w:hint="eastAsia"/>
                <w:snapToGrid w:val="0"/>
                <w:color w:val="000000" w:themeColor="text1"/>
                <w:sz w:val="21"/>
                <w:szCs w:val="21"/>
                <w:vertAlign w:val="superscript"/>
                <w:lang w:val="en-US" w:eastAsia="zh-CN" w:bidi="ar"/>
                <w14:textFill>
                  <w14:solidFill>
                    <w14:schemeClr w14:val="tx1"/>
                  </w14:solidFill>
                </w14:textFill>
              </w:rPr>
              <w:t>-3</w:t>
            </w:r>
          </w:p>
        </w:tc>
        <w:tc>
          <w:tcPr>
            <w:tcW w:w="1335" w:type="pct"/>
            <w:vMerge w:val="continue"/>
            <w:vAlign w:val="center"/>
          </w:tcPr>
          <w:p w14:paraId="6C9E85C7">
            <w:pPr>
              <w:pStyle w:val="143"/>
              <w:rPr>
                <w:rFonts w:hint="eastAsia"/>
                <w:snapToGrid w:val="0"/>
                <w:color w:val="000000" w:themeColor="text1"/>
                <w:kern w:val="0"/>
                <w:lang w:val="en-US"/>
                <w14:textFill>
                  <w14:solidFill>
                    <w14:schemeClr w14:val="tx1"/>
                  </w14:solidFill>
                </w14:textFill>
              </w:rPr>
            </w:pPr>
          </w:p>
        </w:tc>
      </w:tr>
      <w:tr w14:paraId="21ED16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4C607A3B">
            <w:pPr>
              <w:pStyle w:val="143"/>
              <w:rPr>
                <w:snapToGrid w:val="0"/>
                <w:color w:val="000000" w:themeColor="text1"/>
                <w:kern w:val="0"/>
                <w14:textFill>
                  <w14:solidFill>
                    <w14:schemeClr w14:val="tx1"/>
                  </w14:solidFill>
                </w14:textFill>
              </w:rPr>
            </w:pPr>
          </w:p>
        </w:tc>
        <w:tc>
          <w:tcPr>
            <w:tcW w:w="299" w:type="pct"/>
            <w:vAlign w:val="center"/>
          </w:tcPr>
          <w:p w14:paraId="7811152D">
            <w:pPr>
              <w:pStyle w:val="143"/>
              <w:ind w:firstLine="0" w:firstLineChars="0"/>
              <w:rPr>
                <w:rFonts w:hint="eastAsia"/>
                <w:snapToGrid w:val="0"/>
                <w:color w:val="000000" w:themeColor="text1"/>
                <w:kern w:val="0"/>
                <w:lang w:val="en-US"/>
                <w14:textFill>
                  <w14:solidFill>
                    <w14:schemeClr w14:val="tx1"/>
                  </w14:solidFill>
                </w14:textFill>
              </w:rPr>
            </w:pPr>
            <w:r>
              <w:rPr>
                <w:rFonts w:hint="eastAsia"/>
                <w:snapToGrid w:val="0"/>
                <w:color w:val="000000" w:themeColor="text1"/>
                <w:lang w:val="en-US" w:eastAsia="zh-CN"/>
                <w14:textFill>
                  <w14:solidFill>
                    <w14:schemeClr w14:val="tx1"/>
                  </w14:solidFill>
                </w14:textFill>
              </w:rPr>
              <w:t>食堂</w:t>
            </w:r>
          </w:p>
        </w:tc>
        <w:tc>
          <w:tcPr>
            <w:tcW w:w="398" w:type="pct"/>
            <w:vAlign w:val="center"/>
          </w:tcPr>
          <w:p w14:paraId="5B1EAD52">
            <w:pPr>
              <w:pStyle w:val="143"/>
              <w:ind w:firstLine="0" w:firstLineChars="0"/>
              <w:rPr>
                <w:rFonts w:hint="eastAsia"/>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油烟</w:t>
            </w:r>
          </w:p>
        </w:tc>
        <w:tc>
          <w:tcPr>
            <w:tcW w:w="1649" w:type="pct"/>
            <w:vAlign w:val="center"/>
          </w:tcPr>
          <w:p w14:paraId="4BCBE2D5">
            <w:pPr>
              <w:pStyle w:val="143"/>
              <w:rPr>
                <w:rFonts w:hint="eastAsia"/>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经</w:t>
            </w:r>
            <w:r>
              <w:rPr>
                <w:rFonts w:hint="eastAsia"/>
                <w:snapToGrid w:val="0"/>
                <w:color w:val="000000" w:themeColor="text1"/>
                <w:kern w:val="0"/>
                <w:lang w:val="en-US" w:eastAsia="zh-CN"/>
                <w14:textFill>
                  <w14:solidFill>
                    <w14:schemeClr w14:val="tx1"/>
                  </w14:solidFill>
                </w14:textFill>
              </w:rPr>
              <w:t>油烟净化器</w:t>
            </w:r>
            <w:r>
              <w:rPr>
                <w:rFonts w:hint="eastAsia"/>
                <w:snapToGrid w:val="0"/>
                <w:color w:val="000000" w:themeColor="text1"/>
                <w:kern w:val="0"/>
                <w:lang w:val="en-US"/>
                <w14:textFill>
                  <w14:solidFill>
                    <w14:schemeClr w14:val="tx1"/>
                  </w14:solidFill>
                </w14:textFill>
              </w:rPr>
              <w:t>处理后的油烟废气</w:t>
            </w:r>
            <w:r>
              <w:rPr>
                <w:rFonts w:hint="eastAsia"/>
                <w:snapToGrid w:val="0"/>
                <w:color w:val="000000" w:themeColor="text1"/>
                <w:kern w:val="0"/>
                <w:lang w:val="en-US" w:eastAsia="zh-CN"/>
                <w14:textFill>
                  <w14:solidFill>
                    <w14:schemeClr w14:val="tx1"/>
                  </w14:solidFill>
                </w14:textFill>
              </w:rPr>
              <w:t>，</w:t>
            </w:r>
            <w:r>
              <w:rPr>
                <w:rFonts w:hint="eastAsia"/>
                <w:snapToGrid w:val="0"/>
                <w:color w:val="000000" w:themeColor="text1"/>
                <w:kern w:val="0"/>
                <w:lang w:val="en-US"/>
                <w14:textFill>
                  <w14:solidFill>
                    <w14:schemeClr w14:val="tx1"/>
                  </w14:solidFill>
                </w14:textFill>
              </w:rPr>
              <w:t>经专用烟道引至楼顶排放</w:t>
            </w:r>
          </w:p>
        </w:tc>
        <w:tc>
          <w:tcPr>
            <w:tcW w:w="520" w:type="pct"/>
            <w:vAlign w:val="center"/>
          </w:tcPr>
          <w:p w14:paraId="76326F8B">
            <w:pPr>
              <w:pStyle w:val="143"/>
              <w:ind w:firstLine="0" w:firstLineChars="0"/>
              <w:rPr>
                <w:rFonts w:hint="eastAsia"/>
                <w:snapToGrid w:val="0"/>
                <w:color w:val="000000" w:themeColor="text1"/>
                <w:sz w:val="21"/>
                <w:szCs w:val="21"/>
                <w:lang w:val="en-US" w:eastAsia="zh-CN" w:bidi="ar"/>
                <w14:textFill>
                  <w14:solidFill>
                    <w14:schemeClr w14:val="tx1"/>
                  </w14:solidFill>
                </w14:textFill>
              </w:rPr>
            </w:pPr>
            <w:r>
              <w:rPr>
                <w:rFonts w:hint="eastAsia"/>
                <w:snapToGrid w:val="0"/>
                <w:color w:val="000000" w:themeColor="text1"/>
                <w:lang w:val="en-US" w:eastAsia="zh-CN"/>
                <w14:textFill>
                  <w14:solidFill>
                    <w14:schemeClr w14:val="tx1"/>
                  </w14:solidFill>
                </w14:textFill>
              </w:rPr>
              <w:t>0.99</w:t>
            </w:r>
          </w:p>
        </w:tc>
        <w:tc>
          <w:tcPr>
            <w:tcW w:w="493" w:type="pct"/>
            <w:vAlign w:val="center"/>
          </w:tcPr>
          <w:p w14:paraId="66F748B7">
            <w:pPr>
              <w:pStyle w:val="143"/>
              <w:ind w:firstLine="0" w:firstLineChars="0"/>
              <w:rPr>
                <w:rFonts w:hint="eastAsia"/>
                <w:snapToGrid w:val="0"/>
                <w:color w:val="000000" w:themeColor="text1"/>
                <w:sz w:val="21"/>
                <w:szCs w:val="21"/>
                <w:lang w:val="en-US" w:eastAsia="zh-CN" w:bidi="ar"/>
                <w14:textFill>
                  <w14:solidFill>
                    <w14:schemeClr w14:val="tx1"/>
                  </w14:solidFill>
                </w14:textFill>
              </w:rPr>
            </w:pPr>
            <w:r>
              <w:rPr>
                <w:rFonts w:hint="eastAsia"/>
                <w:snapToGrid w:val="0"/>
                <w:color w:val="000000" w:themeColor="text1"/>
                <w:lang w:val="en-US" w:eastAsia="zh-CN"/>
                <w14:textFill>
                  <w14:solidFill>
                    <w14:schemeClr w14:val="tx1"/>
                  </w14:solidFill>
                </w14:textFill>
              </w:rPr>
              <w:t>2.97</w:t>
            </w:r>
            <w:r>
              <w:rPr>
                <w:rFonts w:hint="eastAsia"/>
                <w:snapToGrid w:val="0"/>
                <w:color w:val="000000" w:themeColor="text1"/>
                <w:sz w:val="21"/>
                <w:szCs w:val="21"/>
                <w:lang w:val="en-US" w:eastAsia="zh-CN" w:bidi="ar"/>
                <w14:textFill>
                  <w14:solidFill>
                    <w14:schemeClr w14:val="tx1"/>
                  </w14:solidFill>
                </w14:textFill>
              </w:rPr>
              <w:t>×10</w:t>
            </w:r>
            <w:r>
              <w:rPr>
                <w:rFonts w:hint="eastAsia"/>
                <w:snapToGrid w:val="0"/>
                <w:color w:val="000000" w:themeColor="text1"/>
                <w:sz w:val="21"/>
                <w:szCs w:val="21"/>
                <w:vertAlign w:val="superscript"/>
                <w:lang w:val="en-US" w:eastAsia="zh-CN" w:bidi="ar"/>
                <w14:textFill>
                  <w14:solidFill>
                    <w14:schemeClr w14:val="tx1"/>
                  </w14:solidFill>
                </w14:textFill>
              </w:rPr>
              <w:t>-3</w:t>
            </w:r>
          </w:p>
        </w:tc>
        <w:tc>
          <w:tcPr>
            <w:tcW w:w="1335" w:type="pct"/>
            <w:vAlign w:val="center"/>
          </w:tcPr>
          <w:p w14:paraId="1BC61D9E">
            <w:pPr>
              <w:pStyle w:val="143"/>
              <w:rPr>
                <w:rFonts w:hint="eastAsia"/>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《饮食业油烟排放标准》（GB18483-2001）</w:t>
            </w:r>
            <w:r>
              <w:rPr>
                <w:rFonts w:hint="eastAsia"/>
                <w:snapToGrid w:val="0"/>
                <w:color w:val="000000" w:themeColor="text1"/>
                <w:kern w:val="0"/>
                <w:lang w:val="en-US" w:eastAsia="zh-CN"/>
                <w14:textFill>
                  <w14:solidFill>
                    <w14:schemeClr w14:val="tx1"/>
                  </w14:solidFill>
                </w14:textFill>
              </w:rPr>
              <w:t>中最高允许</w:t>
            </w:r>
            <w:r>
              <w:rPr>
                <w:rFonts w:hint="eastAsia"/>
                <w:snapToGrid w:val="0"/>
                <w:color w:val="000000" w:themeColor="text1"/>
                <w:kern w:val="0"/>
                <w:lang w:val="en-US"/>
                <w14:textFill>
                  <w14:solidFill>
                    <w14:schemeClr w14:val="tx1"/>
                  </w14:solidFill>
                </w14:textFill>
              </w:rPr>
              <w:t>排放浓度</w:t>
            </w:r>
            <w:r>
              <w:rPr>
                <w:rFonts w:hint="eastAsia"/>
                <w:snapToGrid w:val="0"/>
                <w:color w:val="000000" w:themeColor="text1"/>
                <w:kern w:val="0"/>
                <w:lang w:val="en-US" w:eastAsia="zh-CN"/>
                <w14:textFill>
                  <w14:solidFill>
                    <w14:schemeClr w14:val="tx1"/>
                  </w14:solidFill>
                </w14:textFill>
              </w:rPr>
              <w:t>2.0</w:t>
            </w:r>
            <w:r>
              <w:rPr>
                <w:rFonts w:hint="eastAsia"/>
                <w:snapToGrid w:val="0"/>
                <w:color w:val="000000" w:themeColor="text1"/>
                <w:kern w:val="0"/>
                <w:lang w:val="en-US"/>
                <w14:textFill>
                  <w14:solidFill>
                    <w14:schemeClr w14:val="tx1"/>
                  </w14:solidFill>
                </w14:textFill>
              </w:rPr>
              <w:t>mg/m3的标准要求</w:t>
            </w:r>
          </w:p>
        </w:tc>
      </w:tr>
      <w:tr w14:paraId="0FE961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Align w:val="center"/>
          </w:tcPr>
          <w:p w14:paraId="66334E2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声环境</w:t>
            </w:r>
          </w:p>
        </w:tc>
        <w:tc>
          <w:tcPr>
            <w:tcW w:w="697" w:type="pct"/>
            <w:gridSpan w:val="2"/>
            <w:vAlign w:val="center"/>
          </w:tcPr>
          <w:p w14:paraId="594AE4F8">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厂界噪声</w:t>
            </w:r>
          </w:p>
        </w:tc>
        <w:tc>
          <w:tcPr>
            <w:tcW w:w="1649" w:type="pct"/>
            <w:vAlign w:val="center"/>
          </w:tcPr>
          <w:p w14:paraId="293EE905">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选用低噪声设备、</w:t>
            </w:r>
            <w:r>
              <w:rPr>
                <w:snapToGrid w:val="0"/>
                <w:color w:val="000000" w:themeColor="text1"/>
                <w:kern w:val="0"/>
                <w14:textFill>
                  <w14:solidFill>
                    <w14:schemeClr w14:val="tx1"/>
                  </w14:solidFill>
                </w14:textFill>
              </w:rPr>
              <w:t>隔声、减振，加强厂区绿化</w:t>
            </w:r>
          </w:p>
        </w:tc>
        <w:tc>
          <w:tcPr>
            <w:tcW w:w="520" w:type="pct"/>
            <w:vAlign w:val="center"/>
          </w:tcPr>
          <w:p w14:paraId="6D7E2002">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w:t>
            </w:r>
          </w:p>
        </w:tc>
        <w:tc>
          <w:tcPr>
            <w:tcW w:w="493" w:type="pct"/>
            <w:vAlign w:val="center"/>
          </w:tcPr>
          <w:p w14:paraId="1A9ED99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昼间≤65dB(A)</w:t>
            </w:r>
          </w:p>
          <w:p w14:paraId="5B0E999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夜间≤55dB(A)</w:t>
            </w:r>
          </w:p>
        </w:tc>
        <w:tc>
          <w:tcPr>
            <w:tcW w:w="1335" w:type="pct"/>
            <w:vAlign w:val="center"/>
          </w:tcPr>
          <w:p w14:paraId="5A2671D2">
            <w:pPr>
              <w:pStyle w:val="143"/>
              <w:rPr>
                <w:rFonts w:hint="eastAsia" w:eastAsia="宋体"/>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东侧、南侧、北侧厂界</w:t>
            </w:r>
            <w:r>
              <w:rPr>
                <w:snapToGrid w:val="0"/>
                <w:color w:val="000000" w:themeColor="text1"/>
                <w:kern w:val="0"/>
                <w14:textFill>
                  <w14:solidFill>
                    <w14:schemeClr w14:val="tx1"/>
                  </w14:solidFill>
                </w14:textFill>
              </w:rPr>
              <w:t>《工业企业</w:t>
            </w:r>
            <w:r>
              <w:rPr>
                <w:rFonts w:hint="eastAsia"/>
                <w:snapToGrid w:val="0"/>
                <w:color w:val="000000" w:themeColor="text1"/>
                <w:kern w:val="0"/>
                <w14:textFill>
                  <w14:solidFill>
                    <w14:schemeClr w14:val="tx1"/>
                  </w14:solidFill>
                </w14:textFill>
              </w:rPr>
              <w:t>厂</w:t>
            </w:r>
            <w:r>
              <w:rPr>
                <w:snapToGrid w:val="0"/>
                <w:color w:val="000000" w:themeColor="text1"/>
                <w:kern w:val="0"/>
                <w14:textFill>
                  <w14:solidFill>
                    <w14:schemeClr w14:val="tx1"/>
                  </w14:solidFill>
                </w14:textFill>
              </w:rPr>
              <w:t>界环境噪声排放标准》</w:t>
            </w:r>
            <w:r>
              <w:rPr>
                <w:rFonts w:hint="eastAsia"/>
                <w:snapToGrid w:val="0"/>
                <w:color w:val="000000" w:themeColor="text1"/>
                <w:kern w:val="0"/>
                <w14:textFill>
                  <w14:solidFill>
                    <w14:schemeClr w14:val="tx1"/>
                  </w14:solidFill>
                </w14:textFill>
              </w:rPr>
              <w:t>表1中</w:t>
            </w:r>
            <w:r>
              <w:rPr>
                <w:snapToGrid w:val="0"/>
                <w:color w:val="000000" w:themeColor="text1"/>
                <w:kern w:val="0"/>
                <w14:textFill>
                  <w14:solidFill>
                    <w14:schemeClr w14:val="tx1"/>
                  </w14:solidFill>
                </w14:textFill>
              </w:rPr>
              <w:t>的3类标准限值</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西侧厂界</w:t>
            </w:r>
            <w:r>
              <w:rPr>
                <w:snapToGrid w:val="0"/>
                <w:color w:val="000000" w:themeColor="text1"/>
                <w:kern w:val="0"/>
                <w14:textFill>
                  <w14:solidFill>
                    <w14:schemeClr w14:val="tx1"/>
                  </w14:solidFill>
                </w14:textFill>
              </w:rPr>
              <w:t>《工业企业</w:t>
            </w:r>
            <w:r>
              <w:rPr>
                <w:rFonts w:hint="eastAsia"/>
                <w:snapToGrid w:val="0"/>
                <w:color w:val="000000" w:themeColor="text1"/>
                <w:kern w:val="0"/>
                <w14:textFill>
                  <w14:solidFill>
                    <w14:schemeClr w14:val="tx1"/>
                  </w14:solidFill>
                </w14:textFill>
              </w:rPr>
              <w:t>厂</w:t>
            </w:r>
            <w:r>
              <w:rPr>
                <w:snapToGrid w:val="0"/>
                <w:color w:val="000000" w:themeColor="text1"/>
                <w:kern w:val="0"/>
                <w14:textFill>
                  <w14:solidFill>
                    <w14:schemeClr w14:val="tx1"/>
                  </w14:solidFill>
                </w14:textFill>
              </w:rPr>
              <w:t>界环境噪声排放标准》</w:t>
            </w:r>
            <w:r>
              <w:rPr>
                <w:rFonts w:hint="eastAsia"/>
                <w:snapToGrid w:val="0"/>
                <w:color w:val="000000" w:themeColor="text1"/>
                <w:kern w:val="0"/>
                <w14:textFill>
                  <w14:solidFill>
                    <w14:schemeClr w14:val="tx1"/>
                  </w14:solidFill>
                </w14:textFill>
              </w:rPr>
              <w:t>表1中</w:t>
            </w:r>
            <w:r>
              <w:rPr>
                <w:snapToGrid w:val="0"/>
                <w:color w:val="000000" w:themeColor="text1"/>
                <w:kern w:val="0"/>
                <w14:textFill>
                  <w14:solidFill>
                    <w14:schemeClr w14:val="tx1"/>
                  </w14:solidFill>
                </w14:textFill>
              </w:rPr>
              <w:t>的</w:t>
            </w:r>
            <w:r>
              <w:rPr>
                <w:rFonts w:hint="eastAsia"/>
                <w:snapToGrid w:val="0"/>
                <w:color w:val="000000" w:themeColor="text1"/>
                <w:kern w:val="0"/>
                <w:lang w:val="en-US" w:eastAsia="zh-CN"/>
                <w14:textFill>
                  <w14:solidFill>
                    <w14:schemeClr w14:val="tx1"/>
                  </w14:solidFill>
                </w14:textFill>
              </w:rPr>
              <w:t>4</w:t>
            </w:r>
            <w:r>
              <w:rPr>
                <w:snapToGrid w:val="0"/>
                <w:color w:val="000000" w:themeColor="text1"/>
                <w:kern w:val="0"/>
                <w14:textFill>
                  <w14:solidFill>
                    <w14:schemeClr w14:val="tx1"/>
                  </w14:solidFill>
                </w14:textFill>
              </w:rPr>
              <w:t>类标准限值</w:t>
            </w:r>
          </w:p>
        </w:tc>
      </w:tr>
      <w:tr w14:paraId="1FE054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restart"/>
            <w:vAlign w:val="center"/>
          </w:tcPr>
          <w:p w14:paraId="2A95AD0A">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固体废物</w:t>
            </w:r>
          </w:p>
        </w:tc>
        <w:tc>
          <w:tcPr>
            <w:tcW w:w="697" w:type="pct"/>
            <w:gridSpan w:val="2"/>
            <w:vAlign w:val="center"/>
          </w:tcPr>
          <w:p w14:paraId="4D112EAA">
            <w:pPr>
              <w:pStyle w:val="143"/>
              <w:rPr>
                <w:snapToGrid w:val="0"/>
                <w:color w:val="000000" w:themeColor="text1"/>
                <w:kern w:val="0"/>
                <w14:textFill>
                  <w14:solidFill>
                    <w14:schemeClr w14:val="tx1"/>
                  </w14:solidFill>
                </w14:textFill>
              </w:rPr>
            </w:pPr>
            <w:r>
              <w:rPr>
                <w:rFonts w:hint="eastAsia"/>
                <w:bCs/>
                <w:snapToGrid w:val="0"/>
                <w:color w:val="000000" w:themeColor="text1"/>
                <w:kern w:val="0"/>
                <w:lang w:eastAsia="zh-CN"/>
                <w14:textFill>
                  <w14:solidFill>
                    <w14:schemeClr w14:val="tx1"/>
                  </w14:solidFill>
                </w14:textFill>
              </w:rPr>
              <w:t>杂质</w:t>
            </w:r>
          </w:p>
        </w:tc>
        <w:tc>
          <w:tcPr>
            <w:tcW w:w="1649" w:type="pct"/>
            <w:vAlign w:val="center"/>
          </w:tcPr>
          <w:p w14:paraId="7D95DB88">
            <w:pPr>
              <w:pStyle w:val="143"/>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kern w:val="0"/>
                <w:lang w:val="en-US"/>
                <w14:textFill>
                  <w14:solidFill>
                    <w14:schemeClr w14:val="tx1"/>
                  </w14:solidFill>
                </w14:textFill>
              </w:rPr>
              <w:t>集中收集，外售有机肥厂生产有机肥</w:t>
            </w:r>
          </w:p>
        </w:tc>
        <w:tc>
          <w:tcPr>
            <w:tcW w:w="520" w:type="pct"/>
            <w:vAlign w:val="center"/>
          </w:tcPr>
          <w:p w14:paraId="748B3D99">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54652ACE">
            <w:pPr>
              <w:pStyle w:val="143"/>
              <w:rPr>
                <w:rFonts w:hint="default"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1335" w:type="pct"/>
            <w:vAlign w:val="center"/>
          </w:tcPr>
          <w:p w14:paraId="3A73C3D4">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4F8E6F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3D8455C9">
            <w:pPr>
              <w:pStyle w:val="143"/>
              <w:rPr>
                <w:snapToGrid w:val="0"/>
                <w:color w:val="000000" w:themeColor="text1"/>
                <w:kern w:val="0"/>
                <w14:textFill>
                  <w14:solidFill>
                    <w14:schemeClr w14:val="tx1"/>
                  </w14:solidFill>
                </w14:textFill>
              </w:rPr>
            </w:pPr>
          </w:p>
        </w:tc>
        <w:tc>
          <w:tcPr>
            <w:tcW w:w="697" w:type="pct"/>
            <w:gridSpan w:val="2"/>
            <w:vAlign w:val="center"/>
          </w:tcPr>
          <w:p w14:paraId="18DBE1F4">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w:t>
            </w:r>
            <w:r>
              <w:rPr>
                <w:snapToGrid w:val="0"/>
                <w:color w:val="000000" w:themeColor="text1"/>
                <w:kern w:val="0"/>
                <w14:textFill>
                  <w14:solidFill>
                    <w14:schemeClr w14:val="tx1"/>
                  </w14:solidFill>
                </w14:textFill>
              </w:rPr>
              <w:t>酒糟及废酵母</w:t>
            </w:r>
          </w:p>
        </w:tc>
        <w:tc>
          <w:tcPr>
            <w:tcW w:w="1649" w:type="pct"/>
            <w:vAlign w:val="center"/>
          </w:tcPr>
          <w:p w14:paraId="467810A0">
            <w:pPr>
              <w:pStyle w:val="143"/>
              <w:rPr>
                <w:snapToGrid w:val="0"/>
                <w:color w:val="000000" w:themeColor="text1"/>
                <w:kern w:val="0"/>
                <w:lang w:eastAsia="zh-CN"/>
                <w14:textFill>
                  <w14:solidFill>
                    <w14:schemeClr w14:val="tx1"/>
                  </w14:solidFill>
                </w14:textFill>
              </w:rPr>
            </w:pPr>
            <w:r>
              <w:rPr>
                <w:snapToGrid w:val="0"/>
                <w:color w:val="000000" w:themeColor="text1"/>
                <w:kern w:val="0"/>
                <w14:textFill>
                  <w14:solidFill>
                    <w14:schemeClr w14:val="tx1"/>
                  </w14:solidFill>
                </w14:textFill>
              </w:rPr>
              <w:t>采用专用容器收集并加盖密封，暂存一般固废间，外售作饲料，日产日清</w:t>
            </w:r>
          </w:p>
        </w:tc>
        <w:tc>
          <w:tcPr>
            <w:tcW w:w="520" w:type="pct"/>
            <w:vAlign w:val="center"/>
          </w:tcPr>
          <w:p w14:paraId="0722B2CE">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593232C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75D38B28">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r>
      <w:tr w14:paraId="28D005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6113199B">
            <w:pPr>
              <w:pStyle w:val="143"/>
              <w:rPr>
                <w:snapToGrid w:val="0"/>
                <w:color w:val="000000" w:themeColor="text1"/>
                <w:kern w:val="0"/>
                <w14:textFill>
                  <w14:solidFill>
                    <w14:schemeClr w14:val="tx1"/>
                  </w14:solidFill>
                </w14:textFill>
              </w:rPr>
            </w:pPr>
          </w:p>
        </w:tc>
        <w:tc>
          <w:tcPr>
            <w:tcW w:w="697" w:type="pct"/>
            <w:gridSpan w:val="2"/>
            <w:vAlign w:val="center"/>
          </w:tcPr>
          <w:p w14:paraId="688E1114">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废硅藻土</w:t>
            </w:r>
          </w:p>
        </w:tc>
        <w:tc>
          <w:tcPr>
            <w:tcW w:w="1649" w:type="pct"/>
            <w:vAlign w:val="center"/>
          </w:tcPr>
          <w:p w14:paraId="626CE5E9">
            <w:pPr>
              <w:pStyle w:val="143"/>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暂存在密闭废土罐中</w:t>
            </w:r>
            <w:r>
              <w:rPr>
                <w:rFonts w:hint="default"/>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外售综合利用</w:t>
            </w:r>
            <w:r>
              <w:rPr>
                <w:rFonts w:hint="default"/>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定期转运</w:t>
            </w:r>
            <w:r>
              <w:rPr>
                <w:rFonts w:hint="default"/>
                <w:snapToGrid w:val="0"/>
                <w:color w:val="000000" w:themeColor="text1"/>
                <w:lang w:val="en-US" w:eastAsia="zh-CN"/>
                <w14:textFill>
                  <w14:solidFill>
                    <w14:schemeClr w14:val="tx1"/>
                  </w14:solidFill>
                </w14:textFill>
              </w:rPr>
              <w:t>不在厂区长时间贮存</w:t>
            </w:r>
          </w:p>
        </w:tc>
        <w:tc>
          <w:tcPr>
            <w:tcW w:w="520" w:type="pct"/>
            <w:vAlign w:val="center"/>
          </w:tcPr>
          <w:p w14:paraId="10713F95">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1BD319A9">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1335" w:type="pct"/>
            <w:vAlign w:val="center"/>
          </w:tcPr>
          <w:p w14:paraId="56AC7924">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142A3B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45E9FF62">
            <w:pPr>
              <w:pStyle w:val="143"/>
              <w:rPr>
                <w:snapToGrid w:val="0"/>
                <w:color w:val="000000" w:themeColor="text1"/>
                <w:kern w:val="0"/>
                <w14:textFill>
                  <w14:solidFill>
                    <w14:schemeClr w14:val="tx1"/>
                  </w14:solidFill>
                </w14:textFill>
              </w:rPr>
            </w:pPr>
          </w:p>
        </w:tc>
        <w:tc>
          <w:tcPr>
            <w:tcW w:w="697" w:type="pct"/>
            <w:gridSpan w:val="2"/>
            <w:vAlign w:val="center"/>
          </w:tcPr>
          <w:p w14:paraId="3FD17ED9">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除尘器</w:t>
            </w:r>
            <w:r>
              <w:rPr>
                <w:rFonts w:hint="eastAsia"/>
                <w:snapToGrid w:val="0"/>
                <w:color w:val="000000" w:themeColor="text1"/>
                <w:kern w:val="0"/>
                <w:lang w:eastAsia="zh-CN"/>
                <w14:textFill>
                  <w14:solidFill>
                    <w14:schemeClr w14:val="tx1"/>
                  </w14:solidFill>
                </w14:textFill>
              </w:rPr>
              <w:t>收尘</w:t>
            </w:r>
          </w:p>
        </w:tc>
        <w:tc>
          <w:tcPr>
            <w:tcW w:w="1649" w:type="pct"/>
            <w:vAlign w:val="center"/>
          </w:tcPr>
          <w:p w14:paraId="62FC268B">
            <w:pPr>
              <w:pStyle w:val="143"/>
              <w:ind w:firstLine="0" w:firstLineChars="0"/>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集中外售</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14:textFill>
                  <w14:solidFill>
                    <w14:schemeClr w14:val="tx1"/>
                  </w14:solidFill>
                </w14:textFill>
              </w:rPr>
              <w:t>有机肥厂生产有机肥</w:t>
            </w:r>
          </w:p>
        </w:tc>
        <w:tc>
          <w:tcPr>
            <w:tcW w:w="520" w:type="pct"/>
            <w:vAlign w:val="center"/>
          </w:tcPr>
          <w:p w14:paraId="7E5F88E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w:t>
            </w:r>
          </w:p>
        </w:tc>
        <w:tc>
          <w:tcPr>
            <w:tcW w:w="493" w:type="pct"/>
            <w:vAlign w:val="center"/>
          </w:tcPr>
          <w:p w14:paraId="3214AB30">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w:t>
            </w:r>
          </w:p>
        </w:tc>
        <w:tc>
          <w:tcPr>
            <w:tcW w:w="1335" w:type="pct"/>
            <w:vAlign w:val="center"/>
          </w:tcPr>
          <w:p w14:paraId="5DF8282D">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14:textFill>
                  <w14:solidFill>
                    <w14:schemeClr w14:val="tx1"/>
                  </w14:solidFill>
                </w14:textFill>
              </w:rPr>
              <w:t>/</w:t>
            </w:r>
          </w:p>
        </w:tc>
      </w:tr>
      <w:tr w14:paraId="43D0EB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435AD78A">
            <w:pPr>
              <w:pStyle w:val="143"/>
              <w:rPr>
                <w:snapToGrid w:val="0"/>
                <w:color w:val="000000" w:themeColor="text1"/>
                <w:kern w:val="0"/>
                <w14:textFill>
                  <w14:solidFill>
                    <w14:schemeClr w14:val="tx1"/>
                  </w14:solidFill>
                </w14:textFill>
              </w:rPr>
            </w:pPr>
          </w:p>
        </w:tc>
        <w:tc>
          <w:tcPr>
            <w:tcW w:w="697" w:type="pct"/>
            <w:gridSpan w:val="2"/>
            <w:vAlign w:val="center"/>
          </w:tcPr>
          <w:p w14:paraId="0F0BAA3E">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废布袋</w:t>
            </w:r>
          </w:p>
        </w:tc>
        <w:tc>
          <w:tcPr>
            <w:tcW w:w="1649" w:type="pct"/>
            <w:vAlign w:val="center"/>
          </w:tcPr>
          <w:p w14:paraId="4D8ECF95">
            <w:pPr>
              <w:pStyle w:val="143"/>
              <w:ind w:firstLine="0" w:firstLineChars="0"/>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更换时交厂家回收处置</w:t>
            </w:r>
          </w:p>
        </w:tc>
        <w:tc>
          <w:tcPr>
            <w:tcW w:w="520" w:type="pct"/>
            <w:vAlign w:val="center"/>
          </w:tcPr>
          <w:p w14:paraId="7ABE76C5">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w:t>
            </w:r>
          </w:p>
        </w:tc>
        <w:tc>
          <w:tcPr>
            <w:tcW w:w="493" w:type="pct"/>
            <w:vAlign w:val="center"/>
          </w:tcPr>
          <w:p w14:paraId="77DF5621">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w:t>
            </w:r>
          </w:p>
        </w:tc>
        <w:tc>
          <w:tcPr>
            <w:tcW w:w="1335" w:type="pct"/>
            <w:vAlign w:val="center"/>
          </w:tcPr>
          <w:p w14:paraId="4DF825DA">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166D6B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23367185">
            <w:pPr>
              <w:pStyle w:val="143"/>
              <w:rPr>
                <w:snapToGrid w:val="0"/>
                <w:color w:val="000000" w:themeColor="text1"/>
                <w:kern w:val="0"/>
                <w14:textFill>
                  <w14:solidFill>
                    <w14:schemeClr w14:val="tx1"/>
                  </w14:solidFill>
                </w14:textFill>
              </w:rPr>
            </w:pPr>
          </w:p>
        </w:tc>
        <w:tc>
          <w:tcPr>
            <w:tcW w:w="697" w:type="pct"/>
            <w:gridSpan w:val="2"/>
            <w:vAlign w:val="center"/>
          </w:tcPr>
          <w:p w14:paraId="7AADD12E">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污水处理污泥</w:t>
            </w:r>
          </w:p>
        </w:tc>
        <w:tc>
          <w:tcPr>
            <w:tcW w:w="1649" w:type="pct"/>
            <w:vAlign w:val="center"/>
          </w:tcPr>
          <w:p w14:paraId="793ED80E">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lang w:val="en-US"/>
                <w14:textFill>
                  <w14:solidFill>
                    <w14:schemeClr w14:val="tx1"/>
                  </w14:solidFill>
                </w14:textFill>
              </w:rPr>
              <w:t>采取压滤脱水处理，确保含水率低于</w:t>
            </w:r>
            <w:r>
              <w:rPr>
                <w:snapToGrid w:val="0"/>
                <w:color w:val="000000" w:themeColor="text1"/>
                <w:kern w:val="0"/>
                <w:lang w:val="en-US"/>
                <w14:textFill>
                  <w14:solidFill>
                    <w14:schemeClr w14:val="tx1"/>
                  </w14:solidFill>
                </w14:textFill>
              </w:rPr>
              <w:t>60%，</w:t>
            </w:r>
            <w:r>
              <w:rPr>
                <w:rFonts w:hint="eastAsia"/>
                <w:snapToGrid w:val="0"/>
                <w:color w:val="000000" w:themeColor="text1"/>
                <w:kern w:val="0"/>
                <w:lang w:val="en-US"/>
                <w14:textFill>
                  <w14:solidFill>
                    <w14:schemeClr w14:val="tx1"/>
                  </w14:solidFill>
                </w14:textFill>
              </w:rPr>
              <w:t>定期</w:t>
            </w:r>
            <w:r>
              <w:rPr>
                <w:snapToGrid w:val="0"/>
                <w:color w:val="000000" w:themeColor="text1"/>
                <w:kern w:val="0"/>
                <w:lang w:val="en-US"/>
                <w14:textFill>
                  <w14:solidFill>
                    <w14:schemeClr w14:val="tx1"/>
                  </w14:solidFill>
                </w14:textFill>
              </w:rPr>
              <w:t>交由</w:t>
            </w:r>
            <w:r>
              <w:rPr>
                <w:rFonts w:hint="eastAsia"/>
                <w:snapToGrid w:val="0"/>
                <w:color w:val="000000" w:themeColor="text1"/>
                <w:kern w:val="0"/>
                <w:lang w:val="en-US"/>
                <w14:textFill>
                  <w14:solidFill>
                    <w14:schemeClr w14:val="tx1"/>
                  </w14:solidFill>
                </w14:textFill>
              </w:rPr>
              <w:t>市政部门统一处理</w:t>
            </w:r>
          </w:p>
        </w:tc>
        <w:tc>
          <w:tcPr>
            <w:tcW w:w="520" w:type="pct"/>
            <w:vAlign w:val="center"/>
          </w:tcPr>
          <w:p w14:paraId="7AF38526">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6B47EA94">
            <w:pPr>
              <w:pStyle w:val="143"/>
              <w:rPr>
                <w:snapToGrid w:val="0"/>
                <w:color w:val="000000" w:themeColor="text1"/>
                <w:kern w:val="0"/>
                <w14:textFill>
                  <w14:solidFill>
                    <w14:schemeClr w14:val="tx1"/>
                  </w14:solidFill>
                </w14:textFill>
              </w:rPr>
            </w:pPr>
          </w:p>
        </w:tc>
        <w:tc>
          <w:tcPr>
            <w:tcW w:w="1335" w:type="pct"/>
            <w:vAlign w:val="center"/>
          </w:tcPr>
          <w:p w14:paraId="40FF1FA2">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污泥外运前应采取压滤脱水处理，确保含水率低于</w:t>
            </w:r>
            <w:r>
              <w:rPr>
                <w:snapToGrid w:val="0"/>
                <w:color w:val="000000" w:themeColor="text1"/>
                <w:kern w:val="0"/>
                <w:lang w:val="en-US" w:eastAsia="zh-CN"/>
                <w14:textFill>
                  <w14:solidFill>
                    <w14:schemeClr w14:val="tx1"/>
                  </w14:solidFill>
                </w14:textFill>
              </w:rPr>
              <w:t>60%</w:t>
            </w:r>
          </w:p>
        </w:tc>
      </w:tr>
      <w:tr w14:paraId="500486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497140EF">
            <w:pPr>
              <w:pStyle w:val="143"/>
              <w:rPr>
                <w:snapToGrid w:val="0"/>
                <w:color w:val="000000" w:themeColor="text1"/>
                <w:kern w:val="0"/>
                <w14:textFill>
                  <w14:solidFill>
                    <w14:schemeClr w14:val="tx1"/>
                  </w14:solidFill>
                </w14:textFill>
              </w:rPr>
            </w:pPr>
          </w:p>
        </w:tc>
        <w:tc>
          <w:tcPr>
            <w:tcW w:w="697" w:type="pct"/>
            <w:gridSpan w:val="2"/>
            <w:vAlign w:val="center"/>
          </w:tcPr>
          <w:p w14:paraId="18D4E319">
            <w:pPr>
              <w:pStyle w:val="143"/>
              <w:rPr>
                <w:snapToGrid w:val="0"/>
                <w:color w:val="000000" w:themeColor="text1"/>
                <w:kern w:val="0"/>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废脱硫剂</w:t>
            </w:r>
          </w:p>
        </w:tc>
        <w:tc>
          <w:tcPr>
            <w:tcW w:w="1649" w:type="pct"/>
            <w:vAlign w:val="center"/>
          </w:tcPr>
          <w:p w14:paraId="3A18FA7E">
            <w:pPr>
              <w:pStyle w:val="143"/>
              <w:rPr>
                <w:snapToGrid w:val="0"/>
                <w:color w:val="000000" w:themeColor="text1"/>
                <w:kern w:val="0"/>
                <w:lang w:val="en-US"/>
                <w14:textFill>
                  <w14:solidFill>
                    <w14:schemeClr w14:val="tx1"/>
                  </w14:solidFill>
                </w14:textFill>
              </w:rPr>
            </w:pPr>
            <w:r>
              <w:rPr>
                <w:rFonts w:hint="eastAsia"/>
                <w:snapToGrid w:val="0"/>
                <w:color w:val="000000" w:themeColor="text1"/>
                <w:kern w:val="0"/>
                <w14:textFill>
                  <w14:solidFill>
                    <w14:schemeClr w14:val="tx1"/>
                  </w14:solidFill>
                </w14:textFill>
              </w:rPr>
              <w:t>废脱硫剂更换</w:t>
            </w:r>
            <w:r>
              <w:rPr>
                <w:rFonts w:hint="eastAsia"/>
                <w:snapToGrid w:val="0"/>
                <w:color w:val="000000" w:themeColor="text1"/>
                <w:kern w:val="0"/>
                <w:lang w:eastAsia="zh-CN"/>
                <w14:textFill>
                  <w14:solidFill>
                    <w14:schemeClr w14:val="tx1"/>
                  </w14:solidFill>
                </w14:textFill>
              </w:rPr>
              <w:t>时</w:t>
            </w:r>
            <w:r>
              <w:rPr>
                <w:rFonts w:hint="eastAsia"/>
                <w:snapToGrid w:val="0"/>
                <w:color w:val="000000" w:themeColor="text1"/>
                <w:kern w:val="0"/>
                <w14:textFill>
                  <w14:solidFill>
                    <w14:schemeClr w14:val="tx1"/>
                  </w14:solidFill>
                </w14:textFill>
              </w:rPr>
              <w:t>由厂家回收。</w:t>
            </w:r>
          </w:p>
        </w:tc>
        <w:tc>
          <w:tcPr>
            <w:tcW w:w="520" w:type="pct"/>
            <w:vAlign w:val="center"/>
          </w:tcPr>
          <w:p w14:paraId="6B4E876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3EACFC71">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0D5D514C">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6F5A78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1E03B0F7">
            <w:pPr>
              <w:pStyle w:val="143"/>
              <w:rPr>
                <w:snapToGrid w:val="0"/>
                <w:color w:val="000000" w:themeColor="text1"/>
                <w:kern w:val="0"/>
                <w14:textFill>
                  <w14:solidFill>
                    <w14:schemeClr w14:val="tx1"/>
                  </w14:solidFill>
                </w14:textFill>
              </w:rPr>
            </w:pPr>
          </w:p>
        </w:tc>
        <w:tc>
          <w:tcPr>
            <w:tcW w:w="697" w:type="pct"/>
            <w:gridSpan w:val="2"/>
            <w:vAlign w:val="center"/>
          </w:tcPr>
          <w:p w14:paraId="0EA8C76E">
            <w:pPr>
              <w:pStyle w:val="143"/>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废包装物</w:t>
            </w:r>
          </w:p>
        </w:tc>
        <w:tc>
          <w:tcPr>
            <w:tcW w:w="1649" w:type="pct"/>
            <w:vAlign w:val="center"/>
          </w:tcPr>
          <w:p w14:paraId="7BF77650">
            <w:pPr>
              <w:pStyle w:val="143"/>
              <w:rPr>
                <w:snapToGrid w:val="0"/>
                <w:color w:val="000000" w:themeColor="text1"/>
                <w:kern w:val="0"/>
                <w:lang w:val="en-US"/>
                <w14:textFill>
                  <w14:solidFill>
                    <w14:schemeClr w14:val="tx1"/>
                  </w14:solidFill>
                </w14:textFill>
              </w:rPr>
            </w:pPr>
            <w:r>
              <w:rPr>
                <w:snapToGrid w:val="0"/>
                <w:color w:val="000000" w:themeColor="text1"/>
                <w:kern w:val="0"/>
                <w14:textFill>
                  <w14:solidFill>
                    <w14:schemeClr w14:val="tx1"/>
                  </w14:solidFill>
                </w14:textFill>
              </w:rPr>
              <w:t>集中外售，外售废品回收站</w:t>
            </w:r>
          </w:p>
        </w:tc>
        <w:tc>
          <w:tcPr>
            <w:tcW w:w="520" w:type="pct"/>
            <w:vAlign w:val="center"/>
          </w:tcPr>
          <w:p w14:paraId="5F82D378">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38F79EE7">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0E97C482">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53E3C5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25FE2443">
            <w:pPr>
              <w:pStyle w:val="143"/>
              <w:rPr>
                <w:snapToGrid w:val="0"/>
                <w:color w:val="000000" w:themeColor="text1"/>
                <w:kern w:val="0"/>
                <w14:textFill>
                  <w14:solidFill>
                    <w14:schemeClr w14:val="tx1"/>
                  </w14:solidFill>
                </w14:textFill>
              </w:rPr>
            </w:pPr>
          </w:p>
        </w:tc>
        <w:tc>
          <w:tcPr>
            <w:tcW w:w="697" w:type="pct"/>
            <w:gridSpan w:val="2"/>
            <w:vAlign w:val="center"/>
          </w:tcPr>
          <w:p w14:paraId="21C1F363">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废活性炭</w:t>
            </w:r>
          </w:p>
        </w:tc>
        <w:tc>
          <w:tcPr>
            <w:tcW w:w="1649" w:type="pct"/>
            <w:vMerge w:val="restart"/>
            <w:vAlign w:val="center"/>
          </w:tcPr>
          <w:p w14:paraId="6C4E004C">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由生产厂家回收处理</w:t>
            </w:r>
          </w:p>
        </w:tc>
        <w:tc>
          <w:tcPr>
            <w:tcW w:w="520" w:type="pct"/>
            <w:vAlign w:val="center"/>
          </w:tcPr>
          <w:p w14:paraId="0A11E5FE">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6BB0F785">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7F1496A2">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50E92D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27D2A4A4">
            <w:pPr>
              <w:pStyle w:val="143"/>
              <w:rPr>
                <w:snapToGrid w:val="0"/>
                <w:color w:val="000000" w:themeColor="text1"/>
                <w:kern w:val="0"/>
                <w14:textFill>
                  <w14:solidFill>
                    <w14:schemeClr w14:val="tx1"/>
                  </w14:solidFill>
                </w14:textFill>
              </w:rPr>
            </w:pPr>
          </w:p>
        </w:tc>
        <w:tc>
          <w:tcPr>
            <w:tcW w:w="697" w:type="pct"/>
            <w:gridSpan w:val="2"/>
            <w:vAlign w:val="center"/>
          </w:tcPr>
          <w:p w14:paraId="28A6A8CC">
            <w:pPr>
              <w:pStyle w:val="143"/>
              <w:rPr>
                <w:rFonts w:hint="eastAsia" w:eastAsia="宋体"/>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废干燥剂</w:t>
            </w:r>
          </w:p>
        </w:tc>
        <w:tc>
          <w:tcPr>
            <w:tcW w:w="1649" w:type="pct"/>
            <w:vMerge w:val="continue"/>
            <w:vAlign w:val="center"/>
          </w:tcPr>
          <w:p w14:paraId="293C8435">
            <w:pPr>
              <w:pStyle w:val="143"/>
              <w:rPr>
                <w:snapToGrid w:val="0"/>
                <w:color w:val="000000" w:themeColor="text1"/>
                <w:kern w:val="0"/>
                <w14:textFill>
                  <w14:solidFill>
                    <w14:schemeClr w14:val="tx1"/>
                  </w14:solidFill>
                </w14:textFill>
              </w:rPr>
            </w:pPr>
          </w:p>
        </w:tc>
        <w:tc>
          <w:tcPr>
            <w:tcW w:w="520" w:type="pct"/>
            <w:vAlign w:val="center"/>
          </w:tcPr>
          <w:p w14:paraId="64F7F63F">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46B3071C">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1335" w:type="pct"/>
            <w:vAlign w:val="center"/>
          </w:tcPr>
          <w:p w14:paraId="12BAAE86">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47004C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5A5ECC91">
            <w:pPr>
              <w:pStyle w:val="143"/>
              <w:rPr>
                <w:snapToGrid w:val="0"/>
                <w:color w:val="000000" w:themeColor="text1"/>
                <w:kern w:val="0"/>
                <w14:textFill>
                  <w14:solidFill>
                    <w14:schemeClr w14:val="tx1"/>
                  </w14:solidFill>
                </w14:textFill>
              </w:rPr>
            </w:pPr>
          </w:p>
        </w:tc>
        <w:tc>
          <w:tcPr>
            <w:tcW w:w="697" w:type="pct"/>
            <w:gridSpan w:val="2"/>
            <w:vAlign w:val="center"/>
          </w:tcPr>
          <w:p w14:paraId="7586690C">
            <w:pPr>
              <w:pStyle w:val="143"/>
              <w:rPr>
                <w:rFonts w:hint="default"/>
                <w:snapToGrid w:val="0"/>
                <w:color w:val="000000" w:themeColor="text1"/>
                <w:kern w:val="0"/>
                <w:lang w:val="en-US" w:eastAsia="zh-CN"/>
                <w14:textFill>
                  <w14:solidFill>
                    <w14:schemeClr w14:val="tx1"/>
                  </w14:solidFill>
                </w14:textFill>
              </w:rPr>
            </w:pPr>
            <w:r>
              <w:rPr>
                <w:snapToGrid w:val="0"/>
                <w:color w:val="000000" w:themeColor="text1"/>
                <w:kern w:val="0"/>
                <w14:textFill>
                  <w14:solidFill>
                    <w14:schemeClr w14:val="tx1"/>
                  </w14:solidFill>
                </w14:textFill>
              </w:rPr>
              <w:t>废过滤材料</w:t>
            </w:r>
          </w:p>
        </w:tc>
        <w:tc>
          <w:tcPr>
            <w:tcW w:w="1649" w:type="pct"/>
            <w:vAlign w:val="center"/>
          </w:tcPr>
          <w:p w14:paraId="334BFDD6">
            <w:pPr>
              <w:pStyle w:val="143"/>
              <w:rPr>
                <w:snapToGrid w:val="0"/>
                <w:color w:val="000000" w:themeColor="text1"/>
                <w:kern w:val="0"/>
                <w14:textFill>
                  <w14:solidFill>
                    <w14:schemeClr w14:val="tx1"/>
                  </w14:solidFill>
                </w14:textFill>
              </w:rPr>
            </w:pPr>
            <w:r>
              <w:rPr>
                <w:rFonts w:hint="eastAsia"/>
                <w:snapToGrid w:val="0"/>
                <w:color w:val="000000" w:themeColor="text1"/>
                <w14:textFill>
                  <w14:solidFill>
                    <w14:schemeClr w14:val="tx1"/>
                  </w14:solidFill>
                </w14:textFill>
              </w:rPr>
              <w:t>由纯水设备公司</w:t>
            </w:r>
            <w:r>
              <w:rPr>
                <w:rFonts w:hint="eastAsia"/>
                <w:snapToGrid w:val="0"/>
                <w:color w:val="000000" w:themeColor="text1"/>
                <w:lang w:val="en-US" w:eastAsia="zh-CN"/>
                <w14:textFill>
                  <w14:solidFill>
                    <w14:schemeClr w14:val="tx1"/>
                  </w14:solidFill>
                </w14:textFill>
              </w:rPr>
              <w:t>定期更换时</w:t>
            </w:r>
            <w:r>
              <w:rPr>
                <w:rFonts w:hint="eastAsia"/>
                <w:snapToGrid w:val="0"/>
                <w:color w:val="000000" w:themeColor="text1"/>
                <w14:textFill>
                  <w14:solidFill>
                    <w14:schemeClr w14:val="tx1"/>
                  </w14:solidFill>
                </w14:textFill>
              </w:rPr>
              <w:t>回收处理</w:t>
            </w:r>
          </w:p>
        </w:tc>
        <w:tc>
          <w:tcPr>
            <w:tcW w:w="520" w:type="pct"/>
            <w:vAlign w:val="center"/>
          </w:tcPr>
          <w:p w14:paraId="6594BAE3">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4A82B5E8">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1335" w:type="pct"/>
            <w:vAlign w:val="center"/>
          </w:tcPr>
          <w:p w14:paraId="3D150AB7">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44F2A6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304" w:type="pct"/>
            <w:vMerge w:val="continue"/>
            <w:vAlign w:val="center"/>
          </w:tcPr>
          <w:p w14:paraId="687B0995">
            <w:pPr>
              <w:pStyle w:val="143"/>
              <w:rPr>
                <w:snapToGrid w:val="0"/>
                <w:color w:val="000000" w:themeColor="text1"/>
                <w:kern w:val="0"/>
                <w14:textFill>
                  <w14:solidFill>
                    <w14:schemeClr w14:val="tx1"/>
                  </w14:solidFill>
                </w14:textFill>
              </w:rPr>
            </w:pPr>
          </w:p>
        </w:tc>
        <w:tc>
          <w:tcPr>
            <w:tcW w:w="697" w:type="pct"/>
            <w:gridSpan w:val="2"/>
            <w:vAlign w:val="center"/>
          </w:tcPr>
          <w:p w14:paraId="4C217F0B">
            <w:pPr>
              <w:pStyle w:val="143"/>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废离子交换树脂</w:t>
            </w:r>
          </w:p>
        </w:tc>
        <w:tc>
          <w:tcPr>
            <w:tcW w:w="1649" w:type="pct"/>
            <w:vAlign w:val="center"/>
          </w:tcPr>
          <w:p w14:paraId="1E3471E3">
            <w:pPr>
              <w:pStyle w:val="143"/>
              <w:rPr>
                <w:rFonts w:hint="eastAsia"/>
                <w:snapToGrid w:val="0"/>
                <w:color w:val="000000" w:themeColor="text1"/>
                <w14:textFill>
                  <w14:solidFill>
                    <w14:schemeClr w14:val="tx1"/>
                  </w14:solidFill>
                </w14:textFill>
              </w:rPr>
            </w:pPr>
            <w:r>
              <w:rPr>
                <w:snapToGrid w:val="0"/>
                <w:color w:val="000000" w:themeColor="text1"/>
                <w14:textFill>
                  <w14:solidFill>
                    <w14:schemeClr w14:val="tx1"/>
                  </w14:solidFill>
                </w14:textFill>
              </w:rPr>
              <w:t>由软水设备</w:t>
            </w:r>
            <w:r>
              <w:rPr>
                <w:rFonts w:hint="eastAsia"/>
                <w:snapToGrid w:val="0"/>
                <w:color w:val="000000" w:themeColor="text1"/>
                <w:lang w:val="en-US" w:eastAsia="zh-CN"/>
                <w14:textFill>
                  <w14:solidFill>
                    <w14:schemeClr w14:val="tx1"/>
                  </w14:solidFill>
                </w14:textFill>
              </w:rPr>
              <w:t>公司更换时</w:t>
            </w:r>
            <w:r>
              <w:rPr>
                <w:snapToGrid w:val="0"/>
                <w:color w:val="000000" w:themeColor="text1"/>
                <w14:textFill>
                  <w14:solidFill>
                    <w14:schemeClr w14:val="tx1"/>
                  </w14:solidFill>
                </w14:textFill>
              </w:rPr>
              <w:t>回收处理</w:t>
            </w:r>
          </w:p>
        </w:tc>
        <w:tc>
          <w:tcPr>
            <w:tcW w:w="520" w:type="pct"/>
            <w:vAlign w:val="center"/>
          </w:tcPr>
          <w:p w14:paraId="29C34560">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493" w:type="pct"/>
            <w:vAlign w:val="center"/>
          </w:tcPr>
          <w:p w14:paraId="3487B80F">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c>
          <w:tcPr>
            <w:tcW w:w="1335" w:type="pct"/>
            <w:vAlign w:val="center"/>
          </w:tcPr>
          <w:p w14:paraId="44177022">
            <w:pPr>
              <w:pStyle w:val="143"/>
              <w:rPr>
                <w:rFonts w:hint="default"/>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102CFC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304" w:type="pct"/>
            <w:vMerge w:val="continue"/>
            <w:vAlign w:val="center"/>
          </w:tcPr>
          <w:p w14:paraId="2B0894C7">
            <w:pPr>
              <w:pStyle w:val="143"/>
              <w:rPr>
                <w:snapToGrid w:val="0"/>
                <w:color w:val="000000" w:themeColor="text1"/>
                <w:kern w:val="0"/>
                <w14:textFill>
                  <w14:solidFill>
                    <w14:schemeClr w14:val="tx1"/>
                  </w14:solidFill>
                </w14:textFill>
              </w:rPr>
            </w:pPr>
          </w:p>
        </w:tc>
        <w:tc>
          <w:tcPr>
            <w:tcW w:w="697" w:type="pct"/>
            <w:gridSpan w:val="2"/>
            <w:vAlign w:val="center"/>
          </w:tcPr>
          <w:p w14:paraId="72F43487">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lang w:val="en-US" w:eastAsia="zh-CN"/>
                <w14:textFill>
                  <w14:solidFill>
                    <w14:schemeClr w14:val="tx1"/>
                  </w14:solidFill>
                </w14:textFill>
              </w:rPr>
              <w:t>废危化品包装材料</w:t>
            </w:r>
          </w:p>
        </w:tc>
        <w:tc>
          <w:tcPr>
            <w:tcW w:w="1649" w:type="pct"/>
            <w:vMerge w:val="restart"/>
            <w:vAlign w:val="center"/>
          </w:tcPr>
          <w:p w14:paraId="7466C277">
            <w:pPr>
              <w:pStyle w:val="143"/>
              <w:rPr>
                <w:snapToGrid w:val="0"/>
                <w:color w:val="000000" w:themeColor="text1"/>
                <w:kern w:val="0"/>
                <w:lang w:val="en-US"/>
                <w14:textFill>
                  <w14:solidFill>
                    <w14:schemeClr w14:val="tx1"/>
                  </w14:solidFill>
                </w14:textFill>
              </w:rPr>
            </w:pPr>
            <w:r>
              <w:rPr>
                <w:snapToGrid w:val="0"/>
                <w:color w:val="000000" w:themeColor="text1"/>
                <w:kern w:val="0"/>
                <w14:textFill>
                  <w14:solidFill>
                    <w14:schemeClr w14:val="tx1"/>
                  </w14:solidFill>
                </w14:textFill>
              </w:rPr>
              <w:t>暂存于危险废物贮存点后委托有资质单位处置</w:t>
            </w:r>
          </w:p>
        </w:tc>
        <w:tc>
          <w:tcPr>
            <w:tcW w:w="520" w:type="pct"/>
            <w:vAlign w:val="center"/>
          </w:tcPr>
          <w:p w14:paraId="6817B99C">
            <w:pPr>
              <w:pStyle w:val="143"/>
              <w:rPr>
                <w:rFonts w:hint="eastAsia"/>
                <w:snapToGrid w:val="0"/>
                <w:color w:val="000000" w:themeColor="text1"/>
                <w:kern w:val="0"/>
                <w:lang w:val="en-US" w:eastAsia="zh-CN"/>
                <w14:textFill>
                  <w14:solidFill>
                    <w14:schemeClr w14:val="tx1"/>
                  </w14:solidFill>
                </w14:textFill>
              </w:rPr>
            </w:pPr>
          </w:p>
        </w:tc>
        <w:tc>
          <w:tcPr>
            <w:tcW w:w="493" w:type="pct"/>
            <w:vAlign w:val="center"/>
          </w:tcPr>
          <w:p w14:paraId="5C26C35E">
            <w:pPr>
              <w:pStyle w:val="143"/>
              <w:rPr>
                <w:rFonts w:hint="eastAsia"/>
                <w:snapToGrid w:val="0"/>
                <w:color w:val="000000" w:themeColor="text1"/>
                <w:kern w:val="0"/>
                <w:lang w:val="en-US" w:eastAsia="zh-CN"/>
                <w14:textFill>
                  <w14:solidFill>
                    <w14:schemeClr w14:val="tx1"/>
                  </w14:solidFill>
                </w14:textFill>
              </w:rPr>
            </w:pPr>
          </w:p>
        </w:tc>
        <w:tc>
          <w:tcPr>
            <w:tcW w:w="1335" w:type="pct"/>
            <w:vAlign w:val="center"/>
          </w:tcPr>
          <w:p w14:paraId="56FFA077">
            <w:pPr>
              <w:pStyle w:val="143"/>
              <w:rPr>
                <w:rFonts w:hint="eastAsia"/>
                <w:snapToGrid w:val="0"/>
                <w:color w:val="000000" w:themeColor="text1"/>
                <w:kern w:val="0"/>
                <w:lang w:val="en-US" w:eastAsia="zh-CN"/>
                <w14:textFill>
                  <w14:solidFill>
                    <w14:schemeClr w14:val="tx1"/>
                  </w14:solidFill>
                </w14:textFill>
              </w:rPr>
            </w:pPr>
          </w:p>
        </w:tc>
      </w:tr>
      <w:tr w14:paraId="1BA120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1BE95558">
            <w:pPr>
              <w:pStyle w:val="143"/>
              <w:rPr>
                <w:snapToGrid w:val="0"/>
                <w:color w:val="000000" w:themeColor="text1"/>
                <w:kern w:val="0"/>
                <w14:textFill>
                  <w14:solidFill>
                    <w14:schemeClr w14:val="tx1"/>
                  </w14:solidFill>
                </w14:textFill>
              </w:rPr>
            </w:pPr>
          </w:p>
        </w:tc>
        <w:tc>
          <w:tcPr>
            <w:tcW w:w="697" w:type="pct"/>
            <w:gridSpan w:val="2"/>
            <w:vAlign w:val="center"/>
          </w:tcPr>
          <w:p w14:paraId="5A94CAD0">
            <w:pPr>
              <w:pStyle w:val="143"/>
              <w:ind w:firstLine="0" w:firstLineChars="0"/>
              <w:rPr>
                <w:snapToGrid w:val="0"/>
                <w:color w:val="000000" w:themeColor="text1"/>
                <w:kern w:val="0"/>
                <w14:textFill>
                  <w14:solidFill>
                    <w14:schemeClr w14:val="tx1"/>
                  </w14:solidFill>
                </w14:textFill>
              </w:rPr>
            </w:pPr>
            <w:r>
              <w:rPr>
                <w:snapToGrid w:val="0"/>
                <w:color w:val="000000" w:themeColor="text1"/>
                <w:kern w:val="0"/>
                <w:lang w:val="en-US"/>
                <w14:textFill>
                  <w14:solidFill>
                    <w14:schemeClr w14:val="tx1"/>
                  </w14:solidFill>
                </w14:textFill>
              </w:rPr>
              <w:t>化验室废液</w:t>
            </w:r>
          </w:p>
        </w:tc>
        <w:tc>
          <w:tcPr>
            <w:tcW w:w="1649" w:type="pct"/>
            <w:vMerge w:val="continue"/>
            <w:vAlign w:val="center"/>
          </w:tcPr>
          <w:p w14:paraId="19358347">
            <w:pPr>
              <w:pStyle w:val="143"/>
              <w:rPr>
                <w:snapToGrid w:val="0"/>
                <w:color w:val="000000" w:themeColor="text1"/>
                <w:kern w:val="0"/>
                <w:lang w:val="en-US"/>
                <w14:textFill>
                  <w14:solidFill>
                    <w14:schemeClr w14:val="tx1"/>
                  </w14:solidFill>
                </w14:textFill>
              </w:rPr>
            </w:pPr>
          </w:p>
        </w:tc>
        <w:tc>
          <w:tcPr>
            <w:tcW w:w="520" w:type="pct"/>
            <w:vAlign w:val="center"/>
          </w:tcPr>
          <w:p w14:paraId="34F9FBF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7544A712">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65CA440A">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25B1B3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30406104">
            <w:pPr>
              <w:pStyle w:val="143"/>
              <w:rPr>
                <w:snapToGrid w:val="0"/>
                <w:color w:val="000000" w:themeColor="text1"/>
                <w:kern w:val="0"/>
                <w14:textFill>
                  <w14:solidFill>
                    <w14:schemeClr w14:val="tx1"/>
                  </w14:solidFill>
                </w14:textFill>
              </w:rPr>
            </w:pPr>
          </w:p>
        </w:tc>
        <w:tc>
          <w:tcPr>
            <w:tcW w:w="697" w:type="pct"/>
            <w:gridSpan w:val="2"/>
            <w:vAlign w:val="center"/>
          </w:tcPr>
          <w:p w14:paraId="30D69EAF">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废机油</w:t>
            </w:r>
          </w:p>
        </w:tc>
        <w:tc>
          <w:tcPr>
            <w:tcW w:w="1649" w:type="pct"/>
            <w:vMerge w:val="continue"/>
            <w:vAlign w:val="center"/>
          </w:tcPr>
          <w:p w14:paraId="34927D4F">
            <w:pPr>
              <w:pStyle w:val="143"/>
              <w:rPr>
                <w:snapToGrid w:val="0"/>
                <w:color w:val="000000" w:themeColor="text1"/>
                <w:kern w:val="0"/>
                <w:lang w:val="en-US"/>
                <w14:textFill>
                  <w14:solidFill>
                    <w14:schemeClr w14:val="tx1"/>
                  </w14:solidFill>
                </w14:textFill>
              </w:rPr>
            </w:pPr>
          </w:p>
        </w:tc>
        <w:tc>
          <w:tcPr>
            <w:tcW w:w="520" w:type="pct"/>
            <w:vAlign w:val="center"/>
          </w:tcPr>
          <w:p w14:paraId="72DE2274">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4EDCA56A">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01C2B54B">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1614C7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70C62A8E">
            <w:pPr>
              <w:pStyle w:val="143"/>
              <w:rPr>
                <w:snapToGrid w:val="0"/>
                <w:color w:val="000000" w:themeColor="text1"/>
                <w:kern w:val="0"/>
                <w14:textFill>
                  <w14:solidFill>
                    <w14:schemeClr w14:val="tx1"/>
                  </w14:solidFill>
                </w14:textFill>
              </w:rPr>
            </w:pPr>
          </w:p>
        </w:tc>
        <w:tc>
          <w:tcPr>
            <w:tcW w:w="697" w:type="pct"/>
            <w:gridSpan w:val="2"/>
            <w:vAlign w:val="center"/>
          </w:tcPr>
          <w:p w14:paraId="7D5B8DC2">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废机油桶</w:t>
            </w:r>
          </w:p>
        </w:tc>
        <w:tc>
          <w:tcPr>
            <w:tcW w:w="1649" w:type="pct"/>
            <w:vMerge w:val="continue"/>
            <w:vAlign w:val="center"/>
          </w:tcPr>
          <w:p w14:paraId="3C5A3533">
            <w:pPr>
              <w:pStyle w:val="143"/>
              <w:rPr>
                <w:snapToGrid w:val="0"/>
                <w:color w:val="000000" w:themeColor="text1"/>
                <w:kern w:val="0"/>
                <w:lang w:val="en-US"/>
                <w14:textFill>
                  <w14:solidFill>
                    <w14:schemeClr w14:val="tx1"/>
                  </w14:solidFill>
                </w14:textFill>
              </w:rPr>
            </w:pPr>
          </w:p>
        </w:tc>
        <w:tc>
          <w:tcPr>
            <w:tcW w:w="520" w:type="pct"/>
            <w:vAlign w:val="center"/>
          </w:tcPr>
          <w:p w14:paraId="6BB7CAC1">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04EA372B">
            <w:pPr>
              <w:pStyle w:val="143"/>
              <w:rPr>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28531336">
            <w:pPr>
              <w:pStyle w:val="143"/>
              <w:rPr>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w:t>
            </w:r>
          </w:p>
        </w:tc>
      </w:tr>
      <w:tr w14:paraId="67D456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152BAF28">
            <w:pPr>
              <w:pStyle w:val="143"/>
              <w:rPr>
                <w:snapToGrid w:val="0"/>
                <w:color w:val="000000" w:themeColor="text1"/>
                <w:kern w:val="0"/>
                <w14:textFill>
                  <w14:solidFill>
                    <w14:schemeClr w14:val="tx1"/>
                  </w14:solidFill>
                </w14:textFill>
              </w:rPr>
            </w:pPr>
          </w:p>
        </w:tc>
        <w:tc>
          <w:tcPr>
            <w:tcW w:w="697" w:type="pct"/>
            <w:gridSpan w:val="2"/>
            <w:vAlign w:val="center"/>
          </w:tcPr>
          <w:p w14:paraId="53DA6859">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w:t>
            </w:r>
            <w:r>
              <w:rPr>
                <w:rFonts w:hint="eastAsia"/>
                <w:snapToGrid w:val="0"/>
                <w:color w:val="000000" w:themeColor="text1"/>
                <w:lang w:val="en-US" w:eastAsia="zh-CN"/>
                <w14:textFill>
                  <w14:solidFill>
                    <w14:schemeClr w14:val="tx1"/>
                  </w14:solidFill>
                </w14:textFill>
              </w:rPr>
              <w:t>含油抹布手套</w:t>
            </w:r>
          </w:p>
        </w:tc>
        <w:tc>
          <w:tcPr>
            <w:tcW w:w="1649" w:type="pct"/>
            <w:vMerge w:val="continue"/>
            <w:vAlign w:val="center"/>
          </w:tcPr>
          <w:p w14:paraId="1CC127FD">
            <w:pPr>
              <w:pStyle w:val="143"/>
              <w:rPr>
                <w:snapToGrid w:val="0"/>
                <w:color w:val="000000" w:themeColor="text1"/>
                <w:kern w:val="0"/>
                <w14:textFill>
                  <w14:solidFill>
                    <w14:schemeClr w14:val="tx1"/>
                  </w14:solidFill>
                </w14:textFill>
              </w:rPr>
            </w:pPr>
          </w:p>
        </w:tc>
        <w:tc>
          <w:tcPr>
            <w:tcW w:w="520" w:type="pct"/>
            <w:vAlign w:val="center"/>
          </w:tcPr>
          <w:p w14:paraId="47519002">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3B08DB86">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64CB0956">
            <w:pPr>
              <w:pStyle w:val="143"/>
              <w:ind w:firstLine="0" w:firstLineChars="0"/>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r>
      <w:tr w14:paraId="152873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754C3EA7">
            <w:pPr>
              <w:pStyle w:val="143"/>
              <w:rPr>
                <w:snapToGrid w:val="0"/>
                <w:color w:val="000000" w:themeColor="text1"/>
                <w:kern w:val="0"/>
                <w14:textFill>
                  <w14:solidFill>
                    <w14:schemeClr w14:val="tx1"/>
                  </w14:solidFill>
                </w14:textFill>
              </w:rPr>
            </w:pPr>
          </w:p>
        </w:tc>
        <w:tc>
          <w:tcPr>
            <w:tcW w:w="697" w:type="pct"/>
            <w:gridSpan w:val="2"/>
            <w:vAlign w:val="center"/>
          </w:tcPr>
          <w:p w14:paraId="30ABDE2B">
            <w:pPr>
              <w:pStyle w:val="143"/>
              <w:ind w:firstLine="0" w:firstLineChars="0"/>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生活垃圾</w:t>
            </w:r>
          </w:p>
        </w:tc>
        <w:tc>
          <w:tcPr>
            <w:tcW w:w="1649" w:type="pct"/>
            <w:vAlign w:val="center"/>
          </w:tcPr>
          <w:p w14:paraId="3B71D492">
            <w:pPr>
              <w:pStyle w:val="143"/>
              <w:ind w:firstLine="0" w:firstLineChars="0"/>
              <w:rPr>
                <w:snapToGrid w:val="0"/>
                <w:color w:val="000000" w:themeColor="text1"/>
                <w:kern w:val="0"/>
                <w14:textFill>
                  <w14:solidFill>
                    <w14:schemeClr w14:val="tx1"/>
                  </w14:solidFill>
                </w14:textFill>
              </w:rPr>
            </w:pPr>
            <w:r>
              <w:rPr>
                <w:rFonts w:hint="eastAsia"/>
                <w:b w:val="0"/>
                <w:bCs w:val="0"/>
                <w:snapToGrid w:val="0"/>
                <w:color w:val="000000" w:themeColor="text1"/>
                <w:lang w:val="en-US" w:eastAsia="zh-CN"/>
                <w14:textFill>
                  <w14:solidFill>
                    <w14:schemeClr w14:val="tx1"/>
                  </w14:solidFill>
                </w14:textFill>
              </w:rPr>
              <w:t>经垃圾桶收集暂存后委托环卫部门集中处理</w:t>
            </w:r>
          </w:p>
        </w:tc>
        <w:tc>
          <w:tcPr>
            <w:tcW w:w="520" w:type="pct"/>
            <w:vAlign w:val="center"/>
          </w:tcPr>
          <w:p w14:paraId="46FF2EF9">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673F5972">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4429EF31">
            <w:pPr>
              <w:pStyle w:val="143"/>
              <w:ind w:firstLine="0" w:firstLineChars="0"/>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r>
      <w:tr w14:paraId="315B9D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04" w:type="pct"/>
            <w:vMerge w:val="continue"/>
            <w:vAlign w:val="center"/>
          </w:tcPr>
          <w:p w14:paraId="31B9E3E1">
            <w:pPr>
              <w:pStyle w:val="143"/>
              <w:rPr>
                <w:snapToGrid w:val="0"/>
                <w:color w:val="000000" w:themeColor="text1"/>
                <w:kern w:val="0"/>
                <w14:textFill>
                  <w14:solidFill>
                    <w14:schemeClr w14:val="tx1"/>
                  </w14:solidFill>
                </w14:textFill>
              </w:rPr>
            </w:pPr>
          </w:p>
        </w:tc>
        <w:tc>
          <w:tcPr>
            <w:tcW w:w="697" w:type="pct"/>
            <w:gridSpan w:val="2"/>
            <w:vAlign w:val="center"/>
          </w:tcPr>
          <w:p w14:paraId="1BDEC39C">
            <w:pPr>
              <w:pStyle w:val="143"/>
              <w:ind w:firstLine="0" w:firstLineChars="0"/>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餐厨垃圾</w:t>
            </w:r>
          </w:p>
        </w:tc>
        <w:tc>
          <w:tcPr>
            <w:tcW w:w="1649" w:type="pct"/>
            <w:vAlign w:val="center"/>
          </w:tcPr>
          <w:p w14:paraId="57D56FA1">
            <w:pPr>
              <w:pStyle w:val="143"/>
              <w:ind w:firstLine="0" w:firstLineChars="0"/>
              <w:rPr>
                <w:snapToGrid w:val="0"/>
                <w:color w:val="000000" w:themeColor="text1"/>
                <w:kern w:val="0"/>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集中收集，交由有资质单位处理</w:t>
            </w:r>
          </w:p>
        </w:tc>
        <w:tc>
          <w:tcPr>
            <w:tcW w:w="520" w:type="pct"/>
            <w:vAlign w:val="center"/>
          </w:tcPr>
          <w:p w14:paraId="5CC121CC">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493" w:type="pct"/>
            <w:vAlign w:val="center"/>
          </w:tcPr>
          <w:p w14:paraId="1A416AB4">
            <w:pPr>
              <w:pStyle w:val="143"/>
              <w:ind w:firstLine="0" w:firstLineChars="0"/>
              <w:rPr>
                <w:rFonts w:hint="eastAsia"/>
                <w:snapToGrid w:val="0"/>
                <w:color w:val="000000" w:themeColor="text1"/>
                <w:kern w:val="0"/>
                <w:lang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c>
          <w:tcPr>
            <w:tcW w:w="1335" w:type="pct"/>
            <w:vAlign w:val="center"/>
          </w:tcPr>
          <w:p w14:paraId="5F61DC16">
            <w:pPr>
              <w:pStyle w:val="143"/>
              <w:ind w:firstLine="0" w:firstLineChars="0"/>
              <w:rPr>
                <w:rFonts w:hint="eastAsia"/>
                <w:snapToGrid w:val="0"/>
                <w:color w:val="000000" w:themeColor="text1"/>
                <w:kern w:val="0"/>
                <w:lang w:val="en-US" w:eastAsia="zh-CN"/>
                <w14:textFill>
                  <w14:solidFill>
                    <w14:schemeClr w14:val="tx1"/>
                  </w14:solidFill>
                </w14:textFill>
              </w:rPr>
            </w:pPr>
            <w:r>
              <w:rPr>
                <w:rFonts w:hint="eastAsia"/>
                <w:snapToGrid w:val="0"/>
                <w:color w:val="000000" w:themeColor="text1"/>
                <w:kern w:val="0"/>
                <w:lang w:eastAsia="zh-CN"/>
                <w14:textFill>
                  <w14:solidFill>
                    <w14:schemeClr w14:val="tx1"/>
                  </w14:solidFill>
                </w14:textFill>
              </w:rPr>
              <w:t>/</w:t>
            </w:r>
          </w:p>
        </w:tc>
      </w:tr>
    </w:tbl>
    <w:p w14:paraId="41E2545E">
      <w:pPr>
        <w:pStyle w:val="206"/>
        <w:rPr>
          <w:snapToGrid w:val="0"/>
          <w:color w:val="000000" w:themeColor="text1"/>
          <w14:textFill>
            <w14:solidFill>
              <w14:schemeClr w14:val="tx1"/>
            </w14:solidFill>
          </w14:textFill>
        </w:rPr>
      </w:pPr>
    </w:p>
    <w:p w14:paraId="1010DE62">
      <w:pPr>
        <w:adjustRightInd/>
        <w:snapToGrid/>
        <w:spacing w:line="500" w:lineRule="exact"/>
        <w:rPr>
          <w:snapToGrid w:val="0"/>
          <w:color w:val="000000" w:themeColor="text1"/>
          <w:kern w:val="0"/>
          <w14:textFill>
            <w14:solidFill>
              <w14:schemeClr w14:val="tx1"/>
            </w14:solidFill>
          </w14:textFill>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 w:linePitch="326" w:charSpace="0"/>
        </w:sectPr>
      </w:pPr>
    </w:p>
    <w:p w14:paraId="6A5FD993">
      <w:pPr>
        <w:pStyle w:val="6"/>
        <w:rPr>
          <w:snapToGrid w:val="0"/>
          <w:color w:val="000000" w:themeColor="text1"/>
          <w14:textFill>
            <w14:solidFill>
              <w14:schemeClr w14:val="tx1"/>
            </w14:solidFill>
          </w14:textFill>
        </w:rPr>
      </w:pPr>
      <w:bookmarkStart w:id="415" w:name="_Toc25017"/>
      <w:bookmarkStart w:id="416" w:name="_Toc480447684"/>
      <w:r>
        <w:rPr>
          <w:rFonts w:hint="eastAsia"/>
          <w:snapToGrid w:val="0"/>
          <w:color w:val="000000" w:themeColor="text1"/>
          <w14:textFill>
            <w14:solidFill>
              <w14:schemeClr w14:val="tx1"/>
            </w14:solidFill>
          </w14:textFill>
        </w:rPr>
        <w:t>8.1.</w:t>
      </w:r>
      <w:r>
        <w:rPr>
          <w:snapToGrid w:val="0"/>
          <w:color w:val="000000" w:themeColor="text1"/>
          <w14:textFill>
            <w14:solidFill>
              <w14:schemeClr w14:val="tx1"/>
            </w14:solidFill>
          </w14:textFill>
        </w:rPr>
        <w:t>6</w:t>
      </w:r>
      <w:r>
        <w:rPr>
          <w:rFonts w:hint="eastAsia"/>
          <w:snapToGrid w:val="0"/>
          <w:color w:val="000000" w:themeColor="text1"/>
          <w14:textFill>
            <w14:solidFill>
              <w14:schemeClr w14:val="tx1"/>
            </w14:solidFill>
          </w14:textFill>
        </w:rPr>
        <w:t>环境管理建议</w:t>
      </w:r>
      <w:bookmarkEnd w:id="415"/>
    </w:p>
    <w:p w14:paraId="7A2ABA36">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本项目建成投产后，建议公司采取以下措施做好环境管理工作。</w:t>
      </w:r>
    </w:p>
    <w:p w14:paraId="54369357">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（1）建立健全环境管理制度和环保设施操作规程，建立健全岗位责任制：明确每名工作人员的责任范围及工作权限。</w:t>
      </w:r>
    </w:p>
    <w:p w14:paraId="4CBF55D5">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（2）在车间配备相应的兼职环保人员，与厂区环境管理机构专职人员积极配合，落实正常生产中的环保措施，回馈污染治理设备的运行情况，做好日常环境监测工作。</w:t>
      </w:r>
    </w:p>
    <w:p w14:paraId="634CB56D">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（3）环保设施应制定严格的操作规程，按操作规程进行操作和管理，严格监督检查环保设施的运行效果，严防超标排放现象发生。</w:t>
      </w:r>
    </w:p>
    <w:p w14:paraId="10D909C4">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（4）加强监测数据的统计管理，建立完善的污染源及污染物产排档案，制定总量控制指标，并纳入各级生产组织的经济考核体系，严格控制污染物排放总量。</w:t>
      </w:r>
    </w:p>
    <w:p w14:paraId="71585EA5">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（5）建立健全监督检查及三废排放管理制度；对全公司环境保护工作实施统一的环境管理，并与当地环保部门确立污染源、排放口、总量控制指标等工作。</w:t>
      </w:r>
    </w:p>
    <w:p w14:paraId="6633D3DA">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（6）加强厂区绿化设施施工与管理，美化厂区布局。</w:t>
      </w:r>
    </w:p>
    <w:p w14:paraId="6D535265">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（7）对污染治理设施的管理必须与生产经营活动一起纳入企业的日常管理中，建立环境管理台账，投入充足的资金保障各项环境保护设施和措施的建设、运行和围护。</w:t>
      </w:r>
    </w:p>
    <w:p w14:paraId="06FD29A7">
      <w:pPr>
        <w:adjustRightInd/>
        <w:snapToGrid/>
        <w:spacing w:line="500" w:lineRule="exact"/>
        <w:rPr>
          <w:color w:val="000000" w:themeColor="text1"/>
          <w:lang w:val="zh-CN"/>
          <w14:textFill>
            <w14:solidFill>
              <w14:schemeClr w14:val="tx1"/>
            </w14:solidFill>
          </w14:textFill>
        </w:rPr>
      </w:pPr>
      <w:r>
        <w:rPr>
          <w:rFonts w:hint="eastAsia"/>
          <w:color w:val="000000" w:themeColor="text1"/>
          <w:lang w:val="zh-CN"/>
          <w14:textFill>
            <w14:solidFill>
              <w14:schemeClr w14:val="tx1"/>
            </w14:solidFill>
          </w14:textFill>
        </w:rPr>
        <w:t>（8）环境管理工作应及时向社会公开，接受社会的监督和建议。</w:t>
      </w:r>
    </w:p>
    <w:p w14:paraId="41AB5F79">
      <w:pPr>
        <w:adjustRightInd/>
        <w:snapToGrid/>
        <w:spacing w:line="500" w:lineRule="exact"/>
        <w:rPr>
          <w:color w:val="000000" w:themeColor="text1"/>
          <w:lang w:val="zh-CN"/>
          <w14:textFill>
            <w14:solidFill>
              <w14:schemeClr w14:val="tx1"/>
            </w14:solidFill>
          </w14:textFill>
        </w:rPr>
      </w:pPr>
    </w:p>
    <w:p w14:paraId="520D8D1B">
      <w:pPr>
        <w:adjustRightInd/>
        <w:snapToGrid/>
        <w:spacing w:line="500" w:lineRule="exact"/>
        <w:rPr>
          <w:snapToGrid w:val="0"/>
          <w:color w:val="000000" w:themeColor="text1"/>
          <w:kern w:val="0"/>
          <w:szCs w:val="24"/>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bookmarkEnd w:id="410"/>
    <w:bookmarkEnd w:id="411"/>
    <w:bookmarkEnd w:id="412"/>
    <w:bookmarkEnd w:id="416"/>
    <w:p w14:paraId="11FEB956">
      <w:pPr>
        <w:pStyle w:val="5"/>
        <w:rPr>
          <w:snapToGrid w:val="0"/>
          <w:color w:val="000000" w:themeColor="text1"/>
          <w14:textFill>
            <w14:solidFill>
              <w14:schemeClr w14:val="tx1"/>
            </w14:solidFill>
          </w14:textFill>
        </w:rPr>
      </w:pPr>
      <w:bookmarkStart w:id="417" w:name="_Toc6044"/>
      <w:r>
        <w:rPr>
          <w:rFonts w:hint="eastAsia"/>
          <w:snapToGrid w:val="0"/>
          <w:color w:val="000000" w:themeColor="text1"/>
          <w14:textFill>
            <w14:solidFill>
              <w14:schemeClr w14:val="tx1"/>
            </w14:solidFill>
          </w14:textFill>
        </w:rPr>
        <w:t>8</w:t>
      </w:r>
      <w:r>
        <w:rPr>
          <w:snapToGrid w:val="0"/>
          <w:color w:val="000000" w:themeColor="text1"/>
          <w14:textFill>
            <w14:solidFill>
              <w14:schemeClr w14:val="tx1"/>
            </w14:solidFill>
          </w14:textFill>
        </w:rPr>
        <w:t>.2</w:t>
      </w:r>
      <w:r>
        <w:rPr>
          <w:rFonts w:hint="eastAsia"/>
          <w:snapToGrid w:val="0"/>
          <w:color w:val="000000" w:themeColor="text1"/>
          <w14:textFill>
            <w14:solidFill>
              <w14:schemeClr w14:val="tx1"/>
            </w14:solidFill>
          </w14:textFill>
        </w:rPr>
        <w:t>环境监测计划</w:t>
      </w:r>
      <w:bookmarkEnd w:id="417"/>
    </w:p>
    <w:p w14:paraId="242EB261">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环保法》第四十二条明确提出“重点排污单位应当按照国家有关规定和监测规范安装使用监测设备，保证监测设备正常运行，保存原始监测记录”；第五十五条要求“重点排污单位应当如实向社会公开其主要污染物的名称、排放方式、排放浓度和总量、超标排放情况，以及防治污染设施的建设和运行情况，接受社会监督”。根据《排污单位自行监测技术指南总则》（HJ819-2017）、《排污单位自行监测技术指南 酒、饮料制造》（HJ 1085—2020）及《工业企业土壤和地下水自行监测技术指南（试行）》（HJ1209-2021），排污单位应掌握本单位的污染排放状况及其对周边环境质量的影响，对污染物排放、周边环境质量影响进行监测。</w:t>
      </w:r>
    </w:p>
    <w:p w14:paraId="74E07276">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（1）污染物排放及环境质量监测</w:t>
      </w:r>
    </w:p>
    <w:p w14:paraId="3A6A785C">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本项目污染源监测计划见表8</w:t>
      </w:r>
      <w:r>
        <w:rPr>
          <w:snapToGrid w:val="0"/>
          <w:color w:val="000000" w:themeColor="text1"/>
          <w14:textFill>
            <w14:solidFill>
              <w14:schemeClr w14:val="tx1"/>
            </w14:solidFill>
          </w14:textFill>
        </w:rPr>
        <w:t>-</w:t>
      </w:r>
      <w:r>
        <w:rPr>
          <w:rFonts w:hint="eastAsia"/>
          <w:snapToGrid w:val="0"/>
          <w:color w:val="000000" w:themeColor="text1"/>
          <w14:textFill>
            <w14:solidFill>
              <w14:schemeClr w14:val="tx1"/>
            </w14:solidFill>
          </w14:textFill>
        </w:rPr>
        <w:t>2-1。企业委托有资质的监测单位进行污染源监测，并将监测报告存档。</w:t>
      </w:r>
    </w:p>
    <w:p w14:paraId="1F7CBF43">
      <w:pPr>
        <w:pStyle w:val="206"/>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表8-2-1污染源监测计划一览表</w:t>
      </w:r>
    </w:p>
    <w:tbl>
      <w:tblPr>
        <w:tblStyle w:val="49"/>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92"/>
        <w:gridCol w:w="1059"/>
        <w:gridCol w:w="1691"/>
        <w:gridCol w:w="1355"/>
        <w:gridCol w:w="2301"/>
        <w:gridCol w:w="1311"/>
      </w:tblGrid>
      <w:tr w14:paraId="3D839E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shd w:val="clear" w:color="auto" w:fill="auto"/>
            <w:vAlign w:val="center"/>
          </w:tcPr>
          <w:p w14:paraId="4EB70B1A">
            <w:pPr>
              <w:pStyle w:val="143"/>
              <w:rPr>
                <w:snapToGrid w:val="0"/>
                <w:color w:val="000000" w:themeColor="text1"/>
                <w:sz w:val="21"/>
                <w:szCs w:val="21"/>
                <w14:textFill>
                  <w14:solidFill>
                    <w14:schemeClr w14:val="tx1"/>
                  </w14:solidFill>
                </w14:textFill>
              </w:rPr>
            </w:pPr>
            <w:bookmarkStart w:id="418" w:name="_Toc480447685"/>
            <w:bookmarkStart w:id="419" w:name="_Toc456590419"/>
            <w:bookmarkStart w:id="420" w:name="_Toc342462535"/>
            <w:bookmarkStart w:id="421" w:name="_Toc455043911"/>
            <w:r>
              <w:rPr>
                <w:rFonts w:hint="eastAsia"/>
                <w:snapToGrid w:val="0"/>
                <w:color w:val="000000" w:themeColor="text1"/>
                <w:sz w:val="21"/>
                <w:szCs w:val="21"/>
                <w14:textFill>
                  <w14:solidFill>
                    <w14:schemeClr w14:val="tx1"/>
                  </w14:solidFill>
                </w14:textFill>
              </w:rPr>
              <w:t>项目</w:t>
            </w:r>
          </w:p>
        </w:tc>
        <w:tc>
          <w:tcPr>
            <w:tcW w:w="637" w:type="pct"/>
            <w:shd w:val="clear" w:color="auto" w:fill="auto"/>
            <w:vAlign w:val="center"/>
          </w:tcPr>
          <w:p w14:paraId="5F31B72A">
            <w:pPr>
              <w:pStyle w:val="143"/>
              <w:rPr>
                <w:snapToGrid w:val="0"/>
                <w:color w:val="000000" w:themeColor="text1"/>
                <w:sz w:val="21"/>
                <w:szCs w:val="21"/>
                <w14:textFill>
                  <w14:solidFill>
                    <w14:schemeClr w14:val="tx1"/>
                  </w14:solidFill>
                </w14:textFill>
              </w:rPr>
            </w:pPr>
            <w:r>
              <w:rPr>
                <w:snapToGrid w:val="0"/>
                <w:color w:val="000000" w:themeColor="text1"/>
                <w:sz w:val="21"/>
                <w:szCs w:val="21"/>
                <w14:textFill>
                  <w14:solidFill>
                    <w14:schemeClr w14:val="tx1"/>
                  </w14:solidFill>
                </w14:textFill>
              </w:rPr>
              <w:t>污染源</w:t>
            </w:r>
          </w:p>
        </w:tc>
        <w:tc>
          <w:tcPr>
            <w:tcW w:w="1017" w:type="pct"/>
            <w:shd w:val="clear" w:color="auto" w:fill="auto"/>
            <w:vAlign w:val="center"/>
          </w:tcPr>
          <w:p w14:paraId="114CB47B">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监测指标</w:t>
            </w:r>
          </w:p>
        </w:tc>
        <w:tc>
          <w:tcPr>
            <w:tcW w:w="815" w:type="pct"/>
            <w:shd w:val="clear" w:color="auto" w:fill="auto"/>
            <w:vAlign w:val="center"/>
          </w:tcPr>
          <w:p w14:paraId="17A837C4">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监测点位</w:t>
            </w:r>
          </w:p>
        </w:tc>
        <w:tc>
          <w:tcPr>
            <w:tcW w:w="1384" w:type="pct"/>
            <w:shd w:val="clear" w:color="auto" w:fill="auto"/>
            <w:vAlign w:val="center"/>
          </w:tcPr>
          <w:p w14:paraId="2B701B3E">
            <w:pPr>
              <w:pStyle w:val="143"/>
              <w:rPr>
                <w:snapToGrid w:val="0"/>
                <w:color w:val="000000" w:themeColor="text1"/>
                <w:sz w:val="21"/>
                <w:szCs w:val="21"/>
                <w14:textFill>
                  <w14:solidFill>
                    <w14:schemeClr w14:val="tx1"/>
                  </w14:solidFill>
                </w14:textFill>
              </w:rPr>
            </w:pPr>
            <w:r>
              <w:rPr>
                <w:snapToGrid w:val="0"/>
                <w:color w:val="000000" w:themeColor="text1"/>
                <w:sz w:val="21"/>
                <w:szCs w:val="21"/>
                <w14:textFill>
                  <w14:solidFill>
                    <w14:schemeClr w14:val="tx1"/>
                  </w14:solidFill>
                </w14:textFill>
              </w:rPr>
              <w:t>执行标准</w:t>
            </w:r>
          </w:p>
        </w:tc>
        <w:tc>
          <w:tcPr>
            <w:tcW w:w="788" w:type="pct"/>
            <w:shd w:val="clear" w:color="auto" w:fill="auto"/>
            <w:vAlign w:val="center"/>
          </w:tcPr>
          <w:p w14:paraId="06D1E67B">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监测频次</w:t>
            </w:r>
          </w:p>
        </w:tc>
      </w:tr>
      <w:tr w14:paraId="4332FF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restart"/>
            <w:shd w:val="clear" w:color="auto" w:fill="auto"/>
            <w:vAlign w:val="center"/>
          </w:tcPr>
          <w:p w14:paraId="7D6C24B2">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废气</w:t>
            </w:r>
          </w:p>
        </w:tc>
        <w:tc>
          <w:tcPr>
            <w:tcW w:w="637" w:type="pct"/>
            <w:shd w:val="clear" w:color="auto" w:fill="auto"/>
            <w:vAlign w:val="center"/>
          </w:tcPr>
          <w:p w14:paraId="38C8C18B">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原料</w:t>
            </w:r>
            <w:r>
              <w:rPr>
                <w:snapToGrid w:val="0"/>
                <w:color w:val="000000" w:themeColor="text1"/>
                <w:sz w:val="21"/>
                <w:szCs w:val="21"/>
                <w14:textFill>
                  <w14:solidFill>
                    <w14:schemeClr w14:val="tx1"/>
                  </w14:solidFill>
                </w14:textFill>
              </w:rPr>
              <w:t>间</w:t>
            </w:r>
            <w:r>
              <w:rPr>
                <w:rFonts w:hint="eastAsia"/>
                <w:snapToGrid w:val="0"/>
                <w:color w:val="000000" w:themeColor="text1"/>
                <w:sz w:val="21"/>
                <w:szCs w:val="21"/>
                <w14:textFill>
                  <w14:solidFill>
                    <w14:schemeClr w14:val="tx1"/>
                  </w14:solidFill>
                </w14:textFill>
              </w:rPr>
              <w:t>预处理</w:t>
            </w:r>
          </w:p>
        </w:tc>
        <w:tc>
          <w:tcPr>
            <w:tcW w:w="1017" w:type="pct"/>
            <w:shd w:val="clear" w:color="auto" w:fill="auto"/>
            <w:vAlign w:val="center"/>
          </w:tcPr>
          <w:p w14:paraId="08B5B529">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粉尘</w:t>
            </w:r>
          </w:p>
        </w:tc>
        <w:tc>
          <w:tcPr>
            <w:tcW w:w="815" w:type="pct"/>
            <w:shd w:val="clear" w:color="auto" w:fill="auto"/>
            <w:vAlign w:val="center"/>
          </w:tcPr>
          <w:p w14:paraId="456F41C3">
            <w:pPr>
              <w:pStyle w:val="143"/>
              <w:rPr>
                <w:snapToGrid w:val="0"/>
                <w:color w:val="000000" w:themeColor="text1"/>
                <w:sz w:val="21"/>
                <w:szCs w:val="21"/>
                <w:lang w:eastAsia="zh-CN"/>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15</w:t>
            </w:r>
            <w:r>
              <w:rPr>
                <w:snapToGrid w:val="0"/>
                <w:color w:val="000000" w:themeColor="text1"/>
                <w:sz w:val="21"/>
                <w:szCs w:val="21"/>
                <w14:textFill>
                  <w14:solidFill>
                    <w14:schemeClr w14:val="tx1"/>
                  </w14:solidFill>
                </w14:textFill>
              </w:rPr>
              <w:t>m高排气筒</w:t>
            </w:r>
            <w:r>
              <w:rPr>
                <w:rFonts w:hint="eastAsia"/>
                <w:snapToGrid w:val="0"/>
                <w:color w:val="000000" w:themeColor="text1"/>
                <w:sz w:val="21"/>
                <w:szCs w:val="21"/>
                <w:lang w:eastAsia="zh-CN"/>
                <w14:textFill>
                  <w14:solidFill>
                    <w14:schemeClr w14:val="tx1"/>
                  </w14:solidFill>
                </w14:textFill>
              </w:rPr>
              <w:t>D</w:t>
            </w:r>
            <w:r>
              <w:rPr>
                <w:snapToGrid w:val="0"/>
                <w:color w:val="000000" w:themeColor="text1"/>
                <w:sz w:val="21"/>
                <w:szCs w:val="21"/>
                <w:lang w:eastAsia="zh-CN"/>
                <w14:textFill>
                  <w14:solidFill>
                    <w14:schemeClr w14:val="tx1"/>
                  </w14:solidFill>
                </w14:textFill>
              </w:rPr>
              <w:t>A00</w:t>
            </w:r>
            <w:r>
              <w:rPr>
                <w:rFonts w:hint="eastAsia"/>
                <w:snapToGrid w:val="0"/>
                <w:color w:val="000000" w:themeColor="text1"/>
                <w:sz w:val="21"/>
                <w:szCs w:val="21"/>
                <w:lang w:val="en-US" w:eastAsia="zh-CN"/>
                <w14:textFill>
                  <w14:solidFill>
                    <w14:schemeClr w14:val="tx1"/>
                  </w14:solidFill>
                </w14:textFill>
              </w:rPr>
              <w:t>3</w:t>
            </w:r>
            <w:r>
              <w:rPr>
                <w:rFonts w:hint="eastAsia"/>
                <w:snapToGrid w:val="0"/>
                <w:color w:val="000000" w:themeColor="text1"/>
                <w:sz w:val="21"/>
                <w:szCs w:val="21"/>
                <w:lang w:eastAsia="zh-CN"/>
                <w14:textFill>
                  <w14:solidFill>
                    <w14:schemeClr w14:val="tx1"/>
                  </w14:solidFill>
                </w14:textFill>
              </w:rPr>
              <w:t>出口</w:t>
            </w:r>
          </w:p>
        </w:tc>
        <w:tc>
          <w:tcPr>
            <w:tcW w:w="1384" w:type="pct"/>
            <w:shd w:val="clear" w:color="auto" w:fill="auto"/>
            <w:vAlign w:val="center"/>
          </w:tcPr>
          <w:p w14:paraId="583AA843">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《大气污染物综合排放标准》（GB16297-1996）二级标准</w:t>
            </w:r>
            <w:r>
              <w:rPr>
                <w:rFonts w:hint="eastAsia"/>
              </w:rPr>
              <w:t>（排放速率严格50%执行）</w:t>
            </w:r>
            <w:r>
              <w:rPr>
                <w:rFonts w:hint="eastAsia"/>
                <w:snapToGrid w:val="0"/>
                <w:color w:val="000000" w:themeColor="text1"/>
                <w:sz w:val="21"/>
                <w:szCs w:val="21"/>
                <w14:textFill>
                  <w14:solidFill>
                    <w14:schemeClr w14:val="tx1"/>
                  </w14:solidFill>
                </w14:textFill>
              </w:rPr>
              <w:t>要求</w:t>
            </w:r>
          </w:p>
        </w:tc>
        <w:tc>
          <w:tcPr>
            <w:tcW w:w="788" w:type="pct"/>
            <w:shd w:val="clear" w:color="auto" w:fill="auto"/>
            <w:vAlign w:val="center"/>
          </w:tcPr>
          <w:p w14:paraId="5D55E4AF">
            <w:pPr>
              <w:pStyle w:val="143"/>
              <w:rPr>
                <w:snapToGrid w:val="0"/>
                <w:color w:val="000000" w:themeColor="text1"/>
                <w:sz w:val="21"/>
                <w:szCs w:val="21"/>
                <w14:textFill>
                  <w14:solidFill>
                    <w14:schemeClr w14:val="tx1"/>
                  </w14:solidFill>
                </w14:textFill>
              </w:rPr>
            </w:pPr>
            <w:r>
              <w:rPr>
                <w:snapToGrid w:val="0"/>
                <w:color w:val="000000" w:themeColor="text1"/>
                <w:sz w:val="21"/>
                <w:szCs w:val="21"/>
                <w14:textFill>
                  <w14:solidFill>
                    <w14:schemeClr w14:val="tx1"/>
                  </w14:solidFill>
                </w14:textFill>
              </w:rPr>
              <w:t>1次/</w:t>
            </w:r>
            <w:r>
              <w:rPr>
                <w:rFonts w:hint="eastAsia"/>
                <w:snapToGrid w:val="0"/>
                <w:color w:val="000000" w:themeColor="text1"/>
                <w:sz w:val="21"/>
                <w:szCs w:val="21"/>
                <w14:textFill>
                  <w14:solidFill>
                    <w14:schemeClr w14:val="tx1"/>
                  </w14:solidFill>
                </w14:textFill>
              </w:rPr>
              <w:t>半年</w:t>
            </w:r>
          </w:p>
        </w:tc>
      </w:tr>
      <w:tr w14:paraId="49EC17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167995ED">
            <w:pPr>
              <w:pStyle w:val="143"/>
              <w:rPr>
                <w:snapToGrid w:val="0"/>
                <w:color w:val="000000" w:themeColor="text1"/>
                <w:sz w:val="21"/>
                <w:szCs w:val="21"/>
                <w14:textFill>
                  <w14:solidFill>
                    <w14:schemeClr w14:val="tx1"/>
                  </w14:solidFill>
                </w14:textFill>
              </w:rPr>
            </w:pPr>
          </w:p>
        </w:tc>
        <w:tc>
          <w:tcPr>
            <w:tcW w:w="637" w:type="pct"/>
            <w:vMerge w:val="restart"/>
            <w:shd w:val="clear" w:color="auto" w:fill="auto"/>
            <w:vAlign w:val="center"/>
          </w:tcPr>
          <w:p w14:paraId="51797439">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lang w:eastAsia="zh-CN"/>
                <w14:textFill>
                  <w14:solidFill>
                    <w14:schemeClr w14:val="tx1"/>
                  </w14:solidFill>
                </w14:textFill>
              </w:rPr>
              <w:t>燃气锅炉</w:t>
            </w:r>
          </w:p>
        </w:tc>
        <w:tc>
          <w:tcPr>
            <w:tcW w:w="1017" w:type="pct"/>
            <w:shd w:val="clear" w:color="auto" w:fill="auto"/>
            <w:vAlign w:val="center"/>
          </w:tcPr>
          <w:p w14:paraId="3B6C815B">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NO</w:t>
            </w:r>
            <w:r>
              <w:rPr>
                <w:snapToGrid w:val="0"/>
                <w:color w:val="000000" w:themeColor="text1"/>
                <w:sz w:val="21"/>
                <w:szCs w:val="21"/>
                <w:lang w:val="en-US"/>
                <w14:textFill>
                  <w14:solidFill>
                    <w14:schemeClr w14:val="tx1"/>
                  </w14:solidFill>
                </w14:textFill>
              </w:rPr>
              <w:t>x</w:t>
            </w:r>
          </w:p>
        </w:tc>
        <w:tc>
          <w:tcPr>
            <w:tcW w:w="815" w:type="pct"/>
            <w:vMerge w:val="restart"/>
            <w:shd w:val="clear" w:color="auto" w:fill="auto"/>
            <w:vAlign w:val="center"/>
          </w:tcPr>
          <w:p w14:paraId="60E7694A">
            <w:pPr>
              <w:pStyle w:val="143"/>
              <w:rPr>
                <w:snapToGrid w:val="0"/>
                <w:color w:val="000000" w:themeColor="text1"/>
                <w:sz w:val="21"/>
                <w:szCs w:val="21"/>
                <w14:textFill>
                  <w14:solidFill>
                    <w14:schemeClr w14:val="tx1"/>
                  </w14:solidFill>
                </w14:textFill>
              </w:rPr>
            </w:pPr>
            <w:r>
              <w:rPr>
                <w:snapToGrid w:val="0"/>
                <w:color w:val="000000" w:themeColor="text1"/>
                <w:sz w:val="21"/>
                <w:szCs w:val="21"/>
                <w14:textFill>
                  <w14:solidFill>
                    <w14:schemeClr w14:val="tx1"/>
                  </w14:solidFill>
                </w14:textFill>
              </w:rPr>
              <w:t>25m高排气筒</w:t>
            </w:r>
            <w:r>
              <w:rPr>
                <w:rFonts w:hint="eastAsia"/>
                <w:snapToGrid w:val="0"/>
                <w:color w:val="000000" w:themeColor="text1"/>
                <w:sz w:val="21"/>
                <w:szCs w:val="21"/>
                <w:lang w:eastAsia="zh-CN"/>
                <w14:textFill>
                  <w14:solidFill>
                    <w14:schemeClr w14:val="tx1"/>
                  </w14:solidFill>
                </w14:textFill>
              </w:rPr>
              <w:t>D</w:t>
            </w:r>
            <w:r>
              <w:rPr>
                <w:snapToGrid w:val="0"/>
                <w:color w:val="000000" w:themeColor="text1"/>
                <w:sz w:val="21"/>
                <w:szCs w:val="21"/>
                <w:lang w:eastAsia="zh-CN"/>
                <w14:textFill>
                  <w14:solidFill>
                    <w14:schemeClr w14:val="tx1"/>
                  </w14:solidFill>
                </w14:textFill>
              </w:rPr>
              <w:t>A00</w:t>
            </w:r>
            <w:r>
              <w:rPr>
                <w:rFonts w:hint="eastAsia"/>
                <w:snapToGrid w:val="0"/>
                <w:color w:val="000000" w:themeColor="text1"/>
                <w:sz w:val="21"/>
                <w:szCs w:val="21"/>
                <w:lang w:val="en-US" w:eastAsia="zh-CN"/>
                <w14:textFill>
                  <w14:solidFill>
                    <w14:schemeClr w14:val="tx1"/>
                  </w14:solidFill>
                </w14:textFill>
              </w:rPr>
              <w:t>2</w:t>
            </w:r>
            <w:r>
              <w:rPr>
                <w:rFonts w:hint="eastAsia"/>
                <w:snapToGrid w:val="0"/>
                <w:color w:val="000000" w:themeColor="text1"/>
                <w:sz w:val="21"/>
                <w:szCs w:val="21"/>
                <w14:textFill>
                  <w14:solidFill>
                    <w14:schemeClr w14:val="tx1"/>
                  </w14:solidFill>
                </w14:textFill>
              </w:rPr>
              <w:t>出口</w:t>
            </w:r>
          </w:p>
        </w:tc>
        <w:tc>
          <w:tcPr>
            <w:tcW w:w="1384" w:type="pct"/>
            <w:vMerge w:val="restart"/>
            <w:shd w:val="clear" w:color="auto" w:fill="auto"/>
            <w:vAlign w:val="center"/>
          </w:tcPr>
          <w:p w14:paraId="28BF32DF">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《锅炉大气污染物排放标准》（GB13271-2014）表2标准</w:t>
            </w:r>
          </w:p>
        </w:tc>
        <w:tc>
          <w:tcPr>
            <w:tcW w:w="788" w:type="pct"/>
            <w:shd w:val="clear" w:color="auto" w:fill="auto"/>
            <w:vAlign w:val="center"/>
          </w:tcPr>
          <w:p w14:paraId="4A0F5992">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1次/月</w:t>
            </w:r>
          </w:p>
        </w:tc>
      </w:tr>
      <w:tr w14:paraId="20A0C5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01520F18">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4419BC46">
            <w:pPr>
              <w:pStyle w:val="143"/>
              <w:rPr>
                <w:snapToGrid w:val="0"/>
                <w:color w:val="000000" w:themeColor="text1"/>
                <w:sz w:val="21"/>
                <w:szCs w:val="21"/>
                <w14:textFill>
                  <w14:solidFill>
                    <w14:schemeClr w14:val="tx1"/>
                  </w14:solidFill>
                </w14:textFill>
              </w:rPr>
            </w:pPr>
          </w:p>
        </w:tc>
        <w:tc>
          <w:tcPr>
            <w:tcW w:w="1017" w:type="pct"/>
            <w:shd w:val="clear" w:color="auto" w:fill="auto"/>
            <w:vAlign w:val="center"/>
          </w:tcPr>
          <w:p w14:paraId="2A5897E2">
            <w:pPr>
              <w:pStyle w:val="143"/>
              <w:rPr>
                <w:rFonts w:hint="eastAsia" w:eastAsia="宋体"/>
                <w:snapToGrid w:val="0"/>
                <w:color w:val="000000" w:themeColor="text1"/>
                <w:sz w:val="21"/>
                <w:szCs w:val="21"/>
                <w:lang w:eastAsia="zh-CN"/>
                <w14:textFill>
                  <w14:solidFill>
                    <w14:schemeClr w14:val="tx1"/>
                  </w14:solidFill>
                </w14:textFill>
              </w:rPr>
            </w:pPr>
            <w:r>
              <w:rPr>
                <w:rFonts w:hint="eastAsia"/>
                <w:snapToGrid w:val="0"/>
                <w:color w:val="000000" w:themeColor="text1"/>
                <w:sz w:val="21"/>
                <w:szCs w:val="21"/>
                <w14:textFill>
                  <w14:solidFill>
                    <w14:schemeClr w14:val="tx1"/>
                  </w14:solidFill>
                </w14:textFill>
              </w:rPr>
              <w:t>颗粒物</w:t>
            </w:r>
            <w:r>
              <w:rPr>
                <w:rFonts w:hint="eastAsia"/>
                <w:snapToGrid w:val="0"/>
                <w:color w:val="000000" w:themeColor="text1"/>
                <w:sz w:val="21"/>
                <w:szCs w:val="21"/>
                <w:lang w:eastAsia="zh-CN"/>
                <w14:textFill>
                  <w14:solidFill>
                    <w14:schemeClr w14:val="tx1"/>
                  </w14:solidFill>
                </w14:textFill>
              </w:rPr>
              <w:t>、</w:t>
            </w:r>
            <w:r>
              <w:rPr>
                <w:rFonts w:hint="eastAsia"/>
                <w:snapToGrid w:val="0"/>
                <w:color w:val="000000" w:themeColor="text1"/>
                <w:sz w:val="21"/>
                <w:szCs w:val="21"/>
                <w:lang w:val="en-US" w:eastAsia="zh-CN"/>
                <w14:textFill>
                  <w14:solidFill>
                    <w14:schemeClr w14:val="tx1"/>
                  </w14:solidFill>
                </w14:textFill>
              </w:rPr>
              <w:t>烟气黑度、</w:t>
            </w:r>
            <w:r>
              <w:rPr>
                <w:rFonts w:hint="eastAsia"/>
                <w:snapToGrid w:val="0"/>
                <w:color w:val="000000" w:themeColor="text1"/>
                <w:sz w:val="21"/>
                <w:szCs w:val="21"/>
                <w14:textFill>
                  <w14:solidFill>
                    <w14:schemeClr w14:val="tx1"/>
                  </w14:solidFill>
                </w14:textFill>
              </w:rPr>
              <w:t>SO</w:t>
            </w:r>
            <w:r>
              <w:rPr>
                <w:rFonts w:hint="eastAsia"/>
                <w:snapToGrid w:val="0"/>
                <w:color w:val="000000" w:themeColor="text1"/>
                <w:sz w:val="21"/>
                <w:szCs w:val="21"/>
                <w:vertAlign w:val="subscript"/>
                <w14:textFill>
                  <w14:solidFill>
                    <w14:schemeClr w14:val="tx1"/>
                  </w14:solidFill>
                </w14:textFill>
              </w:rPr>
              <w:t>2</w:t>
            </w:r>
          </w:p>
        </w:tc>
        <w:tc>
          <w:tcPr>
            <w:tcW w:w="815" w:type="pct"/>
            <w:vMerge w:val="continue"/>
            <w:shd w:val="clear" w:color="auto" w:fill="auto"/>
            <w:vAlign w:val="center"/>
          </w:tcPr>
          <w:p w14:paraId="375A9BE2">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2A1AFE67">
            <w:pPr>
              <w:pStyle w:val="143"/>
              <w:rPr>
                <w:snapToGrid w:val="0"/>
                <w:color w:val="000000" w:themeColor="text1"/>
                <w:sz w:val="21"/>
                <w:szCs w:val="21"/>
                <w14:textFill>
                  <w14:solidFill>
                    <w14:schemeClr w14:val="tx1"/>
                  </w14:solidFill>
                </w14:textFill>
              </w:rPr>
            </w:pPr>
          </w:p>
        </w:tc>
        <w:tc>
          <w:tcPr>
            <w:tcW w:w="788" w:type="pct"/>
            <w:shd w:val="clear" w:color="auto" w:fill="auto"/>
            <w:vAlign w:val="center"/>
          </w:tcPr>
          <w:p w14:paraId="689E6BF7">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1次/</w:t>
            </w:r>
            <w:r>
              <w:rPr>
                <w:rFonts w:hint="eastAsia"/>
                <w:snapToGrid w:val="0"/>
                <w:color w:val="000000" w:themeColor="text1"/>
                <w:sz w:val="21"/>
                <w:szCs w:val="21"/>
                <w:lang w:eastAsia="zh-CN"/>
                <w14:textFill>
                  <w14:solidFill>
                    <w14:schemeClr w14:val="tx1"/>
                  </w14:solidFill>
                </w14:textFill>
              </w:rPr>
              <w:t>年</w:t>
            </w:r>
          </w:p>
        </w:tc>
      </w:tr>
      <w:tr w14:paraId="1FADB9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655EF116">
            <w:pPr>
              <w:pStyle w:val="143"/>
              <w:rPr>
                <w:snapToGrid w:val="0"/>
                <w:color w:val="000000" w:themeColor="text1"/>
                <w:sz w:val="21"/>
                <w:szCs w:val="21"/>
                <w14:textFill>
                  <w14:solidFill>
                    <w14:schemeClr w14:val="tx1"/>
                  </w14:solidFill>
                </w14:textFill>
              </w:rPr>
            </w:pPr>
          </w:p>
        </w:tc>
        <w:tc>
          <w:tcPr>
            <w:tcW w:w="637" w:type="pct"/>
            <w:vMerge w:val="restart"/>
            <w:shd w:val="clear" w:color="auto" w:fill="auto"/>
            <w:vAlign w:val="center"/>
          </w:tcPr>
          <w:p w14:paraId="0653D155">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污水处理站</w:t>
            </w:r>
            <w:r>
              <w:rPr>
                <w:snapToGrid w:val="0"/>
                <w:color w:val="000000" w:themeColor="text1"/>
                <w:sz w:val="21"/>
                <w:szCs w:val="21"/>
                <w14:textFill>
                  <w14:solidFill>
                    <w14:schemeClr w14:val="tx1"/>
                  </w14:solidFill>
                </w14:textFill>
              </w:rPr>
              <w:t>恶臭</w:t>
            </w:r>
            <w:r>
              <w:rPr>
                <w:rFonts w:hint="eastAsia"/>
                <w:snapToGrid w:val="0"/>
                <w:color w:val="000000" w:themeColor="text1"/>
                <w:sz w:val="21"/>
                <w:szCs w:val="21"/>
                <w14:textFill>
                  <w14:solidFill>
                    <w14:schemeClr w14:val="tx1"/>
                  </w14:solidFill>
                </w14:textFill>
              </w:rPr>
              <w:t>、生产车间异味</w:t>
            </w:r>
          </w:p>
        </w:tc>
        <w:tc>
          <w:tcPr>
            <w:tcW w:w="1017" w:type="pct"/>
            <w:shd w:val="clear" w:color="auto" w:fill="auto"/>
            <w:vAlign w:val="center"/>
          </w:tcPr>
          <w:p w14:paraId="5892526A">
            <w:pPr>
              <w:pStyle w:val="143"/>
              <w:rPr>
                <w:snapToGrid w:val="0"/>
                <w:color w:val="000000" w:themeColor="text1"/>
                <w:sz w:val="21"/>
                <w:szCs w:val="21"/>
                <w:lang w:val="en-US"/>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氨</w:t>
            </w:r>
          </w:p>
        </w:tc>
        <w:tc>
          <w:tcPr>
            <w:tcW w:w="815" w:type="pct"/>
            <w:vMerge w:val="restart"/>
            <w:shd w:val="clear" w:color="auto" w:fill="auto"/>
            <w:vAlign w:val="center"/>
          </w:tcPr>
          <w:p w14:paraId="7968A448">
            <w:pPr>
              <w:pStyle w:val="143"/>
              <w:rPr>
                <w:snapToGrid w:val="0"/>
                <w:color w:val="000000" w:themeColor="text1"/>
                <w:sz w:val="21"/>
                <w:szCs w:val="21"/>
                <w14:textFill>
                  <w14:solidFill>
                    <w14:schemeClr w14:val="tx1"/>
                  </w14:solidFill>
                </w14:textFill>
              </w:rPr>
            </w:pPr>
            <w:r>
              <w:rPr>
                <w:snapToGrid w:val="0"/>
                <w:color w:val="000000" w:themeColor="text1"/>
                <w:sz w:val="21"/>
                <w:szCs w:val="21"/>
                <w14:textFill>
                  <w14:solidFill>
                    <w14:schemeClr w14:val="tx1"/>
                  </w14:solidFill>
                </w14:textFill>
              </w:rPr>
              <w:t>15m高排气筒</w:t>
            </w:r>
            <w:r>
              <w:rPr>
                <w:rFonts w:hint="eastAsia"/>
                <w:snapToGrid w:val="0"/>
                <w:color w:val="000000" w:themeColor="text1"/>
                <w:sz w:val="21"/>
                <w:szCs w:val="21"/>
                <w:lang w:eastAsia="zh-CN"/>
                <w14:textFill>
                  <w14:solidFill>
                    <w14:schemeClr w14:val="tx1"/>
                  </w14:solidFill>
                </w14:textFill>
              </w:rPr>
              <w:t>D</w:t>
            </w:r>
            <w:r>
              <w:rPr>
                <w:snapToGrid w:val="0"/>
                <w:color w:val="000000" w:themeColor="text1"/>
                <w:sz w:val="21"/>
                <w:szCs w:val="21"/>
                <w:lang w:eastAsia="zh-CN"/>
                <w14:textFill>
                  <w14:solidFill>
                    <w14:schemeClr w14:val="tx1"/>
                  </w14:solidFill>
                </w14:textFill>
              </w:rPr>
              <w:t>A00</w:t>
            </w:r>
            <w:r>
              <w:rPr>
                <w:rFonts w:hint="eastAsia"/>
                <w:snapToGrid w:val="0"/>
                <w:color w:val="000000" w:themeColor="text1"/>
                <w:sz w:val="21"/>
                <w:szCs w:val="21"/>
                <w:lang w:val="en-US" w:eastAsia="zh-CN"/>
                <w14:textFill>
                  <w14:solidFill>
                    <w14:schemeClr w14:val="tx1"/>
                  </w14:solidFill>
                </w14:textFill>
              </w:rPr>
              <w:t>1</w:t>
            </w:r>
            <w:r>
              <w:rPr>
                <w:rFonts w:hint="eastAsia"/>
                <w:snapToGrid w:val="0"/>
                <w:color w:val="000000" w:themeColor="text1"/>
                <w:sz w:val="21"/>
                <w:szCs w:val="21"/>
                <w:lang w:eastAsia="zh-CN"/>
                <w14:textFill>
                  <w14:solidFill>
                    <w14:schemeClr w14:val="tx1"/>
                  </w14:solidFill>
                </w14:textFill>
              </w:rPr>
              <w:t>出</w:t>
            </w:r>
            <w:r>
              <w:rPr>
                <w:snapToGrid w:val="0"/>
                <w:color w:val="000000" w:themeColor="text1"/>
                <w:sz w:val="21"/>
                <w:szCs w:val="21"/>
                <w14:textFill>
                  <w14:solidFill>
                    <w14:schemeClr w14:val="tx1"/>
                  </w14:solidFill>
                </w14:textFill>
              </w:rPr>
              <w:t>口</w:t>
            </w:r>
          </w:p>
        </w:tc>
        <w:tc>
          <w:tcPr>
            <w:tcW w:w="1384" w:type="pct"/>
            <w:vMerge w:val="restart"/>
            <w:shd w:val="clear" w:color="auto" w:fill="auto"/>
            <w:vAlign w:val="center"/>
          </w:tcPr>
          <w:p w14:paraId="3E7368C6">
            <w:pPr>
              <w:pStyle w:val="143"/>
              <w:rPr>
                <w:snapToGrid w:val="0"/>
                <w:color w:val="000000" w:themeColor="text1"/>
                <w:sz w:val="21"/>
                <w:szCs w:val="21"/>
                <w:lang w:val="en-US"/>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《恶臭污染物排放标准》（GB14554-93）表2中限值要求</w:t>
            </w:r>
          </w:p>
        </w:tc>
        <w:tc>
          <w:tcPr>
            <w:tcW w:w="788" w:type="pct"/>
            <w:vMerge w:val="restart"/>
            <w:shd w:val="clear" w:color="auto" w:fill="auto"/>
            <w:vAlign w:val="center"/>
          </w:tcPr>
          <w:p w14:paraId="6C875AA7">
            <w:pPr>
              <w:pStyle w:val="143"/>
              <w:rPr>
                <w:snapToGrid w:val="0"/>
                <w:color w:val="000000" w:themeColor="text1"/>
                <w:sz w:val="21"/>
                <w:szCs w:val="21"/>
                <w14:textFill>
                  <w14:solidFill>
                    <w14:schemeClr w14:val="tx1"/>
                  </w14:solidFill>
                </w14:textFill>
              </w:rPr>
            </w:pPr>
            <w:r>
              <w:rPr>
                <w:snapToGrid w:val="0"/>
                <w:color w:val="000000" w:themeColor="text1"/>
                <w:sz w:val="21"/>
                <w:szCs w:val="21"/>
                <w14:textFill>
                  <w14:solidFill>
                    <w14:schemeClr w14:val="tx1"/>
                  </w14:solidFill>
                </w14:textFill>
              </w:rPr>
              <w:t>1次/</w:t>
            </w:r>
            <w:r>
              <w:rPr>
                <w:rFonts w:hint="eastAsia"/>
                <w:snapToGrid w:val="0"/>
                <w:color w:val="000000" w:themeColor="text1"/>
                <w:sz w:val="21"/>
                <w:szCs w:val="21"/>
                <w14:textFill>
                  <w14:solidFill>
                    <w14:schemeClr w14:val="tx1"/>
                  </w14:solidFill>
                </w14:textFill>
              </w:rPr>
              <w:t>半年</w:t>
            </w:r>
          </w:p>
        </w:tc>
      </w:tr>
      <w:tr w14:paraId="386001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66C532E4">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363E4B11">
            <w:pPr>
              <w:pStyle w:val="143"/>
              <w:rPr>
                <w:snapToGrid w:val="0"/>
                <w:color w:val="000000" w:themeColor="text1"/>
                <w:sz w:val="21"/>
                <w:szCs w:val="21"/>
                <w14:textFill>
                  <w14:solidFill>
                    <w14:schemeClr w14:val="tx1"/>
                  </w14:solidFill>
                </w14:textFill>
              </w:rPr>
            </w:pPr>
          </w:p>
        </w:tc>
        <w:tc>
          <w:tcPr>
            <w:tcW w:w="1017" w:type="pct"/>
            <w:shd w:val="clear" w:color="auto" w:fill="auto"/>
            <w:vAlign w:val="center"/>
          </w:tcPr>
          <w:p w14:paraId="0ED296C8">
            <w:pPr>
              <w:pStyle w:val="143"/>
              <w:rPr>
                <w:snapToGrid w:val="0"/>
                <w:color w:val="000000" w:themeColor="text1"/>
                <w:sz w:val="21"/>
                <w:szCs w:val="21"/>
                <w:lang w:val="en-US"/>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硫化氢</w:t>
            </w:r>
          </w:p>
        </w:tc>
        <w:tc>
          <w:tcPr>
            <w:tcW w:w="815" w:type="pct"/>
            <w:vMerge w:val="continue"/>
            <w:shd w:val="clear" w:color="auto" w:fill="auto"/>
            <w:vAlign w:val="center"/>
          </w:tcPr>
          <w:p w14:paraId="56C579CA">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70DE0E26">
            <w:pPr>
              <w:pStyle w:val="143"/>
              <w:rPr>
                <w:snapToGrid w:val="0"/>
                <w:color w:val="000000" w:themeColor="text1"/>
                <w:sz w:val="21"/>
                <w:szCs w:val="21"/>
                <w:lang w:val="en-US"/>
                <w14:textFill>
                  <w14:solidFill>
                    <w14:schemeClr w14:val="tx1"/>
                  </w14:solidFill>
                </w14:textFill>
              </w:rPr>
            </w:pPr>
          </w:p>
        </w:tc>
        <w:tc>
          <w:tcPr>
            <w:tcW w:w="788" w:type="pct"/>
            <w:vMerge w:val="continue"/>
            <w:shd w:val="clear" w:color="auto" w:fill="auto"/>
            <w:vAlign w:val="center"/>
          </w:tcPr>
          <w:p w14:paraId="11D1CADB">
            <w:pPr>
              <w:pStyle w:val="143"/>
              <w:rPr>
                <w:snapToGrid w:val="0"/>
                <w:color w:val="000000" w:themeColor="text1"/>
                <w:sz w:val="21"/>
                <w:szCs w:val="21"/>
                <w14:textFill>
                  <w14:solidFill>
                    <w14:schemeClr w14:val="tx1"/>
                  </w14:solidFill>
                </w14:textFill>
              </w:rPr>
            </w:pPr>
          </w:p>
        </w:tc>
      </w:tr>
      <w:tr w14:paraId="74231C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5628A829">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70C8053B">
            <w:pPr>
              <w:pStyle w:val="143"/>
              <w:rPr>
                <w:snapToGrid w:val="0"/>
                <w:color w:val="000000" w:themeColor="text1"/>
                <w:sz w:val="21"/>
                <w:szCs w:val="21"/>
                <w14:textFill>
                  <w14:solidFill>
                    <w14:schemeClr w14:val="tx1"/>
                  </w14:solidFill>
                </w14:textFill>
              </w:rPr>
            </w:pPr>
          </w:p>
        </w:tc>
        <w:tc>
          <w:tcPr>
            <w:tcW w:w="1017" w:type="pct"/>
            <w:shd w:val="clear" w:color="auto" w:fill="auto"/>
            <w:vAlign w:val="center"/>
          </w:tcPr>
          <w:p w14:paraId="447DAE8E">
            <w:pPr>
              <w:pStyle w:val="143"/>
              <w:rPr>
                <w:snapToGrid w:val="0"/>
                <w:color w:val="000000" w:themeColor="text1"/>
                <w:sz w:val="21"/>
                <w:szCs w:val="21"/>
                <w:lang w:val="en-US"/>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氨</w:t>
            </w:r>
            <w:r>
              <w:rPr>
                <w:rFonts w:hint="eastAsia"/>
                <w:snapToGrid w:val="0"/>
                <w:color w:val="000000" w:themeColor="text1"/>
                <w:sz w:val="21"/>
                <w:szCs w:val="21"/>
                <w:lang w:val="en-US" w:eastAsia="zh-CN"/>
                <w14:textFill>
                  <w14:solidFill>
                    <w14:schemeClr w14:val="tx1"/>
                  </w14:solidFill>
                </w14:textFill>
              </w:rPr>
              <w:t>、</w:t>
            </w:r>
            <w:r>
              <w:rPr>
                <w:rFonts w:hint="eastAsia"/>
                <w:snapToGrid w:val="0"/>
                <w:color w:val="000000" w:themeColor="text1"/>
                <w:sz w:val="21"/>
                <w:szCs w:val="21"/>
                <w:lang w:val="en-US"/>
                <w14:textFill>
                  <w14:solidFill>
                    <w14:schemeClr w14:val="tx1"/>
                  </w14:solidFill>
                </w14:textFill>
              </w:rPr>
              <w:t>硫化氢</w:t>
            </w:r>
            <w:r>
              <w:rPr>
                <w:rFonts w:hint="eastAsia"/>
                <w:snapToGrid w:val="0"/>
                <w:color w:val="000000" w:themeColor="text1"/>
                <w:sz w:val="21"/>
                <w:szCs w:val="21"/>
                <w:lang w:val="en-US" w:eastAsia="zh-CN"/>
                <w14:textFill>
                  <w14:solidFill>
                    <w14:schemeClr w14:val="tx1"/>
                  </w14:solidFill>
                </w14:textFill>
              </w:rPr>
              <w:t>、</w:t>
            </w:r>
            <w:r>
              <w:rPr>
                <w:rFonts w:hint="eastAsia"/>
                <w:snapToGrid w:val="0"/>
                <w:color w:val="000000" w:themeColor="text1"/>
                <w:sz w:val="21"/>
                <w:szCs w:val="21"/>
                <w14:textFill>
                  <w14:solidFill>
                    <w14:schemeClr w14:val="tx1"/>
                  </w14:solidFill>
                </w14:textFill>
              </w:rPr>
              <w:t>臭气浓度</w:t>
            </w:r>
          </w:p>
        </w:tc>
        <w:tc>
          <w:tcPr>
            <w:tcW w:w="815" w:type="pct"/>
            <w:shd w:val="clear" w:color="auto" w:fill="auto"/>
            <w:vAlign w:val="center"/>
          </w:tcPr>
          <w:p w14:paraId="6A5BB8F5">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lang w:eastAsia="zh-CN"/>
                <w14:textFill>
                  <w14:solidFill>
                    <w14:schemeClr w14:val="tx1"/>
                  </w14:solidFill>
                </w14:textFill>
              </w:rPr>
              <w:t>厂界</w:t>
            </w:r>
          </w:p>
        </w:tc>
        <w:tc>
          <w:tcPr>
            <w:tcW w:w="1384" w:type="pct"/>
            <w:shd w:val="clear" w:color="auto" w:fill="auto"/>
            <w:vAlign w:val="center"/>
          </w:tcPr>
          <w:p w14:paraId="5BD37295">
            <w:pPr>
              <w:pStyle w:val="143"/>
              <w:rPr>
                <w:snapToGrid w:val="0"/>
                <w:color w:val="000000" w:themeColor="text1"/>
                <w:sz w:val="21"/>
                <w:szCs w:val="21"/>
                <w:lang w:val="en-US"/>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满足《恶臭污染物排放标准》（GB14554-93）表1中二级新扩改建标准</w:t>
            </w:r>
          </w:p>
        </w:tc>
        <w:tc>
          <w:tcPr>
            <w:tcW w:w="788" w:type="pct"/>
            <w:vMerge w:val="continue"/>
            <w:shd w:val="clear" w:color="auto" w:fill="auto"/>
            <w:vAlign w:val="center"/>
          </w:tcPr>
          <w:p w14:paraId="59DFA754">
            <w:pPr>
              <w:pStyle w:val="143"/>
              <w:rPr>
                <w:snapToGrid w:val="0"/>
                <w:color w:val="000000" w:themeColor="text1"/>
                <w:sz w:val="21"/>
                <w:szCs w:val="21"/>
                <w14:textFill>
                  <w14:solidFill>
                    <w14:schemeClr w14:val="tx1"/>
                  </w14:solidFill>
                </w14:textFill>
              </w:rPr>
            </w:pPr>
          </w:p>
        </w:tc>
      </w:tr>
      <w:tr w14:paraId="6AA7A7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66985FBB">
            <w:pPr>
              <w:pStyle w:val="143"/>
              <w:rPr>
                <w:snapToGrid w:val="0"/>
                <w:color w:val="000000" w:themeColor="text1"/>
                <w:sz w:val="21"/>
                <w:szCs w:val="21"/>
                <w14:textFill>
                  <w14:solidFill>
                    <w14:schemeClr w14:val="tx1"/>
                  </w14:solidFill>
                </w14:textFill>
              </w:rPr>
            </w:pPr>
          </w:p>
        </w:tc>
        <w:tc>
          <w:tcPr>
            <w:tcW w:w="637" w:type="pct"/>
            <w:shd w:val="clear" w:color="auto" w:fill="auto"/>
            <w:vAlign w:val="center"/>
          </w:tcPr>
          <w:p w14:paraId="79A79533">
            <w:pPr>
              <w:pStyle w:val="143"/>
              <w:rPr>
                <w:rFonts w:hint="default" w:eastAsia="宋体"/>
                <w:snapToGrid w:val="0"/>
                <w:color w:val="000000" w:themeColor="text1"/>
                <w:sz w:val="21"/>
                <w:szCs w:val="21"/>
                <w:lang w:val="en-US" w:eastAsia="zh-CN"/>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沼气燃烧火炬</w:t>
            </w:r>
          </w:p>
        </w:tc>
        <w:tc>
          <w:tcPr>
            <w:tcW w:w="1017" w:type="pct"/>
            <w:shd w:val="clear" w:color="auto" w:fill="auto"/>
            <w:vAlign w:val="center"/>
          </w:tcPr>
          <w:p w14:paraId="6B17407E">
            <w:pPr>
              <w:pStyle w:val="143"/>
              <w:rPr>
                <w:rFonts w:hint="eastAsia"/>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颗粒物</w:t>
            </w:r>
            <w:r>
              <w:rPr>
                <w:rFonts w:hint="eastAsia"/>
                <w:snapToGrid w:val="0"/>
                <w:color w:val="000000" w:themeColor="text1"/>
                <w:sz w:val="21"/>
                <w:szCs w:val="21"/>
                <w:lang w:eastAsia="zh-CN"/>
                <w14:textFill>
                  <w14:solidFill>
                    <w14:schemeClr w14:val="tx1"/>
                  </w14:solidFill>
                </w14:textFill>
              </w:rPr>
              <w:t>、</w:t>
            </w:r>
            <w:r>
              <w:rPr>
                <w:rFonts w:hint="eastAsia"/>
                <w:snapToGrid w:val="0"/>
                <w:color w:val="000000" w:themeColor="text1"/>
                <w:sz w:val="21"/>
                <w:szCs w:val="21"/>
                <w:lang w:val="en-US"/>
                <w14:textFill>
                  <w14:solidFill>
                    <w14:schemeClr w14:val="tx1"/>
                  </w14:solidFill>
                </w14:textFill>
              </w:rPr>
              <w:t>NO</w:t>
            </w:r>
            <w:r>
              <w:rPr>
                <w:snapToGrid w:val="0"/>
                <w:color w:val="000000" w:themeColor="text1"/>
                <w:sz w:val="21"/>
                <w:szCs w:val="21"/>
                <w:lang w:val="en-US"/>
                <w14:textFill>
                  <w14:solidFill>
                    <w14:schemeClr w14:val="tx1"/>
                  </w14:solidFill>
                </w14:textFill>
              </w:rPr>
              <w:t>x</w:t>
            </w:r>
            <w:r>
              <w:rPr>
                <w:rFonts w:hint="eastAsia"/>
                <w:snapToGrid w:val="0"/>
                <w:color w:val="000000" w:themeColor="text1"/>
                <w:sz w:val="21"/>
                <w:szCs w:val="21"/>
                <w:lang w:val="en-US" w:eastAsia="zh-CN"/>
                <w14:textFill>
                  <w14:solidFill>
                    <w14:schemeClr w14:val="tx1"/>
                  </w14:solidFill>
                </w14:textFill>
              </w:rPr>
              <w:t>、</w:t>
            </w:r>
            <w:r>
              <w:rPr>
                <w:rFonts w:hint="eastAsia"/>
                <w:snapToGrid w:val="0"/>
                <w:color w:val="000000" w:themeColor="text1"/>
                <w:sz w:val="21"/>
                <w:szCs w:val="21"/>
                <w14:textFill>
                  <w14:solidFill>
                    <w14:schemeClr w14:val="tx1"/>
                  </w14:solidFill>
                </w14:textFill>
              </w:rPr>
              <w:t>SO</w:t>
            </w:r>
            <w:r>
              <w:rPr>
                <w:rFonts w:hint="eastAsia"/>
                <w:snapToGrid w:val="0"/>
                <w:color w:val="000000" w:themeColor="text1"/>
                <w:sz w:val="21"/>
                <w:szCs w:val="21"/>
                <w:vertAlign w:val="subscript"/>
                <w14:textFill>
                  <w14:solidFill>
                    <w14:schemeClr w14:val="tx1"/>
                  </w14:solidFill>
                </w14:textFill>
              </w:rPr>
              <w:t>2</w:t>
            </w:r>
          </w:p>
        </w:tc>
        <w:tc>
          <w:tcPr>
            <w:tcW w:w="815" w:type="pct"/>
            <w:shd w:val="clear" w:color="auto" w:fill="auto"/>
            <w:vAlign w:val="center"/>
          </w:tcPr>
          <w:p w14:paraId="3137B2A1">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lang w:eastAsia="zh-CN"/>
                <w14:textFill>
                  <w14:solidFill>
                    <w14:schemeClr w14:val="tx1"/>
                  </w14:solidFill>
                </w14:textFill>
              </w:rPr>
              <w:t>厂界</w:t>
            </w:r>
          </w:p>
        </w:tc>
        <w:tc>
          <w:tcPr>
            <w:tcW w:w="1384" w:type="pct"/>
            <w:shd w:val="clear" w:color="auto" w:fill="auto"/>
            <w:vAlign w:val="center"/>
          </w:tcPr>
          <w:p w14:paraId="4884ED35">
            <w:pPr>
              <w:pStyle w:val="143"/>
              <w:rPr>
                <w:snapToGrid w:val="0"/>
                <w:color w:val="000000" w:themeColor="text1"/>
                <w:sz w:val="21"/>
                <w:szCs w:val="21"/>
                <w:lang w:val="en-US"/>
                <w14:textFill>
                  <w14:solidFill>
                    <w14:schemeClr w14:val="tx1"/>
                  </w14:solidFill>
                </w14:textFill>
              </w:rPr>
            </w:pPr>
            <w:r>
              <w:rPr>
                <w:snapToGrid w:val="0"/>
                <w:color w:val="000000" w:themeColor="text1"/>
                <w:kern w:val="0"/>
                <w:sz w:val="21"/>
                <w:szCs w:val="21"/>
                <w:lang w:val="en-US"/>
                <w14:textFill>
                  <w14:solidFill>
                    <w14:schemeClr w14:val="tx1"/>
                  </w14:solidFill>
                </w14:textFill>
              </w:rPr>
              <w:t>《大气污染物综合排放标准》（GB16297-1996）表2中无组织排放浓度监控限值</w:t>
            </w:r>
          </w:p>
        </w:tc>
        <w:tc>
          <w:tcPr>
            <w:tcW w:w="788" w:type="pct"/>
            <w:shd w:val="clear" w:color="auto" w:fill="auto"/>
            <w:vAlign w:val="center"/>
          </w:tcPr>
          <w:p w14:paraId="4C0A552C">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1次/</w:t>
            </w:r>
            <w:r>
              <w:rPr>
                <w:rFonts w:hint="eastAsia"/>
                <w:snapToGrid w:val="0"/>
                <w:color w:val="000000" w:themeColor="text1"/>
                <w:sz w:val="21"/>
                <w:szCs w:val="21"/>
                <w:lang w:eastAsia="zh-CN"/>
                <w14:textFill>
                  <w14:solidFill>
                    <w14:schemeClr w14:val="tx1"/>
                  </w14:solidFill>
                </w14:textFill>
              </w:rPr>
              <w:t>年</w:t>
            </w:r>
          </w:p>
        </w:tc>
      </w:tr>
      <w:tr w14:paraId="6DE577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78405E2B">
            <w:pPr>
              <w:pStyle w:val="143"/>
              <w:rPr>
                <w:snapToGrid w:val="0"/>
                <w:color w:val="000000" w:themeColor="text1"/>
                <w:sz w:val="21"/>
                <w:szCs w:val="21"/>
                <w14:textFill>
                  <w14:solidFill>
                    <w14:schemeClr w14:val="tx1"/>
                  </w14:solidFill>
                </w14:textFill>
              </w:rPr>
            </w:pPr>
          </w:p>
        </w:tc>
        <w:tc>
          <w:tcPr>
            <w:tcW w:w="637" w:type="pct"/>
            <w:shd w:val="clear" w:color="auto" w:fill="auto"/>
            <w:vAlign w:val="center"/>
          </w:tcPr>
          <w:p w14:paraId="5A6085A3">
            <w:pPr>
              <w:pStyle w:val="143"/>
              <w:rPr>
                <w:rFonts w:hint="default" w:eastAsia="宋体"/>
                <w:snapToGrid w:val="0"/>
                <w:color w:val="000000" w:themeColor="text1"/>
                <w:sz w:val="21"/>
                <w:szCs w:val="21"/>
                <w:lang w:val="en-US" w:eastAsia="zh-CN"/>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食堂油烟</w:t>
            </w:r>
          </w:p>
        </w:tc>
        <w:tc>
          <w:tcPr>
            <w:tcW w:w="1017" w:type="pct"/>
            <w:shd w:val="clear" w:color="auto" w:fill="auto"/>
            <w:vAlign w:val="center"/>
          </w:tcPr>
          <w:p w14:paraId="43F3A89D">
            <w:pPr>
              <w:pStyle w:val="143"/>
              <w:rPr>
                <w:rFonts w:hint="default" w:eastAsia="宋体"/>
                <w:snapToGrid w:val="0"/>
                <w:color w:val="000000" w:themeColor="text1"/>
                <w:sz w:val="21"/>
                <w:szCs w:val="21"/>
                <w:lang w:val="en-US" w:eastAsia="zh-CN"/>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油烟</w:t>
            </w:r>
          </w:p>
        </w:tc>
        <w:tc>
          <w:tcPr>
            <w:tcW w:w="815" w:type="pct"/>
            <w:shd w:val="clear" w:color="auto" w:fill="auto"/>
            <w:vAlign w:val="center"/>
          </w:tcPr>
          <w:p w14:paraId="7294AFB3">
            <w:pPr>
              <w:pStyle w:val="143"/>
              <w:rPr>
                <w:snapToGrid w:val="0"/>
                <w:color w:val="000000" w:themeColor="text1"/>
                <w:sz w:val="21"/>
                <w:szCs w:val="21"/>
                <w14:textFill>
                  <w14:solidFill>
                    <w14:schemeClr w14:val="tx1"/>
                  </w14:solidFill>
                </w14:textFill>
              </w:rPr>
            </w:pPr>
            <w:r>
              <w:rPr>
                <w:rFonts w:hint="eastAsia"/>
                <w:color w:val="000000"/>
                <w:sz w:val="21"/>
                <w:szCs w:val="21"/>
              </w:rPr>
              <w:t>专用烟道出口</w:t>
            </w:r>
          </w:p>
        </w:tc>
        <w:tc>
          <w:tcPr>
            <w:tcW w:w="1384" w:type="pct"/>
            <w:shd w:val="clear" w:color="auto" w:fill="auto"/>
            <w:vAlign w:val="center"/>
          </w:tcPr>
          <w:p w14:paraId="4D2560D6">
            <w:pPr>
              <w:pStyle w:val="143"/>
              <w:rPr>
                <w:snapToGrid w:val="0"/>
                <w:color w:val="000000" w:themeColor="text1"/>
                <w:sz w:val="21"/>
                <w:szCs w:val="21"/>
                <w:lang w:val="en-US"/>
                <w14:textFill>
                  <w14:solidFill>
                    <w14:schemeClr w14:val="tx1"/>
                  </w14:solidFill>
                </w14:textFill>
              </w:rPr>
            </w:pPr>
            <w:r>
              <w:rPr>
                <w:rFonts w:ascii="Times New Roman"/>
                <w:color w:val="000000"/>
                <w:sz w:val="21"/>
                <w:szCs w:val="21"/>
              </w:rPr>
              <w:t>《饮食业油烟排放标准》（GB18483-2001）（试行）（中型）油烟</w:t>
            </w:r>
            <w:r>
              <w:rPr>
                <w:rFonts w:hint="eastAsia" w:ascii="Times New Roman"/>
                <w:color w:val="000000"/>
                <w:sz w:val="21"/>
                <w:szCs w:val="21"/>
              </w:rPr>
              <w:t>排放标准要求</w:t>
            </w:r>
          </w:p>
        </w:tc>
        <w:tc>
          <w:tcPr>
            <w:tcW w:w="788" w:type="pct"/>
            <w:shd w:val="clear" w:color="auto" w:fill="auto"/>
            <w:vAlign w:val="center"/>
          </w:tcPr>
          <w:p w14:paraId="2E00C07E">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1次/</w:t>
            </w:r>
            <w:r>
              <w:rPr>
                <w:rFonts w:hint="eastAsia"/>
                <w:snapToGrid w:val="0"/>
                <w:color w:val="000000" w:themeColor="text1"/>
                <w:sz w:val="21"/>
                <w:szCs w:val="21"/>
                <w:lang w:eastAsia="zh-CN"/>
                <w14:textFill>
                  <w14:solidFill>
                    <w14:schemeClr w14:val="tx1"/>
                  </w14:solidFill>
                </w14:textFill>
              </w:rPr>
              <w:t>年</w:t>
            </w:r>
          </w:p>
        </w:tc>
      </w:tr>
      <w:tr w14:paraId="310AE7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02CB914C">
            <w:pPr>
              <w:pStyle w:val="143"/>
              <w:rPr>
                <w:snapToGrid w:val="0"/>
                <w:color w:val="000000" w:themeColor="text1"/>
                <w:sz w:val="21"/>
                <w:szCs w:val="21"/>
                <w14:textFill>
                  <w14:solidFill>
                    <w14:schemeClr w14:val="tx1"/>
                  </w14:solidFill>
                </w14:textFill>
              </w:rPr>
            </w:pPr>
          </w:p>
        </w:tc>
        <w:tc>
          <w:tcPr>
            <w:tcW w:w="637" w:type="pct"/>
            <w:shd w:val="clear" w:color="auto" w:fill="auto"/>
            <w:vAlign w:val="center"/>
          </w:tcPr>
          <w:p w14:paraId="60C0AD6F">
            <w:pPr>
              <w:pStyle w:val="143"/>
              <w:rPr>
                <w:rFonts w:hint="default"/>
                <w:snapToGrid w:val="0"/>
                <w:color w:val="000000" w:themeColor="text1"/>
                <w:sz w:val="21"/>
                <w:szCs w:val="21"/>
                <w:lang w:val="en-US" w:eastAsia="zh-CN"/>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柴油发电机</w:t>
            </w:r>
          </w:p>
        </w:tc>
        <w:tc>
          <w:tcPr>
            <w:tcW w:w="1017" w:type="pct"/>
            <w:shd w:val="clear" w:color="auto" w:fill="auto"/>
            <w:vAlign w:val="center"/>
          </w:tcPr>
          <w:p w14:paraId="6E08ADAF">
            <w:pPr>
              <w:pStyle w:val="143"/>
              <w:rPr>
                <w:rFonts w:hint="eastAsia"/>
                <w:snapToGrid w:val="0"/>
                <w:color w:val="000000" w:themeColor="text1"/>
                <w:sz w:val="21"/>
                <w:szCs w:val="21"/>
                <w:lang w:val="en-US" w:eastAsia="zh-CN"/>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颗粒物、SO</w:t>
            </w:r>
            <w:r>
              <w:rPr>
                <w:rFonts w:hint="eastAsia"/>
                <w:snapToGrid w:val="0"/>
                <w:color w:val="000000" w:themeColor="text1"/>
                <w:sz w:val="21"/>
                <w:szCs w:val="21"/>
                <w:vertAlign w:val="subscript"/>
                <w:lang w:val="en-US"/>
                <w14:textFill>
                  <w14:solidFill>
                    <w14:schemeClr w14:val="tx1"/>
                  </w14:solidFill>
                </w14:textFill>
              </w:rPr>
              <w:t>2</w:t>
            </w:r>
            <w:r>
              <w:rPr>
                <w:rFonts w:hint="eastAsia"/>
                <w:snapToGrid w:val="0"/>
                <w:color w:val="000000" w:themeColor="text1"/>
                <w:sz w:val="21"/>
                <w:szCs w:val="21"/>
                <w:lang w:val="en-US"/>
                <w14:textFill>
                  <w14:solidFill>
                    <w14:schemeClr w14:val="tx1"/>
                  </w14:solidFill>
                </w14:textFill>
              </w:rPr>
              <w:t>、NO</w:t>
            </w:r>
            <w:r>
              <w:rPr>
                <w:rFonts w:hint="eastAsia"/>
                <w:snapToGrid w:val="0"/>
                <w:color w:val="000000" w:themeColor="text1"/>
                <w:sz w:val="21"/>
                <w:szCs w:val="21"/>
                <w:vertAlign w:val="subscript"/>
                <w:lang w:val="en-US"/>
                <w14:textFill>
                  <w14:solidFill>
                    <w14:schemeClr w14:val="tx1"/>
                  </w14:solidFill>
                </w14:textFill>
              </w:rPr>
              <w:t>x</w:t>
            </w:r>
          </w:p>
        </w:tc>
        <w:tc>
          <w:tcPr>
            <w:tcW w:w="815" w:type="pct"/>
            <w:shd w:val="clear" w:color="auto" w:fill="auto"/>
            <w:vAlign w:val="center"/>
          </w:tcPr>
          <w:p w14:paraId="224D6E1B">
            <w:pPr>
              <w:pStyle w:val="143"/>
              <w:rPr>
                <w:rFonts w:hint="eastAsia"/>
                <w:color w:val="000000"/>
                <w:sz w:val="21"/>
                <w:szCs w:val="21"/>
              </w:rPr>
            </w:pPr>
            <w:r>
              <w:rPr>
                <w:rFonts w:hint="eastAsia"/>
                <w:snapToGrid w:val="0"/>
                <w:color w:val="000000" w:themeColor="text1"/>
                <w:sz w:val="21"/>
                <w:szCs w:val="21"/>
                <w:lang w:eastAsia="zh-CN"/>
                <w14:textFill>
                  <w14:solidFill>
                    <w14:schemeClr w14:val="tx1"/>
                  </w14:solidFill>
                </w14:textFill>
              </w:rPr>
              <w:t>厂界</w:t>
            </w:r>
          </w:p>
        </w:tc>
        <w:tc>
          <w:tcPr>
            <w:tcW w:w="1384" w:type="pct"/>
            <w:shd w:val="clear" w:color="auto" w:fill="auto"/>
            <w:vAlign w:val="center"/>
          </w:tcPr>
          <w:p w14:paraId="279AED71">
            <w:pPr>
              <w:pStyle w:val="143"/>
              <w:rPr>
                <w:rFonts w:ascii="Times New Roman"/>
                <w:color w:val="000000"/>
                <w:sz w:val="21"/>
                <w:szCs w:val="21"/>
              </w:rPr>
            </w:pPr>
            <w:r>
              <w:rPr>
                <w:rFonts w:hint="eastAsia" w:ascii="Times New Roman" w:hAnsi="Times New Roman"/>
                <w:color w:val="000000"/>
                <w:sz w:val="21"/>
                <w:szCs w:val="21"/>
              </w:rPr>
              <w:t>《大气污染物综合排放标准》（GB16297-1996）表2最高允许排放浓度</w:t>
            </w:r>
          </w:p>
        </w:tc>
        <w:tc>
          <w:tcPr>
            <w:tcW w:w="788" w:type="pct"/>
            <w:shd w:val="clear" w:color="auto" w:fill="auto"/>
            <w:vAlign w:val="center"/>
          </w:tcPr>
          <w:p w14:paraId="2DD7ADF1">
            <w:pPr>
              <w:pStyle w:val="143"/>
              <w:rPr>
                <w:rFonts w:hint="eastAsia"/>
                <w:snapToGrid w:val="0"/>
                <w:color w:val="000000" w:themeColor="text1"/>
                <w:sz w:val="21"/>
                <w:szCs w:val="21"/>
                <w:lang w:val="en-US" w:eastAsia="zh-CN"/>
                <w14:textFill>
                  <w14:solidFill>
                    <w14:schemeClr w14:val="tx1"/>
                  </w14:solidFill>
                </w14:textFill>
              </w:rPr>
            </w:pPr>
            <w:r>
              <w:rPr>
                <w:rFonts w:hint="eastAsia"/>
                <w:color w:val="000000"/>
                <w:sz w:val="21"/>
                <w:szCs w:val="21"/>
              </w:rPr>
              <w:t>备用电源，启动时进行监测，1次/年；不启动不进行监测</w:t>
            </w:r>
          </w:p>
        </w:tc>
      </w:tr>
      <w:tr w14:paraId="10423C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356" w:type="pct"/>
            <w:vMerge w:val="restart"/>
            <w:shd w:val="clear" w:color="auto" w:fill="auto"/>
            <w:vAlign w:val="center"/>
          </w:tcPr>
          <w:p w14:paraId="7E3E3543">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废水</w:t>
            </w:r>
          </w:p>
        </w:tc>
        <w:tc>
          <w:tcPr>
            <w:tcW w:w="637" w:type="pct"/>
            <w:vMerge w:val="restart"/>
            <w:shd w:val="clear" w:color="auto" w:fill="auto"/>
            <w:vAlign w:val="center"/>
          </w:tcPr>
          <w:p w14:paraId="338E3464">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雨水</w:t>
            </w:r>
          </w:p>
        </w:tc>
        <w:tc>
          <w:tcPr>
            <w:tcW w:w="1017" w:type="pct"/>
            <w:vMerge w:val="restart"/>
            <w:shd w:val="clear" w:color="auto" w:fill="auto"/>
            <w:vAlign w:val="center"/>
          </w:tcPr>
          <w:p w14:paraId="1E53812C">
            <w:pPr>
              <w:pStyle w:val="143"/>
              <w:rPr>
                <w:snapToGrid w:val="0"/>
                <w:color w:val="000000" w:themeColor="text1"/>
                <w:sz w:val="21"/>
                <w:szCs w:val="21"/>
                <w:lang w:val="en-US"/>
                <w14:textFill>
                  <w14:solidFill>
                    <w14:schemeClr w14:val="tx1"/>
                  </w14:solidFill>
                </w14:textFill>
              </w:rPr>
            </w:pPr>
            <w:r>
              <w:rPr>
                <w:snapToGrid w:val="0"/>
                <w:color w:val="000000" w:themeColor="text1"/>
                <w:sz w:val="21"/>
                <w:szCs w:val="21"/>
                <w:lang w:val="en-US"/>
                <w14:textFill>
                  <w14:solidFill>
                    <w14:schemeClr w14:val="tx1"/>
                  </w14:solidFill>
                </w14:textFill>
              </w:rPr>
              <w:t>COD</w:t>
            </w:r>
          </w:p>
          <w:p w14:paraId="3D3F534E">
            <w:pPr>
              <w:pStyle w:val="143"/>
              <w:rPr>
                <w:snapToGrid w:val="0"/>
                <w:color w:val="000000" w:themeColor="text1"/>
                <w:sz w:val="21"/>
                <w:szCs w:val="21"/>
                <w:lang w:val="en-US"/>
                <w14:textFill>
                  <w14:solidFill>
                    <w14:schemeClr w14:val="tx1"/>
                  </w14:solidFill>
                </w14:textFill>
              </w:rPr>
            </w:pPr>
            <w:r>
              <w:rPr>
                <w:snapToGrid w:val="0"/>
                <w:color w:val="000000" w:themeColor="text1"/>
                <w:sz w:val="21"/>
                <w:szCs w:val="21"/>
                <w:lang w:val="en-US"/>
                <w14:textFill>
                  <w14:solidFill>
                    <w14:schemeClr w14:val="tx1"/>
                  </w14:solidFill>
                </w14:textFill>
              </w:rPr>
              <w:t>SS</w:t>
            </w:r>
          </w:p>
        </w:tc>
        <w:tc>
          <w:tcPr>
            <w:tcW w:w="815" w:type="pct"/>
            <w:vMerge w:val="restart"/>
            <w:shd w:val="clear" w:color="auto" w:fill="auto"/>
            <w:vAlign w:val="center"/>
          </w:tcPr>
          <w:p w14:paraId="5CA98F4F">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雨水排放口</w:t>
            </w:r>
          </w:p>
        </w:tc>
        <w:tc>
          <w:tcPr>
            <w:tcW w:w="1384" w:type="pct"/>
            <w:vMerge w:val="restart"/>
            <w:shd w:val="clear" w:color="auto" w:fill="auto"/>
            <w:vAlign w:val="center"/>
          </w:tcPr>
          <w:p w14:paraId="6FEBBA9D">
            <w:pPr>
              <w:pStyle w:val="143"/>
              <w:rPr>
                <w:snapToGrid w:val="0"/>
                <w:color w:val="000000" w:themeColor="text1"/>
                <w:sz w:val="21"/>
                <w:szCs w:val="21"/>
                <w:lang w:val="en-US"/>
                <w14:textFill>
                  <w14:solidFill>
                    <w14:schemeClr w14:val="tx1"/>
                  </w14:solidFill>
                </w14:textFill>
              </w:rPr>
            </w:pPr>
            <w:r>
              <w:rPr>
                <w:rFonts w:hint="eastAsia"/>
                <w:snapToGrid w:val="0"/>
                <w:color w:val="000000" w:themeColor="text1"/>
                <w:kern w:val="0"/>
                <w:sz w:val="21"/>
                <w:szCs w:val="21"/>
                <w:lang w:val="en-US" w:eastAsia="zh-CN"/>
                <w14:textFill>
                  <w14:solidFill>
                    <w14:schemeClr w14:val="tx1"/>
                  </w14:solidFill>
                </w14:textFill>
              </w:rPr>
              <w:t>满足桦南县城镇污水处理厂</w:t>
            </w:r>
            <w:r>
              <w:rPr>
                <w:snapToGrid w:val="0"/>
                <w:color w:val="000000" w:themeColor="text1"/>
                <w:kern w:val="0"/>
                <w:sz w:val="21"/>
                <w:szCs w:val="21"/>
                <w:lang w:val="en-US"/>
                <w14:textFill>
                  <w14:solidFill>
                    <w14:schemeClr w14:val="tx1"/>
                  </w14:solidFill>
                </w14:textFill>
              </w:rPr>
              <w:t>进水指标</w:t>
            </w:r>
          </w:p>
        </w:tc>
        <w:tc>
          <w:tcPr>
            <w:tcW w:w="788" w:type="pct"/>
            <w:vMerge w:val="restart"/>
            <w:shd w:val="clear" w:color="auto" w:fill="auto"/>
            <w:vAlign w:val="center"/>
          </w:tcPr>
          <w:p w14:paraId="41630EF9">
            <w:pPr>
              <w:pStyle w:val="143"/>
              <w:rPr>
                <w:rFonts w:hint="default"/>
                <w:snapToGrid w:val="0"/>
                <w:color w:val="000000" w:themeColor="text1"/>
                <w:sz w:val="21"/>
                <w:szCs w:val="21"/>
                <w:lang w:val="en-US"/>
                <w14:textFill>
                  <w14:solidFill>
                    <w14:schemeClr w14:val="tx1"/>
                  </w14:solidFill>
                </w14:textFill>
              </w:rPr>
            </w:pPr>
            <w:r>
              <w:rPr>
                <w:snapToGrid w:val="0"/>
                <w:color w:val="000000" w:themeColor="text1"/>
                <w:sz w:val="21"/>
                <w:szCs w:val="21"/>
                <w14:textFill>
                  <w14:solidFill>
                    <w14:schemeClr w14:val="tx1"/>
                  </w14:solidFill>
                </w14:textFill>
              </w:rPr>
              <w:t>1</w:t>
            </w:r>
            <w:r>
              <w:rPr>
                <w:rFonts w:hint="eastAsia"/>
                <w:snapToGrid w:val="0"/>
                <w:color w:val="000000" w:themeColor="text1"/>
                <w:sz w:val="21"/>
                <w:szCs w:val="21"/>
                <w14:textFill>
                  <w14:solidFill>
                    <w14:schemeClr w14:val="tx1"/>
                  </w14:solidFill>
                </w14:textFill>
              </w:rPr>
              <w:t>次</w:t>
            </w:r>
            <w:r>
              <w:rPr>
                <w:rFonts w:hint="eastAsia"/>
                <w:snapToGrid w:val="0"/>
                <w:color w:val="000000" w:themeColor="text1"/>
                <w:sz w:val="21"/>
                <w:szCs w:val="21"/>
                <w:lang w:eastAsia="zh-CN"/>
                <w14:textFill>
                  <w14:solidFill>
                    <w14:schemeClr w14:val="tx1"/>
                  </w14:solidFill>
                </w14:textFill>
              </w:rPr>
              <w:t>/</w:t>
            </w:r>
            <w:r>
              <w:rPr>
                <w:rFonts w:hint="eastAsia"/>
                <w:snapToGrid w:val="0"/>
                <w:color w:val="000000" w:themeColor="text1"/>
                <w:sz w:val="21"/>
                <w:szCs w:val="21"/>
                <w:lang w:val="en-US" w:eastAsia="zh-CN"/>
                <w14:textFill>
                  <w14:solidFill>
                    <w14:schemeClr w14:val="tx1"/>
                  </w14:solidFill>
                </w14:textFill>
              </w:rPr>
              <w:t>月</w:t>
            </w:r>
          </w:p>
        </w:tc>
      </w:tr>
      <w:tr w14:paraId="0AF91D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356" w:type="pct"/>
            <w:vMerge w:val="continue"/>
            <w:shd w:val="clear" w:color="auto" w:fill="auto"/>
            <w:vAlign w:val="center"/>
          </w:tcPr>
          <w:p w14:paraId="581F7B7D">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4AD149CB">
            <w:pPr>
              <w:pStyle w:val="143"/>
              <w:rPr>
                <w:snapToGrid w:val="0"/>
                <w:color w:val="000000" w:themeColor="text1"/>
                <w:sz w:val="21"/>
                <w:szCs w:val="21"/>
                <w14:textFill>
                  <w14:solidFill>
                    <w14:schemeClr w14:val="tx1"/>
                  </w14:solidFill>
                </w14:textFill>
              </w:rPr>
            </w:pPr>
          </w:p>
        </w:tc>
        <w:tc>
          <w:tcPr>
            <w:tcW w:w="1017" w:type="pct"/>
            <w:vMerge w:val="continue"/>
            <w:shd w:val="clear" w:color="auto" w:fill="auto"/>
            <w:vAlign w:val="center"/>
          </w:tcPr>
          <w:p w14:paraId="5A08D35A">
            <w:pPr>
              <w:pStyle w:val="143"/>
              <w:rPr>
                <w:snapToGrid w:val="0"/>
                <w:color w:val="000000" w:themeColor="text1"/>
                <w:sz w:val="21"/>
                <w:szCs w:val="21"/>
                <w:lang w:val="en-US"/>
                <w14:textFill>
                  <w14:solidFill>
                    <w14:schemeClr w14:val="tx1"/>
                  </w14:solidFill>
                </w14:textFill>
              </w:rPr>
            </w:pPr>
          </w:p>
        </w:tc>
        <w:tc>
          <w:tcPr>
            <w:tcW w:w="815" w:type="pct"/>
            <w:vMerge w:val="continue"/>
            <w:shd w:val="clear" w:color="auto" w:fill="auto"/>
            <w:vAlign w:val="center"/>
          </w:tcPr>
          <w:p w14:paraId="7E64BFDA">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7A210840">
            <w:pPr>
              <w:pStyle w:val="143"/>
              <w:rPr>
                <w:snapToGrid w:val="0"/>
                <w:color w:val="000000" w:themeColor="text1"/>
                <w:sz w:val="21"/>
                <w:szCs w:val="21"/>
                <w:lang w:val="en-US"/>
                <w14:textFill>
                  <w14:solidFill>
                    <w14:schemeClr w14:val="tx1"/>
                  </w14:solidFill>
                </w14:textFill>
              </w:rPr>
            </w:pPr>
          </w:p>
        </w:tc>
        <w:tc>
          <w:tcPr>
            <w:tcW w:w="788" w:type="pct"/>
            <w:vMerge w:val="continue"/>
            <w:shd w:val="clear" w:color="auto" w:fill="auto"/>
            <w:vAlign w:val="center"/>
          </w:tcPr>
          <w:p w14:paraId="60467B68">
            <w:pPr>
              <w:pStyle w:val="143"/>
              <w:rPr>
                <w:snapToGrid w:val="0"/>
                <w:color w:val="000000" w:themeColor="text1"/>
                <w:sz w:val="21"/>
                <w:szCs w:val="21"/>
                <w14:textFill>
                  <w14:solidFill>
                    <w14:schemeClr w14:val="tx1"/>
                  </w14:solidFill>
                </w14:textFill>
              </w:rPr>
            </w:pPr>
          </w:p>
        </w:tc>
      </w:tr>
      <w:tr w14:paraId="793334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356" w:type="pct"/>
            <w:vMerge w:val="continue"/>
            <w:shd w:val="clear" w:color="auto" w:fill="auto"/>
            <w:vAlign w:val="center"/>
          </w:tcPr>
          <w:p w14:paraId="11FBCCBB">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03E9D7D0">
            <w:pPr>
              <w:pStyle w:val="143"/>
              <w:rPr>
                <w:snapToGrid w:val="0"/>
                <w:color w:val="000000" w:themeColor="text1"/>
                <w:sz w:val="21"/>
                <w:szCs w:val="21"/>
                <w14:textFill>
                  <w14:solidFill>
                    <w14:schemeClr w14:val="tx1"/>
                  </w14:solidFill>
                </w14:textFill>
              </w:rPr>
            </w:pPr>
          </w:p>
        </w:tc>
        <w:tc>
          <w:tcPr>
            <w:tcW w:w="1017" w:type="pct"/>
            <w:vMerge w:val="continue"/>
            <w:shd w:val="clear" w:color="auto" w:fill="auto"/>
            <w:vAlign w:val="center"/>
          </w:tcPr>
          <w:p w14:paraId="3D08EAAE">
            <w:pPr>
              <w:pStyle w:val="143"/>
              <w:rPr>
                <w:snapToGrid w:val="0"/>
                <w:color w:val="000000" w:themeColor="text1"/>
                <w:sz w:val="21"/>
                <w:szCs w:val="21"/>
                <w:lang w:val="en-US"/>
                <w14:textFill>
                  <w14:solidFill>
                    <w14:schemeClr w14:val="tx1"/>
                  </w14:solidFill>
                </w14:textFill>
              </w:rPr>
            </w:pPr>
          </w:p>
        </w:tc>
        <w:tc>
          <w:tcPr>
            <w:tcW w:w="815" w:type="pct"/>
            <w:vMerge w:val="continue"/>
            <w:shd w:val="clear" w:color="auto" w:fill="auto"/>
            <w:vAlign w:val="center"/>
          </w:tcPr>
          <w:p w14:paraId="538D7523">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74D3B43A">
            <w:pPr>
              <w:pStyle w:val="143"/>
              <w:rPr>
                <w:snapToGrid w:val="0"/>
                <w:color w:val="000000" w:themeColor="text1"/>
                <w:sz w:val="21"/>
                <w:szCs w:val="21"/>
                <w:lang w:val="en-US"/>
                <w14:textFill>
                  <w14:solidFill>
                    <w14:schemeClr w14:val="tx1"/>
                  </w14:solidFill>
                </w14:textFill>
              </w:rPr>
            </w:pPr>
          </w:p>
        </w:tc>
        <w:tc>
          <w:tcPr>
            <w:tcW w:w="788" w:type="pct"/>
            <w:vMerge w:val="continue"/>
            <w:shd w:val="clear" w:color="auto" w:fill="auto"/>
            <w:vAlign w:val="center"/>
          </w:tcPr>
          <w:p w14:paraId="78B60037">
            <w:pPr>
              <w:pStyle w:val="143"/>
              <w:rPr>
                <w:snapToGrid w:val="0"/>
                <w:color w:val="000000" w:themeColor="text1"/>
                <w:sz w:val="21"/>
                <w:szCs w:val="21"/>
                <w14:textFill>
                  <w14:solidFill>
                    <w14:schemeClr w14:val="tx1"/>
                  </w14:solidFill>
                </w14:textFill>
              </w:rPr>
            </w:pPr>
          </w:p>
        </w:tc>
      </w:tr>
      <w:tr w14:paraId="49F99E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356" w:type="pct"/>
            <w:vMerge w:val="continue"/>
            <w:shd w:val="clear" w:color="auto" w:fill="auto"/>
            <w:vAlign w:val="center"/>
          </w:tcPr>
          <w:p w14:paraId="3C757360">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00D800B9">
            <w:pPr>
              <w:pStyle w:val="143"/>
              <w:rPr>
                <w:snapToGrid w:val="0"/>
                <w:color w:val="000000" w:themeColor="text1"/>
                <w:sz w:val="21"/>
                <w:szCs w:val="21"/>
                <w14:textFill>
                  <w14:solidFill>
                    <w14:schemeClr w14:val="tx1"/>
                  </w14:solidFill>
                </w14:textFill>
              </w:rPr>
            </w:pPr>
          </w:p>
        </w:tc>
        <w:tc>
          <w:tcPr>
            <w:tcW w:w="1017" w:type="pct"/>
            <w:vMerge w:val="continue"/>
            <w:shd w:val="clear" w:color="auto" w:fill="auto"/>
            <w:vAlign w:val="center"/>
          </w:tcPr>
          <w:p w14:paraId="79A05A52">
            <w:pPr>
              <w:pStyle w:val="143"/>
              <w:rPr>
                <w:snapToGrid w:val="0"/>
                <w:color w:val="000000" w:themeColor="text1"/>
                <w:sz w:val="21"/>
                <w:szCs w:val="21"/>
                <w:lang w:val="en-US"/>
                <w14:textFill>
                  <w14:solidFill>
                    <w14:schemeClr w14:val="tx1"/>
                  </w14:solidFill>
                </w14:textFill>
              </w:rPr>
            </w:pPr>
          </w:p>
        </w:tc>
        <w:tc>
          <w:tcPr>
            <w:tcW w:w="815" w:type="pct"/>
            <w:vMerge w:val="continue"/>
            <w:shd w:val="clear" w:color="auto" w:fill="auto"/>
            <w:vAlign w:val="center"/>
          </w:tcPr>
          <w:p w14:paraId="3D34C9AE">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2D29DD4C">
            <w:pPr>
              <w:pStyle w:val="143"/>
              <w:rPr>
                <w:snapToGrid w:val="0"/>
                <w:color w:val="000000" w:themeColor="text1"/>
                <w:sz w:val="21"/>
                <w:szCs w:val="21"/>
                <w:lang w:val="en-US"/>
                <w14:textFill>
                  <w14:solidFill>
                    <w14:schemeClr w14:val="tx1"/>
                  </w14:solidFill>
                </w14:textFill>
              </w:rPr>
            </w:pPr>
          </w:p>
        </w:tc>
        <w:tc>
          <w:tcPr>
            <w:tcW w:w="788" w:type="pct"/>
            <w:vMerge w:val="continue"/>
            <w:shd w:val="clear" w:color="auto" w:fill="auto"/>
            <w:vAlign w:val="center"/>
          </w:tcPr>
          <w:p w14:paraId="3A1B7238">
            <w:pPr>
              <w:pStyle w:val="143"/>
              <w:rPr>
                <w:snapToGrid w:val="0"/>
                <w:color w:val="000000" w:themeColor="text1"/>
                <w:sz w:val="21"/>
                <w:szCs w:val="21"/>
                <w14:textFill>
                  <w14:solidFill>
                    <w14:schemeClr w14:val="tx1"/>
                  </w14:solidFill>
                </w14:textFill>
              </w:rPr>
            </w:pPr>
          </w:p>
        </w:tc>
      </w:tr>
      <w:tr w14:paraId="4BC29A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356" w:type="pct"/>
            <w:vMerge w:val="continue"/>
            <w:shd w:val="clear" w:color="auto" w:fill="auto"/>
            <w:vAlign w:val="center"/>
          </w:tcPr>
          <w:p w14:paraId="083D55B1">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340D1D1A">
            <w:pPr>
              <w:pStyle w:val="143"/>
              <w:rPr>
                <w:snapToGrid w:val="0"/>
                <w:color w:val="000000" w:themeColor="text1"/>
                <w:sz w:val="21"/>
                <w:szCs w:val="21"/>
                <w14:textFill>
                  <w14:solidFill>
                    <w14:schemeClr w14:val="tx1"/>
                  </w14:solidFill>
                </w14:textFill>
              </w:rPr>
            </w:pPr>
          </w:p>
        </w:tc>
        <w:tc>
          <w:tcPr>
            <w:tcW w:w="1017" w:type="pct"/>
            <w:vMerge w:val="continue"/>
            <w:shd w:val="clear" w:color="auto" w:fill="auto"/>
            <w:vAlign w:val="center"/>
          </w:tcPr>
          <w:p w14:paraId="762231F4">
            <w:pPr>
              <w:pStyle w:val="143"/>
              <w:rPr>
                <w:snapToGrid w:val="0"/>
                <w:color w:val="000000" w:themeColor="text1"/>
                <w:sz w:val="21"/>
                <w:szCs w:val="21"/>
                <w:lang w:val="en-US"/>
                <w14:textFill>
                  <w14:solidFill>
                    <w14:schemeClr w14:val="tx1"/>
                  </w14:solidFill>
                </w14:textFill>
              </w:rPr>
            </w:pPr>
          </w:p>
        </w:tc>
        <w:tc>
          <w:tcPr>
            <w:tcW w:w="815" w:type="pct"/>
            <w:vMerge w:val="continue"/>
            <w:shd w:val="clear" w:color="auto" w:fill="auto"/>
            <w:vAlign w:val="center"/>
          </w:tcPr>
          <w:p w14:paraId="639CEFC5">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16A7509B">
            <w:pPr>
              <w:pStyle w:val="143"/>
              <w:rPr>
                <w:snapToGrid w:val="0"/>
                <w:color w:val="000000" w:themeColor="text1"/>
                <w:sz w:val="21"/>
                <w:szCs w:val="21"/>
                <w:lang w:val="en-US"/>
                <w14:textFill>
                  <w14:solidFill>
                    <w14:schemeClr w14:val="tx1"/>
                  </w14:solidFill>
                </w14:textFill>
              </w:rPr>
            </w:pPr>
          </w:p>
        </w:tc>
        <w:tc>
          <w:tcPr>
            <w:tcW w:w="788" w:type="pct"/>
            <w:vMerge w:val="continue"/>
            <w:shd w:val="clear" w:color="auto" w:fill="auto"/>
            <w:vAlign w:val="center"/>
          </w:tcPr>
          <w:p w14:paraId="2BCBFD56">
            <w:pPr>
              <w:pStyle w:val="143"/>
              <w:rPr>
                <w:snapToGrid w:val="0"/>
                <w:color w:val="000000" w:themeColor="text1"/>
                <w:sz w:val="21"/>
                <w:szCs w:val="21"/>
                <w14:textFill>
                  <w14:solidFill>
                    <w14:schemeClr w14:val="tx1"/>
                  </w14:solidFill>
                </w14:textFill>
              </w:rPr>
            </w:pPr>
          </w:p>
        </w:tc>
      </w:tr>
      <w:tr w14:paraId="57A4CC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356" w:type="pct"/>
            <w:vMerge w:val="continue"/>
            <w:shd w:val="clear" w:color="auto" w:fill="auto"/>
            <w:vAlign w:val="center"/>
          </w:tcPr>
          <w:p w14:paraId="03ACB95A">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144F5750">
            <w:pPr>
              <w:pStyle w:val="143"/>
              <w:rPr>
                <w:snapToGrid w:val="0"/>
                <w:color w:val="000000" w:themeColor="text1"/>
                <w:sz w:val="21"/>
                <w:szCs w:val="21"/>
                <w14:textFill>
                  <w14:solidFill>
                    <w14:schemeClr w14:val="tx1"/>
                  </w14:solidFill>
                </w14:textFill>
              </w:rPr>
            </w:pPr>
          </w:p>
        </w:tc>
        <w:tc>
          <w:tcPr>
            <w:tcW w:w="1017" w:type="pct"/>
            <w:vMerge w:val="continue"/>
            <w:shd w:val="clear" w:color="auto" w:fill="auto"/>
            <w:vAlign w:val="center"/>
          </w:tcPr>
          <w:p w14:paraId="42D55295">
            <w:pPr>
              <w:pStyle w:val="143"/>
              <w:rPr>
                <w:snapToGrid w:val="0"/>
                <w:color w:val="000000" w:themeColor="text1"/>
                <w:sz w:val="21"/>
                <w:szCs w:val="21"/>
                <w:lang w:val="en-US"/>
                <w14:textFill>
                  <w14:solidFill>
                    <w14:schemeClr w14:val="tx1"/>
                  </w14:solidFill>
                </w14:textFill>
              </w:rPr>
            </w:pPr>
          </w:p>
        </w:tc>
        <w:tc>
          <w:tcPr>
            <w:tcW w:w="815" w:type="pct"/>
            <w:vMerge w:val="continue"/>
            <w:shd w:val="clear" w:color="auto" w:fill="auto"/>
            <w:vAlign w:val="center"/>
          </w:tcPr>
          <w:p w14:paraId="53E29FF2">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381EF85B">
            <w:pPr>
              <w:pStyle w:val="143"/>
              <w:rPr>
                <w:snapToGrid w:val="0"/>
                <w:color w:val="000000" w:themeColor="text1"/>
                <w:sz w:val="21"/>
                <w:szCs w:val="21"/>
                <w:lang w:val="en-US"/>
                <w14:textFill>
                  <w14:solidFill>
                    <w14:schemeClr w14:val="tx1"/>
                  </w14:solidFill>
                </w14:textFill>
              </w:rPr>
            </w:pPr>
          </w:p>
        </w:tc>
        <w:tc>
          <w:tcPr>
            <w:tcW w:w="788" w:type="pct"/>
            <w:vMerge w:val="continue"/>
            <w:shd w:val="clear" w:color="auto" w:fill="auto"/>
            <w:vAlign w:val="center"/>
          </w:tcPr>
          <w:p w14:paraId="172A950D">
            <w:pPr>
              <w:pStyle w:val="143"/>
              <w:rPr>
                <w:snapToGrid w:val="0"/>
                <w:color w:val="000000" w:themeColor="text1"/>
                <w:sz w:val="21"/>
                <w:szCs w:val="21"/>
                <w14:textFill>
                  <w14:solidFill>
                    <w14:schemeClr w14:val="tx1"/>
                  </w14:solidFill>
                </w14:textFill>
              </w:rPr>
            </w:pPr>
          </w:p>
        </w:tc>
      </w:tr>
      <w:tr w14:paraId="566B31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356" w:type="pct"/>
            <w:vMerge w:val="continue"/>
            <w:shd w:val="clear" w:color="auto" w:fill="auto"/>
            <w:vAlign w:val="center"/>
          </w:tcPr>
          <w:p w14:paraId="6858173D">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16807480">
            <w:pPr>
              <w:pStyle w:val="143"/>
              <w:rPr>
                <w:snapToGrid w:val="0"/>
                <w:color w:val="000000" w:themeColor="text1"/>
                <w:sz w:val="21"/>
                <w:szCs w:val="21"/>
                <w14:textFill>
                  <w14:solidFill>
                    <w14:schemeClr w14:val="tx1"/>
                  </w14:solidFill>
                </w14:textFill>
              </w:rPr>
            </w:pPr>
          </w:p>
        </w:tc>
        <w:tc>
          <w:tcPr>
            <w:tcW w:w="1017" w:type="pct"/>
            <w:vMerge w:val="continue"/>
            <w:shd w:val="clear" w:color="auto" w:fill="auto"/>
            <w:vAlign w:val="center"/>
          </w:tcPr>
          <w:p w14:paraId="59021735">
            <w:pPr>
              <w:pStyle w:val="143"/>
              <w:rPr>
                <w:snapToGrid w:val="0"/>
                <w:color w:val="000000" w:themeColor="text1"/>
                <w:sz w:val="21"/>
                <w:szCs w:val="21"/>
                <w:lang w:val="en-US"/>
                <w14:textFill>
                  <w14:solidFill>
                    <w14:schemeClr w14:val="tx1"/>
                  </w14:solidFill>
                </w14:textFill>
              </w:rPr>
            </w:pPr>
          </w:p>
        </w:tc>
        <w:tc>
          <w:tcPr>
            <w:tcW w:w="815" w:type="pct"/>
            <w:vMerge w:val="continue"/>
            <w:shd w:val="clear" w:color="auto" w:fill="auto"/>
            <w:vAlign w:val="center"/>
          </w:tcPr>
          <w:p w14:paraId="219DF305">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4380B81F">
            <w:pPr>
              <w:pStyle w:val="143"/>
              <w:rPr>
                <w:snapToGrid w:val="0"/>
                <w:color w:val="000000" w:themeColor="text1"/>
                <w:sz w:val="21"/>
                <w:szCs w:val="21"/>
                <w:lang w:val="en-US"/>
                <w14:textFill>
                  <w14:solidFill>
                    <w14:schemeClr w14:val="tx1"/>
                  </w14:solidFill>
                </w14:textFill>
              </w:rPr>
            </w:pPr>
          </w:p>
        </w:tc>
        <w:tc>
          <w:tcPr>
            <w:tcW w:w="788" w:type="pct"/>
            <w:vMerge w:val="continue"/>
            <w:shd w:val="clear" w:color="auto" w:fill="auto"/>
            <w:vAlign w:val="center"/>
          </w:tcPr>
          <w:p w14:paraId="3C2444AB">
            <w:pPr>
              <w:pStyle w:val="143"/>
              <w:rPr>
                <w:snapToGrid w:val="0"/>
                <w:color w:val="000000" w:themeColor="text1"/>
                <w:sz w:val="21"/>
                <w:szCs w:val="21"/>
                <w14:textFill>
                  <w14:solidFill>
                    <w14:schemeClr w14:val="tx1"/>
                  </w14:solidFill>
                </w14:textFill>
              </w:rPr>
            </w:pPr>
          </w:p>
        </w:tc>
      </w:tr>
      <w:tr w14:paraId="744239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356" w:type="pct"/>
            <w:vMerge w:val="continue"/>
            <w:shd w:val="clear" w:color="auto" w:fill="auto"/>
            <w:vAlign w:val="center"/>
          </w:tcPr>
          <w:p w14:paraId="6967612F">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3E082D3A">
            <w:pPr>
              <w:pStyle w:val="143"/>
              <w:rPr>
                <w:snapToGrid w:val="0"/>
                <w:color w:val="000000" w:themeColor="text1"/>
                <w:sz w:val="21"/>
                <w:szCs w:val="21"/>
                <w14:textFill>
                  <w14:solidFill>
                    <w14:schemeClr w14:val="tx1"/>
                  </w14:solidFill>
                </w14:textFill>
              </w:rPr>
            </w:pPr>
          </w:p>
        </w:tc>
        <w:tc>
          <w:tcPr>
            <w:tcW w:w="1017" w:type="pct"/>
            <w:vMerge w:val="continue"/>
            <w:shd w:val="clear" w:color="auto" w:fill="auto"/>
            <w:vAlign w:val="center"/>
          </w:tcPr>
          <w:p w14:paraId="5ABBEC26">
            <w:pPr>
              <w:pStyle w:val="143"/>
              <w:rPr>
                <w:snapToGrid w:val="0"/>
                <w:color w:val="000000" w:themeColor="text1"/>
                <w:sz w:val="21"/>
                <w:szCs w:val="21"/>
                <w:lang w:val="en-US"/>
                <w14:textFill>
                  <w14:solidFill>
                    <w14:schemeClr w14:val="tx1"/>
                  </w14:solidFill>
                </w14:textFill>
              </w:rPr>
            </w:pPr>
          </w:p>
        </w:tc>
        <w:tc>
          <w:tcPr>
            <w:tcW w:w="815" w:type="pct"/>
            <w:vMerge w:val="continue"/>
            <w:shd w:val="clear" w:color="auto" w:fill="auto"/>
            <w:vAlign w:val="center"/>
          </w:tcPr>
          <w:p w14:paraId="44B603CA">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15BC2D88">
            <w:pPr>
              <w:pStyle w:val="143"/>
              <w:rPr>
                <w:snapToGrid w:val="0"/>
                <w:color w:val="000000" w:themeColor="text1"/>
                <w:sz w:val="21"/>
                <w:szCs w:val="21"/>
                <w:lang w:val="en-US"/>
                <w14:textFill>
                  <w14:solidFill>
                    <w14:schemeClr w14:val="tx1"/>
                  </w14:solidFill>
                </w14:textFill>
              </w:rPr>
            </w:pPr>
          </w:p>
        </w:tc>
        <w:tc>
          <w:tcPr>
            <w:tcW w:w="788" w:type="pct"/>
            <w:vMerge w:val="continue"/>
            <w:shd w:val="clear" w:color="auto" w:fill="auto"/>
            <w:vAlign w:val="center"/>
          </w:tcPr>
          <w:p w14:paraId="6F2B8961">
            <w:pPr>
              <w:pStyle w:val="143"/>
              <w:rPr>
                <w:snapToGrid w:val="0"/>
                <w:color w:val="000000" w:themeColor="text1"/>
                <w:sz w:val="21"/>
                <w:szCs w:val="21"/>
                <w14:textFill>
                  <w14:solidFill>
                    <w14:schemeClr w14:val="tx1"/>
                  </w14:solidFill>
                </w14:textFill>
              </w:rPr>
            </w:pPr>
          </w:p>
        </w:tc>
      </w:tr>
      <w:tr w14:paraId="62DFC9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2B9D7B45">
            <w:pPr>
              <w:pStyle w:val="143"/>
              <w:rPr>
                <w:snapToGrid w:val="0"/>
                <w:color w:val="000000" w:themeColor="text1"/>
                <w:sz w:val="21"/>
                <w:szCs w:val="21"/>
                <w14:textFill>
                  <w14:solidFill>
                    <w14:schemeClr w14:val="tx1"/>
                  </w14:solidFill>
                </w14:textFill>
              </w:rPr>
            </w:pPr>
          </w:p>
        </w:tc>
        <w:tc>
          <w:tcPr>
            <w:tcW w:w="637" w:type="pct"/>
            <w:vMerge w:val="restart"/>
            <w:shd w:val="clear" w:color="auto" w:fill="auto"/>
            <w:vAlign w:val="center"/>
          </w:tcPr>
          <w:p w14:paraId="538ECB60">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生产废水</w:t>
            </w:r>
          </w:p>
        </w:tc>
        <w:tc>
          <w:tcPr>
            <w:tcW w:w="1017" w:type="pct"/>
            <w:tcBorders>
              <w:bottom w:val="single" w:color="auto" w:sz="4" w:space="0"/>
            </w:tcBorders>
            <w:shd w:val="clear" w:color="auto" w:fill="auto"/>
            <w:vAlign w:val="center"/>
          </w:tcPr>
          <w:p w14:paraId="7B6F0392">
            <w:pPr>
              <w:pStyle w:val="143"/>
              <w:rPr>
                <w:snapToGrid w:val="0"/>
                <w:color w:val="000000" w:themeColor="text1"/>
                <w:sz w:val="21"/>
                <w:szCs w:val="21"/>
                <w:lang w:val="en-US"/>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流量、pH、</w:t>
            </w:r>
            <w:r>
              <w:rPr>
                <w:snapToGrid w:val="0"/>
                <w:color w:val="000000" w:themeColor="text1"/>
                <w:sz w:val="21"/>
                <w:szCs w:val="21"/>
                <w:lang w:val="en-US"/>
                <w14:textFill>
                  <w14:solidFill>
                    <w14:schemeClr w14:val="tx1"/>
                  </w14:solidFill>
                </w14:textFill>
              </w:rPr>
              <w:t>COD</w:t>
            </w:r>
            <w:r>
              <w:rPr>
                <w:rFonts w:hint="eastAsia"/>
                <w:snapToGrid w:val="0"/>
                <w:color w:val="000000" w:themeColor="text1"/>
                <w:sz w:val="21"/>
                <w:szCs w:val="21"/>
                <w:lang w:val="en-US"/>
                <w14:textFill>
                  <w14:solidFill>
                    <w14:schemeClr w14:val="tx1"/>
                  </w14:solidFill>
                </w14:textFill>
              </w:rPr>
              <w:t>、</w:t>
            </w:r>
            <w:r>
              <w:rPr>
                <w:snapToGrid w:val="0"/>
                <w:color w:val="000000" w:themeColor="text1"/>
                <w:sz w:val="21"/>
                <w:szCs w:val="21"/>
                <w:lang w:val="en-US"/>
                <w14:textFill>
                  <w14:solidFill>
                    <w14:schemeClr w14:val="tx1"/>
                  </w14:solidFill>
                </w14:textFill>
              </w:rPr>
              <w:t>NH</w:t>
            </w:r>
            <w:r>
              <w:rPr>
                <w:snapToGrid w:val="0"/>
                <w:color w:val="000000" w:themeColor="text1"/>
                <w:sz w:val="21"/>
                <w:szCs w:val="21"/>
                <w:vertAlign w:val="subscript"/>
                <w:lang w:val="en-US"/>
                <w14:textFill>
                  <w14:solidFill>
                    <w14:schemeClr w14:val="tx1"/>
                  </w14:solidFill>
                </w14:textFill>
              </w:rPr>
              <w:t>3</w:t>
            </w:r>
            <w:r>
              <w:rPr>
                <w:snapToGrid w:val="0"/>
                <w:color w:val="000000" w:themeColor="text1"/>
                <w:sz w:val="21"/>
                <w:szCs w:val="21"/>
                <w:lang w:val="en-US"/>
                <w14:textFill>
                  <w14:solidFill>
                    <w14:schemeClr w14:val="tx1"/>
                  </w14:solidFill>
                </w14:textFill>
              </w:rPr>
              <w:t>-N</w:t>
            </w:r>
          </w:p>
        </w:tc>
        <w:tc>
          <w:tcPr>
            <w:tcW w:w="815" w:type="pct"/>
            <w:vMerge w:val="restart"/>
            <w:shd w:val="clear" w:color="auto" w:fill="auto"/>
            <w:vAlign w:val="center"/>
          </w:tcPr>
          <w:p w14:paraId="3F51C23D">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污水处理站</w:t>
            </w:r>
            <w:r>
              <w:rPr>
                <w:snapToGrid w:val="0"/>
                <w:color w:val="000000" w:themeColor="text1"/>
                <w:sz w:val="21"/>
                <w:szCs w:val="21"/>
                <w14:textFill>
                  <w14:solidFill>
                    <w14:schemeClr w14:val="tx1"/>
                  </w14:solidFill>
                </w14:textFill>
              </w:rPr>
              <w:t>排放口</w:t>
            </w:r>
          </w:p>
        </w:tc>
        <w:tc>
          <w:tcPr>
            <w:tcW w:w="1384" w:type="pct"/>
            <w:vMerge w:val="restart"/>
            <w:shd w:val="clear" w:color="auto" w:fill="auto"/>
            <w:vAlign w:val="center"/>
          </w:tcPr>
          <w:p w14:paraId="3E956F4F">
            <w:pPr>
              <w:pStyle w:val="143"/>
              <w:rPr>
                <w:snapToGrid w:val="0"/>
                <w:color w:val="000000" w:themeColor="text1"/>
                <w:sz w:val="21"/>
                <w:szCs w:val="21"/>
                <w:lang w:val="en-US"/>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w:t>
            </w:r>
            <w:r>
              <w:rPr>
                <w:rFonts w:hint="eastAsia"/>
                <w:snapToGrid w:val="0"/>
                <w:color w:val="000000" w:themeColor="text1"/>
                <w:sz w:val="21"/>
                <w:szCs w:val="21"/>
                <w:lang w:val="en-US" w:eastAsia="zh-CN"/>
                <w14:textFill>
                  <w14:solidFill>
                    <w14:schemeClr w14:val="tx1"/>
                  </w14:solidFill>
                </w14:textFill>
              </w:rPr>
              <w:t>酒类制造业水污染物排放标准</w:t>
            </w:r>
            <w:r>
              <w:rPr>
                <w:rFonts w:hint="eastAsia"/>
                <w:snapToGrid w:val="0"/>
                <w:color w:val="000000" w:themeColor="text1"/>
                <w:sz w:val="21"/>
                <w:szCs w:val="21"/>
                <w:lang w:val="en-US"/>
                <w14:textFill>
                  <w14:solidFill>
                    <w14:schemeClr w14:val="tx1"/>
                  </w14:solidFill>
                </w14:textFill>
              </w:rPr>
              <w:t>》（</w:t>
            </w:r>
            <w:r>
              <w:rPr>
                <w:rFonts w:hint="eastAsia"/>
                <w:snapToGrid w:val="0"/>
                <w:color w:val="000000" w:themeColor="text1"/>
                <w:sz w:val="21"/>
                <w:szCs w:val="21"/>
                <w:lang w:val="en-US" w:eastAsia="zh-CN"/>
                <w14:textFill>
                  <w14:solidFill>
                    <w14:schemeClr w14:val="tx1"/>
                  </w14:solidFill>
                </w14:textFill>
              </w:rPr>
              <w:t>GB19821-2025</w:t>
            </w:r>
            <w:r>
              <w:rPr>
                <w:rFonts w:hint="eastAsia"/>
                <w:snapToGrid w:val="0"/>
                <w:color w:val="000000" w:themeColor="text1"/>
                <w:sz w:val="21"/>
                <w:szCs w:val="21"/>
                <w:lang w:val="en-US"/>
                <w14:textFill>
                  <w14:solidFill>
                    <w14:schemeClr w14:val="tx1"/>
                  </w14:solidFill>
                </w14:textFill>
              </w:rPr>
              <w:t>）的</w:t>
            </w:r>
            <w:r>
              <w:rPr>
                <w:rFonts w:hint="eastAsia"/>
                <w:snapToGrid w:val="0"/>
                <w:color w:val="000000" w:themeColor="text1"/>
                <w:kern w:val="0"/>
                <w:sz w:val="21"/>
                <w:szCs w:val="21"/>
                <w:lang w:val="en-US" w:eastAsia="zh-CN"/>
                <w14:textFill>
                  <w14:solidFill>
                    <w14:schemeClr w14:val="tx1"/>
                  </w14:solidFill>
                </w14:textFill>
              </w:rPr>
              <w:t>间接排放</w:t>
            </w:r>
            <w:r>
              <w:rPr>
                <w:snapToGrid w:val="0"/>
                <w:color w:val="000000" w:themeColor="text1"/>
                <w:kern w:val="0"/>
                <w:sz w:val="21"/>
                <w:szCs w:val="21"/>
                <w:lang w:val="en-US"/>
                <w14:textFill>
                  <w14:solidFill>
                    <w14:schemeClr w14:val="tx1"/>
                  </w14:solidFill>
                </w14:textFill>
              </w:rPr>
              <w:t>标准及</w:t>
            </w:r>
            <w:r>
              <w:rPr>
                <w:rFonts w:hint="eastAsia"/>
                <w:snapToGrid w:val="0"/>
                <w:color w:val="000000" w:themeColor="text1"/>
                <w:kern w:val="0"/>
                <w:sz w:val="21"/>
                <w:szCs w:val="21"/>
                <w:lang w:val="en-US" w:eastAsia="zh-CN"/>
                <w14:textFill>
                  <w14:solidFill>
                    <w14:schemeClr w14:val="tx1"/>
                  </w14:solidFill>
                </w14:textFill>
              </w:rPr>
              <w:t>桦南县城镇污水处理厂</w:t>
            </w:r>
            <w:r>
              <w:rPr>
                <w:snapToGrid w:val="0"/>
                <w:color w:val="000000" w:themeColor="text1"/>
                <w:kern w:val="0"/>
                <w:sz w:val="21"/>
                <w:szCs w:val="21"/>
                <w:lang w:val="en-US"/>
                <w14:textFill>
                  <w14:solidFill>
                    <w14:schemeClr w14:val="tx1"/>
                  </w14:solidFill>
                </w14:textFill>
              </w:rPr>
              <w:t>进水指标</w:t>
            </w:r>
          </w:p>
        </w:tc>
        <w:tc>
          <w:tcPr>
            <w:tcW w:w="788" w:type="pct"/>
            <w:shd w:val="clear" w:color="auto" w:fill="auto"/>
            <w:vAlign w:val="center"/>
          </w:tcPr>
          <w:p w14:paraId="05DBF8AD">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自动监测</w:t>
            </w:r>
          </w:p>
        </w:tc>
      </w:tr>
      <w:tr w14:paraId="425DF8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693C5994">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4B457362">
            <w:pPr>
              <w:pStyle w:val="143"/>
              <w:rPr>
                <w:snapToGrid w:val="0"/>
                <w:color w:val="000000" w:themeColor="text1"/>
                <w:sz w:val="21"/>
                <w:szCs w:val="21"/>
                <w14:textFill>
                  <w14:solidFill>
                    <w14:schemeClr w14:val="tx1"/>
                  </w14:solidFill>
                </w14:textFill>
              </w:rPr>
            </w:pPr>
          </w:p>
        </w:tc>
        <w:tc>
          <w:tcPr>
            <w:tcW w:w="1017" w:type="pct"/>
            <w:tcBorders>
              <w:bottom w:val="single" w:color="auto" w:sz="4" w:space="0"/>
            </w:tcBorders>
            <w:shd w:val="clear" w:color="auto" w:fill="auto"/>
            <w:vAlign w:val="center"/>
          </w:tcPr>
          <w:p w14:paraId="426850AA">
            <w:pPr>
              <w:pStyle w:val="143"/>
              <w:rPr>
                <w:rFonts w:hint="eastAsia" w:eastAsia="宋体"/>
                <w:snapToGrid w:val="0"/>
                <w:color w:val="000000" w:themeColor="text1"/>
                <w:sz w:val="21"/>
                <w:szCs w:val="21"/>
                <w:lang w:val="en-US" w:eastAsia="zh-CN"/>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T</w:t>
            </w:r>
            <w:r>
              <w:rPr>
                <w:snapToGrid w:val="0"/>
                <w:color w:val="000000" w:themeColor="text1"/>
                <w:sz w:val="21"/>
                <w:szCs w:val="21"/>
                <w:lang w:val="en-US"/>
                <w14:textFill>
                  <w14:solidFill>
                    <w14:schemeClr w14:val="tx1"/>
                  </w14:solidFill>
                </w14:textFill>
              </w:rPr>
              <w:t>N</w:t>
            </w:r>
            <w:r>
              <w:rPr>
                <w:rFonts w:hint="eastAsia"/>
                <w:snapToGrid w:val="0"/>
                <w:color w:val="000000" w:themeColor="text1"/>
                <w:sz w:val="21"/>
                <w:szCs w:val="21"/>
                <w:lang w:val="en-US"/>
                <w14:textFill>
                  <w14:solidFill>
                    <w14:schemeClr w14:val="tx1"/>
                  </w14:solidFill>
                </w14:textFill>
              </w:rPr>
              <w:t>、T</w:t>
            </w:r>
            <w:r>
              <w:rPr>
                <w:snapToGrid w:val="0"/>
                <w:color w:val="000000" w:themeColor="text1"/>
                <w:sz w:val="21"/>
                <w:szCs w:val="21"/>
                <w:lang w:val="en-US"/>
                <w14:textFill>
                  <w14:solidFill>
                    <w14:schemeClr w14:val="tx1"/>
                  </w14:solidFill>
                </w14:textFill>
              </w:rPr>
              <w:t>P</w:t>
            </w:r>
            <w:r>
              <w:rPr>
                <w:rFonts w:hint="eastAsia"/>
                <w:snapToGrid w:val="0"/>
                <w:color w:val="000000" w:themeColor="text1"/>
                <w:sz w:val="21"/>
                <w:szCs w:val="21"/>
                <w:lang w:val="en-US" w:eastAsia="zh-CN"/>
                <w14:textFill>
                  <w14:solidFill>
                    <w14:schemeClr w14:val="tx1"/>
                  </w14:solidFill>
                </w14:textFill>
              </w:rPr>
              <w:t>、</w:t>
            </w:r>
            <w:r>
              <w:rPr>
                <w:snapToGrid w:val="0"/>
                <w:color w:val="000000" w:themeColor="text1"/>
                <w:sz w:val="21"/>
                <w:szCs w:val="21"/>
                <w:lang w:val="en-US"/>
                <w14:textFill>
                  <w14:solidFill>
                    <w14:schemeClr w14:val="tx1"/>
                  </w14:solidFill>
                </w14:textFill>
              </w:rPr>
              <w:t>BOD</w:t>
            </w:r>
            <w:r>
              <w:rPr>
                <w:snapToGrid w:val="0"/>
                <w:color w:val="000000" w:themeColor="text1"/>
                <w:sz w:val="21"/>
                <w:szCs w:val="21"/>
                <w:vertAlign w:val="subscript"/>
                <w:lang w:val="en-US"/>
                <w14:textFill>
                  <w14:solidFill>
                    <w14:schemeClr w14:val="tx1"/>
                  </w14:solidFill>
                </w14:textFill>
              </w:rPr>
              <w:t>5</w:t>
            </w:r>
            <w:r>
              <w:rPr>
                <w:rFonts w:hint="eastAsia"/>
                <w:snapToGrid w:val="0"/>
                <w:color w:val="000000" w:themeColor="text1"/>
                <w:sz w:val="21"/>
                <w:szCs w:val="21"/>
                <w:lang w:val="en-US"/>
                <w14:textFill>
                  <w14:solidFill>
                    <w14:schemeClr w14:val="tx1"/>
                  </w14:solidFill>
                </w14:textFill>
              </w:rPr>
              <w:t>、</w:t>
            </w:r>
            <w:r>
              <w:rPr>
                <w:snapToGrid w:val="0"/>
                <w:color w:val="000000" w:themeColor="text1"/>
                <w:sz w:val="21"/>
                <w:szCs w:val="21"/>
                <w:lang w:val="en-US"/>
                <w14:textFill>
                  <w14:solidFill>
                    <w14:schemeClr w14:val="tx1"/>
                  </w14:solidFill>
                </w14:textFill>
              </w:rPr>
              <w:t>SS</w:t>
            </w:r>
          </w:p>
        </w:tc>
        <w:tc>
          <w:tcPr>
            <w:tcW w:w="815" w:type="pct"/>
            <w:vMerge w:val="continue"/>
            <w:shd w:val="clear" w:color="auto" w:fill="auto"/>
            <w:vAlign w:val="center"/>
          </w:tcPr>
          <w:p w14:paraId="36EB7056">
            <w:pPr>
              <w:pStyle w:val="143"/>
              <w:rPr>
                <w:snapToGrid w:val="0"/>
                <w:color w:val="000000" w:themeColor="text1"/>
                <w:sz w:val="21"/>
                <w:szCs w:val="21"/>
                <w14:textFill>
                  <w14:solidFill>
                    <w14:schemeClr w14:val="tx1"/>
                  </w14:solidFill>
                </w14:textFill>
              </w:rPr>
            </w:pPr>
          </w:p>
        </w:tc>
        <w:tc>
          <w:tcPr>
            <w:tcW w:w="1384" w:type="pct"/>
            <w:vMerge w:val="continue"/>
            <w:shd w:val="clear" w:color="auto" w:fill="auto"/>
            <w:vAlign w:val="center"/>
          </w:tcPr>
          <w:p w14:paraId="01416046">
            <w:pPr>
              <w:pStyle w:val="143"/>
              <w:rPr>
                <w:snapToGrid w:val="0"/>
                <w:color w:val="000000" w:themeColor="text1"/>
                <w:sz w:val="21"/>
                <w:szCs w:val="21"/>
                <w:lang w:val="en-US"/>
                <w14:textFill>
                  <w14:solidFill>
                    <w14:schemeClr w14:val="tx1"/>
                  </w14:solidFill>
                </w14:textFill>
              </w:rPr>
            </w:pPr>
          </w:p>
        </w:tc>
        <w:tc>
          <w:tcPr>
            <w:tcW w:w="788" w:type="pct"/>
            <w:shd w:val="clear" w:color="auto" w:fill="auto"/>
            <w:vAlign w:val="center"/>
          </w:tcPr>
          <w:p w14:paraId="4417066A">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lang w:val="en-US"/>
                <w14:textFill>
                  <w14:solidFill>
                    <w14:schemeClr w14:val="tx1"/>
                  </w14:solidFill>
                </w14:textFill>
              </w:rPr>
              <w:t>1次/季度</w:t>
            </w:r>
          </w:p>
        </w:tc>
      </w:tr>
      <w:tr w14:paraId="6904C5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shd w:val="clear" w:color="auto" w:fill="auto"/>
            <w:vAlign w:val="center"/>
          </w:tcPr>
          <w:p w14:paraId="7AFB9B88">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厂界噪声</w:t>
            </w:r>
          </w:p>
        </w:tc>
        <w:tc>
          <w:tcPr>
            <w:tcW w:w="637" w:type="pct"/>
            <w:shd w:val="clear" w:color="auto" w:fill="auto"/>
            <w:vAlign w:val="center"/>
          </w:tcPr>
          <w:p w14:paraId="218AAFC9">
            <w:pPr>
              <w:pStyle w:val="143"/>
              <w:rPr>
                <w:snapToGrid w:val="0"/>
                <w:color w:val="000000" w:themeColor="text1"/>
                <w:sz w:val="21"/>
                <w:szCs w:val="21"/>
                <w:lang w:val="zh-CN"/>
                <w14:textFill>
                  <w14:solidFill>
                    <w14:schemeClr w14:val="tx1"/>
                  </w14:solidFill>
                </w14:textFill>
              </w:rPr>
            </w:pPr>
            <w:r>
              <w:rPr>
                <w:rFonts w:hint="eastAsia"/>
                <w:snapToGrid w:val="0"/>
                <w:color w:val="000000" w:themeColor="text1"/>
                <w:sz w:val="21"/>
                <w:szCs w:val="21"/>
                <w:lang w:val="zh-CN"/>
                <w14:textFill>
                  <w14:solidFill>
                    <w14:schemeClr w14:val="tx1"/>
                  </w14:solidFill>
                </w14:textFill>
              </w:rPr>
              <w:t>厂界</w:t>
            </w:r>
          </w:p>
        </w:tc>
        <w:tc>
          <w:tcPr>
            <w:tcW w:w="1017" w:type="pct"/>
            <w:shd w:val="clear" w:color="auto" w:fill="auto"/>
            <w:vAlign w:val="center"/>
          </w:tcPr>
          <w:p w14:paraId="608683C4">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昼夜噪声</w:t>
            </w:r>
            <w:r>
              <w:rPr>
                <w:snapToGrid w:val="0"/>
                <w:color w:val="000000" w:themeColor="text1"/>
                <w:sz w:val="21"/>
                <w:szCs w:val="21"/>
                <w14:textFill>
                  <w14:solidFill>
                    <w14:schemeClr w14:val="tx1"/>
                  </w14:solidFill>
                </w14:textFill>
              </w:rPr>
              <w:t>等效</w:t>
            </w:r>
            <w:r>
              <w:rPr>
                <w:rFonts w:hint="eastAsia"/>
                <w:snapToGrid w:val="0"/>
                <w:color w:val="000000" w:themeColor="text1"/>
                <w:sz w:val="21"/>
                <w:szCs w:val="21"/>
                <w14:textFill>
                  <w14:solidFill>
                    <w14:schemeClr w14:val="tx1"/>
                  </w14:solidFill>
                </w14:textFill>
              </w:rPr>
              <w:t>A声级</w:t>
            </w:r>
          </w:p>
        </w:tc>
        <w:tc>
          <w:tcPr>
            <w:tcW w:w="815" w:type="pct"/>
            <w:shd w:val="clear" w:color="auto" w:fill="auto"/>
            <w:vAlign w:val="center"/>
          </w:tcPr>
          <w:p w14:paraId="14291C6B">
            <w:pPr>
              <w:pStyle w:val="143"/>
              <w:rPr>
                <w:snapToGrid w:val="0"/>
                <w:color w:val="000000" w:themeColor="text1"/>
                <w:sz w:val="21"/>
                <w:szCs w:val="21"/>
                <w:lang w:val="zh-CN"/>
                <w14:textFill>
                  <w14:solidFill>
                    <w14:schemeClr w14:val="tx1"/>
                  </w14:solidFill>
                </w14:textFill>
              </w:rPr>
            </w:pPr>
            <w:r>
              <w:rPr>
                <w:rFonts w:hint="eastAsia"/>
                <w:snapToGrid w:val="0"/>
                <w:color w:val="000000" w:themeColor="text1"/>
                <w:sz w:val="21"/>
                <w:szCs w:val="21"/>
                <w:lang w:val="zh-CN"/>
                <w14:textFill>
                  <w14:solidFill>
                    <w14:schemeClr w14:val="tx1"/>
                  </w14:solidFill>
                </w14:textFill>
              </w:rPr>
              <w:t>厂界外1</w:t>
            </w:r>
            <w:r>
              <w:rPr>
                <w:snapToGrid w:val="0"/>
                <w:color w:val="000000" w:themeColor="text1"/>
                <w:sz w:val="21"/>
                <w:szCs w:val="21"/>
                <w:lang w:val="zh-CN"/>
                <w14:textFill>
                  <w14:solidFill>
                    <w14:schemeClr w14:val="tx1"/>
                  </w14:solidFill>
                </w14:textFill>
              </w:rPr>
              <w:t>m，高度</w:t>
            </w:r>
            <w:r>
              <w:rPr>
                <w:rFonts w:hint="eastAsia"/>
                <w:snapToGrid w:val="0"/>
                <w:color w:val="000000" w:themeColor="text1"/>
                <w:sz w:val="21"/>
                <w:szCs w:val="21"/>
                <w:lang w:val="zh-CN"/>
                <w14:textFill>
                  <w14:solidFill>
                    <w14:schemeClr w14:val="tx1"/>
                  </w14:solidFill>
                </w14:textFill>
              </w:rPr>
              <w:t>1.2</w:t>
            </w:r>
            <w:r>
              <w:rPr>
                <w:snapToGrid w:val="0"/>
                <w:color w:val="000000" w:themeColor="text1"/>
                <w:sz w:val="21"/>
                <w:szCs w:val="21"/>
                <w:lang w:val="zh-CN"/>
                <w14:textFill>
                  <w14:solidFill>
                    <w14:schemeClr w14:val="tx1"/>
                  </w14:solidFill>
                </w14:textFill>
              </w:rPr>
              <w:t>m以上</w:t>
            </w:r>
          </w:p>
        </w:tc>
        <w:tc>
          <w:tcPr>
            <w:tcW w:w="1384" w:type="pct"/>
            <w:shd w:val="clear" w:color="auto" w:fill="auto"/>
            <w:vAlign w:val="center"/>
          </w:tcPr>
          <w:p w14:paraId="08340101">
            <w:pPr>
              <w:pStyle w:val="143"/>
              <w:rPr>
                <w:rFonts w:hint="eastAsia" w:eastAsia="宋体"/>
                <w:snapToGrid w:val="0"/>
                <w:color w:val="000000" w:themeColor="text1"/>
                <w:sz w:val="21"/>
                <w:szCs w:val="21"/>
                <w:lang w:eastAsia="zh-CN"/>
                <w14:textFill>
                  <w14:solidFill>
                    <w14:schemeClr w14:val="tx1"/>
                  </w14:solidFill>
                </w14:textFill>
              </w:rPr>
            </w:pPr>
            <w:r>
              <w:rPr>
                <w:rFonts w:hint="eastAsia"/>
                <w:snapToGrid w:val="0"/>
                <w:color w:val="000000" w:themeColor="text1"/>
                <w:sz w:val="21"/>
                <w:szCs w:val="21"/>
                <w:lang w:val="en-US" w:eastAsia="zh-CN"/>
                <w14:textFill>
                  <w14:solidFill>
                    <w14:schemeClr w14:val="tx1"/>
                  </w14:solidFill>
                </w14:textFill>
              </w:rPr>
              <w:t>东侧、南侧、北侧厂界</w:t>
            </w:r>
            <w:r>
              <w:rPr>
                <w:rFonts w:hint="eastAsia"/>
                <w:snapToGrid w:val="0"/>
                <w:color w:val="000000" w:themeColor="text1"/>
                <w:sz w:val="21"/>
                <w:szCs w:val="21"/>
                <w14:textFill>
                  <w14:solidFill>
                    <w14:schemeClr w14:val="tx1"/>
                  </w14:solidFill>
                </w14:textFill>
              </w:rPr>
              <w:t>满足《工业企业厂界环境噪声排放标准》（GB12348-2008）表1中的</w:t>
            </w:r>
            <w:r>
              <w:rPr>
                <w:snapToGrid w:val="0"/>
                <w:color w:val="000000" w:themeColor="text1"/>
                <w:sz w:val="21"/>
                <w:szCs w:val="21"/>
                <w14:textFill>
                  <w14:solidFill>
                    <w14:schemeClr w14:val="tx1"/>
                  </w14:solidFill>
                </w14:textFill>
              </w:rPr>
              <w:t>3类</w:t>
            </w:r>
            <w:r>
              <w:rPr>
                <w:rFonts w:hint="eastAsia"/>
                <w:snapToGrid w:val="0"/>
                <w:color w:val="000000" w:themeColor="text1"/>
                <w:sz w:val="21"/>
                <w:szCs w:val="21"/>
                <w14:textFill>
                  <w14:solidFill>
                    <w14:schemeClr w14:val="tx1"/>
                  </w14:solidFill>
                </w14:textFill>
              </w:rPr>
              <w:t>标准</w:t>
            </w:r>
            <w:r>
              <w:rPr>
                <w:rFonts w:hint="eastAsia"/>
                <w:snapToGrid w:val="0"/>
                <w:color w:val="000000" w:themeColor="text1"/>
                <w:sz w:val="21"/>
                <w:szCs w:val="21"/>
                <w:lang w:eastAsia="zh-CN"/>
                <w14:textFill>
                  <w14:solidFill>
                    <w14:schemeClr w14:val="tx1"/>
                  </w14:solidFill>
                </w14:textFill>
              </w:rPr>
              <w:t>，</w:t>
            </w:r>
            <w:r>
              <w:rPr>
                <w:rFonts w:hint="eastAsia"/>
                <w:snapToGrid w:val="0"/>
                <w:color w:val="000000" w:themeColor="text1"/>
                <w:sz w:val="21"/>
                <w:szCs w:val="21"/>
                <w:lang w:val="en-US" w:eastAsia="zh-CN"/>
                <w14:textFill>
                  <w14:solidFill>
                    <w14:schemeClr w14:val="tx1"/>
                  </w14:solidFill>
                </w14:textFill>
              </w:rPr>
              <w:t>西侧厂界</w:t>
            </w:r>
            <w:r>
              <w:rPr>
                <w:rFonts w:hint="eastAsia"/>
                <w:snapToGrid w:val="0"/>
                <w:color w:val="000000" w:themeColor="text1"/>
                <w:sz w:val="21"/>
                <w:szCs w:val="21"/>
                <w14:textFill>
                  <w14:solidFill>
                    <w14:schemeClr w14:val="tx1"/>
                  </w14:solidFill>
                </w14:textFill>
              </w:rPr>
              <w:t>满足《工业企业厂界环境噪声排放标准》（GB12348-2008）表1中的</w:t>
            </w:r>
            <w:r>
              <w:rPr>
                <w:rFonts w:hint="eastAsia"/>
                <w:snapToGrid w:val="0"/>
                <w:color w:val="000000" w:themeColor="text1"/>
                <w:sz w:val="21"/>
                <w:szCs w:val="21"/>
                <w:lang w:val="en-US" w:eastAsia="zh-CN"/>
                <w14:textFill>
                  <w14:solidFill>
                    <w14:schemeClr w14:val="tx1"/>
                  </w14:solidFill>
                </w14:textFill>
              </w:rPr>
              <w:t>4</w:t>
            </w:r>
            <w:r>
              <w:rPr>
                <w:snapToGrid w:val="0"/>
                <w:color w:val="000000" w:themeColor="text1"/>
                <w:sz w:val="21"/>
                <w:szCs w:val="21"/>
                <w14:textFill>
                  <w14:solidFill>
                    <w14:schemeClr w14:val="tx1"/>
                  </w14:solidFill>
                </w14:textFill>
              </w:rPr>
              <w:t>类</w:t>
            </w:r>
            <w:r>
              <w:rPr>
                <w:rFonts w:hint="eastAsia"/>
                <w:snapToGrid w:val="0"/>
                <w:color w:val="000000" w:themeColor="text1"/>
                <w:sz w:val="21"/>
                <w:szCs w:val="21"/>
                <w14:textFill>
                  <w14:solidFill>
                    <w14:schemeClr w14:val="tx1"/>
                  </w14:solidFill>
                </w14:textFill>
              </w:rPr>
              <w:t>标准</w:t>
            </w:r>
          </w:p>
        </w:tc>
        <w:tc>
          <w:tcPr>
            <w:tcW w:w="788" w:type="pct"/>
            <w:shd w:val="clear" w:color="auto" w:fill="auto"/>
            <w:vAlign w:val="center"/>
          </w:tcPr>
          <w:p w14:paraId="4E172575">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1次/季度</w:t>
            </w:r>
          </w:p>
        </w:tc>
      </w:tr>
      <w:tr w14:paraId="6298BF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restart"/>
            <w:shd w:val="clear" w:color="auto" w:fill="auto"/>
            <w:vAlign w:val="center"/>
          </w:tcPr>
          <w:p w14:paraId="7724600C">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地下水</w:t>
            </w:r>
          </w:p>
        </w:tc>
        <w:tc>
          <w:tcPr>
            <w:tcW w:w="637" w:type="pct"/>
            <w:vMerge w:val="restart"/>
            <w:shd w:val="clear" w:color="auto" w:fill="auto"/>
            <w:vAlign w:val="center"/>
          </w:tcPr>
          <w:p w14:paraId="498596C2">
            <w:pPr>
              <w:pStyle w:val="143"/>
              <w:rPr>
                <w:snapToGrid w:val="0"/>
                <w:color w:val="000000" w:themeColor="text1"/>
                <w:sz w:val="21"/>
                <w:szCs w:val="21"/>
                <w:lang w:val="zh-CN"/>
                <w14:textFill>
                  <w14:solidFill>
                    <w14:schemeClr w14:val="tx1"/>
                  </w14:solidFill>
                </w14:textFill>
              </w:rPr>
            </w:pPr>
            <w:r>
              <w:rPr>
                <w:rFonts w:hint="eastAsia"/>
                <w:snapToGrid w:val="0"/>
                <w:color w:val="000000" w:themeColor="text1"/>
                <w:sz w:val="21"/>
                <w:szCs w:val="21"/>
                <w:lang w:val="zh-CN"/>
                <w14:textFill>
                  <w14:solidFill>
                    <w14:schemeClr w14:val="tx1"/>
                  </w14:solidFill>
                </w14:textFill>
              </w:rPr>
              <w:t>项目区</w:t>
            </w:r>
          </w:p>
        </w:tc>
        <w:tc>
          <w:tcPr>
            <w:tcW w:w="1017" w:type="pct"/>
            <w:shd w:val="clear" w:color="auto" w:fill="auto"/>
            <w:vAlign w:val="center"/>
          </w:tcPr>
          <w:p w14:paraId="24F5679F">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COD</w:t>
            </w:r>
          </w:p>
        </w:tc>
        <w:tc>
          <w:tcPr>
            <w:tcW w:w="815" w:type="pct"/>
            <w:vMerge w:val="restart"/>
            <w:shd w:val="clear" w:color="auto" w:fill="auto"/>
            <w:vAlign w:val="center"/>
          </w:tcPr>
          <w:p w14:paraId="6F8AEF68">
            <w:pPr>
              <w:pStyle w:val="143"/>
              <w:rPr>
                <w:snapToGrid w:val="0"/>
                <w:color w:val="000000" w:themeColor="text1"/>
                <w:sz w:val="21"/>
                <w:szCs w:val="21"/>
                <w:lang w:val="zh-CN"/>
                <w14:textFill>
                  <w14:solidFill>
                    <w14:schemeClr w14:val="tx1"/>
                  </w14:solidFill>
                </w14:textFill>
              </w:rPr>
            </w:pPr>
            <w:r>
              <w:rPr>
                <w:rFonts w:hint="eastAsia"/>
                <w:snapToGrid w:val="0"/>
                <w:color w:val="000000" w:themeColor="text1"/>
                <w:sz w:val="21"/>
                <w:szCs w:val="21"/>
                <w:lang w:val="zh-CN"/>
                <w14:textFill>
                  <w14:solidFill>
                    <w14:schemeClr w14:val="tx1"/>
                  </w14:solidFill>
                </w14:textFill>
              </w:rPr>
              <w:t>项目区地下水监控井</w:t>
            </w:r>
          </w:p>
        </w:tc>
        <w:tc>
          <w:tcPr>
            <w:tcW w:w="1384" w:type="pct"/>
            <w:vMerge w:val="restart"/>
            <w:shd w:val="clear" w:color="auto" w:fill="auto"/>
            <w:vAlign w:val="center"/>
          </w:tcPr>
          <w:p w14:paraId="400F4FF5">
            <w:pPr>
              <w:pStyle w:val="143"/>
              <w:jc w:val="both"/>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《地下水质量标准》（GB/T14848-2017）中的Ⅲ类标准</w:t>
            </w:r>
          </w:p>
        </w:tc>
        <w:tc>
          <w:tcPr>
            <w:tcW w:w="788" w:type="pct"/>
            <w:vMerge w:val="restart"/>
            <w:shd w:val="clear" w:color="auto" w:fill="auto"/>
            <w:vAlign w:val="center"/>
          </w:tcPr>
          <w:p w14:paraId="267B487E">
            <w:pPr>
              <w:pStyle w:val="143"/>
              <w:rPr>
                <w:rFonts w:hint="eastAsia" w:eastAsia="宋体"/>
                <w:snapToGrid w:val="0"/>
                <w:color w:val="000000" w:themeColor="text1"/>
                <w:sz w:val="21"/>
                <w:szCs w:val="21"/>
                <w:lang w:eastAsia="zh-CN"/>
                <w14:textFill>
                  <w14:solidFill>
                    <w14:schemeClr w14:val="tx1"/>
                  </w14:solidFill>
                </w14:textFill>
              </w:rPr>
            </w:pPr>
            <w:r>
              <w:rPr>
                <w:rFonts w:hint="eastAsia"/>
                <w:snapToGrid w:val="0"/>
                <w:color w:val="000000" w:themeColor="text1"/>
                <w:sz w:val="21"/>
                <w:szCs w:val="21"/>
                <w14:textFill>
                  <w14:solidFill>
                    <w14:schemeClr w14:val="tx1"/>
                  </w14:solidFill>
                </w14:textFill>
              </w:rPr>
              <w:t>1次/</w:t>
            </w:r>
            <w:r>
              <w:rPr>
                <w:rFonts w:hint="eastAsia"/>
                <w:snapToGrid w:val="0"/>
                <w:color w:val="000000" w:themeColor="text1"/>
                <w:sz w:val="21"/>
                <w:szCs w:val="21"/>
                <w:lang w:val="en-US" w:eastAsia="zh-CN"/>
                <w14:textFill>
                  <w14:solidFill>
                    <w14:schemeClr w14:val="tx1"/>
                  </w14:solidFill>
                </w14:textFill>
              </w:rPr>
              <w:t>年</w:t>
            </w:r>
          </w:p>
        </w:tc>
      </w:tr>
      <w:tr w14:paraId="3DD206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56" w:type="pct"/>
            <w:vMerge w:val="continue"/>
            <w:shd w:val="clear" w:color="auto" w:fill="auto"/>
            <w:vAlign w:val="center"/>
          </w:tcPr>
          <w:p w14:paraId="18E8EEB1">
            <w:pPr>
              <w:pStyle w:val="143"/>
              <w:rPr>
                <w:snapToGrid w:val="0"/>
                <w:color w:val="000000" w:themeColor="text1"/>
                <w:sz w:val="21"/>
                <w:szCs w:val="21"/>
                <w14:textFill>
                  <w14:solidFill>
                    <w14:schemeClr w14:val="tx1"/>
                  </w14:solidFill>
                </w14:textFill>
              </w:rPr>
            </w:pPr>
          </w:p>
        </w:tc>
        <w:tc>
          <w:tcPr>
            <w:tcW w:w="637" w:type="pct"/>
            <w:vMerge w:val="continue"/>
            <w:shd w:val="clear" w:color="auto" w:fill="auto"/>
            <w:vAlign w:val="center"/>
          </w:tcPr>
          <w:p w14:paraId="3B19BB64">
            <w:pPr>
              <w:pStyle w:val="143"/>
              <w:rPr>
                <w:snapToGrid w:val="0"/>
                <w:color w:val="000000" w:themeColor="text1"/>
                <w:sz w:val="21"/>
                <w:szCs w:val="21"/>
                <w:lang w:val="zh-CN"/>
                <w14:textFill>
                  <w14:solidFill>
                    <w14:schemeClr w14:val="tx1"/>
                  </w14:solidFill>
                </w14:textFill>
              </w:rPr>
            </w:pPr>
          </w:p>
        </w:tc>
        <w:tc>
          <w:tcPr>
            <w:tcW w:w="1017" w:type="pct"/>
            <w:shd w:val="clear" w:color="auto" w:fill="auto"/>
            <w:vAlign w:val="center"/>
          </w:tcPr>
          <w:p w14:paraId="6536C2EB">
            <w:pPr>
              <w:pStyle w:val="143"/>
              <w:rPr>
                <w:snapToGrid w:val="0"/>
                <w:color w:val="000000" w:themeColor="text1"/>
                <w:sz w:val="21"/>
                <w:szCs w:val="21"/>
                <w14:textFill>
                  <w14:solidFill>
                    <w14:schemeClr w14:val="tx1"/>
                  </w14:solidFill>
                </w14:textFill>
              </w:rPr>
            </w:pPr>
            <w:r>
              <w:rPr>
                <w:rFonts w:hint="eastAsia"/>
                <w:snapToGrid w:val="0"/>
                <w:color w:val="000000" w:themeColor="text1"/>
                <w:sz w:val="21"/>
                <w:szCs w:val="21"/>
                <w14:textFill>
                  <w14:solidFill>
                    <w14:schemeClr w14:val="tx1"/>
                  </w14:solidFill>
                </w14:textFill>
              </w:rPr>
              <w:t>氨氮</w:t>
            </w:r>
          </w:p>
        </w:tc>
        <w:tc>
          <w:tcPr>
            <w:tcW w:w="815" w:type="pct"/>
            <w:vMerge w:val="continue"/>
            <w:shd w:val="clear" w:color="auto" w:fill="auto"/>
            <w:vAlign w:val="center"/>
          </w:tcPr>
          <w:p w14:paraId="433AB1EA">
            <w:pPr>
              <w:pStyle w:val="143"/>
              <w:rPr>
                <w:snapToGrid w:val="0"/>
                <w:color w:val="000000" w:themeColor="text1"/>
                <w:sz w:val="21"/>
                <w:szCs w:val="21"/>
                <w:lang w:val="zh-CN"/>
                <w14:textFill>
                  <w14:solidFill>
                    <w14:schemeClr w14:val="tx1"/>
                  </w14:solidFill>
                </w14:textFill>
              </w:rPr>
            </w:pPr>
          </w:p>
        </w:tc>
        <w:tc>
          <w:tcPr>
            <w:tcW w:w="1384" w:type="pct"/>
            <w:vMerge w:val="continue"/>
            <w:shd w:val="clear" w:color="auto" w:fill="auto"/>
            <w:vAlign w:val="center"/>
          </w:tcPr>
          <w:p w14:paraId="3DC8475C">
            <w:pPr>
              <w:pStyle w:val="143"/>
              <w:rPr>
                <w:snapToGrid w:val="0"/>
                <w:color w:val="000000" w:themeColor="text1"/>
                <w:sz w:val="21"/>
                <w:szCs w:val="21"/>
                <w14:textFill>
                  <w14:solidFill>
                    <w14:schemeClr w14:val="tx1"/>
                  </w14:solidFill>
                </w14:textFill>
              </w:rPr>
            </w:pPr>
          </w:p>
        </w:tc>
        <w:tc>
          <w:tcPr>
            <w:tcW w:w="788" w:type="pct"/>
            <w:vMerge w:val="continue"/>
            <w:shd w:val="clear" w:color="auto" w:fill="auto"/>
            <w:vAlign w:val="center"/>
          </w:tcPr>
          <w:p w14:paraId="47666233">
            <w:pPr>
              <w:pStyle w:val="143"/>
              <w:rPr>
                <w:snapToGrid w:val="0"/>
                <w:color w:val="000000" w:themeColor="text1"/>
                <w:sz w:val="21"/>
                <w:szCs w:val="21"/>
                <w14:textFill>
                  <w14:solidFill>
                    <w14:schemeClr w14:val="tx1"/>
                  </w14:solidFill>
                </w14:textFill>
              </w:rPr>
            </w:pPr>
          </w:p>
        </w:tc>
      </w:tr>
    </w:tbl>
    <w:p w14:paraId="506A97FD">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）信息报告</w:t>
      </w:r>
    </w:p>
    <w:p w14:paraId="2455A81E">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排污单位应编写自行监测年度报告，年度报告至少应包含以下内容：</w:t>
      </w:r>
    </w:p>
    <w:p w14:paraId="051F4D43">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a）监测方案的调整变化情况及变更原因；</w:t>
      </w:r>
    </w:p>
    <w:p w14:paraId="1CE3A5F6">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b）企业及各主要生产设施（至少涵盖废气主要污染源相关生产设施）全年运行天数，</w:t>
      </w:r>
    </w:p>
    <w:p w14:paraId="64627EB2">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各监测点、各监测指标全年监测次数、超标情况、浓度分布情况；</w:t>
      </w:r>
    </w:p>
    <w:p w14:paraId="31A35293">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c）按要求开展的周边环境质量影响状况监测结果；</w:t>
      </w:r>
    </w:p>
    <w:p w14:paraId="61A3980F">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d）自行监测开展的其他情况说明；</w:t>
      </w:r>
    </w:p>
    <w:p w14:paraId="5C0D5C4D">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e）排污单位实现达标排放所采取的主要措施。</w:t>
      </w:r>
    </w:p>
    <w:p w14:paraId="079AE28C">
      <w:pPr>
        <w:adjustRightInd/>
        <w:snapToGrid/>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3</w:t>
      </w:r>
      <w:r>
        <w:rPr>
          <w:rFonts w:hint="eastAsia"/>
          <w:color w:val="000000" w:themeColor="text1"/>
          <w14:textFill>
            <w14:solidFill>
              <w14:schemeClr w14:val="tx1"/>
            </w14:solidFill>
          </w14:textFill>
        </w:rPr>
        <w:t>）应急报告</w:t>
      </w:r>
    </w:p>
    <w:p w14:paraId="5BF1CFE7">
      <w:pPr>
        <w:adjustRightInd/>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监测结果出现超标的，排污单位应加密监测，并检查超标原因。短期内无法实现稳定达标排放的，应向环境保护主管部门提交事故分析报告，说明事故发生的原因，采取减轻或防止污染的措施，以及今后的预防及改进措施等；若因发生事故或者其他突发事件，排放的污水可能危及城镇排水与污水处理设施安全运行的，应当立即采取措施消除危害，并及时向城镇排水主管部门和环境保护主管部门等有关部门报告。</w:t>
      </w:r>
    </w:p>
    <w:p w14:paraId="66C1AFDA">
      <w:pPr>
        <w:adjustRightInd/>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w:t>
      </w:r>
      <w:r>
        <w:rPr>
          <w:snapToGrid w:val="0"/>
          <w:color w:val="000000" w:themeColor="text1"/>
          <w14:textFill>
            <w14:solidFill>
              <w14:schemeClr w14:val="tx1"/>
            </w14:solidFill>
          </w14:textFill>
        </w:rPr>
        <w:t>4</w:t>
      </w:r>
      <w:r>
        <w:rPr>
          <w:rFonts w:hint="eastAsia"/>
          <w:snapToGrid w:val="0"/>
          <w:color w:val="000000" w:themeColor="text1"/>
          <w14:textFill>
            <w14:solidFill>
              <w14:schemeClr w14:val="tx1"/>
            </w14:solidFill>
          </w14:textFill>
        </w:rPr>
        <w:t>）信息公开</w:t>
      </w:r>
    </w:p>
    <w:p w14:paraId="2F841D5B">
      <w:pPr>
        <w:adjustRightInd/>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排污单位自行监测信息公开内容及方式按照《企业事业单位环境信息公开办法》（环境保护部令第31号）及《国家重点监控企业自行监测及信息公开办法（试行）》（环发[2013]81号）执行。非重点排污单位的信息公开要求由地方环境保护主管部门确定。</w:t>
      </w:r>
    </w:p>
    <w:p w14:paraId="7A66F9C2">
      <w:pPr>
        <w:pStyle w:val="5"/>
        <w:rPr>
          <w:snapToGrid w:val="0"/>
          <w:color w:val="000000" w:themeColor="text1"/>
          <w14:textFill>
            <w14:solidFill>
              <w14:schemeClr w14:val="tx1"/>
            </w14:solidFill>
          </w14:textFill>
        </w:rPr>
      </w:pPr>
      <w:bookmarkStart w:id="422" w:name="_Toc10088"/>
      <w:r>
        <w:rPr>
          <w:snapToGrid w:val="0"/>
          <w:color w:val="000000" w:themeColor="text1"/>
          <w14:textFill>
            <w14:solidFill>
              <w14:schemeClr w14:val="tx1"/>
            </w14:solidFill>
          </w14:textFill>
        </w:rPr>
        <w:t>8.3环境保护竣工验收</w:t>
      </w:r>
      <w:bookmarkEnd w:id="418"/>
      <w:bookmarkEnd w:id="422"/>
    </w:p>
    <w:p w14:paraId="5B886F2D">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本项目中的污染防治措施必须与主体工程同时设计、同时施工、同时投产使用。防治污染的设施必须经原审批环境影响报告书的环境保护行政主管部门验收合格后，项目方可投入生产和使用。</w:t>
      </w:r>
    </w:p>
    <w:p w14:paraId="760FD742">
      <w:pPr>
        <w:adjustRightInd/>
        <w:snapToGrid/>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拟建项目建成后，环境保护措施竣工验收情况详见表8-3-1。</w:t>
      </w:r>
    </w:p>
    <w:p w14:paraId="029AE83F">
      <w:pPr>
        <w:adjustRightInd/>
        <w:snapToGrid/>
        <w:spacing w:line="500" w:lineRule="exact"/>
        <w:rPr>
          <w:snapToGrid w:val="0"/>
          <w:color w:val="000000" w:themeColor="text1"/>
          <w:kern w:val="0"/>
          <w14:textFill>
            <w14:solidFill>
              <w14:schemeClr w14:val="tx1"/>
            </w14:solidFill>
          </w14:textFill>
        </w:rPr>
        <w:sectPr>
          <w:headerReference r:id="rId15" w:type="first"/>
          <w:footerReference r:id="rId18" w:type="first"/>
          <w:headerReference r:id="rId13" w:type="default"/>
          <w:footerReference r:id="rId16" w:type="default"/>
          <w:headerReference r:id="rId14" w:type="even"/>
          <w:footerReference r:id="rId17" w:type="even"/>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4513483F">
      <w:pPr>
        <w:pStyle w:val="206"/>
        <w:rPr>
          <w:snapToGrid w:val="0"/>
          <w:color w:val="000000" w:themeColor="text1"/>
          <w:highlight w:val="none"/>
          <w14:textFill>
            <w14:solidFill>
              <w14:schemeClr w14:val="tx1"/>
            </w14:solidFill>
          </w14:textFill>
        </w:rPr>
      </w:pPr>
      <w:r>
        <w:rPr>
          <w:snapToGrid w:val="0"/>
          <w:color w:val="000000" w:themeColor="text1"/>
          <w:highlight w:val="none"/>
          <w14:textFill>
            <w14:solidFill>
              <w14:schemeClr w14:val="tx1"/>
            </w14:solidFill>
          </w14:textFill>
        </w:rPr>
        <w:t>表8-3-1建设项目竣工环境保护验收一览表</w:t>
      </w:r>
    </w:p>
    <w:tbl>
      <w:tblPr>
        <w:tblStyle w:val="49"/>
        <w:tblW w:w="492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23"/>
        <w:gridCol w:w="995"/>
        <w:gridCol w:w="2292"/>
        <w:gridCol w:w="5216"/>
        <w:gridCol w:w="4509"/>
      </w:tblGrid>
      <w:tr w14:paraId="1502CD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shd w:val="clear" w:color="auto" w:fill="auto"/>
            <w:vAlign w:val="center"/>
          </w:tcPr>
          <w:p w14:paraId="795771B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序号</w:t>
            </w:r>
          </w:p>
        </w:tc>
        <w:tc>
          <w:tcPr>
            <w:tcW w:w="1196" w:type="pct"/>
            <w:gridSpan w:val="2"/>
            <w:shd w:val="clear" w:color="auto" w:fill="auto"/>
            <w:vAlign w:val="center"/>
          </w:tcPr>
          <w:p w14:paraId="2AB2C90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类别</w:t>
            </w:r>
          </w:p>
        </w:tc>
        <w:tc>
          <w:tcPr>
            <w:tcW w:w="1898" w:type="pct"/>
            <w:shd w:val="clear" w:color="auto" w:fill="auto"/>
            <w:vAlign w:val="center"/>
          </w:tcPr>
          <w:p w14:paraId="27D722D5">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主要设施/设备/措施</w:t>
            </w:r>
          </w:p>
        </w:tc>
        <w:tc>
          <w:tcPr>
            <w:tcW w:w="1641" w:type="pct"/>
            <w:shd w:val="clear" w:color="auto" w:fill="auto"/>
            <w:vAlign w:val="center"/>
          </w:tcPr>
          <w:p w14:paraId="0360009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验收内容及标准</w:t>
            </w:r>
          </w:p>
        </w:tc>
      </w:tr>
      <w:tr w14:paraId="5DE283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restart"/>
            <w:shd w:val="clear" w:color="auto" w:fill="auto"/>
            <w:vAlign w:val="center"/>
          </w:tcPr>
          <w:p w14:paraId="27A23A9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1</w:t>
            </w:r>
          </w:p>
        </w:tc>
        <w:tc>
          <w:tcPr>
            <w:tcW w:w="362" w:type="pct"/>
            <w:vMerge w:val="restart"/>
            <w:shd w:val="clear" w:color="auto" w:fill="auto"/>
            <w:vAlign w:val="center"/>
          </w:tcPr>
          <w:p w14:paraId="15AD74C4">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地下水</w:t>
            </w:r>
            <w:r>
              <w:rPr>
                <w:rFonts w:hint="eastAsia"/>
                <w:snapToGrid w:val="0"/>
                <w:color w:val="000000" w:themeColor="text1"/>
                <w14:textFill>
                  <w14:solidFill>
                    <w14:schemeClr w14:val="tx1"/>
                  </w14:solidFill>
                </w14:textFill>
              </w:rPr>
              <w:t>防渗</w:t>
            </w:r>
          </w:p>
        </w:tc>
        <w:tc>
          <w:tcPr>
            <w:tcW w:w="834" w:type="pct"/>
            <w:shd w:val="clear" w:color="auto" w:fill="auto"/>
            <w:vAlign w:val="center"/>
          </w:tcPr>
          <w:p w14:paraId="3A653D7F">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一般防渗区</w:t>
            </w:r>
          </w:p>
        </w:tc>
        <w:tc>
          <w:tcPr>
            <w:tcW w:w="1898" w:type="pct"/>
            <w:shd w:val="clear" w:color="auto" w:fill="auto"/>
            <w:vAlign w:val="center"/>
          </w:tcPr>
          <w:p w14:paraId="58F5171D">
            <w:pPr>
              <w:pStyle w:val="143"/>
              <w:jc w:val="both"/>
              <w:rPr>
                <w:snapToGrid w:val="0"/>
                <w:color w:val="000000" w:themeColor="text1"/>
                <w:lang w:val="en-US"/>
                <w14:textFill>
                  <w14:solidFill>
                    <w14:schemeClr w14:val="tx1"/>
                  </w14:solidFill>
                </w14:textFill>
              </w:rPr>
            </w:pPr>
            <w:r>
              <w:rPr>
                <w:rFonts w:hint="eastAsia"/>
                <w:snapToGrid w:val="0"/>
                <w:color w:val="000000" w:themeColor="text1"/>
                <w:lang w:val="en-US"/>
                <w14:textFill>
                  <w14:solidFill>
                    <w14:schemeClr w14:val="tx1"/>
                  </w14:solidFill>
                </w14:textFill>
              </w:rPr>
              <w:t>污水处理站、危废暂存间、事故池、液碱</w:t>
            </w:r>
            <w:r>
              <w:rPr>
                <w:snapToGrid w:val="0"/>
                <w:color w:val="000000" w:themeColor="text1"/>
                <w:lang w:val="en-US"/>
                <w14:textFill>
                  <w14:solidFill>
                    <w14:schemeClr w14:val="tx1"/>
                  </w14:solidFill>
                </w14:textFill>
              </w:rPr>
              <w:t>和液体二氧化碳储罐区</w:t>
            </w:r>
            <w:r>
              <w:rPr>
                <w:rFonts w:hint="eastAsia"/>
                <w:snapToGrid w:val="0"/>
                <w:color w:val="000000" w:themeColor="text1"/>
                <w:lang w:val="en-US"/>
                <w14:textFill>
                  <w14:solidFill>
                    <w14:schemeClr w14:val="tx1"/>
                  </w14:solidFill>
                </w14:textFill>
              </w:rPr>
              <w:t>按重点防渗区采取防渗措施；危险废物</w:t>
            </w:r>
            <w:r>
              <w:rPr>
                <w:rFonts w:hint="eastAsia"/>
                <w:snapToGrid w:val="0"/>
                <w:color w:val="000000" w:themeColor="text1"/>
                <w:lang w:val="en-US" w:eastAsia="zh-CN"/>
                <w14:textFill>
                  <w14:solidFill>
                    <w14:schemeClr w14:val="tx1"/>
                  </w14:solidFill>
                </w14:textFill>
              </w:rPr>
              <w:t>贮存点</w:t>
            </w:r>
            <w:r>
              <w:rPr>
                <w:rFonts w:hint="eastAsia"/>
                <w:snapToGrid w:val="0"/>
                <w:color w:val="000000" w:themeColor="text1"/>
                <w:lang w:val="en-US"/>
                <w14:textFill>
                  <w14:solidFill>
                    <w14:schemeClr w14:val="tx1"/>
                  </w14:solidFill>
                </w14:textFill>
              </w:rPr>
              <w:t>地面采取防渗措施，满足《危险废物贮存污染控制标准》（GB 18597-2023）中渗透系数小于1.0×10</w:t>
            </w:r>
            <w:r>
              <w:rPr>
                <w:rFonts w:hint="eastAsia"/>
                <w:snapToGrid w:val="0"/>
                <w:color w:val="000000" w:themeColor="text1"/>
                <w:vertAlign w:val="superscript"/>
                <w:lang w:val="en-US"/>
                <w14:textFill>
                  <w14:solidFill>
                    <w14:schemeClr w14:val="tx1"/>
                  </w14:solidFill>
                </w14:textFill>
              </w:rPr>
              <w:t>-10</w:t>
            </w:r>
            <w:r>
              <w:rPr>
                <w:rFonts w:hint="eastAsia"/>
                <w:snapToGrid w:val="0"/>
                <w:color w:val="000000" w:themeColor="text1"/>
                <w:lang w:val="en-US"/>
                <w14:textFill>
                  <w14:solidFill>
                    <w14:schemeClr w14:val="tx1"/>
                  </w14:solidFill>
                </w14:textFill>
              </w:rPr>
              <w:t>cm/s的要求。</w:t>
            </w:r>
          </w:p>
        </w:tc>
        <w:tc>
          <w:tcPr>
            <w:tcW w:w="1641" w:type="pct"/>
            <w:shd w:val="clear" w:color="auto" w:fill="auto"/>
            <w:vAlign w:val="center"/>
          </w:tcPr>
          <w:p w14:paraId="4D84958A">
            <w:pPr>
              <w:pStyle w:val="143"/>
              <w:rPr>
                <w:snapToGrid w:val="0"/>
                <w:color w:val="000000" w:themeColor="text1"/>
                <w:lang w:val="en-US"/>
                <w14:textFill>
                  <w14:solidFill>
                    <w14:schemeClr w14:val="tx1"/>
                  </w14:solidFill>
                </w14:textFill>
              </w:rPr>
            </w:pPr>
            <w:r>
              <w:rPr>
                <w:rFonts w:hint="eastAsia"/>
                <w:snapToGrid w:val="0"/>
                <w:color w:val="000000" w:themeColor="text1"/>
                <w14:textFill>
                  <w14:solidFill>
                    <w14:schemeClr w14:val="tx1"/>
                  </w14:solidFill>
                </w14:textFill>
              </w:rPr>
              <w:t>重点防渗区（危废暂存间除外）</w:t>
            </w:r>
            <w:r>
              <w:rPr>
                <w:snapToGrid w:val="0"/>
                <w:color w:val="000000" w:themeColor="text1"/>
                <w:lang w:val="en-US"/>
                <w14:textFill>
                  <w14:solidFill>
                    <w14:schemeClr w14:val="tx1"/>
                  </w14:solidFill>
                </w14:textFill>
              </w:rPr>
              <w:t>防渗措施采用防渗混凝土，防渗技术要求达到等效粘土防渗层Mb≥6.0m，K≤1×10</w:t>
            </w:r>
            <w:r>
              <w:rPr>
                <w:snapToGrid w:val="0"/>
                <w:color w:val="000000" w:themeColor="text1"/>
                <w:vertAlign w:val="superscript"/>
                <w:lang w:val="en-US"/>
                <w14:textFill>
                  <w14:solidFill>
                    <w14:schemeClr w14:val="tx1"/>
                  </w14:solidFill>
                </w14:textFill>
              </w:rPr>
              <w:t>-7</w:t>
            </w:r>
            <w:r>
              <w:rPr>
                <w:snapToGrid w:val="0"/>
                <w:color w:val="000000" w:themeColor="text1"/>
                <w:lang w:val="en-US"/>
                <w14:textFill>
                  <w14:solidFill>
                    <w14:schemeClr w14:val="tx1"/>
                  </w14:solidFill>
                </w14:textFill>
              </w:rPr>
              <w:t>cm/s</w:t>
            </w:r>
          </w:p>
          <w:p w14:paraId="7269BF73">
            <w:pPr>
              <w:pStyle w:val="143"/>
              <w:rPr>
                <w:snapToGrid w:val="0"/>
                <w:color w:val="000000" w:themeColor="text1"/>
                <w:lang w:val="en-US"/>
                <w14:textFill>
                  <w14:solidFill>
                    <w14:schemeClr w14:val="tx1"/>
                  </w14:solidFill>
                </w14:textFill>
              </w:rPr>
            </w:pPr>
            <w:r>
              <w:rPr>
                <w:rFonts w:hint="eastAsia"/>
                <w:snapToGrid w:val="0"/>
                <w:color w:val="000000" w:themeColor="text1"/>
                <w:lang w:val="en-US"/>
                <w14:textFill>
                  <w14:solidFill>
                    <w14:schemeClr w14:val="tx1"/>
                  </w14:solidFill>
                </w14:textFill>
              </w:rPr>
              <w:t>危险废物贮存点满足《危险废物贮存污染控制标准》（GB 18597-2023）中渗透系数小于1.0×10</w:t>
            </w:r>
            <w:r>
              <w:rPr>
                <w:rFonts w:hint="eastAsia"/>
                <w:snapToGrid w:val="0"/>
                <w:color w:val="000000" w:themeColor="text1"/>
                <w:vertAlign w:val="superscript"/>
                <w:lang w:val="en-US"/>
                <w14:textFill>
                  <w14:solidFill>
                    <w14:schemeClr w14:val="tx1"/>
                  </w14:solidFill>
                </w14:textFill>
              </w:rPr>
              <w:t>-10</w:t>
            </w:r>
            <w:r>
              <w:rPr>
                <w:rFonts w:hint="eastAsia"/>
                <w:snapToGrid w:val="0"/>
                <w:color w:val="000000" w:themeColor="text1"/>
                <w:lang w:val="en-US"/>
                <w14:textFill>
                  <w14:solidFill>
                    <w14:schemeClr w14:val="tx1"/>
                  </w14:solidFill>
                </w14:textFill>
              </w:rPr>
              <w:t>cm/s的要求</w:t>
            </w:r>
          </w:p>
        </w:tc>
      </w:tr>
      <w:tr w14:paraId="2AB175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55D524BA">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6CEECD08">
            <w:pPr>
              <w:pStyle w:val="143"/>
              <w:rPr>
                <w:snapToGrid w:val="0"/>
                <w:color w:val="000000" w:themeColor="text1"/>
                <w14:textFill>
                  <w14:solidFill>
                    <w14:schemeClr w14:val="tx1"/>
                  </w14:solidFill>
                </w14:textFill>
              </w:rPr>
            </w:pPr>
          </w:p>
        </w:tc>
        <w:tc>
          <w:tcPr>
            <w:tcW w:w="834" w:type="pct"/>
            <w:shd w:val="clear" w:color="auto" w:fill="auto"/>
            <w:vAlign w:val="center"/>
          </w:tcPr>
          <w:p w14:paraId="203CA777">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简单防渗区</w:t>
            </w:r>
          </w:p>
        </w:tc>
        <w:tc>
          <w:tcPr>
            <w:tcW w:w="1898" w:type="pct"/>
            <w:shd w:val="clear" w:color="auto" w:fill="auto"/>
            <w:vAlign w:val="center"/>
          </w:tcPr>
          <w:p w14:paraId="51F147F0">
            <w:pPr>
              <w:pStyle w:val="143"/>
              <w:jc w:val="both"/>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生产车间和仓库按一般防渗区采取防渗措施；地面（池底）基础防渗，防渗层为至少1m厚粘土层或2mm厚高密度聚乙烯</w:t>
            </w:r>
          </w:p>
        </w:tc>
        <w:tc>
          <w:tcPr>
            <w:tcW w:w="1641" w:type="pct"/>
            <w:shd w:val="clear" w:color="auto" w:fill="auto"/>
            <w:vAlign w:val="center"/>
          </w:tcPr>
          <w:p w14:paraId="30619582">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满足等效黏土防渗层Mb≥1.5m，K≤1×10</w:t>
            </w:r>
            <w:r>
              <w:rPr>
                <w:rFonts w:hint="eastAsia"/>
                <w:snapToGrid w:val="0"/>
                <w:color w:val="000000" w:themeColor="text1"/>
                <w:vertAlign w:val="superscript"/>
                <w14:textFill>
                  <w14:solidFill>
                    <w14:schemeClr w14:val="tx1"/>
                  </w14:solidFill>
                </w14:textFill>
              </w:rPr>
              <w:t>-7</w:t>
            </w:r>
            <w:r>
              <w:rPr>
                <w:rFonts w:hint="eastAsia"/>
                <w:snapToGrid w:val="0"/>
                <w:color w:val="000000" w:themeColor="text1"/>
                <w14:textFill>
                  <w14:solidFill>
                    <w14:schemeClr w14:val="tx1"/>
                  </w14:solidFill>
                </w14:textFill>
              </w:rPr>
              <w:t>cm/s的要求</w:t>
            </w:r>
          </w:p>
        </w:tc>
      </w:tr>
      <w:tr w14:paraId="18825F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0D918BF0">
            <w:pPr>
              <w:pStyle w:val="143"/>
              <w:rPr>
                <w:snapToGrid w:val="0"/>
                <w:color w:val="000000" w:themeColor="text1"/>
                <w14:textFill>
                  <w14:solidFill>
                    <w14:schemeClr w14:val="tx1"/>
                  </w14:solidFill>
                </w14:textFill>
              </w:rPr>
            </w:pPr>
          </w:p>
        </w:tc>
        <w:tc>
          <w:tcPr>
            <w:tcW w:w="362" w:type="pct"/>
            <w:shd w:val="clear" w:color="auto" w:fill="auto"/>
            <w:vAlign w:val="center"/>
          </w:tcPr>
          <w:p w14:paraId="23B23162">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地下水监测</w:t>
            </w:r>
          </w:p>
        </w:tc>
        <w:tc>
          <w:tcPr>
            <w:tcW w:w="834" w:type="pct"/>
            <w:shd w:val="clear" w:color="auto" w:fill="auto"/>
            <w:vAlign w:val="center"/>
          </w:tcPr>
          <w:p w14:paraId="061D431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地下水跟踪监测井</w:t>
            </w:r>
          </w:p>
        </w:tc>
        <w:tc>
          <w:tcPr>
            <w:tcW w:w="1898" w:type="pct"/>
            <w:shd w:val="clear" w:color="auto" w:fill="auto"/>
            <w:vAlign w:val="center"/>
          </w:tcPr>
          <w:p w14:paraId="2BA46017">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在污水处理站下游设1口监测井，井深</w:t>
            </w:r>
            <w:r>
              <w:rPr>
                <w:rFonts w:hint="eastAsia"/>
                <w:snapToGrid w:val="0"/>
                <w:color w:val="000000" w:themeColor="text1"/>
                <w:lang w:val="en-US" w:eastAsia="zh-CN"/>
                <w14:textFill>
                  <w14:solidFill>
                    <w14:schemeClr w14:val="tx1"/>
                  </w14:solidFill>
                </w14:textFill>
              </w:rPr>
              <w:t>20</w:t>
            </w:r>
            <w:r>
              <w:rPr>
                <w:rFonts w:hint="eastAsia"/>
                <w:snapToGrid w:val="0"/>
                <w:color w:val="000000" w:themeColor="text1"/>
                <w14:textFill>
                  <w14:solidFill>
                    <w14:schemeClr w14:val="tx1"/>
                  </w14:solidFill>
                </w14:textFill>
              </w:rPr>
              <w:t>m，监测项目为氨氮、COD</w:t>
            </w:r>
          </w:p>
        </w:tc>
        <w:tc>
          <w:tcPr>
            <w:tcW w:w="1641" w:type="pct"/>
            <w:shd w:val="clear" w:color="auto" w:fill="auto"/>
            <w:vAlign w:val="center"/>
          </w:tcPr>
          <w:p w14:paraId="5C0720C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是否设置监测井，定期监测地下水质</w:t>
            </w:r>
          </w:p>
        </w:tc>
      </w:tr>
      <w:tr w14:paraId="26DB8F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restart"/>
            <w:shd w:val="clear" w:color="auto" w:fill="auto"/>
            <w:vAlign w:val="center"/>
          </w:tcPr>
          <w:p w14:paraId="5C964AC0">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2</w:t>
            </w:r>
          </w:p>
        </w:tc>
        <w:tc>
          <w:tcPr>
            <w:tcW w:w="362" w:type="pct"/>
            <w:vMerge w:val="restart"/>
            <w:shd w:val="clear" w:color="auto" w:fill="auto"/>
            <w:vAlign w:val="center"/>
          </w:tcPr>
          <w:p w14:paraId="0CBE89C2">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废气</w:t>
            </w:r>
          </w:p>
        </w:tc>
        <w:tc>
          <w:tcPr>
            <w:tcW w:w="834" w:type="pct"/>
            <w:shd w:val="clear" w:color="auto" w:fill="auto"/>
            <w:vAlign w:val="center"/>
          </w:tcPr>
          <w:p w14:paraId="04B7A16F">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原料间粉尘</w:t>
            </w:r>
          </w:p>
        </w:tc>
        <w:tc>
          <w:tcPr>
            <w:tcW w:w="1898" w:type="pct"/>
            <w:shd w:val="clear" w:color="auto" w:fill="auto"/>
            <w:vAlign w:val="center"/>
          </w:tcPr>
          <w:p w14:paraId="13B8DD85">
            <w:pPr>
              <w:pStyle w:val="143"/>
              <w:rPr>
                <w:rFonts w:hint="eastAsia" w:eastAsia="宋体"/>
                <w:bCs/>
                <w:snapToGrid w:val="0"/>
                <w:color w:val="000000" w:themeColor="text1"/>
                <w:lang w:val="en-US" w:eastAsia="zh-CN"/>
                <w14:textFill>
                  <w14:solidFill>
                    <w14:schemeClr w14:val="tx1"/>
                  </w14:solidFill>
                </w14:textFill>
              </w:rPr>
            </w:pPr>
            <w:r>
              <w:rPr>
                <w:rFonts w:hint="eastAsia"/>
                <w:bCs/>
                <w:snapToGrid w:val="0"/>
                <w:color w:val="000000" w:themeColor="text1"/>
                <w:lang w:val="en-US"/>
                <w14:textFill>
                  <w14:solidFill>
                    <w14:schemeClr w14:val="tx1"/>
                  </w14:solidFill>
                </w14:textFill>
              </w:rPr>
              <w:t>封闭设备+布袋除尘器+</w:t>
            </w:r>
            <w:r>
              <w:rPr>
                <w:rFonts w:hint="eastAsia"/>
                <w:bCs/>
                <w:snapToGrid w:val="0"/>
                <w:color w:val="000000" w:themeColor="text1"/>
                <w:lang w:val="en-US" w:eastAsia="zh-CN"/>
                <w14:textFill>
                  <w14:solidFill>
                    <w14:schemeClr w14:val="tx1"/>
                  </w14:solidFill>
                </w14:textFill>
              </w:rPr>
              <w:t>15</w:t>
            </w:r>
            <w:r>
              <w:rPr>
                <w:rFonts w:hint="eastAsia"/>
                <w:bCs/>
                <w:snapToGrid w:val="0"/>
                <w:color w:val="000000" w:themeColor="text1"/>
                <w:lang w:val="en-US"/>
                <w14:textFill>
                  <w14:solidFill>
                    <w14:schemeClr w14:val="tx1"/>
                  </w14:solidFill>
                </w14:textFill>
              </w:rPr>
              <w:t>m高排气筒D</w:t>
            </w:r>
            <w:r>
              <w:rPr>
                <w:bCs/>
                <w:snapToGrid w:val="0"/>
                <w:color w:val="000000" w:themeColor="text1"/>
                <w:lang w:val="en-US"/>
                <w14:textFill>
                  <w14:solidFill>
                    <w14:schemeClr w14:val="tx1"/>
                  </w14:solidFill>
                </w14:textFill>
              </w:rPr>
              <w:t>A00</w:t>
            </w:r>
            <w:r>
              <w:rPr>
                <w:rFonts w:hint="eastAsia"/>
                <w:bCs/>
                <w:snapToGrid w:val="0"/>
                <w:color w:val="000000" w:themeColor="text1"/>
                <w:lang w:val="en-US" w:eastAsia="zh-CN"/>
                <w14:textFill>
                  <w14:solidFill>
                    <w14:schemeClr w14:val="tx1"/>
                  </w14:solidFill>
                </w14:textFill>
              </w:rPr>
              <w:t>3</w:t>
            </w:r>
          </w:p>
        </w:tc>
        <w:tc>
          <w:tcPr>
            <w:tcW w:w="1641" w:type="pct"/>
            <w:shd w:val="clear" w:color="auto" w:fill="auto"/>
            <w:vAlign w:val="center"/>
          </w:tcPr>
          <w:p w14:paraId="3616E1A7">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14:textFill>
                  <w14:solidFill>
                    <w14:schemeClr w14:val="tx1"/>
                  </w14:solidFill>
                </w14:textFill>
              </w:rPr>
              <w:t>粉尘排放速率和浓度满足《大气污染物综合排放标准》（GB16297-1996）表2中二级标准</w:t>
            </w:r>
            <w:r>
              <w:rPr>
                <w:rFonts w:hint="eastAsia"/>
              </w:rPr>
              <w:t>（排放速率严格50%执行）</w:t>
            </w:r>
            <w:r>
              <w:rPr>
                <w:rFonts w:hint="eastAsia"/>
                <w:snapToGrid w:val="0"/>
                <w:color w:val="000000" w:themeColor="text1"/>
                <w14:textFill>
                  <w14:solidFill>
                    <w14:schemeClr w14:val="tx1"/>
                  </w14:solidFill>
                </w14:textFill>
              </w:rPr>
              <w:t>要求</w:t>
            </w:r>
            <w:r>
              <w:rPr>
                <w:rFonts w:hint="eastAsia"/>
                <w:snapToGrid w:val="0"/>
                <w:color w:val="000000" w:themeColor="text1"/>
                <w:lang w:val="en-US" w:eastAsia="zh-CN"/>
                <w14:textFill>
                  <w14:solidFill>
                    <w14:schemeClr w14:val="tx1"/>
                  </w14:solidFill>
                </w14:textFill>
              </w:rPr>
              <w:t>限值</w:t>
            </w:r>
          </w:p>
        </w:tc>
      </w:tr>
      <w:tr w14:paraId="7F4DAC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50114E99">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430130D4">
            <w:pPr>
              <w:pStyle w:val="143"/>
              <w:rPr>
                <w:snapToGrid w:val="0"/>
                <w:color w:val="000000" w:themeColor="text1"/>
                <w14:textFill>
                  <w14:solidFill>
                    <w14:schemeClr w14:val="tx1"/>
                  </w14:solidFill>
                </w14:textFill>
              </w:rPr>
            </w:pPr>
          </w:p>
        </w:tc>
        <w:tc>
          <w:tcPr>
            <w:tcW w:w="834" w:type="pct"/>
            <w:shd w:val="clear" w:color="auto" w:fill="auto"/>
            <w:vAlign w:val="center"/>
          </w:tcPr>
          <w:p w14:paraId="1FBB086A">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污水处理站</w:t>
            </w:r>
            <w:r>
              <w:rPr>
                <w:snapToGrid w:val="0"/>
                <w:color w:val="000000" w:themeColor="text1"/>
                <w14:textFill>
                  <w14:solidFill>
                    <w14:schemeClr w14:val="tx1"/>
                  </w14:solidFill>
                </w14:textFill>
              </w:rPr>
              <w:t>恶臭</w:t>
            </w:r>
          </w:p>
        </w:tc>
        <w:tc>
          <w:tcPr>
            <w:tcW w:w="1898" w:type="pct"/>
            <w:shd w:val="clear" w:color="auto" w:fill="auto"/>
            <w:vAlign w:val="center"/>
          </w:tcPr>
          <w:p w14:paraId="207EBFE6">
            <w:pPr>
              <w:pStyle w:val="143"/>
              <w:rPr>
                <w:rFonts w:hint="eastAsia"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活性炭吸附</w:t>
            </w:r>
            <w:r>
              <w:rPr>
                <w:rFonts w:hint="eastAsia"/>
                <w:snapToGrid w:val="0"/>
                <w:color w:val="000000" w:themeColor="text1"/>
                <w:lang w:val="en-US"/>
                <w14:textFill>
                  <w14:solidFill>
                    <w14:schemeClr w14:val="tx1"/>
                  </w14:solidFill>
                </w14:textFill>
              </w:rPr>
              <w:t>+</w:t>
            </w:r>
            <w:r>
              <w:rPr>
                <w:rFonts w:hint="eastAsia"/>
                <w:snapToGrid w:val="0"/>
                <w:color w:val="000000" w:themeColor="text1"/>
                <w:lang w:val="en-US" w:eastAsia="zh-CN"/>
                <w14:textFill>
                  <w14:solidFill>
                    <w14:schemeClr w14:val="tx1"/>
                  </w14:solidFill>
                </w14:textFill>
              </w:rPr>
              <w:t>1</w:t>
            </w:r>
            <w:r>
              <w:rPr>
                <w:snapToGrid w:val="0"/>
                <w:color w:val="000000" w:themeColor="text1"/>
                <w:lang w:val="en-US"/>
                <w14:textFill>
                  <w14:solidFill>
                    <w14:schemeClr w14:val="tx1"/>
                  </w14:solidFill>
                </w14:textFill>
              </w:rPr>
              <w:t>5</w:t>
            </w:r>
            <w:r>
              <w:rPr>
                <w:rFonts w:hint="eastAsia"/>
                <w:snapToGrid w:val="0"/>
                <w:color w:val="000000" w:themeColor="text1"/>
                <w:lang w:val="en-US"/>
                <w14:textFill>
                  <w14:solidFill>
                    <w14:schemeClr w14:val="tx1"/>
                  </w14:solidFill>
                </w14:textFill>
              </w:rPr>
              <w:t>m排气筒D</w:t>
            </w:r>
            <w:r>
              <w:rPr>
                <w:snapToGrid w:val="0"/>
                <w:color w:val="000000" w:themeColor="text1"/>
                <w:lang w:val="en-US"/>
                <w14:textFill>
                  <w14:solidFill>
                    <w14:schemeClr w14:val="tx1"/>
                  </w14:solidFill>
                </w14:textFill>
              </w:rPr>
              <w:t>A00</w:t>
            </w:r>
            <w:r>
              <w:rPr>
                <w:rFonts w:hint="eastAsia"/>
                <w:snapToGrid w:val="0"/>
                <w:color w:val="000000" w:themeColor="text1"/>
                <w:lang w:val="en-US" w:eastAsia="zh-CN"/>
                <w14:textFill>
                  <w14:solidFill>
                    <w14:schemeClr w14:val="tx1"/>
                  </w14:solidFill>
                </w14:textFill>
              </w:rPr>
              <w:t>1</w:t>
            </w:r>
          </w:p>
          <w:p w14:paraId="653E845A">
            <w:pPr>
              <w:pStyle w:val="143"/>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污水处理站建筑封闭，加强厂区绿化</w:t>
            </w:r>
          </w:p>
        </w:tc>
        <w:tc>
          <w:tcPr>
            <w:tcW w:w="1641" w:type="pct"/>
            <w:shd w:val="clear" w:color="auto" w:fill="auto"/>
            <w:vAlign w:val="center"/>
          </w:tcPr>
          <w:p w14:paraId="2A68533A">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有组织排放H</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S、NH</w:t>
            </w:r>
            <w:r>
              <w:rPr>
                <w:rFonts w:hint="eastAsia"/>
                <w:snapToGrid w:val="0"/>
                <w:color w:val="000000" w:themeColor="text1"/>
                <w:vertAlign w:val="subscript"/>
                <w14:textFill>
                  <w14:solidFill>
                    <w14:schemeClr w14:val="tx1"/>
                  </w14:solidFill>
                </w14:textFill>
              </w:rPr>
              <w:t>3</w:t>
            </w:r>
            <w:r>
              <w:rPr>
                <w:rFonts w:hint="eastAsia"/>
                <w:snapToGrid w:val="0"/>
                <w:color w:val="000000" w:themeColor="text1"/>
                <w:lang w:eastAsia="zh-CN"/>
                <w14:textFill>
                  <w14:solidFill>
                    <w14:schemeClr w14:val="tx1"/>
                  </w14:solidFill>
                </w14:textFill>
              </w:rPr>
              <w:t>及臭气浓度</w:t>
            </w:r>
            <w:r>
              <w:rPr>
                <w:rFonts w:hint="eastAsia"/>
                <w:snapToGrid w:val="0"/>
                <w:color w:val="000000" w:themeColor="text1"/>
                <w14:textFill>
                  <w14:solidFill>
                    <w14:schemeClr w14:val="tx1"/>
                  </w14:solidFill>
                </w14:textFill>
              </w:rPr>
              <w:t>满足《恶臭污染物排放标准》（GB14554-93）表2标准，厂界H</w:t>
            </w:r>
            <w:r>
              <w:rPr>
                <w:rFonts w:hint="eastAsia"/>
                <w:snapToGrid w:val="0"/>
                <w:color w:val="000000" w:themeColor="text1"/>
                <w:vertAlign w:val="subscript"/>
                <w14:textFill>
                  <w14:solidFill>
                    <w14:schemeClr w14:val="tx1"/>
                  </w14:solidFill>
                </w14:textFill>
              </w:rPr>
              <w:t>2</w:t>
            </w:r>
            <w:r>
              <w:rPr>
                <w:rFonts w:hint="eastAsia"/>
                <w:snapToGrid w:val="0"/>
                <w:color w:val="000000" w:themeColor="text1"/>
                <w14:textFill>
                  <w14:solidFill>
                    <w14:schemeClr w14:val="tx1"/>
                  </w14:solidFill>
                </w14:textFill>
              </w:rPr>
              <w:t>S、NH</w:t>
            </w:r>
            <w:r>
              <w:rPr>
                <w:rFonts w:hint="eastAsia"/>
                <w:snapToGrid w:val="0"/>
                <w:color w:val="000000" w:themeColor="text1"/>
                <w:vertAlign w:val="subscript"/>
                <w14:textFill>
                  <w14:solidFill>
                    <w14:schemeClr w14:val="tx1"/>
                  </w14:solidFill>
                </w14:textFill>
              </w:rPr>
              <w:t>3</w:t>
            </w:r>
            <w:r>
              <w:rPr>
                <w:rFonts w:hint="eastAsia"/>
                <w:snapToGrid w:val="0"/>
                <w:color w:val="000000" w:themeColor="text1"/>
                <w14:textFill>
                  <w14:solidFill>
                    <w14:schemeClr w14:val="tx1"/>
                  </w14:solidFill>
                </w14:textFill>
              </w:rPr>
              <w:t>、臭气浓度满足《恶臭污染物排放标准》（GB14554-93）表1中二级新扩改建标准</w:t>
            </w:r>
          </w:p>
        </w:tc>
      </w:tr>
      <w:tr w14:paraId="42B9C4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61DD32C1">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7DF10FDE">
            <w:pPr>
              <w:pStyle w:val="143"/>
              <w:rPr>
                <w:snapToGrid w:val="0"/>
                <w:color w:val="000000" w:themeColor="text1"/>
                <w14:textFill>
                  <w14:solidFill>
                    <w14:schemeClr w14:val="tx1"/>
                  </w14:solidFill>
                </w14:textFill>
              </w:rPr>
            </w:pPr>
          </w:p>
        </w:tc>
        <w:tc>
          <w:tcPr>
            <w:tcW w:w="834" w:type="pct"/>
            <w:shd w:val="clear" w:color="auto" w:fill="auto"/>
            <w:vAlign w:val="center"/>
          </w:tcPr>
          <w:p w14:paraId="23FABE39">
            <w:pPr>
              <w:pStyle w:val="143"/>
              <w:rPr>
                <w:snapToGrid w:val="0"/>
                <w:color w:val="000000" w:themeColor="text1"/>
                <w14:textFill>
                  <w14:solidFill>
                    <w14:schemeClr w14:val="tx1"/>
                  </w14:solidFill>
                </w14:textFill>
              </w:rPr>
            </w:pPr>
            <w:r>
              <w:rPr>
                <w:rFonts w:hint="eastAsia"/>
                <w:snapToGrid w:val="0"/>
                <w:color w:val="000000" w:themeColor="text1"/>
                <w:lang w:val="en-US"/>
                <w14:textFill>
                  <w14:solidFill>
                    <w14:schemeClr w14:val="tx1"/>
                  </w14:solidFill>
                </w14:textFill>
              </w:rPr>
              <w:t>锅炉烟气</w:t>
            </w:r>
          </w:p>
        </w:tc>
        <w:tc>
          <w:tcPr>
            <w:tcW w:w="1898" w:type="pct"/>
            <w:shd w:val="clear" w:color="auto" w:fill="auto"/>
            <w:vAlign w:val="center"/>
          </w:tcPr>
          <w:p w14:paraId="65604CDF">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lang w:val="en-US"/>
                <w14:textFill>
                  <w14:solidFill>
                    <w14:schemeClr w14:val="tx1"/>
                  </w14:solidFill>
                </w14:textFill>
              </w:rPr>
              <w:t>低氮燃烧器+</w:t>
            </w:r>
            <w:r>
              <w:rPr>
                <w:snapToGrid w:val="0"/>
                <w:color w:val="000000" w:themeColor="text1"/>
                <w:lang w:val="en-US"/>
                <w14:textFill>
                  <w14:solidFill>
                    <w14:schemeClr w14:val="tx1"/>
                  </w14:solidFill>
                </w14:textFill>
              </w:rPr>
              <w:t>25</w:t>
            </w:r>
            <w:r>
              <w:rPr>
                <w:rFonts w:hint="eastAsia"/>
                <w:snapToGrid w:val="0"/>
                <w:color w:val="000000" w:themeColor="text1"/>
                <w:lang w:val="en-US"/>
                <w14:textFill>
                  <w14:solidFill>
                    <w14:schemeClr w14:val="tx1"/>
                  </w14:solidFill>
                </w14:textFill>
              </w:rPr>
              <w:t>m烟囱D</w:t>
            </w:r>
            <w:r>
              <w:rPr>
                <w:snapToGrid w:val="0"/>
                <w:color w:val="000000" w:themeColor="text1"/>
                <w:lang w:val="en-US"/>
                <w14:textFill>
                  <w14:solidFill>
                    <w14:schemeClr w14:val="tx1"/>
                  </w14:solidFill>
                </w14:textFill>
              </w:rPr>
              <w:t>A00</w:t>
            </w:r>
            <w:r>
              <w:rPr>
                <w:rFonts w:hint="eastAsia"/>
                <w:snapToGrid w:val="0"/>
                <w:color w:val="000000" w:themeColor="text1"/>
                <w:lang w:val="en-US" w:eastAsia="zh-CN"/>
                <w14:textFill>
                  <w14:solidFill>
                    <w14:schemeClr w14:val="tx1"/>
                  </w14:solidFill>
                </w14:textFill>
              </w:rPr>
              <w:t>2</w:t>
            </w:r>
          </w:p>
        </w:tc>
        <w:tc>
          <w:tcPr>
            <w:tcW w:w="1641" w:type="pct"/>
            <w:shd w:val="clear" w:color="auto" w:fill="auto"/>
            <w:vAlign w:val="center"/>
          </w:tcPr>
          <w:p w14:paraId="3A7201BF">
            <w:pPr>
              <w:pStyle w:val="143"/>
              <w:rPr>
                <w:bCs/>
                <w:snapToGrid w:val="0"/>
                <w:color w:val="000000" w:themeColor="text1"/>
                <w:lang w:val="en-US"/>
                <w14:textFill>
                  <w14:solidFill>
                    <w14:schemeClr w14:val="tx1"/>
                  </w14:solidFill>
                </w14:textFill>
              </w:rPr>
            </w:pPr>
            <w:r>
              <w:rPr>
                <w:rFonts w:hint="eastAsia"/>
                <w:bCs/>
                <w:snapToGrid w:val="0"/>
                <w:color w:val="000000" w:themeColor="text1"/>
                <w:lang w:val="en-US"/>
                <w14:textFill>
                  <w14:solidFill>
                    <w14:schemeClr w14:val="tx1"/>
                  </w14:solidFill>
                </w14:textFill>
              </w:rPr>
              <w:t>颗粒物</w:t>
            </w:r>
            <w:r>
              <w:rPr>
                <w:rFonts w:hint="eastAsia"/>
                <w:bCs/>
                <w:snapToGrid w:val="0"/>
                <w:color w:val="000000" w:themeColor="text1"/>
                <w:lang w:val="en-US" w:eastAsia="zh-CN"/>
                <w14:textFill>
                  <w14:solidFill>
                    <w14:schemeClr w14:val="tx1"/>
                  </w14:solidFill>
                </w14:textFill>
              </w:rPr>
              <w:t>、</w:t>
            </w:r>
            <w:r>
              <w:rPr>
                <w:bCs/>
                <w:snapToGrid w:val="0"/>
                <w:color w:val="000000" w:themeColor="text1"/>
                <w:lang w:val="en-US"/>
                <w14:textFill>
                  <w14:solidFill>
                    <w14:schemeClr w14:val="tx1"/>
                  </w14:solidFill>
                </w14:textFill>
              </w:rPr>
              <w:t>SO</w:t>
            </w:r>
            <w:r>
              <w:rPr>
                <w:bCs/>
                <w:snapToGrid w:val="0"/>
                <w:color w:val="000000" w:themeColor="text1"/>
                <w:vertAlign w:val="subscript"/>
                <w:lang w:val="en-US"/>
                <w14:textFill>
                  <w14:solidFill>
                    <w14:schemeClr w14:val="tx1"/>
                  </w14:solidFill>
                </w14:textFill>
              </w:rPr>
              <w:t>2</w:t>
            </w:r>
            <w:r>
              <w:rPr>
                <w:rFonts w:hint="eastAsia"/>
                <w:bCs/>
                <w:snapToGrid w:val="0"/>
                <w:color w:val="000000" w:themeColor="text1"/>
                <w:lang w:val="en-US"/>
                <w14:textFill>
                  <w14:solidFill>
                    <w14:schemeClr w14:val="tx1"/>
                  </w14:solidFill>
                </w14:textFill>
              </w:rPr>
              <w:t>、</w:t>
            </w:r>
            <w:r>
              <w:rPr>
                <w:bCs/>
                <w:snapToGrid w:val="0"/>
                <w:color w:val="000000" w:themeColor="text1"/>
                <w:lang w:val="en-US"/>
                <w14:textFill>
                  <w14:solidFill>
                    <w14:schemeClr w14:val="tx1"/>
                  </w14:solidFill>
                </w14:textFill>
              </w:rPr>
              <w:t>NOx</w:t>
            </w:r>
            <w:r>
              <w:rPr>
                <w:rFonts w:hint="eastAsia"/>
                <w:bCs/>
                <w:snapToGrid w:val="0"/>
                <w:color w:val="000000" w:themeColor="text1"/>
                <w:lang w:val="en-US"/>
                <w14:textFill>
                  <w14:solidFill>
                    <w14:schemeClr w14:val="tx1"/>
                  </w14:solidFill>
                </w14:textFill>
              </w:rPr>
              <w:t>排放浓度及烟气黑度满足《锅炉大气污染物排放标准》（GB13271-2014）表2中</w:t>
            </w:r>
            <w:r>
              <w:rPr>
                <w:rFonts w:hint="eastAsia"/>
                <w:bCs/>
                <w:snapToGrid w:val="0"/>
                <w:color w:val="000000" w:themeColor="text1"/>
                <w:lang w:val="en-US" w:eastAsia="zh-CN"/>
                <w14:textFill>
                  <w14:solidFill>
                    <w14:schemeClr w14:val="tx1"/>
                  </w14:solidFill>
                </w14:textFill>
              </w:rPr>
              <w:t>燃气</w:t>
            </w:r>
            <w:r>
              <w:rPr>
                <w:rFonts w:hint="eastAsia"/>
                <w:bCs/>
                <w:snapToGrid w:val="0"/>
                <w:color w:val="000000" w:themeColor="text1"/>
                <w:lang w:val="en-US"/>
                <w14:textFill>
                  <w14:solidFill>
                    <w14:schemeClr w14:val="tx1"/>
                  </w14:solidFill>
                </w14:textFill>
              </w:rPr>
              <w:t>锅炉标准</w:t>
            </w:r>
          </w:p>
        </w:tc>
      </w:tr>
      <w:tr w14:paraId="5BDE7E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6BA4A009">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259C78E0">
            <w:pPr>
              <w:pStyle w:val="143"/>
              <w:rPr>
                <w:snapToGrid w:val="0"/>
                <w:color w:val="000000" w:themeColor="text1"/>
                <w14:textFill>
                  <w14:solidFill>
                    <w14:schemeClr w14:val="tx1"/>
                  </w14:solidFill>
                </w14:textFill>
              </w:rPr>
            </w:pPr>
          </w:p>
        </w:tc>
        <w:tc>
          <w:tcPr>
            <w:tcW w:w="834" w:type="pct"/>
            <w:vAlign w:val="center"/>
          </w:tcPr>
          <w:p w14:paraId="7ED5E9BC">
            <w:pPr>
              <w:pStyle w:val="143"/>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沼气燃烧废气</w:t>
            </w:r>
          </w:p>
        </w:tc>
        <w:tc>
          <w:tcPr>
            <w:tcW w:w="1898" w:type="pct"/>
            <w:shd w:val="clear" w:color="auto" w:fill="auto"/>
            <w:vAlign w:val="center"/>
          </w:tcPr>
          <w:p w14:paraId="6F74D29F">
            <w:pPr>
              <w:pStyle w:val="143"/>
              <w:rPr>
                <w:bCs/>
                <w:snapToGrid w:val="0"/>
                <w:color w:val="000000" w:themeColor="text1"/>
                <w:lang w:val="en-US"/>
                <w14:textFill>
                  <w14:solidFill>
                    <w14:schemeClr w14:val="tx1"/>
                  </w14:solidFill>
                </w14:textFill>
              </w:rPr>
            </w:pPr>
            <w:r>
              <w:rPr>
                <w:rFonts w:hint="eastAsia"/>
                <w:bCs/>
                <w:snapToGrid w:val="0"/>
                <w:color w:val="000000" w:themeColor="text1"/>
                <w:lang w:val="en-US"/>
                <w14:textFill>
                  <w14:solidFill>
                    <w14:schemeClr w14:val="tx1"/>
                  </w14:solidFill>
                </w14:textFill>
              </w:rPr>
              <w:t>沼气自动燃烧器燃烧</w:t>
            </w:r>
          </w:p>
        </w:tc>
        <w:tc>
          <w:tcPr>
            <w:tcW w:w="1641" w:type="pct"/>
            <w:vAlign w:val="center"/>
          </w:tcPr>
          <w:p w14:paraId="6FC10B61">
            <w:pPr>
              <w:pStyle w:val="143"/>
              <w:jc w:val="both"/>
              <w:rPr>
                <w:bCs/>
                <w:snapToGrid w:val="0"/>
                <w:color w:val="000000" w:themeColor="text1"/>
                <w:lang w:val="en-US"/>
                <w14:textFill>
                  <w14:solidFill>
                    <w14:schemeClr w14:val="tx1"/>
                  </w14:solidFill>
                </w14:textFill>
              </w:rPr>
            </w:pPr>
            <w:r>
              <w:rPr>
                <w:rFonts w:hint="eastAsia"/>
                <w:bCs/>
                <w:snapToGrid w:val="0"/>
                <w:color w:val="000000" w:themeColor="text1"/>
                <w:lang w:val="en-US"/>
                <w14:textFill>
                  <w14:solidFill>
                    <w14:schemeClr w14:val="tx1"/>
                  </w14:solidFill>
                </w14:textFill>
              </w:rPr>
              <w:t>颗粒物</w:t>
            </w:r>
            <w:r>
              <w:rPr>
                <w:rFonts w:hint="eastAsia"/>
                <w:bCs/>
                <w:snapToGrid w:val="0"/>
                <w:color w:val="000000" w:themeColor="text1"/>
                <w:lang w:val="en-US" w:eastAsia="zh-CN"/>
                <w14:textFill>
                  <w14:solidFill>
                    <w14:schemeClr w14:val="tx1"/>
                  </w14:solidFill>
                </w14:textFill>
              </w:rPr>
              <w:t>、</w:t>
            </w:r>
            <w:r>
              <w:rPr>
                <w:bCs/>
                <w:snapToGrid w:val="0"/>
                <w:color w:val="000000" w:themeColor="text1"/>
                <w:lang w:val="en-US"/>
                <w14:textFill>
                  <w14:solidFill>
                    <w14:schemeClr w14:val="tx1"/>
                  </w14:solidFill>
                </w14:textFill>
              </w:rPr>
              <w:t>SO</w:t>
            </w:r>
            <w:r>
              <w:rPr>
                <w:bCs/>
                <w:snapToGrid w:val="0"/>
                <w:color w:val="000000" w:themeColor="text1"/>
                <w:vertAlign w:val="subscript"/>
                <w:lang w:val="en-US"/>
                <w14:textFill>
                  <w14:solidFill>
                    <w14:schemeClr w14:val="tx1"/>
                  </w14:solidFill>
                </w14:textFill>
              </w:rPr>
              <w:t>2</w:t>
            </w:r>
            <w:r>
              <w:rPr>
                <w:rFonts w:hint="eastAsia"/>
                <w:bCs/>
                <w:snapToGrid w:val="0"/>
                <w:color w:val="000000" w:themeColor="text1"/>
                <w:lang w:val="en-US"/>
                <w14:textFill>
                  <w14:solidFill>
                    <w14:schemeClr w14:val="tx1"/>
                  </w14:solidFill>
                </w14:textFill>
              </w:rPr>
              <w:t>、</w:t>
            </w:r>
            <w:r>
              <w:rPr>
                <w:bCs/>
                <w:snapToGrid w:val="0"/>
                <w:color w:val="000000" w:themeColor="text1"/>
                <w:lang w:val="en-US"/>
                <w14:textFill>
                  <w14:solidFill>
                    <w14:schemeClr w14:val="tx1"/>
                  </w14:solidFill>
                </w14:textFill>
              </w:rPr>
              <w:t>NOx</w:t>
            </w:r>
            <w:r>
              <w:rPr>
                <w:rFonts w:hint="eastAsia"/>
                <w:bCs/>
                <w:snapToGrid w:val="0"/>
                <w:color w:val="000000" w:themeColor="text1"/>
                <w:lang w:val="en-US"/>
                <w14:textFill>
                  <w14:solidFill>
                    <w14:schemeClr w14:val="tx1"/>
                  </w14:solidFill>
                </w14:textFill>
              </w:rPr>
              <w:t>排放浓度满足《大气污染物综合排放标准》（GB16297-1996）表2</w:t>
            </w:r>
            <w:r>
              <w:rPr>
                <w:rFonts w:hint="eastAsia"/>
                <w:bCs/>
                <w:snapToGrid w:val="0"/>
                <w:color w:val="000000" w:themeColor="text1"/>
                <w:lang w:val="en-US" w:eastAsia="zh-CN"/>
                <w14:textFill>
                  <w14:solidFill>
                    <w14:schemeClr w14:val="tx1"/>
                  </w14:solidFill>
                </w14:textFill>
              </w:rPr>
              <w:t>无组织排放监控浓度限值</w:t>
            </w:r>
          </w:p>
        </w:tc>
      </w:tr>
      <w:tr w14:paraId="1BEA82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01A9B9DF">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674C60E6">
            <w:pPr>
              <w:pStyle w:val="143"/>
              <w:rPr>
                <w:snapToGrid w:val="0"/>
                <w:color w:val="000000" w:themeColor="text1"/>
                <w14:textFill>
                  <w14:solidFill>
                    <w14:schemeClr w14:val="tx1"/>
                  </w14:solidFill>
                </w14:textFill>
              </w:rPr>
            </w:pPr>
          </w:p>
        </w:tc>
        <w:tc>
          <w:tcPr>
            <w:tcW w:w="834" w:type="pct"/>
            <w:vAlign w:val="center"/>
          </w:tcPr>
          <w:p w14:paraId="782E3CE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生产车间异味</w:t>
            </w:r>
          </w:p>
        </w:tc>
        <w:tc>
          <w:tcPr>
            <w:tcW w:w="1898" w:type="pct"/>
            <w:shd w:val="clear" w:color="auto" w:fill="auto"/>
            <w:vAlign w:val="center"/>
          </w:tcPr>
          <w:p w14:paraId="20E478EA">
            <w:pPr>
              <w:pStyle w:val="143"/>
              <w:rPr>
                <w:bCs/>
                <w:snapToGrid w:val="0"/>
                <w:color w:val="000000" w:themeColor="text1"/>
                <w:lang w:eastAsia="zh-CN"/>
                <w14:textFill>
                  <w14:solidFill>
                    <w14:schemeClr w14:val="tx1"/>
                  </w14:solidFill>
                </w14:textFill>
              </w:rPr>
            </w:pPr>
            <w:r>
              <w:rPr>
                <w:rFonts w:hint="eastAsia"/>
                <w:bCs/>
                <w:snapToGrid w:val="0"/>
                <w:color w:val="000000" w:themeColor="text1"/>
                <w:lang w:val="en-US"/>
                <w14:textFill>
                  <w14:solidFill>
                    <w14:schemeClr w14:val="tx1"/>
                  </w14:solidFill>
                </w14:textFill>
              </w:rPr>
              <w:t>活性炭吸附装置；将固体废物及时外运，减少异味散发时间；设置C</w:t>
            </w:r>
            <w:r>
              <w:rPr>
                <w:bCs/>
                <w:snapToGrid w:val="0"/>
                <w:color w:val="000000" w:themeColor="text1"/>
                <w:lang w:val="en-US"/>
                <w14:textFill>
                  <w14:solidFill>
                    <w14:schemeClr w14:val="tx1"/>
                  </w14:solidFill>
                </w14:textFill>
              </w:rPr>
              <w:t>O</w:t>
            </w:r>
            <w:r>
              <w:rPr>
                <w:bCs/>
                <w:snapToGrid w:val="0"/>
                <w:color w:val="000000" w:themeColor="text1"/>
                <w:vertAlign w:val="subscript"/>
                <w:lang w:val="en-US"/>
                <w14:textFill>
                  <w14:solidFill>
                    <w14:schemeClr w14:val="tx1"/>
                  </w14:solidFill>
                </w14:textFill>
              </w:rPr>
              <w:t>2</w:t>
            </w:r>
            <w:r>
              <w:rPr>
                <w:rFonts w:hint="eastAsia"/>
                <w:bCs/>
                <w:snapToGrid w:val="0"/>
                <w:color w:val="000000" w:themeColor="text1"/>
                <w:lang w:val="en-US"/>
                <w14:textFill>
                  <w14:solidFill>
                    <w14:schemeClr w14:val="tx1"/>
                  </w14:solidFill>
                </w14:textFill>
              </w:rPr>
              <w:t>回收系统</w:t>
            </w:r>
          </w:p>
        </w:tc>
        <w:tc>
          <w:tcPr>
            <w:tcW w:w="1641" w:type="pct"/>
            <w:vAlign w:val="center"/>
          </w:tcPr>
          <w:p w14:paraId="77FF659F">
            <w:pPr>
              <w:pStyle w:val="143"/>
              <w:rPr>
                <w:bCs/>
                <w:snapToGrid w:val="0"/>
                <w:color w:val="000000" w:themeColor="text1"/>
                <w:lang w:val="en-US"/>
                <w14:textFill>
                  <w14:solidFill>
                    <w14:schemeClr w14:val="tx1"/>
                  </w14:solidFill>
                </w14:textFill>
              </w:rPr>
            </w:pPr>
            <w:r>
              <w:rPr>
                <w:rFonts w:hint="eastAsia"/>
                <w:bCs/>
                <w:snapToGrid w:val="0"/>
                <w:color w:val="000000" w:themeColor="text1"/>
                <w:lang w:val="en-US"/>
                <w14:textFill>
                  <w14:solidFill>
                    <w14:schemeClr w14:val="tx1"/>
                  </w14:solidFill>
                </w14:textFill>
              </w:rPr>
              <w:t>厂界臭气浓度满足《恶臭污染物排放标准》（GB14554-93）中臭气浓度20（无量纲）要求</w:t>
            </w:r>
          </w:p>
        </w:tc>
      </w:tr>
      <w:tr w14:paraId="159C16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1BA04640">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541E4579">
            <w:pPr>
              <w:pStyle w:val="143"/>
              <w:rPr>
                <w:snapToGrid w:val="0"/>
                <w:color w:val="000000" w:themeColor="text1"/>
                <w14:textFill>
                  <w14:solidFill>
                    <w14:schemeClr w14:val="tx1"/>
                  </w14:solidFill>
                </w14:textFill>
              </w:rPr>
            </w:pPr>
          </w:p>
        </w:tc>
        <w:tc>
          <w:tcPr>
            <w:tcW w:w="834" w:type="pct"/>
            <w:vAlign w:val="center"/>
          </w:tcPr>
          <w:p w14:paraId="757AC723">
            <w:pPr>
              <w:pStyle w:val="143"/>
              <w:rPr>
                <w:rFonts w:hint="default" w:eastAsia="宋体"/>
                <w:snapToGrid w:val="0"/>
                <w:color w:val="000000" w:themeColor="text1"/>
                <w:lang w:val="en-US"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食堂油烟</w:t>
            </w:r>
          </w:p>
        </w:tc>
        <w:tc>
          <w:tcPr>
            <w:tcW w:w="1898" w:type="pct"/>
            <w:shd w:val="clear" w:color="auto" w:fill="auto"/>
            <w:vAlign w:val="center"/>
          </w:tcPr>
          <w:p w14:paraId="1F82DAF4">
            <w:pPr>
              <w:pStyle w:val="143"/>
              <w:rPr>
                <w:rFonts w:hint="eastAsia"/>
                <w:bCs/>
                <w:snapToGrid w:val="0"/>
                <w:color w:val="000000" w:themeColor="text1"/>
                <w:lang w:val="en-US"/>
                <w14:textFill>
                  <w14:solidFill>
                    <w14:schemeClr w14:val="tx1"/>
                  </w14:solidFill>
                </w14:textFill>
              </w:rPr>
            </w:pPr>
            <w:r>
              <w:rPr>
                <w:rFonts w:hint="eastAsia"/>
                <w:bCs/>
                <w:snapToGrid w:val="0"/>
                <w:color w:val="000000" w:themeColor="text1"/>
                <w:sz w:val="21"/>
                <w:szCs w:val="21"/>
                <w:lang w:val="en-US" w:eastAsia="zh-CN"/>
                <w14:textFill>
                  <w14:solidFill>
                    <w14:schemeClr w14:val="tx1"/>
                  </w14:solidFill>
                </w14:textFill>
              </w:rPr>
              <w:t>食堂油烟经</w:t>
            </w:r>
            <w:r>
              <w:rPr>
                <w:rFonts w:hint="eastAsia"/>
                <w:bCs/>
                <w:snapToGrid w:val="0"/>
                <w:color w:val="000000" w:themeColor="text1"/>
                <w:sz w:val="21"/>
                <w:szCs w:val="21"/>
                <w:lang w:eastAsia="zh-CN"/>
                <w14:textFill>
                  <w14:solidFill>
                    <w14:schemeClr w14:val="tx1"/>
                  </w14:solidFill>
                </w14:textFill>
              </w:rPr>
              <w:t>油烟净化设施（</w:t>
            </w:r>
            <w:r>
              <w:rPr>
                <w:rFonts w:hint="eastAsia"/>
                <w:bCs/>
                <w:snapToGrid w:val="0"/>
                <w:color w:val="000000" w:themeColor="text1"/>
                <w:sz w:val="21"/>
                <w:szCs w:val="21"/>
                <w:lang w:val="en-US" w:eastAsia="zh-CN"/>
                <w14:textFill>
                  <w14:solidFill>
                    <w14:schemeClr w14:val="tx1"/>
                  </w14:solidFill>
                </w14:textFill>
              </w:rPr>
              <w:t>效率85%</w:t>
            </w:r>
            <w:r>
              <w:rPr>
                <w:rFonts w:hint="eastAsia"/>
                <w:bCs/>
                <w:snapToGrid w:val="0"/>
                <w:color w:val="000000" w:themeColor="text1"/>
                <w:sz w:val="21"/>
                <w:szCs w:val="21"/>
                <w:lang w:eastAsia="zh-CN"/>
                <w14:textFill>
                  <w14:solidFill>
                    <w14:schemeClr w14:val="tx1"/>
                  </w14:solidFill>
                </w14:textFill>
              </w:rPr>
              <w:t>）</w:t>
            </w:r>
            <w:r>
              <w:rPr>
                <w:rFonts w:hint="eastAsia"/>
                <w:bCs/>
                <w:snapToGrid w:val="0"/>
                <w:color w:val="000000" w:themeColor="text1"/>
                <w:sz w:val="21"/>
                <w:szCs w:val="21"/>
                <w:lang w:val="en-US" w:eastAsia="zh-CN"/>
                <w14:textFill>
                  <w14:solidFill>
                    <w14:schemeClr w14:val="tx1"/>
                  </w14:solidFill>
                </w14:textFill>
              </w:rPr>
              <w:t>处理，</w:t>
            </w:r>
            <w:r>
              <w:rPr>
                <w:rFonts w:hint="eastAsia"/>
                <w:bCs/>
                <w:snapToGrid w:val="0"/>
                <w:color w:val="000000" w:themeColor="text1"/>
                <w:sz w:val="21"/>
                <w:szCs w:val="21"/>
                <w:lang w:eastAsia="zh-CN"/>
                <w14:textFill>
                  <w14:solidFill>
                    <w14:schemeClr w14:val="tx1"/>
                  </w14:solidFill>
                </w14:textFill>
              </w:rPr>
              <w:t>处理后经专用烟道引至楼顶排放</w:t>
            </w:r>
          </w:p>
        </w:tc>
        <w:tc>
          <w:tcPr>
            <w:tcW w:w="1641" w:type="pct"/>
            <w:vAlign w:val="center"/>
          </w:tcPr>
          <w:p w14:paraId="20042931">
            <w:pPr>
              <w:pStyle w:val="143"/>
              <w:jc w:val="both"/>
              <w:rPr>
                <w:rFonts w:hint="eastAsia"/>
                <w:bCs/>
                <w:snapToGrid w:val="0"/>
                <w:color w:val="000000" w:themeColor="text1"/>
                <w:lang w:val="en-US"/>
                <w14:textFill>
                  <w14:solidFill>
                    <w14:schemeClr w14:val="tx1"/>
                  </w14:solidFill>
                </w14:textFill>
              </w:rPr>
            </w:pPr>
            <w:r>
              <w:rPr>
                <w:rFonts w:hint="eastAsia"/>
                <w:bCs/>
                <w:snapToGrid w:val="0"/>
                <w:color w:val="000000" w:themeColor="text1"/>
                <w:lang w:val="en-US"/>
                <w14:textFill>
                  <w14:solidFill>
                    <w14:schemeClr w14:val="tx1"/>
                  </w14:solidFill>
                </w14:textFill>
              </w:rPr>
              <w:t>满足《饮食业油烟排放标准》（GB18483-2001）</w:t>
            </w:r>
            <w:r>
              <w:rPr>
                <w:rFonts w:hint="eastAsia"/>
                <w:bCs/>
                <w:snapToGrid w:val="0"/>
                <w:color w:val="000000" w:themeColor="text1"/>
                <w:lang w:val="en-US" w:eastAsia="zh-CN"/>
                <w14:textFill>
                  <w14:solidFill>
                    <w14:schemeClr w14:val="tx1"/>
                  </w14:solidFill>
                </w14:textFill>
              </w:rPr>
              <w:t>中最高允许</w:t>
            </w:r>
            <w:r>
              <w:rPr>
                <w:rFonts w:hint="eastAsia"/>
                <w:bCs/>
                <w:snapToGrid w:val="0"/>
                <w:color w:val="000000" w:themeColor="text1"/>
                <w:lang w:val="en-US"/>
                <w14:textFill>
                  <w14:solidFill>
                    <w14:schemeClr w14:val="tx1"/>
                  </w14:solidFill>
                </w14:textFill>
              </w:rPr>
              <w:t>排放浓度</w:t>
            </w:r>
            <w:r>
              <w:rPr>
                <w:rFonts w:hint="eastAsia"/>
                <w:bCs/>
                <w:snapToGrid w:val="0"/>
                <w:color w:val="000000" w:themeColor="text1"/>
                <w:lang w:val="en-US" w:eastAsia="zh-CN"/>
                <w14:textFill>
                  <w14:solidFill>
                    <w14:schemeClr w14:val="tx1"/>
                  </w14:solidFill>
                </w14:textFill>
              </w:rPr>
              <w:t>2.0</w:t>
            </w:r>
            <w:r>
              <w:rPr>
                <w:rFonts w:hint="eastAsia"/>
                <w:bCs/>
                <w:snapToGrid w:val="0"/>
                <w:color w:val="000000" w:themeColor="text1"/>
                <w:lang w:val="en-US"/>
                <w14:textFill>
                  <w14:solidFill>
                    <w14:schemeClr w14:val="tx1"/>
                  </w14:solidFill>
                </w14:textFill>
              </w:rPr>
              <w:t>mg/m</w:t>
            </w:r>
            <w:r>
              <w:rPr>
                <w:rFonts w:hint="eastAsia"/>
                <w:bCs/>
                <w:snapToGrid w:val="0"/>
                <w:color w:val="000000" w:themeColor="text1"/>
                <w:vertAlign w:val="superscript"/>
                <w:lang w:val="en-US"/>
                <w14:textFill>
                  <w14:solidFill>
                    <w14:schemeClr w14:val="tx1"/>
                  </w14:solidFill>
                </w14:textFill>
              </w:rPr>
              <w:t>3</w:t>
            </w:r>
            <w:r>
              <w:rPr>
                <w:rFonts w:hint="eastAsia"/>
                <w:bCs/>
                <w:snapToGrid w:val="0"/>
                <w:color w:val="000000" w:themeColor="text1"/>
                <w:lang w:val="en-US"/>
                <w14:textFill>
                  <w14:solidFill>
                    <w14:schemeClr w14:val="tx1"/>
                  </w14:solidFill>
                </w14:textFill>
              </w:rPr>
              <w:t>的标准要求</w:t>
            </w:r>
          </w:p>
        </w:tc>
      </w:tr>
      <w:tr w14:paraId="26FC86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4D9ABB50">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5609B1CC">
            <w:pPr>
              <w:pStyle w:val="143"/>
              <w:rPr>
                <w:snapToGrid w:val="0"/>
                <w:color w:val="000000" w:themeColor="text1"/>
                <w14:textFill>
                  <w14:solidFill>
                    <w14:schemeClr w14:val="tx1"/>
                  </w14:solidFill>
                </w14:textFill>
              </w:rPr>
            </w:pPr>
          </w:p>
        </w:tc>
        <w:tc>
          <w:tcPr>
            <w:tcW w:w="834" w:type="pct"/>
            <w:vAlign w:val="center"/>
          </w:tcPr>
          <w:p w14:paraId="3FDAF798">
            <w:pPr>
              <w:pStyle w:val="143"/>
              <w:rPr>
                <w:rFonts w:hint="default"/>
                <w:snapToGrid w:val="0"/>
                <w:color w:val="000000" w:themeColor="text1"/>
                <w:lang w:val="en-US" w:eastAsia="zh-CN"/>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柴油发电机废气</w:t>
            </w:r>
          </w:p>
        </w:tc>
        <w:tc>
          <w:tcPr>
            <w:tcW w:w="1898" w:type="pct"/>
            <w:shd w:val="clear" w:color="auto" w:fill="auto"/>
            <w:vAlign w:val="center"/>
          </w:tcPr>
          <w:p w14:paraId="6E968AE0">
            <w:pPr>
              <w:pStyle w:val="143"/>
              <w:rPr>
                <w:rFonts w:hint="eastAsia"/>
                <w:bCs/>
                <w:snapToGrid w:val="0"/>
                <w:color w:val="000000" w:themeColor="text1"/>
                <w:sz w:val="21"/>
                <w:szCs w:val="21"/>
                <w:lang w:val="en-US" w:eastAsia="zh-CN"/>
                <w14:textFill>
                  <w14:solidFill>
                    <w14:schemeClr w14:val="tx1"/>
                  </w14:solidFill>
                </w14:textFill>
              </w:rPr>
            </w:pPr>
            <w:r>
              <w:rPr>
                <w:rFonts w:hint="eastAsia" w:ascii="Times New Roman"/>
                <w:snapToGrid w:val="0"/>
                <w:color w:val="000000"/>
                <w:sz w:val="21"/>
                <w:szCs w:val="21"/>
              </w:rPr>
              <w:t>经内置烟井引至房顶无组织排放</w:t>
            </w:r>
          </w:p>
        </w:tc>
        <w:tc>
          <w:tcPr>
            <w:tcW w:w="1641" w:type="pct"/>
            <w:vAlign w:val="center"/>
          </w:tcPr>
          <w:p w14:paraId="27CEDE63">
            <w:pPr>
              <w:pStyle w:val="143"/>
              <w:rPr>
                <w:rFonts w:hint="eastAsia"/>
                <w:bCs/>
                <w:snapToGrid w:val="0"/>
                <w:color w:val="000000" w:themeColor="text1"/>
                <w:lang w:val="en-US"/>
                <w14:textFill>
                  <w14:solidFill>
                    <w14:schemeClr w14:val="tx1"/>
                  </w14:solidFill>
                </w14:textFill>
              </w:rPr>
            </w:pPr>
            <w:r>
              <w:rPr>
                <w:rFonts w:hint="eastAsia"/>
                <w:color w:val="000000" w:themeColor="text1"/>
                <w14:textFill>
                  <w14:solidFill>
                    <w14:schemeClr w14:val="tx1"/>
                  </w14:solidFill>
                </w14:textFill>
              </w:rPr>
              <w:t>颗粒物</w:t>
            </w:r>
            <w:r>
              <w:rPr>
                <w:color w:val="000000" w:themeColor="text1"/>
                <w14:textFill>
                  <w14:solidFill>
                    <w14:schemeClr w14:val="tx1"/>
                  </w14:solidFill>
                </w14:textFill>
              </w:rPr>
              <w:t>、NOx、SO</w:t>
            </w:r>
            <w:r>
              <w:rPr>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无组织排放浓度满足</w:t>
            </w:r>
            <w:r>
              <w:rPr>
                <w:color w:val="000000" w:themeColor="text1"/>
                <w14:textFill>
                  <w14:solidFill>
                    <w14:schemeClr w14:val="tx1"/>
                  </w14:solidFill>
                </w14:textFill>
              </w:rPr>
              <w:t>《大气污染物综合排放标准》（GB16297-1996）表2中无组织排放浓度监控限值要求</w:t>
            </w:r>
          </w:p>
        </w:tc>
      </w:tr>
      <w:tr w14:paraId="5EE570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restart"/>
            <w:shd w:val="clear" w:color="auto" w:fill="auto"/>
            <w:vAlign w:val="center"/>
          </w:tcPr>
          <w:p w14:paraId="0EAE2CE6">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3</w:t>
            </w:r>
          </w:p>
        </w:tc>
        <w:tc>
          <w:tcPr>
            <w:tcW w:w="362" w:type="pct"/>
            <w:vMerge w:val="restart"/>
            <w:shd w:val="clear" w:color="auto" w:fill="auto"/>
            <w:vAlign w:val="center"/>
          </w:tcPr>
          <w:p w14:paraId="4AFD22C2">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废水</w:t>
            </w:r>
          </w:p>
        </w:tc>
        <w:tc>
          <w:tcPr>
            <w:tcW w:w="834" w:type="pct"/>
            <w:vAlign w:val="center"/>
          </w:tcPr>
          <w:p w14:paraId="6C2B56F3">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生产废水</w:t>
            </w:r>
          </w:p>
        </w:tc>
        <w:tc>
          <w:tcPr>
            <w:tcW w:w="1898" w:type="pct"/>
            <w:shd w:val="clear" w:color="auto" w:fill="auto"/>
            <w:vAlign w:val="center"/>
          </w:tcPr>
          <w:p w14:paraId="55B38663">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排入企业自建污水处理站处理，</w:t>
            </w:r>
            <w:r>
              <w:rPr>
                <w:rFonts w:hint="eastAsia"/>
                <w:bCs/>
                <w:snapToGrid w:val="0"/>
                <w:color w:val="000000" w:themeColor="text1"/>
                <w:lang w:val="en-US"/>
                <w14:textFill>
                  <w14:solidFill>
                    <w14:schemeClr w14:val="tx1"/>
                  </w14:solidFill>
                </w14:textFill>
              </w:rPr>
              <w:t>污水处理</w:t>
            </w:r>
            <w:r>
              <w:rPr>
                <w:bCs/>
                <w:snapToGrid w:val="0"/>
                <w:color w:val="000000" w:themeColor="text1"/>
                <w:lang w:val="en-US"/>
                <w14:textFill>
                  <w14:solidFill>
                    <w14:schemeClr w14:val="tx1"/>
                  </w14:solidFill>
                </w14:textFill>
              </w:rPr>
              <w:t>能力</w:t>
            </w:r>
            <w:r>
              <w:rPr>
                <w:rFonts w:hint="eastAsia"/>
                <w:bCs/>
                <w:snapToGrid w:val="0"/>
                <w:color w:val="000000" w:themeColor="text1"/>
                <w:lang w:val="en-US" w:eastAsia="zh-CN"/>
                <w14:textFill>
                  <w14:solidFill>
                    <w14:schemeClr w14:val="tx1"/>
                  </w14:solidFill>
                </w14:textFill>
              </w:rPr>
              <w:t>2</w:t>
            </w:r>
            <w:r>
              <w:rPr>
                <w:bCs/>
                <w:snapToGrid w:val="0"/>
                <w:color w:val="000000" w:themeColor="text1"/>
                <w:lang w:val="en-US"/>
                <w14:textFill>
                  <w14:solidFill>
                    <w14:schemeClr w14:val="tx1"/>
                  </w14:solidFill>
                </w14:textFill>
              </w:rPr>
              <w:t>00m</w:t>
            </w:r>
            <w:r>
              <w:rPr>
                <w:bCs/>
                <w:snapToGrid w:val="0"/>
                <w:color w:val="000000" w:themeColor="text1"/>
                <w:vertAlign w:val="superscript"/>
                <w:lang w:val="en-US"/>
                <w14:textFill>
                  <w14:solidFill>
                    <w14:schemeClr w14:val="tx1"/>
                  </w14:solidFill>
                </w14:textFill>
              </w:rPr>
              <w:t>3</w:t>
            </w:r>
            <w:r>
              <w:rPr>
                <w:bCs/>
                <w:snapToGrid w:val="0"/>
                <w:color w:val="000000" w:themeColor="text1"/>
                <w:lang w:val="en-US"/>
                <w14:textFill>
                  <w14:solidFill>
                    <w14:schemeClr w14:val="tx1"/>
                  </w14:solidFill>
                </w14:textFill>
              </w:rPr>
              <w:t>/d</w:t>
            </w:r>
            <w:r>
              <w:rPr>
                <w:rFonts w:hint="eastAsia"/>
                <w:bCs/>
                <w:snapToGrid w:val="0"/>
                <w:color w:val="000000" w:themeColor="text1"/>
                <w:lang w:val="en-US"/>
                <w14:textFill>
                  <w14:solidFill>
                    <w14:schemeClr w14:val="tx1"/>
                  </w14:solidFill>
                </w14:textFill>
              </w:rPr>
              <w:t>，初沉池+调节池+UASB+</w:t>
            </w:r>
            <w:r>
              <w:rPr>
                <w:rFonts w:hint="eastAsia"/>
                <w:bCs/>
                <w:snapToGrid w:val="0"/>
                <w:color w:val="000000" w:themeColor="text1"/>
                <w:lang w:val="en-US" w:eastAsia="zh-CN"/>
                <w14:textFill>
                  <w14:solidFill>
                    <w14:schemeClr w14:val="tx1"/>
                  </w14:solidFill>
                </w14:textFill>
              </w:rPr>
              <w:t>A/O</w:t>
            </w:r>
            <w:r>
              <w:rPr>
                <w:rFonts w:hint="eastAsia"/>
                <w:bCs/>
                <w:snapToGrid w:val="0"/>
                <w:color w:val="000000" w:themeColor="text1"/>
                <w:lang w:val="en-US"/>
                <w14:textFill>
                  <w14:solidFill>
                    <w14:schemeClr w14:val="tx1"/>
                  </w14:solidFill>
                </w14:textFill>
              </w:rPr>
              <w:t>+二沉池+污泥池</w:t>
            </w:r>
          </w:p>
        </w:tc>
        <w:tc>
          <w:tcPr>
            <w:tcW w:w="1641" w:type="pct"/>
            <w:vAlign w:val="center"/>
          </w:tcPr>
          <w:p w14:paraId="63376332">
            <w:pPr>
              <w:pStyle w:val="143"/>
              <w:rPr>
                <w:bCs/>
                <w:snapToGrid w:val="0"/>
                <w:color w:val="000000" w:themeColor="text1"/>
                <w:lang w:val="en-US"/>
                <w14:textFill>
                  <w14:solidFill>
                    <w14:schemeClr w14:val="tx1"/>
                  </w14:solidFill>
                </w14:textFill>
              </w:rPr>
            </w:pPr>
            <w:r>
              <w:rPr>
                <w:rFonts w:hint="eastAsia"/>
                <w:bCs/>
                <w:snapToGrid w:val="0"/>
                <w:color w:val="000000" w:themeColor="text1"/>
                <w:lang w:val="en-US"/>
                <w14:textFill>
                  <w14:solidFill>
                    <w14:schemeClr w14:val="tx1"/>
                  </w14:solidFill>
                </w14:textFill>
              </w:rPr>
              <w:t>《</w:t>
            </w:r>
            <w:r>
              <w:rPr>
                <w:rFonts w:hint="eastAsia"/>
                <w:bCs/>
                <w:snapToGrid w:val="0"/>
                <w:color w:val="000000" w:themeColor="text1"/>
                <w:lang w:val="en-US" w:eastAsia="zh-CN"/>
                <w14:textFill>
                  <w14:solidFill>
                    <w14:schemeClr w14:val="tx1"/>
                  </w14:solidFill>
                </w14:textFill>
              </w:rPr>
              <w:t>酒类制造业水污染物排放标准</w:t>
            </w:r>
            <w:r>
              <w:rPr>
                <w:rFonts w:hint="eastAsia"/>
                <w:bCs/>
                <w:snapToGrid w:val="0"/>
                <w:color w:val="000000" w:themeColor="text1"/>
                <w:lang w:val="en-US"/>
                <w14:textFill>
                  <w14:solidFill>
                    <w14:schemeClr w14:val="tx1"/>
                  </w14:solidFill>
                </w14:textFill>
              </w:rPr>
              <w:t>》（</w:t>
            </w:r>
            <w:r>
              <w:rPr>
                <w:rFonts w:hint="eastAsia"/>
                <w:bCs/>
                <w:snapToGrid w:val="0"/>
                <w:color w:val="000000" w:themeColor="text1"/>
                <w:lang w:val="en-US" w:eastAsia="zh-CN"/>
                <w14:textFill>
                  <w14:solidFill>
                    <w14:schemeClr w14:val="tx1"/>
                  </w14:solidFill>
                </w14:textFill>
              </w:rPr>
              <w:t>GB19821-2025</w:t>
            </w:r>
            <w:r>
              <w:rPr>
                <w:rFonts w:hint="eastAsia"/>
                <w:bCs/>
                <w:snapToGrid w:val="0"/>
                <w:color w:val="000000" w:themeColor="text1"/>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rFonts w:hint="eastAsia"/>
                <w:bCs/>
                <w:snapToGrid w:val="0"/>
                <w:color w:val="000000" w:themeColor="text1"/>
                <w:lang w:val="en-US"/>
                <w14:textFill>
                  <w14:solidFill>
                    <w14:schemeClr w14:val="tx1"/>
                  </w14:solidFill>
                </w14:textFill>
              </w:rPr>
              <w:t>和</w:t>
            </w:r>
            <w:r>
              <w:rPr>
                <w:rFonts w:hint="eastAsia"/>
                <w:bCs/>
                <w:snapToGrid w:val="0"/>
                <w:color w:val="000000" w:themeColor="text1"/>
                <w:lang w:val="en-US" w:eastAsia="zh-CN"/>
                <w14:textFill>
                  <w14:solidFill>
                    <w14:schemeClr w14:val="tx1"/>
                  </w14:solidFill>
                </w14:textFill>
              </w:rPr>
              <w:t>桦南县城镇污水处理厂</w:t>
            </w:r>
            <w:r>
              <w:rPr>
                <w:rFonts w:hint="eastAsia"/>
                <w:bCs/>
                <w:snapToGrid w:val="0"/>
                <w:color w:val="000000" w:themeColor="text1"/>
                <w:lang w:val="en-US"/>
                <w14:textFill>
                  <w14:solidFill>
                    <w14:schemeClr w14:val="tx1"/>
                  </w14:solidFill>
                </w14:textFill>
              </w:rPr>
              <w:t>进水标准</w:t>
            </w:r>
          </w:p>
        </w:tc>
      </w:tr>
      <w:tr w14:paraId="66B0DD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vMerge w:val="continue"/>
            <w:shd w:val="clear" w:color="auto" w:fill="auto"/>
            <w:vAlign w:val="center"/>
          </w:tcPr>
          <w:p w14:paraId="770D849F">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5CA5CBDC">
            <w:pPr>
              <w:pStyle w:val="143"/>
              <w:rPr>
                <w:snapToGrid w:val="0"/>
                <w:color w:val="000000" w:themeColor="text1"/>
                <w14:textFill>
                  <w14:solidFill>
                    <w14:schemeClr w14:val="tx1"/>
                  </w14:solidFill>
                </w14:textFill>
              </w:rPr>
            </w:pPr>
          </w:p>
        </w:tc>
        <w:tc>
          <w:tcPr>
            <w:tcW w:w="834" w:type="pct"/>
            <w:vAlign w:val="center"/>
          </w:tcPr>
          <w:p w14:paraId="5F8AB0A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雨水</w:t>
            </w:r>
          </w:p>
        </w:tc>
        <w:tc>
          <w:tcPr>
            <w:tcW w:w="1898" w:type="pct"/>
            <w:shd w:val="clear" w:color="auto" w:fill="auto"/>
            <w:vAlign w:val="center"/>
          </w:tcPr>
          <w:p w14:paraId="66A8E36B">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由单独雨水排口排出</w:t>
            </w:r>
          </w:p>
        </w:tc>
        <w:tc>
          <w:tcPr>
            <w:tcW w:w="1641" w:type="pct"/>
            <w:vAlign w:val="center"/>
          </w:tcPr>
          <w:p w14:paraId="78296266">
            <w:pPr>
              <w:pStyle w:val="143"/>
              <w:rPr>
                <w:bCs/>
                <w:snapToGrid w:val="0"/>
                <w:color w:val="000000" w:themeColor="text1"/>
                <w:lang w:val="en-US"/>
                <w14:textFill>
                  <w14:solidFill>
                    <w14:schemeClr w14:val="tx1"/>
                  </w14:solidFill>
                </w14:textFill>
              </w:rPr>
            </w:pPr>
            <w:r>
              <w:rPr>
                <w:rFonts w:hint="eastAsia"/>
                <w:bCs/>
                <w:snapToGrid w:val="0"/>
                <w:color w:val="000000" w:themeColor="text1"/>
                <w:lang w:val="en-US" w:eastAsia="zh-CN"/>
                <w14:textFill>
                  <w14:solidFill>
                    <w14:schemeClr w14:val="tx1"/>
                  </w14:solidFill>
                </w14:textFill>
              </w:rPr>
              <w:t>桦南县城镇污水处理厂</w:t>
            </w:r>
            <w:r>
              <w:rPr>
                <w:rFonts w:hint="eastAsia"/>
                <w:bCs/>
                <w:snapToGrid w:val="0"/>
                <w:color w:val="000000" w:themeColor="text1"/>
                <w:lang w:val="en-US"/>
                <w14:textFill>
                  <w14:solidFill>
                    <w14:schemeClr w14:val="tx1"/>
                  </w14:solidFill>
                </w14:textFill>
              </w:rPr>
              <w:t>进水标准</w:t>
            </w:r>
          </w:p>
        </w:tc>
      </w:tr>
      <w:tr w14:paraId="7B30FE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3" w:type="pct"/>
            <w:shd w:val="clear" w:color="auto" w:fill="auto"/>
            <w:vAlign w:val="center"/>
          </w:tcPr>
          <w:p w14:paraId="2A39563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4</w:t>
            </w:r>
          </w:p>
        </w:tc>
        <w:tc>
          <w:tcPr>
            <w:tcW w:w="362" w:type="pct"/>
            <w:shd w:val="clear" w:color="auto" w:fill="auto"/>
            <w:vAlign w:val="center"/>
          </w:tcPr>
          <w:p w14:paraId="74AE436A">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噪声</w:t>
            </w:r>
          </w:p>
        </w:tc>
        <w:tc>
          <w:tcPr>
            <w:tcW w:w="834" w:type="pct"/>
            <w:vAlign w:val="center"/>
          </w:tcPr>
          <w:p w14:paraId="5C5D30DE">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设备噪声</w:t>
            </w:r>
          </w:p>
        </w:tc>
        <w:tc>
          <w:tcPr>
            <w:tcW w:w="1898" w:type="pct"/>
            <w:shd w:val="clear" w:color="auto" w:fill="auto"/>
            <w:vAlign w:val="center"/>
          </w:tcPr>
          <w:p w14:paraId="7E289C1F">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隔声、减振措施</w:t>
            </w:r>
          </w:p>
        </w:tc>
        <w:tc>
          <w:tcPr>
            <w:tcW w:w="1641" w:type="pct"/>
            <w:shd w:val="clear" w:color="auto" w:fill="auto"/>
            <w:vAlign w:val="center"/>
          </w:tcPr>
          <w:p w14:paraId="76FA4B8B">
            <w:pPr>
              <w:pStyle w:val="143"/>
              <w:rPr>
                <w:rFonts w:hint="eastAsia" w:eastAsia="宋体"/>
                <w:snapToGrid w:val="0"/>
                <w:color w:val="000000" w:themeColor="text1"/>
                <w:lang w:eastAsia="zh-CN"/>
                <w14:textFill>
                  <w14:solidFill>
                    <w14:schemeClr w14:val="tx1"/>
                  </w14:solidFill>
                </w14:textFill>
              </w:rPr>
            </w:pPr>
            <w:r>
              <w:rPr>
                <w:rFonts w:hint="eastAsia"/>
                <w:snapToGrid w:val="0"/>
                <w:color w:val="000000" w:themeColor="text1"/>
                <w:lang w:val="en-US" w:eastAsia="zh-CN"/>
                <w14:textFill>
                  <w14:solidFill>
                    <w14:schemeClr w14:val="tx1"/>
                  </w14:solidFill>
                </w14:textFill>
              </w:rPr>
              <w:t>东侧、南侧、北侧</w:t>
            </w:r>
            <w:r>
              <w:rPr>
                <w:rFonts w:hint="eastAsia"/>
                <w:snapToGrid w:val="0"/>
                <w:color w:val="000000" w:themeColor="text1"/>
                <w14:textFill>
                  <w14:solidFill>
                    <w14:schemeClr w14:val="tx1"/>
                  </w14:solidFill>
                </w14:textFill>
              </w:rPr>
              <w:t>厂界</w:t>
            </w:r>
            <w:r>
              <w:rPr>
                <w:snapToGrid w:val="0"/>
                <w:color w:val="000000" w:themeColor="text1"/>
                <w14:textFill>
                  <w14:solidFill>
                    <w14:schemeClr w14:val="tx1"/>
                  </w14:solidFill>
                </w14:textFill>
              </w:rPr>
              <w:t>满足《工业企业厂界环境噪声排放标准》（GB12348-2008）中“表1工业企业厂界环境噪声排放限值”的3类标准</w:t>
            </w:r>
            <w:r>
              <w:rPr>
                <w:rFonts w:hint="eastAsia"/>
                <w:snapToGrid w:val="0"/>
                <w:color w:val="000000" w:themeColor="text1"/>
                <w:lang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西侧</w:t>
            </w:r>
            <w:r>
              <w:rPr>
                <w:rFonts w:hint="eastAsia"/>
                <w:snapToGrid w:val="0"/>
                <w:color w:val="000000" w:themeColor="text1"/>
                <w14:textFill>
                  <w14:solidFill>
                    <w14:schemeClr w14:val="tx1"/>
                  </w14:solidFill>
                </w14:textFill>
              </w:rPr>
              <w:t>厂界</w:t>
            </w:r>
            <w:r>
              <w:rPr>
                <w:snapToGrid w:val="0"/>
                <w:color w:val="000000" w:themeColor="text1"/>
                <w14:textFill>
                  <w14:solidFill>
                    <w14:schemeClr w14:val="tx1"/>
                  </w14:solidFill>
                </w14:textFill>
              </w:rPr>
              <w:t>满足《工业企业厂界环境噪声排放标准》（GB12348-2008）中“表1工业企业厂界环境噪声排放限值”的</w:t>
            </w:r>
            <w:r>
              <w:rPr>
                <w:rFonts w:hint="eastAsia"/>
                <w:snapToGrid w:val="0"/>
                <w:color w:val="000000" w:themeColor="text1"/>
                <w:lang w:val="en-US" w:eastAsia="zh-CN"/>
                <w14:textFill>
                  <w14:solidFill>
                    <w14:schemeClr w14:val="tx1"/>
                  </w14:solidFill>
                </w14:textFill>
              </w:rPr>
              <w:t>4</w:t>
            </w:r>
            <w:r>
              <w:rPr>
                <w:snapToGrid w:val="0"/>
                <w:color w:val="000000" w:themeColor="text1"/>
                <w14:textFill>
                  <w14:solidFill>
                    <w14:schemeClr w14:val="tx1"/>
                  </w14:solidFill>
                </w14:textFill>
              </w:rPr>
              <w:t>类标准</w:t>
            </w:r>
          </w:p>
        </w:tc>
      </w:tr>
      <w:tr w14:paraId="27DD06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restart"/>
            <w:shd w:val="clear" w:color="auto" w:fill="auto"/>
            <w:vAlign w:val="center"/>
          </w:tcPr>
          <w:p w14:paraId="2191B106">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5</w:t>
            </w:r>
          </w:p>
        </w:tc>
        <w:tc>
          <w:tcPr>
            <w:tcW w:w="362" w:type="pct"/>
            <w:vMerge w:val="restart"/>
            <w:shd w:val="clear" w:color="auto" w:fill="auto"/>
            <w:vAlign w:val="center"/>
          </w:tcPr>
          <w:p w14:paraId="6D40EAD9">
            <w:pPr>
              <w:pStyle w:val="143"/>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固废</w:t>
            </w:r>
          </w:p>
        </w:tc>
        <w:tc>
          <w:tcPr>
            <w:tcW w:w="834" w:type="pct"/>
            <w:shd w:val="clear" w:color="auto" w:fill="auto"/>
            <w:vAlign w:val="center"/>
          </w:tcPr>
          <w:p w14:paraId="6E7E8575">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麦芽、大米中杂质</w:t>
            </w:r>
          </w:p>
        </w:tc>
        <w:tc>
          <w:tcPr>
            <w:tcW w:w="1898" w:type="pct"/>
            <w:shd w:val="clear" w:color="auto" w:fill="auto"/>
            <w:vAlign w:val="center"/>
          </w:tcPr>
          <w:p w14:paraId="06D2D8D0">
            <w:pPr>
              <w:pStyle w:val="143"/>
              <w:ind w:firstLine="0" w:firstLineChars="0"/>
              <w:rPr>
                <w:snapToGrid w:val="0"/>
                <w:color w:val="000000" w:themeColor="text1"/>
                <w14:textFill>
                  <w14:solidFill>
                    <w14:schemeClr w14:val="tx1"/>
                  </w14:solidFill>
                </w14:textFill>
              </w:rPr>
            </w:pPr>
            <w:r>
              <w:rPr>
                <w:rFonts w:hint="eastAsia"/>
                <w:snapToGrid w:val="0"/>
                <w:color w:val="auto"/>
              </w:rPr>
              <w:t>集中收集，外售有机肥厂生产有机肥</w:t>
            </w:r>
          </w:p>
        </w:tc>
        <w:tc>
          <w:tcPr>
            <w:tcW w:w="1641" w:type="pct"/>
            <w:vMerge w:val="restart"/>
            <w:shd w:val="clear" w:color="auto" w:fill="auto"/>
            <w:vAlign w:val="center"/>
          </w:tcPr>
          <w:p w14:paraId="61D4480D">
            <w:pPr>
              <w:pStyle w:val="143"/>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固废处置率100%</w:t>
            </w:r>
          </w:p>
        </w:tc>
      </w:tr>
      <w:tr w14:paraId="61F84E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65428B97">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44F2163E">
            <w:pPr>
              <w:pStyle w:val="143"/>
              <w:rPr>
                <w:snapToGrid w:val="0"/>
                <w:color w:val="000000" w:themeColor="text1"/>
                <w14:textFill>
                  <w14:solidFill>
                    <w14:schemeClr w14:val="tx1"/>
                  </w14:solidFill>
                </w14:textFill>
              </w:rPr>
            </w:pPr>
          </w:p>
        </w:tc>
        <w:tc>
          <w:tcPr>
            <w:tcW w:w="834" w:type="pct"/>
            <w:shd w:val="clear" w:color="auto" w:fill="auto"/>
            <w:vAlign w:val="center"/>
          </w:tcPr>
          <w:p w14:paraId="164C2211">
            <w:pPr>
              <w:pStyle w:val="143"/>
              <w:ind w:firstLine="0" w:firstLineChars="0"/>
              <w:rPr>
                <w:snapToGrid w:val="0"/>
                <w:color w:val="000000" w:themeColor="text1"/>
                <w14:textFill>
                  <w14:solidFill>
                    <w14:schemeClr w14:val="tx1"/>
                  </w14:solidFill>
                </w14:textFill>
              </w:rPr>
            </w:pPr>
            <w:r>
              <w:rPr>
                <w:rFonts w:hint="eastAsia"/>
                <w:snapToGrid w:val="0"/>
                <w:color w:val="auto"/>
                <w:lang w:val="en-US" w:eastAsia="zh-CN"/>
              </w:rPr>
              <w:t>废</w:t>
            </w:r>
            <w:r>
              <w:rPr>
                <w:snapToGrid w:val="0"/>
                <w:color w:val="auto"/>
              </w:rPr>
              <w:t>酒糟及废酵母</w:t>
            </w:r>
          </w:p>
        </w:tc>
        <w:tc>
          <w:tcPr>
            <w:tcW w:w="1898" w:type="pct"/>
            <w:shd w:val="clear" w:color="auto" w:fill="auto"/>
            <w:vAlign w:val="center"/>
          </w:tcPr>
          <w:p w14:paraId="01C39BFA">
            <w:pPr>
              <w:pStyle w:val="143"/>
              <w:ind w:firstLine="0" w:firstLineChars="0"/>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采用专用容器收集并加盖密封，外售作饲料，日产日清</w:t>
            </w:r>
          </w:p>
        </w:tc>
        <w:tc>
          <w:tcPr>
            <w:tcW w:w="1641" w:type="pct"/>
            <w:vMerge w:val="continue"/>
            <w:shd w:val="clear" w:color="auto" w:fill="auto"/>
            <w:vAlign w:val="center"/>
          </w:tcPr>
          <w:p w14:paraId="48438955">
            <w:pPr>
              <w:pStyle w:val="143"/>
              <w:rPr>
                <w:snapToGrid w:val="0"/>
                <w:color w:val="000000" w:themeColor="text1"/>
                <w14:textFill>
                  <w14:solidFill>
                    <w14:schemeClr w14:val="tx1"/>
                  </w14:solidFill>
                </w14:textFill>
              </w:rPr>
            </w:pPr>
          </w:p>
        </w:tc>
      </w:tr>
      <w:tr w14:paraId="7DA73E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0DEC8127">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45237DC6">
            <w:pPr>
              <w:pStyle w:val="143"/>
              <w:rPr>
                <w:snapToGrid w:val="0"/>
                <w:color w:val="000000" w:themeColor="text1"/>
                <w14:textFill>
                  <w14:solidFill>
                    <w14:schemeClr w14:val="tx1"/>
                  </w14:solidFill>
                </w14:textFill>
              </w:rPr>
            </w:pPr>
          </w:p>
        </w:tc>
        <w:tc>
          <w:tcPr>
            <w:tcW w:w="834" w:type="pct"/>
            <w:shd w:val="clear" w:color="auto" w:fill="auto"/>
            <w:vAlign w:val="center"/>
          </w:tcPr>
          <w:p w14:paraId="7D9CEF24">
            <w:pPr>
              <w:pStyle w:val="143"/>
              <w:ind w:firstLine="0" w:firstLineChars="0"/>
              <w:rPr>
                <w:snapToGrid w:val="0"/>
                <w:color w:val="000000" w:themeColor="text1"/>
                <w14:textFill>
                  <w14:solidFill>
                    <w14:schemeClr w14:val="tx1"/>
                  </w14:solidFill>
                </w14:textFill>
              </w:rPr>
            </w:pPr>
            <w:r>
              <w:rPr>
                <w:rFonts w:hint="eastAsia"/>
                <w:snapToGrid w:val="0"/>
                <w:color w:val="auto"/>
                <w:lang w:val="en-US" w:eastAsia="zh-CN"/>
              </w:rPr>
              <w:t>废硅藻土</w:t>
            </w:r>
          </w:p>
        </w:tc>
        <w:tc>
          <w:tcPr>
            <w:tcW w:w="1898" w:type="pct"/>
            <w:shd w:val="clear" w:color="auto" w:fill="auto"/>
            <w:vAlign w:val="center"/>
          </w:tcPr>
          <w:p w14:paraId="088F2C98">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暂存在密闭废土罐中</w:t>
            </w:r>
            <w:r>
              <w:rPr>
                <w:rFonts w:hint="default"/>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外售综合利用</w:t>
            </w:r>
            <w:r>
              <w:rPr>
                <w:rFonts w:hint="default"/>
                <w:snapToGrid w:val="0"/>
                <w:color w:val="000000" w:themeColor="text1"/>
                <w:lang w:val="en-US" w:eastAsia="zh-CN"/>
                <w14:textFill>
                  <w14:solidFill>
                    <w14:schemeClr w14:val="tx1"/>
                  </w14:solidFill>
                </w14:textFill>
              </w:rPr>
              <w:t>，</w:t>
            </w:r>
            <w:r>
              <w:rPr>
                <w:rFonts w:hint="eastAsia"/>
                <w:snapToGrid w:val="0"/>
                <w:color w:val="000000" w:themeColor="text1"/>
                <w:lang w:val="en-US" w:eastAsia="zh-CN"/>
                <w14:textFill>
                  <w14:solidFill>
                    <w14:schemeClr w14:val="tx1"/>
                  </w14:solidFill>
                </w14:textFill>
              </w:rPr>
              <w:t>定期转运</w:t>
            </w:r>
            <w:r>
              <w:rPr>
                <w:rFonts w:hint="default"/>
                <w:snapToGrid w:val="0"/>
                <w:color w:val="000000" w:themeColor="text1"/>
                <w:lang w:val="en-US" w:eastAsia="zh-CN"/>
                <w14:textFill>
                  <w14:solidFill>
                    <w14:schemeClr w14:val="tx1"/>
                  </w14:solidFill>
                </w14:textFill>
              </w:rPr>
              <w:t>不在厂区长时间贮存</w:t>
            </w:r>
          </w:p>
        </w:tc>
        <w:tc>
          <w:tcPr>
            <w:tcW w:w="1641" w:type="pct"/>
            <w:vMerge w:val="continue"/>
            <w:shd w:val="clear" w:color="auto" w:fill="auto"/>
            <w:vAlign w:val="center"/>
          </w:tcPr>
          <w:p w14:paraId="77AE8813">
            <w:pPr>
              <w:pStyle w:val="143"/>
              <w:rPr>
                <w:snapToGrid w:val="0"/>
                <w:color w:val="000000" w:themeColor="text1"/>
                <w14:textFill>
                  <w14:solidFill>
                    <w14:schemeClr w14:val="tx1"/>
                  </w14:solidFill>
                </w14:textFill>
              </w:rPr>
            </w:pPr>
          </w:p>
        </w:tc>
      </w:tr>
      <w:tr w14:paraId="7A82EB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140F1F6B">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23350BF0">
            <w:pPr>
              <w:pStyle w:val="143"/>
              <w:rPr>
                <w:snapToGrid w:val="0"/>
                <w:color w:val="000000" w:themeColor="text1"/>
                <w14:textFill>
                  <w14:solidFill>
                    <w14:schemeClr w14:val="tx1"/>
                  </w14:solidFill>
                </w14:textFill>
              </w:rPr>
            </w:pPr>
          </w:p>
        </w:tc>
        <w:tc>
          <w:tcPr>
            <w:tcW w:w="834" w:type="pct"/>
            <w:shd w:val="clear" w:color="auto" w:fill="auto"/>
            <w:vAlign w:val="center"/>
          </w:tcPr>
          <w:p w14:paraId="4517B547">
            <w:pPr>
              <w:pStyle w:val="143"/>
              <w:ind w:firstLine="0" w:firstLineChars="0"/>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除尘器</w:t>
            </w:r>
            <w:r>
              <w:rPr>
                <w:rFonts w:hint="eastAsia"/>
                <w:snapToGrid w:val="0"/>
                <w:color w:val="000000" w:themeColor="text1"/>
                <w:kern w:val="0"/>
                <w:lang w:eastAsia="zh-CN"/>
                <w14:textFill>
                  <w14:solidFill>
                    <w14:schemeClr w14:val="tx1"/>
                  </w14:solidFill>
                </w14:textFill>
              </w:rPr>
              <w:t>收尘</w:t>
            </w:r>
          </w:p>
        </w:tc>
        <w:tc>
          <w:tcPr>
            <w:tcW w:w="1898" w:type="pct"/>
            <w:shd w:val="clear" w:color="auto" w:fill="auto"/>
            <w:vAlign w:val="center"/>
          </w:tcPr>
          <w:p w14:paraId="39923C63">
            <w:pPr>
              <w:pStyle w:val="143"/>
              <w:ind w:firstLine="0" w:firstLineChars="0"/>
              <w:jc w:val="center"/>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集中外售给有机肥厂生产有机肥</w:t>
            </w:r>
          </w:p>
        </w:tc>
        <w:tc>
          <w:tcPr>
            <w:tcW w:w="1641" w:type="pct"/>
            <w:vMerge w:val="continue"/>
            <w:shd w:val="clear" w:color="auto" w:fill="auto"/>
            <w:vAlign w:val="center"/>
          </w:tcPr>
          <w:p w14:paraId="3A236267">
            <w:pPr>
              <w:pStyle w:val="143"/>
              <w:rPr>
                <w:snapToGrid w:val="0"/>
                <w:color w:val="000000" w:themeColor="text1"/>
                <w14:textFill>
                  <w14:solidFill>
                    <w14:schemeClr w14:val="tx1"/>
                  </w14:solidFill>
                </w14:textFill>
              </w:rPr>
            </w:pPr>
          </w:p>
        </w:tc>
      </w:tr>
      <w:tr w14:paraId="1E8D99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0B8B9EAF">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0653620A">
            <w:pPr>
              <w:pStyle w:val="143"/>
              <w:rPr>
                <w:snapToGrid w:val="0"/>
                <w:color w:val="000000" w:themeColor="text1"/>
                <w14:textFill>
                  <w14:solidFill>
                    <w14:schemeClr w14:val="tx1"/>
                  </w14:solidFill>
                </w14:textFill>
              </w:rPr>
            </w:pPr>
          </w:p>
        </w:tc>
        <w:tc>
          <w:tcPr>
            <w:tcW w:w="834" w:type="pct"/>
            <w:shd w:val="clear" w:color="auto" w:fill="auto"/>
            <w:vAlign w:val="center"/>
          </w:tcPr>
          <w:p w14:paraId="47E4D187">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废布袋</w:t>
            </w:r>
          </w:p>
        </w:tc>
        <w:tc>
          <w:tcPr>
            <w:tcW w:w="1898" w:type="pct"/>
            <w:shd w:val="clear" w:color="auto" w:fill="auto"/>
            <w:vAlign w:val="center"/>
          </w:tcPr>
          <w:p w14:paraId="30471537">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更换时交厂家回收处置</w:t>
            </w:r>
          </w:p>
        </w:tc>
        <w:tc>
          <w:tcPr>
            <w:tcW w:w="1641" w:type="pct"/>
            <w:vMerge w:val="continue"/>
            <w:shd w:val="clear" w:color="auto" w:fill="auto"/>
            <w:vAlign w:val="center"/>
          </w:tcPr>
          <w:p w14:paraId="3205AB69">
            <w:pPr>
              <w:pStyle w:val="143"/>
              <w:rPr>
                <w:snapToGrid w:val="0"/>
                <w:color w:val="000000" w:themeColor="text1"/>
                <w14:textFill>
                  <w14:solidFill>
                    <w14:schemeClr w14:val="tx1"/>
                  </w14:solidFill>
                </w14:textFill>
              </w:rPr>
            </w:pPr>
          </w:p>
        </w:tc>
      </w:tr>
      <w:tr w14:paraId="477B3B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3937A954">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2767D369">
            <w:pPr>
              <w:pStyle w:val="143"/>
              <w:rPr>
                <w:snapToGrid w:val="0"/>
                <w:color w:val="000000" w:themeColor="text1"/>
                <w14:textFill>
                  <w14:solidFill>
                    <w14:schemeClr w14:val="tx1"/>
                  </w14:solidFill>
                </w14:textFill>
              </w:rPr>
            </w:pPr>
          </w:p>
        </w:tc>
        <w:tc>
          <w:tcPr>
            <w:tcW w:w="834" w:type="pct"/>
            <w:shd w:val="clear" w:color="auto" w:fill="auto"/>
            <w:vAlign w:val="center"/>
          </w:tcPr>
          <w:p w14:paraId="55261918">
            <w:pPr>
              <w:pStyle w:val="143"/>
              <w:ind w:firstLine="0" w:firstLineChars="0"/>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污水处理污泥</w:t>
            </w:r>
          </w:p>
        </w:tc>
        <w:tc>
          <w:tcPr>
            <w:tcW w:w="1898" w:type="pct"/>
            <w:shd w:val="clear" w:color="auto" w:fill="auto"/>
            <w:vAlign w:val="center"/>
          </w:tcPr>
          <w:p w14:paraId="319D7F2B">
            <w:pPr>
              <w:pStyle w:val="143"/>
              <w:ind w:firstLine="0" w:firstLineChars="0"/>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交由</w:t>
            </w:r>
            <w:r>
              <w:rPr>
                <w:rFonts w:hint="eastAsia"/>
                <w:snapToGrid w:val="0"/>
                <w:color w:val="000000" w:themeColor="text1"/>
                <w:kern w:val="0"/>
                <w:lang w:eastAsia="zh-CN"/>
                <w14:textFill>
                  <w14:solidFill>
                    <w14:schemeClr w14:val="tx1"/>
                  </w14:solidFill>
                </w14:textFill>
              </w:rPr>
              <w:t>市政部门统一处理</w:t>
            </w:r>
          </w:p>
        </w:tc>
        <w:tc>
          <w:tcPr>
            <w:tcW w:w="1641" w:type="pct"/>
            <w:vMerge w:val="continue"/>
            <w:shd w:val="clear" w:color="auto" w:fill="auto"/>
            <w:vAlign w:val="center"/>
          </w:tcPr>
          <w:p w14:paraId="0224591C">
            <w:pPr>
              <w:pStyle w:val="143"/>
              <w:rPr>
                <w:snapToGrid w:val="0"/>
                <w:color w:val="000000" w:themeColor="text1"/>
                <w14:textFill>
                  <w14:solidFill>
                    <w14:schemeClr w14:val="tx1"/>
                  </w14:solidFill>
                </w14:textFill>
              </w:rPr>
            </w:pPr>
          </w:p>
        </w:tc>
      </w:tr>
      <w:tr w14:paraId="48726A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5DA282AF">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3E7C611F">
            <w:pPr>
              <w:pStyle w:val="143"/>
              <w:rPr>
                <w:snapToGrid w:val="0"/>
                <w:color w:val="000000" w:themeColor="text1"/>
                <w14:textFill>
                  <w14:solidFill>
                    <w14:schemeClr w14:val="tx1"/>
                  </w14:solidFill>
                </w14:textFill>
              </w:rPr>
            </w:pPr>
          </w:p>
        </w:tc>
        <w:tc>
          <w:tcPr>
            <w:tcW w:w="834" w:type="pct"/>
            <w:shd w:val="clear" w:color="auto" w:fill="auto"/>
            <w:vAlign w:val="center"/>
          </w:tcPr>
          <w:p w14:paraId="44A6AB2B">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kern w:val="0"/>
                <w:lang w:eastAsia="zh-CN"/>
                <w14:textFill>
                  <w14:solidFill>
                    <w14:schemeClr w14:val="tx1"/>
                  </w14:solidFill>
                </w14:textFill>
              </w:rPr>
              <w:t>废脱硫剂</w:t>
            </w:r>
          </w:p>
        </w:tc>
        <w:tc>
          <w:tcPr>
            <w:tcW w:w="1898" w:type="pct"/>
            <w:shd w:val="clear" w:color="auto" w:fill="auto"/>
            <w:vAlign w:val="center"/>
          </w:tcPr>
          <w:p w14:paraId="49016058">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kern w:val="0"/>
                <w14:textFill>
                  <w14:solidFill>
                    <w14:schemeClr w14:val="tx1"/>
                  </w14:solidFill>
                </w14:textFill>
              </w:rPr>
              <w:t>废脱硫剂更换</w:t>
            </w:r>
            <w:r>
              <w:rPr>
                <w:rFonts w:hint="eastAsia"/>
                <w:snapToGrid w:val="0"/>
                <w:color w:val="000000" w:themeColor="text1"/>
                <w:kern w:val="0"/>
                <w:lang w:eastAsia="zh-CN"/>
                <w14:textFill>
                  <w14:solidFill>
                    <w14:schemeClr w14:val="tx1"/>
                  </w14:solidFill>
                </w14:textFill>
              </w:rPr>
              <w:t>时</w:t>
            </w:r>
            <w:r>
              <w:rPr>
                <w:rFonts w:hint="eastAsia"/>
                <w:snapToGrid w:val="0"/>
                <w:color w:val="000000" w:themeColor="text1"/>
                <w:kern w:val="0"/>
                <w14:textFill>
                  <w14:solidFill>
                    <w14:schemeClr w14:val="tx1"/>
                  </w14:solidFill>
                </w14:textFill>
              </w:rPr>
              <w:t>由厂家回收</w:t>
            </w:r>
          </w:p>
        </w:tc>
        <w:tc>
          <w:tcPr>
            <w:tcW w:w="1641" w:type="pct"/>
            <w:vMerge w:val="continue"/>
            <w:shd w:val="clear" w:color="auto" w:fill="auto"/>
            <w:vAlign w:val="center"/>
          </w:tcPr>
          <w:p w14:paraId="54D9F3FF">
            <w:pPr>
              <w:pStyle w:val="143"/>
              <w:rPr>
                <w:snapToGrid w:val="0"/>
                <w:color w:val="000000" w:themeColor="text1"/>
                <w14:textFill>
                  <w14:solidFill>
                    <w14:schemeClr w14:val="tx1"/>
                  </w14:solidFill>
                </w14:textFill>
              </w:rPr>
            </w:pPr>
          </w:p>
        </w:tc>
      </w:tr>
      <w:tr w14:paraId="7DCB19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68643487">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67402038">
            <w:pPr>
              <w:pStyle w:val="143"/>
              <w:rPr>
                <w:snapToGrid w:val="0"/>
                <w:color w:val="000000" w:themeColor="text1"/>
                <w14:textFill>
                  <w14:solidFill>
                    <w14:schemeClr w14:val="tx1"/>
                  </w14:solidFill>
                </w14:textFill>
              </w:rPr>
            </w:pPr>
          </w:p>
        </w:tc>
        <w:tc>
          <w:tcPr>
            <w:tcW w:w="834" w:type="pct"/>
            <w:shd w:val="clear" w:color="auto" w:fill="auto"/>
            <w:vAlign w:val="center"/>
          </w:tcPr>
          <w:p w14:paraId="2220E3E1">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废包装物</w:t>
            </w:r>
          </w:p>
        </w:tc>
        <w:tc>
          <w:tcPr>
            <w:tcW w:w="1898" w:type="pct"/>
            <w:shd w:val="clear" w:color="auto" w:fill="auto"/>
            <w:vAlign w:val="center"/>
          </w:tcPr>
          <w:p w14:paraId="62D2F8EA">
            <w:pPr>
              <w:pStyle w:val="143"/>
              <w:ind w:firstLine="0" w:firstLineChars="0"/>
              <w:rPr>
                <w:snapToGrid w:val="0"/>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集中收集</w:t>
            </w:r>
            <w:r>
              <w:rPr>
                <w:snapToGrid w:val="0"/>
                <w:color w:val="000000" w:themeColor="text1"/>
                <w:kern w:val="0"/>
                <w14:textFill>
                  <w14:solidFill>
                    <w14:schemeClr w14:val="tx1"/>
                  </w14:solidFill>
                </w14:textFill>
              </w:rPr>
              <w:t>，外售废品回收站</w:t>
            </w:r>
          </w:p>
        </w:tc>
        <w:tc>
          <w:tcPr>
            <w:tcW w:w="1641" w:type="pct"/>
            <w:vMerge w:val="continue"/>
            <w:shd w:val="clear" w:color="auto" w:fill="auto"/>
            <w:vAlign w:val="center"/>
          </w:tcPr>
          <w:p w14:paraId="52A42277">
            <w:pPr>
              <w:pStyle w:val="143"/>
              <w:rPr>
                <w:snapToGrid w:val="0"/>
                <w:color w:val="000000" w:themeColor="text1"/>
                <w14:textFill>
                  <w14:solidFill>
                    <w14:schemeClr w14:val="tx1"/>
                  </w14:solidFill>
                </w14:textFill>
              </w:rPr>
            </w:pPr>
          </w:p>
        </w:tc>
      </w:tr>
      <w:tr w14:paraId="318995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73AE8C1C">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0A42077C">
            <w:pPr>
              <w:pStyle w:val="143"/>
              <w:rPr>
                <w:snapToGrid w:val="0"/>
                <w:color w:val="000000" w:themeColor="text1"/>
                <w14:textFill>
                  <w14:solidFill>
                    <w14:schemeClr w14:val="tx1"/>
                  </w14:solidFill>
                </w14:textFill>
              </w:rPr>
            </w:pPr>
          </w:p>
        </w:tc>
        <w:tc>
          <w:tcPr>
            <w:tcW w:w="834" w:type="pct"/>
            <w:shd w:val="clear" w:color="auto" w:fill="auto"/>
            <w:vAlign w:val="center"/>
          </w:tcPr>
          <w:p w14:paraId="2225D686">
            <w:pPr>
              <w:pStyle w:val="143"/>
              <w:ind w:firstLine="0" w:firstLineChars="0"/>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废过滤材料</w:t>
            </w:r>
          </w:p>
        </w:tc>
        <w:tc>
          <w:tcPr>
            <w:tcW w:w="1898" w:type="pct"/>
            <w:shd w:val="clear" w:color="auto" w:fill="auto"/>
            <w:vAlign w:val="center"/>
          </w:tcPr>
          <w:p w14:paraId="20A3882E">
            <w:pPr>
              <w:pStyle w:val="143"/>
              <w:ind w:firstLine="0" w:firstLineChars="0"/>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p>
        </w:tc>
        <w:tc>
          <w:tcPr>
            <w:tcW w:w="1641" w:type="pct"/>
            <w:vMerge w:val="continue"/>
            <w:shd w:val="clear" w:color="auto" w:fill="auto"/>
            <w:vAlign w:val="center"/>
          </w:tcPr>
          <w:p w14:paraId="3CAC1AB6">
            <w:pPr>
              <w:pStyle w:val="143"/>
              <w:rPr>
                <w:snapToGrid w:val="0"/>
                <w:color w:val="000000" w:themeColor="text1"/>
                <w14:textFill>
                  <w14:solidFill>
                    <w14:schemeClr w14:val="tx1"/>
                  </w14:solidFill>
                </w14:textFill>
              </w:rPr>
            </w:pPr>
          </w:p>
        </w:tc>
      </w:tr>
      <w:tr w14:paraId="7BC820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06328FDC">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5CC5A451">
            <w:pPr>
              <w:pStyle w:val="143"/>
              <w:rPr>
                <w:snapToGrid w:val="0"/>
                <w:color w:val="000000" w:themeColor="text1"/>
                <w14:textFill>
                  <w14:solidFill>
                    <w14:schemeClr w14:val="tx1"/>
                  </w14:solidFill>
                </w14:textFill>
              </w:rPr>
            </w:pPr>
          </w:p>
        </w:tc>
        <w:tc>
          <w:tcPr>
            <w:tcW w:w="834" w:type="pct"/>
            <w:shd w:val="clear" w:color="auto" w:fill="auto"/>
            <w:vAlign w:val="center"/>
          </w:tcPr>
          <w:p w14:paraId="253D9683">
            <w:pPr>
              <w:pStyle w:val="143"/>
              <w:ind w:firstLine="0" w:firstLineChars="0"/>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废离子交换树脂</w:t>
            </w:r>
          </w:p>
        </w:tc>
        <w:tc>
          <w:tcPr>
            <w:tcW w:w="1898" w:type="pct"/>
            <w:shd w:val="clear" w:color="auto" w:fill="auto"/>
            <w:vAlign w:val="center"/>
          </w:tcPr>
          <w:p w14:paraId="46C3E652">
            <w:pPr>
              <w:pStyle w:val="143"/>
              <w:ind w:firstLine="0" w:firstLineChars="0"/>
              <w:rPr>
                <w:snapToGrid w:val="0"/>
                <w:color w:val="000000" w:themeColor="text1"/>
                <w14:textFill>
                  <w14:solidFill>
                    <w14:schemeClr w14:val="tx1"/>
                  </w14:solidFill>
                </w14:textFill>
              </w:rPr>
            </w:pP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p>
        </w:tc>
        <w:tc>
          <w:tcPr>
            <w:tcW w:w="1641" w:type="pct"/>
            <w:vMerge w:val="continue"/>
            <w:shd w:val="clear" w:color="auto" w:fill="auto"/>
            <w:vAlign w:val="center"/>
          </w:tcPr>
          <w:p w14:paraId="6467C39C">
            <w:pPr>
              <w:pStyle w:val="143"/>
              <w:rPr>
                <w:snapToGrid w:val="0"/>
                <w:color w:val="000000" w:themeColor="text1"/>
                <w14:textFill>
                  <w14:solidFill>
                    <w14:schemeClr w14:val="tx1"/>
                  </w14:solidFill>
                </w14:textFill>
              </w:rPr>
            </w:pPr>
          </w:p>
        </w:tc>
      </w:tr>
      <w:tr w14:paraId="5FCA24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5CEF5AC9">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61E2D6C8">
            <w:pPr>
              <w:pStyle w:val="143"/>
              <w:rPr>
                <w:snapToGrid w:val="0"/>
                <w:color w:val="000000" w:themeColor="text1"/>
                <w14:textFill>
                  <w14:solidFill>
                    <w14:schemeClr w14:val="tx1"/>
                  </w14:solidFill>
                </w14:textFill>
              </w:rPr>
            </w:pPr>
          </w:p>
        </w:tc>
        <w:tc>
          <w:tcPr>
            <w:tcW w:w="834" w:type="pct"/>
            <w:shd w:val="clear" w:color="auto" w:fill="auto"/>
            <w:vAlign w:val="center"/>
          </w:tcPr>
          <w:p w14:paraId="4FAAA823">
            <w:pPr>
              <w:pStyle w:val="143"/>
              <w:ind w:firstLine="0" w:firstLineChars="0"/>
              <w:rPr>
                <w:color w:val="000000" w:themeColor="text1"/>
                <w14:textFill>
                  <w14:solidFill>
                    <w14:schemeClr w14:val="tx1"/>
                  </w14:solidFill>
                </w14:textFill>
              </w:rPr>
            </w:pPr>
            <w:r>
              <w:rPr>
                <w:snapToGrid w:val="0"/>
                <w:color w:val="000000" w:themeColor="text1"/>
                <w:kern w:val="0"/>
                <w14:textFill>
                  <w14:solidFill>
                    <w14:schemeClr w14:val="tx1"/>
                  </w14:solidFill>
                </w14:textFill>
              </w:rPr>
              <w:t>废活性炭</w:t>
            </w:r>
            <w:r>
              <w:rPr>
                <w:rFonts w:hint="eastAsia"/>
                <w:snapToGrid w:val="0"/>
                <w:color w:val="000000" w:themeColor="text1"/>
                <w:kern w:val="0"/>
                <w:lang w:val="en-US" w:eastAsia="zh-CN"/>
                <w14:textFill>
                  <w14:solidFill>
                    <w14:schemeClr w14:val="tx1"/>
                  </w14:solidFill>
                </w14:textFill>
              </w:rPr>
              <w:t>及废分子筛</w:t>
            </w:r>
          </w:p>
        </w:tc>
        <w:tc>
          <w:tcPr>
            <w:tcW w:w="1898" w:type="pct"/>
            <w:shd w:val="clear" w:color="auto" w:fill="auto"/>
            <w:vAlign w:val="center"/>
          </w:tcPr>
          <w:p w14:paraId="4E38053F">
            <w:pPr>
              <w:pStyle w:val="143"/>
              <w:ind w:firstLine="0" w:firstLineChars="0"/>
              <w:rPr>
                <w:color w:val="000000" w:themeColor="text1"/>
                <w14:textFill>
                  <w14:solidFill>
                    <w14:schemeClr w14:val="tx1"/>
                  </w14:solidFill>
                </w14:textFill>
              </w:rPr>
            </w:pP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p>
        </w:tc>
        <w:tc>
          <w:tcPr>
            <w:tcW w:w="1641" w:type="pct"/>
            <w:vMerge w:val="continue"/>
            <w:shd w:val="clear" w:color="auto" w:fill="auto"/>
            <w:vAlign w:val="center"/>
          </w:tcPr>
          <w:p w14:paraId="700A6049">
            <w:pPr>
              <w:pStyle w:val="143"/>
              <w:rPr>
                <w:snapToGrid w:val="0"/>
                <w:color w:val="000000" w:themeColor="text1"/>
                <w14:textFill>
                  <w14:solidFill>
                    <w14:schemeClr w14:val="tx1"/>
                  </w14:solidFill>
                </w14:textFill>
              </w:rPr>
            </w:pPr>
          </w:p>
        </w:tc>
      </w:tr>
      <w:tr w14:paraId="7783EC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7C193A0F">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3B352983">
            <w:pPr>
              <w:pStyle w:val="143"/>
              <w:rPr>
                <w:snapToGrid w:val="0"/>
                <w:color w:val="000000" w:themeColor="text1"/>
                <w14:textFill>
                  <w14:solidFill>
                    <w14:schemeClr w14:val="tx1"/>
                  </w14:solidFill>
                </w14:textFill>
              </w:rPr>
            </w:pPr>
          </w:p>
        </w:tc>
        <w:tc>
          <w:tcPr>
            <w:tcW w:w="834" w:type="pct"/>
            <w:shd w:val="clear" w:color="auto" w:fill="auto"/>
            <w:vAlign w:val="center"/>
          </w:tcPr>
          <w:p w14:paraId="49C1727A">
            <w:pPr>
              <w:pStyle w:val="143"/>
              <w:ind w:firstLine="0" w:firstLineChars="0"/>
              <w:rPr>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废危化品包装材料</w:t>
            </w:r>
          </w:p>
        </w:tc>
        <w:tc>
          <w:tcPr>
            <w:tcW w:w="1898" w:type="pct"/>
            <w:vMerge w:val="restart"/>
            <w:shd w:val="clear" w:color="auto" w:fill="auto"/>
            <w:vAlign w:val="center"/>
          </w:tcPr>
          <w:p w14:paraId="24A0401A">
            <w:pPr>
              <w:pStyle w:val="143"/>
              <w:rPr>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暂存于危险废物贮存点，定期委托有资质单位处置</w:t>
            </w:r>
          </w:p>
        </w:tc>
        <w:tc>
          <w:tcPr>
            <w:tcW w:w="1641" w:type="pct"/>
            <w:vMerge w:val="continue"/>
            <w:shd w:val="clear" w:color="auto" w:fill="auto"/>
            <w:vAlign w:val="center"/>
          </w:tcPr>
          <w:p w14:paraId="3FEA8C3A">
            <w:pPr>
              <w:pStyle w:val="143"/>
              <w:rPr>
                <w:snapToGrid w:val="0"/>
                <w:color w:val="000000" w:themeColor="text1"/>
                <w14:textFill>
                  <w14:solidFill>
                    <w14:schemeClr w14:val="tx1"/>
                  </w14:solidFill>
                </w14:textFill>
              </w:rPr>
            </w:pPr>
          </w:p>
        </w:tc>
      </w:tr>
      <w:tr w14:paraId="490E64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4DB47F73">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1741A66C">
            <w:pPr>
              <w:pStyle w:val="143"/>
              <w:rPr>
                <w:snapToGrid w:val="0"/>
                <w:color w:val="000000" w:themeColor="text1"/>
                <w14:textFill>
                  <w14:solidFill>
                    <w14:schemeClr w14:val="tx1"/>
                  </w14:solidFill>
                </w14:textFill>
              </w:rPr>
            </w:pPr>
          </w:p>
        </w:tc>
        <w:tc>
          <w:tcPr>
            <w:tcW w:w="834" w:type="pct"/>
            <w:shd w:val="clear" w:color="auto" w:fill="auto"/>
            <w:vAlign w:val="center"/>
          </w:tcPr>
          <w:p w14:paraId="3D6F1278">
            <w:pPr>
              <w:pStyle w:val="143"/>
              <w:ind w:firstLine="0" w:firstLineChars="0"/>
              <w:rPr>
                <w:color w:val="000000" w:themeColor="text1"/>
                <w14:textFill>
                  <w14:solidFill>
                    <w14:schemeClr w14:val="tx1"/>
                  </w14:solidFill>
                </w14:textFill>
              </w:rPr>
            </w:pPr>
            <w:r>
              <w:rPr>
                <w:snapToGrid w:val="0"/>
                <w:color w:val="000000" w:themeColor="text1"/>
                <w:kern w:val="0"/>
                <w:lang w:val="en-US"/>
                <w14:textFill>
                  <w14:solidFill>
                    <w14:schemeClr w14:val="tx1"/>
                  </w14:solidFill>
                </w14:textFill>
              </w:rPr>
              <w:t>化验室废液</w:t>
            </w:r>
          </w:p>
        </w:tc>
        <w:tc>
          <w:tcPr>
            <w:tcW w:w="1898" w:type="pct"/>
            <w:vMerge w:val="continue"/>
            <w:shd w:val="clear" w:color="auto" w:fill="auto"/>
            <w:vAlign w:val="center"/>
          </w:tcPr>
          <w:p w14:paraId="35D8198F">
            <w:pPr>
              <w:pStyle w:val="143"/>
              <w:rPr>
                <w:color w:val="000000" w:themeColor="text1"/>
                <w14:textFill>
                  <w14:solidFill>
                    <w14:schemeClr w14:val="tx1"/>
                  </w14:solidFill>
                </w14:textFill>
              </w:rPr>
            </w:pPr>
          </w:p>
        </w:tc>
        <w:tc>
          <w:tcPr>
            <w:tcW w:w="1641" w:type="pct"/>
            <w:vMerge w:val="continue"/>
            <w:shd w:val="clear" w:color="auto" w:fill="auto"/>
            <w:vAlign w:val="center"/>
          </w:tcPr>
          <w:p w14:paraId="4FA2E282">
            <w:pPr>
              <w:pStyle w:val="143"/>
              <w:rPr>
                <w:snapToGrid w:val="0"/>
                <w:color w:val="000000" w:themeColor="text1"/>
                <w14:textFill>
                  <w14:solidFill>
                    <w14:schemeClr w14:val="tx1"/>
                  </w14:solidFill>
                </w14:textFill>
              </w:rPr>
            </w:pPr>
          </w:p>
        </w:tc>
      </w:tr>
      <w:tr w14:paraId="31117F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21CF6B57">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72ED4524">
            <w:pPr>
              <w:pStyle w:val="143"/>
              <w:rPr>
                <w:snapToGrid w:val="0"/>
                <w:color w:val="000000" w:themeColor="text1"/>
                <w14:textFill>
                  <w14:solidFill>
                    <w14:schemeClr w14:val="tx1"/>
                  </w14:solidFill>
                </w14:textFill>
              </w:rPr>
            </w:pPr>
          </w:p>
        </w:tc>
        <w:tc>
          <w:tcPr>
            <w:tcW w:w="834" w:type="pct"/>
            <w:shd w:val="clear" w:color="auto" w:fill="auto"/>
            <w:vAlign w:val="center"/>
          </w:tcPr>
          <w:p w14:paraId="70862F13">
            <w:pPr>
              <w:pStyle w:val="143"/>
              <w:ind w:firstLine="0" w:firstLineChars="0"/>
              <w:rPr>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废机油</w:t>
            </w:r>
          </w:p>
        </w:tc>
        <w:tc>
          <w:tcPr>
            <w:tcW w:w="1898" w:type="pct"/>
            <w:vMerge w:val="continue"/>
            <w:shd w:val="clear" w:color="auto" w:fill="auto"/>
            <w:vAlign w:val="center"/>
          </w:tcPr>
          <w:p w14:paraId="5BFDDF9D">
            <w:pPr>
              <w:pStyle w:val="143"/>
              <w:rPr>
                <w:color w:val="000000" w:themeColor="text1"/>
                <w14:textFill>
                  <w14:solidFill>
                    <w14:schemeClr w14:val="tx1"/>
                  </w14:solidFill>
                </w14:textFill>
              </w:rPr>
            </w:pPr>
          </w:p>
        </w:tc>
        <w:tc>
          <w:tcPr>
            <w:tcW w:w="1641" w:type="pct"/>
            <w:vMerge w:val="continue"/>
            <w:shd w:val="clear" w:color="auto" w:fill="auto"/>
            <w:vAlign w:val="center"/>
          </w:tcPr>
          <w:p w14:paraId="20B81317">
            <w:pPr>
              <w:pStyle w:val="143"/>
              <w:rPr>
                <w:snapToGrid w:val="0"/>
                <w:color w:val="000000" w:themeColor="text1"/>
                <w14:textFill>
                  <w14:solidFill>
                    <w14:schemeClr w14:val="tx1"/>
                  </w14:solidFill>
                </w14:textFill>
              </w:rPr>
            </w:pPr>
          </w:p>
        </w:tc>
      </w:tr>
      <w:tr w14:paraId="44A0FC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6801AAC3">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4797D0D9">
            <w:pPr>
              <w:pStyle w:val="143"/>
              <w:rPr>
                <w:snapToGrid w:val="0"/>
                <w:color w:val="000000" w:themeColor="text1"/>
                <w14:textFill>
                  <w14:solidFill>
                    <w14:schemeClr w14:val="tx1"/>
                  </w14:solidFill>
                </w14:textFill>
              </w:rPr>
            </w:pPr>
          </w:p>
        </w:tc>
        <w:tc>
          <w:tcPr>
            <w:tcW w:w="834" w:type="pct"/>
            <w:shd w:val="clear" w:color="auto" w:fill="auto"/>
            <w:vAlign w:val="center"/>
          </w:tcPr>
          <w:p w14:paraId="0FFA7243">
            <w:pPr>
              <w:pStyle w:val="143"/>
              <w:ind w:firstLine="0" w:firstLineChars="0"/>
              <w:rPr>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废机油桶</w:t>
            </w:r>
          </w:p>
        </w:tc>
        <w:tc>
          <w:tcPr>
            <w:tcW w:w="1898" w:type="pct"/>
            <w:vMerge w:val="continue"/>
            <w:shd w:val="clear" w:color="auto" w:fill="auto"/>
            <w:vAlign w:val="center"/>
          </w:tcPr>
          <w:p w14:paraId="4575C35A">
            <w:pPr>
              <w:pStyle w:val="143"/>
              <w:rPr>
                <w:color w:val="000000" w:themeColor="text1"/>
                <w14:textFill>
                  <w14:solidFill>
                    <w14:schemeClr w14:val="tx1"/>
                  </w14:solidFill>
                </w14:textFill>
              </w:rPr>
            </w:pPr>
          </w:p>
        </w:tc>
        <w:tc>
          <w:tcPr>
            <w:tcW w:w="1641" w:type="pct"/>
            <w:vMerge w:val="continue"/>
            <w:shd w:val="clear" w:color="auto" w:fill="auto"/>
            <w:vAlign w:val="center"/>
          </w:tcPr>
          <w:p w14:paraId="774603E9">
            <w:pPr>
              <w:pStyle w:val="143"/>
              <w:rPr>
                <w:snapToGrid w:val="0"/>
                <w:color w:val="000000" w:themeColor="text1"/>
                <w14:textFill>
                  <w14:solidFill>
                    <w14:schemeClr w14:val="tx1"/>
                  </w14:solidFill>
                </w14:textFill>
              </w:rPr>
            </w:pPr>
          </w:p>
        </w:tc>
      </w:tr>
      <w:tr w14:paraId="3C12CF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31962100">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60DDD7AB">
            <w:pPr>
              <w:pStyle w:val="143"/>
              <w:rPr>
                <w:snapToGrid w:val="0"/>
                <w:color w:val="000000" w:themeColor="text1"/>
                <w14:textFill>
                  <w14:solidFill>
                    <w14:schemeClr w14:val="tx1"/>
                  </w14:solidFill>
                </w14:textFill>
              </w:rPr>
            </w:pPr>
          </w:p>
        </w:tc>
        <w:tc>
          <w:tcPr>
            <w:tcW w:w="834" w:type="pct"/>
            <w:shd w:val="clear" w:color="auto" w:fill="auto"/>
            <w:vAlign w:val="center"/>
          </w:tcPr>
          <w:p w14:paraId="044DAB54">
            <w:pPr>
              <w:pStyle w:val="143"/>
              <w:ind w:firstLine="0" w:firstLineChars="0"/>
              <w:rPr>
                <w:color w:val="000000" w:themeColor="text1"/>
                <w14:textFill>
                  <w14:solidFill>
                    <w14:schemeClr w14:val="tx1"/>
                  </w14:solidFill>
                </w14:textFill>
              </w:rPr>
            </w:pPr>
            <w:r>
              <w:rPr>
                <w:rFonts w:hint="eastAsia"/>
                <w:snapToGrid w:val="0"/>
                <w:color w:val="000000" w:themeColor="text1"/>
                <w:lang w:val="en-US" w:eastAsia="zh-CN"/>
                <w14:textFill>
                  <w14:solidFill>
                    <w14:schemeClr w14:val="tx1"/>
                  </w14:solidFill>
                </w14:textFill>
              </w:rPr>
              <w:t>废含油抹布手套</w:t>
            </w:r>
          </w:p>
        </w:tc>
        <w:tc>
          <w:tcPr>
            <w:tcW w:w="1898" w:type="pct"/>
            <w:vMerge w:val="continue"/>
            <w:shd w:val="clear" w:color="auto" w:fill="auto"/>
            <w:vAlign w:val="center"/>
          </w:tcPr>
          <w:p w14:paraId="44CFE2E6">
            <w:pPr>
              <w:pStyle w:val="143"/>
              <w:rPr>
                <w:color w:val="000000" w:themeColor="text1"/>
                <w14:textFill>
                  <w14:solidFill>
                    <w14:schemeClr w14:val="tx1"/>
                  </w14:solidFill>
                </w14:textFill>
              </w:rPr>
            </w:pPr>
          </w:p>
        </w:tc>
        <w:tc>
          <w:tcPr>
            <w:tcW w:w="1641" w:type="pct"/>
            <w:vMerge w:val="continue"/>
            <w:shd w:val="clear" w:color="auto" w:fill="auto"/>
            <w:vAlign w:val="center"/>
          </w:tcPr>
          <w:p w14:paraId="36BB3B48">
            <w:pPr>
              <w:pStyle w:val="143"/>
              <w:rPr>
                <w:snapToGrid w:val="0"/>
                <w:color w:val="000000" w:themeColor="text1"/>
                <w14:textFill>
                  <w14:solidFill>
                    <w14:schemeClr w14:val="tx1"/>
                  </w14:solidFill>
                </w14:textFill>
              </w:rPr>
            </w:pPr>
          </w:p>
        </w:tc>
      </w:tr>
      <w:tr w14:paraId="7E146E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263" w:type="pct"/>
            <w:vMerge w:val="continue"/>
            <w:shd w:val="clear" w:color="auto" w:fill="auto"/>
            <w:vAlign w:val="center"/>
          </w:tcPr>
          <w:p w14:paraId="3C846F87">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27D40702">
            <w:pPr>
              <w:pStyle w:val="143"/>
              <w:rPr>
                <w:snapToGrid w:val="0"/>
                <w:color w:val="000000" w:themeColor="text1"/>
                <w14:textFill>
                  <w14:solidFill>
                    <w14:schemeClr w14:val="tx1"/>
                  </w14:solidFill>
                </w14:textFill>
              </w:rPr>
            </w:pPr>
          </w:p>
        </w:tc>
        <w:tc>
          <w:tcPr>
            <w:tcW w:w="834" w:type="pct"/>
            <w:shd w:val="clear" w:color="auto" w:fill="auto"/>
            <w:vAlign w:val="center"/>
          </w:tcPr>
          <w:p w14:paraId="5AF8A4B4">
            <w:pPr>
              <w:pStyle w:val="143"/>
              <w:ind w:firstLine="0" w:firstLineChars="0"/>
              <w:rPr>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生活垃圾</w:t>
            </w:r>
          </w:p>
        </w:tc>
        <w:tc>
          <w:tcPr>
            <w:tcW w:w="5216" w:type="dxa"/>
            <w:shd w:val="clear" w:color="auto" w:fill="auto"/>
            <w:vAlign w:val="center"/>
          </w:tcPr>
          <w:p w14:paraId="32DAD813">
            <w:pPr>
              <w:pStyle w:val="143"/>
              <w:ind w:firstLine="0" w:firstLineChars="0"/>
              <w:rPr>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经垃圾桶收集暂存后委托环卫部门集中处理</w:t>
            </w:r>
          </w:p>
        </w:tc>
        <w:tc>
          <w:tcPr>
            <w:tcW w:w="1641" w:type="pct"/>
            <w:vMerge w:val="continue"/>
            <w:shd w:val="clear" w:color="auto" w:fill="auto"/>
            <w:vAlign w:val="center"/>
          </w:tcPr>
          <w:p w14:paraId="40AA8303">
            <w:pPr>
              <w:pStyle w:val="143"/>
              <w:rPr>
                <w:snapToGrid w:val="0"/>
                <w:color w:val="000000" w:themeColor="text1"/>
                <w14:textFill>
                  <w14:solidFill>
                    <w14:schemeClr w14:val="tx1"/>
                  </w14:solidFill>
                </w14:textFill>
              </w:rPr>
            </w:pPr>
          </w:p>
        </w:tc>
      </w:tr>
      <w:tr w14:paraId="43D401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3" w:type="pct"/>
            <w:vMerge w:val="continue"/>
            <w:shd w:val="clear" w:color="auto" w:fill="auto"/>
            <w:vAlign w:val="center"/>
          </w:tcPr>
          <w:p w14:paraId="7339962D">
            <w:pPr>
              <w:pStyle w:val="143"/>
              <w:rPr>
                <w:snapToGrid w:val="0"/>
                <w:color w:val="000000" w:themeColor="text1"/>
                <w14:textFill>
                  <w14:solidFill>
                    <w14:schemeClr w14:val="tx1"/>
                  </w14:solidFill>
                </w14:textFill>
              </w:rPr>
            </w:pPr>
          </w:p>
        </w:tc>
        <w:tc>
          <w:tcPr>
            <w:tcW w:w="362" w:type="pct"/>
            <w:vMerge w:val="continue"/>
            <w:shd w:val="clear" w:color="auto" w:fill="auto"/>
            <w:vAlign w:val="center"/>
          </w:tcPr>
          <w:p w14:paraId="29885754">
            <w:pPr>
              <w:pStyle w:val="143"/>
              <w:rPr>
                <w:snapToGrid w:val="0"/>
                <w:color w:val="000000" w:themeColor="text1"/>
                <w14:textFill>
                  <w14:solidFill>
                    <w14:schemeClr w14:val="tx1"/>
                  </w14:solidFill>
                </w14:textFill>
              </w:rPr>
            </w:pPr>
          </w:p>
        </w:tc>
        <w:tc>
          <w:tcPr>
            <w:tcW w:w="834" w:type="pct"/>
            <w:shd w:val="clear" w:color="auto" w:fill="auto"/>
            <w:vAlign w:val="center"/>
          </w:tcPr>
          <w:p w14:paraId="4FBB0B15">
            <w:pPr>
              <w:pStyle w:val="143"/>
              <w:ind w:firstLine="0" w:firstLineChars="0"/>
              <w:rPr>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餐厨废弃物</w:t>
            </w:r>
          </w:p>
        </w:tc>
        <w:tc>
          <w:tcPr>
            <w:tcW w:w="5216" w:type="dxa"/>
            <w:shd w:val="clear" w:color="auto" w:fill="auto"/>
            <w:vAlign w:val="center"/>
          </w:tcPr>
          <w:p w14:paraId="355C4B69">
            <w:pPr>
              <w:pStyle w:val="143"/>
              <w:ind w:firstLine="0" w:firstLineChars="0"/>
              <w:rPr>
                <w:color w:val="000000" w:themeColor="text1"/>
                <w14:textFill>
                  <w14:solidFill>
                    <w14:schemeClr w14:val="tx1"/>
                  </w14:solidFill>
                </w14:textFill>
              </w:rPr>
            </w:pPr>
            <w:r>
              <w:rPr>
                <w:rFonts w:hint="eastAsia"/>
                <w:snapToGrid w:val="0"/>
                <w:color w:val="000000" w:themeColor="text1"/>
                <w:kern w:val="0"/>
                <w:lang w:val="en-US" w:eastAsia="zh-CN"/>
                <w14:textFill>
                  <w14:solidFill>
                    <w14:schemeClr w14:val="tx1"/>
                  </w14:solidFill>
                </w14:textFill>
              </w:rPr>
              <w:t>集中收集，交由有资质单位处理</w:t>
            </w:r>
          </w:p>
        </w:tc>
        <w:tc>
          <w:tcPr>
            <w:tcW w:w="1641" w:type="pct"/>
            <w:vMerge w:val="continue"/>
            <w:shd w:val="clear" w:color="auto" w:fill="auto"/>
            <w:vAlign w:val="center"/>
          </w:tcPr>
          <w:p w14:paraId="6E8065FC">
            <w:pPr>
              <w:pStyle w:val="143"/>
              <w:rPr>
                <w:snapToGrid w:val="0"/>
                <w:color w:val="000000" w:themeColor="text1"/>
                <w14:textFill>
                  <w14:solidFill>
                    <w14:schemeClr w14:val="tx1"/>
                  </w14:solidFill>
                </w14:textFill>
              </w:rPr>
            </w:pPr>
          </w:p>
        </w:tc>
      </w:tr>
    </w:tbl>
    <w:p w14:paraId="76AFDBEA">
      <w:pPr>
        <w:pStyle w:val="143"/>
        <w:rPr>
          <w:snapToGrid w:val="0"/>
          <w:color w:val="000000" w:themeColor="text1"/>
          <w14:textFill>
            <w14:solidFill>
              <w14:schemeClr w14:val="tx1"/>
            </w14:solidFill>
          </w14:textFill>
        </w:rPr>
      </w:pPr>
    </w:p>
    <w:p w14:paraId="3A0561EB">
      <w:pPr>
        <w:spacing w:line="240" w:lineRule="auto"/>
        <w:ind w:firstLine="0" w:firstLineChars="0"/>
        <w:jc w:val="center"/>
        <w:rPr>
          <w:rFonts w:eastAsia="黑体"/>
          <w:snapToGrid w:val="0"/>
          <w:color w:val="000000" w:themeColor="text1"/>
          <w:kern w:val="0"/>
          <w:lang w:val="zh-CN" w:eastAsia="zh-CN"/>
          <w14:textFill>
            <w14:solidFill>
              <w14:schemeClr w14:val="tx1"/>
            </w14:solidFill>
          </w14:textFill>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pPr>
    </w:p>
    <w:bookmarkEnd w:id="396"/>
    <w:bookmarkEnd w:id="397"/>
    <w:bookmarkEnd w:id="398"/>
    <w:bookmarkEnd w:id="399"/>
    <w:bookmarkEnd w:id="400"/>
    <w:bookmarkEnd w:id="419"/>
    <w:bookmarkEnd w:id="420"/>
    <w:bookmarkEnd w:id="421"/>
    <w:p w14:paraId="327D95A7">
      <w:pPr>
        <w:pStyle w:val="5"/>
        <w:rPr>
          <w:snapToGrid w:val="0"/>
          <w:color w:val="000000" w:themeColor="text1"/>
          <w14:textFill>
            <w14:solidFill>
              <w14:schemeClr w14:val="tx1"/>
            </w14:solidFill>
          </w14:textFill>
        </w:rPr>
      </w:pPr>
      <w:bookmarkStart w:id="423" w:name="_Toc30617"/>
      <w:bookmarkStart w:id="424" w:name="_Toc480447686"/>
      <w:bookmarkStart w:id="425" w:name="_Toc277178465"/>
      <w:bookmarkStart w:id="426" w:name="_Toc255202340"/>
      <w:bookmarkStart w:id="427" w:name="_Toc255202323"/>
      <w:bookmarkStart w:id="428" w:name="_Toc277178450"/>
      <w:bookmarkStart w:id="429" w:name="_Toc456590420"/>
      <w:bookmarkStart w:id="430" w:name="_Toc346267817"/>
      <w:r>
        <w:rPr>
          <w:rFonts w:hint="eastAsia"/>
          <w:snapToGrid w:val="0"/>
          <w:color w:val="000000" w:themeColor="text1"/>
          <w14:textFill>
            <w14:solidFill>
              <w14:schemeClr w14:val="tx1"/>
            </w14:solidFill>
          </w14:textFill>
        </w:rPr>
        <w:t>8</w:t>
      </w:r>
      <w:r>
        <w:rPr>
          <w:snapToGrid w:val="0"/>
          <w:color w:val="000000" w:themeColor="text1"/>
          <w14:textFill>
            <w14:solidFill>
              <w14:schemeClr w14:val="tx1"/>
            </w14:solidFill>
          </w14:textFill>
        </w:rPr>
        <w:t>.4</w:t>
      </w:r>
      <w:r>
        <w:rPr>
          <w:rFonts w:hint="eastAsia"/>
          <w:snapToGrid w:val="0"/>
          <w:color w:val="000000" w:themeColor="text1"/>
          <w14:textFill>
            <w14:solidFill>
              <w14:schemeClr w14:val="tx1"/>
            </w14:solidFill>
          </w14:textFill>
        </w:rPr>
        <w:t>排污许可证制度衔接</w:t>
      </w:r>
      <w:bookmarkEnd w:id="423"/>
    </w:p>
    <w:p w14:paraId="5701D985">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目前我国正在推进排污许可制度改革工作。环保部也大力推进排污许可证制度，并作为“十三五”国家固定源环境管理的核心，《国务院办公厅关于印发控制污染物排放许可制实施方案的通知》（国办发[2016]81号）明确将排污许可制建设成为固定污染源环境管理的核心制度，作为企业守法、部门执法、社会监督的依据，为提高环境管理效能和改善环境质量奠定坚实基础。</w:t>
      </w:r>
    </w:p>
    <w:p w14:paraId="7D02BAC0">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国务院办公厅关于印发控制污染物排放许可制实施方案的通知》〔2016〕81号，（九）分步实现排污许可全覆盖，按行业分步实现对固定污染源的全覆盖，率先对火电、造纸行业企业核发排污许可证，2017年完成《大气污染防治行动计划》和《水污染防治行动计划》重点行业及产能过剩行业企业排污许可证核发，2020年全国基本完成排污许可证核发。</w:t>
      </w:r>
    </w:p>
    <w:p w14:paraId="6CC3461E">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应严格按照国家排污许可证改革的要求，推进刷卡排污及污染源“一证式”管理工作，并作为建设单位在生产运营期接受环境监管和环境保护部门实施监管的主要法律文书，单位依法申领排污许可证，按证排污，自证守法。环境保护部门基于企事业单位守法承诺，依法发放排污许可证，依证强化事中事后监管，对违法排污行为实施严厉打击。</w:t>
      </w:r>
    </w:p>
    <w:p w14:paraId="1A65DC2B">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关于做好环境影响评价制度与排污许可制衔接相关工作的通知》（环办环评[2017]84号），建设项目发生实际排污行为之前，排污单位应当按照国家环境保护相关法律法规以及排污许可证申请与核发技术规范要求申请排污许可证，不得无证排污或不按证排污。环境影响报告书（表）2015年1月1日（含）后获得批准的建设项目，其环境影响报告书（表）以及审批文件中与污染物排放相关的主要内容应当纳入排污许可证。为此，下阶段应将项目建设内容、产品方案、建设规模，采用的工艺流程、工艺技术方案，污染预防和清洁生产措施，环保设施和治理措施，各类污染物排放总量，在线监测和自主监测要求，环境安全防范措施，环境应急体系和应急设施等，全部按装置、设施载入排污许可证，具体内容详见报告书各章节。企业在设计，建设和运营过程中，需按照许可证管理要求进行监测和申报，自证守法；许可证内容发生变更应进行申报，重大变更应重新环评和申请许可证变更。环保管理部门对许可证内容进行定期和不定期的监督核查。</w:t>
      </w:r>
    </w:p>
    <w:p w14:paraId="50BC2D6B">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根据《排污许可管理办法》（生态环境部令第32号）第三条：依照法律规定实行排污许可管理的企业事业单位和其他生产经营者（以下简称排污单位），应当依法申请取得排污许可证，并按照排污许可证的规定排放污染物；未取得排污许可证的，不得排放污染物。依法需要填报排污登记表的企业事业单位和其他生产经营者（以下简称排污登记单位），应当在全国排污许可证管理信息平台进行排污登记。</w:t>
      </w:r>
    </w:p>
    <w:p w14:paraId="2810299C">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第三十五条 实行排污许可重点管理的排污单位，应当依法安装、使用、维护污染物排放自动监测设备，并与生态环境主管部门的监控设备联网。</w:t>
      </w:r>
    </w:p>
    <w:p w14:paraId="6BC48A1A">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排污单位发现污染物排放自动监测设备传输数据异常的，应当及时报告生态环境主管部门，并进行检查、修复。</w:t>
      </w:r>
    </w:p>
    <w:p w14:paraId="14D62B55">
      <w:pPr>
        <w:pStyle w:val="85"/>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本项目</w:t>
      </w:r>
      <w:r>
        <w:rPr>
          <w:rFonts w:hint="eastAsia"/>
          <w:snapToGrid w:val="0"/>
          <w:color w:val="000000" w:themeColor="text1"/>
          <w:lang w:val="en-US" w:eastAsia="zh-CN"/>
          <w14:textFill>
            <w14:solidFill>
              <w14:schemeClr w14:val="tx1"/>
            </w14:solidFill>
          </w14:textFill>
        </w:rPr>
        <w:t>应</w:t>
      </w:r>
      <w:r>
        <w:rPr>
          <w:snapToGrid w:val="0"/>
          <w:color w:val="000000" w:themeColor="text1"/>
          <w14:textFill>
            <w14:solidFill>
              <w14:schemeClr w14:val="tx1"/>
            </w14:solidFill>
          </w14:textFill>
        </w:rPr>
        <w:t>严格按照国家排污许可证改革的要求，推进刷卡排污及污染源“一证式”管理工作，并作为建设单位在生产运营期接受环境监管和环境保护部门实施监管的主要法律文书。环境保护部门基于企事业单位守法承诺，依法发放排污许可证，依证强化事中事后监管，对违法排污行为实施严厉打击。</w:t>
      </w:r>
    </w:p>
    <w:p w14:paraId="44E43C78">
      <w:pPr>
        <w:pStyle w:val="85"/>
        <w:rPr>
          <w:color w:val="000000" w:themeColor="text1"/>
          <w14:textFill>
            <w14:solidFill>
              <w14:schemeClr w14:val="tx1"/>
            </w14:solidFill>
          </w14:textFill>
        </w:rPr>
      </w:pPr>
      <w:r>
        <w:rPr>
          <w:snapToGrid w:val="0"/>
          <w:color w:val="000000" w:themeColor="text1"/>
          <w14:textFill>
            <w14:solidFill>
              <w14:schemeClr w14:val="tx1"/>
            </w14:solidFill>
          </w14:textFill>
        </w:rPr>
        <w:t>企业在运营过程中，需按照许可证管理要求进行监测和申报，自证守法；许可证内容发生变更应进行申报，重大变更应重新申请许可证变更。环保管理部门对许可证内容进行定期和不定期的监督核查</w:t>
      </w:r>
      <w:r>
        <w:rPr>
          <w:color w:val="000000" w:themeColor="text1"/>
          <w14:textFill>
            <w14:solidFill>
              <w14:schemeClr w14:val="tx1"/>
            </w14:solidFill>
          </w14:textFill>
        </w:rPr>
        <w:t>。</w:t>
      </w:r>
    </w:p>
    <w:p w14:paraId="67B1CCB7">
      <w:pPr>
        <w:pStyle w:val="5"/>
        <w:rPr>
          <w:color w:val="000000" w:themeColor="text1"/>
          <w14:textFill>
            <w14:solidFill>
              <w14:schemeClr w14:val="tx1"/>
            </w14:solidFill>
          </w14:textFill>
        </w:rPr>
      </w:pPr>
      <w:bookmarkStart w:id="431" w:name="_Toc3195"/>
      <w:r>
        <w:rPr>
          <w:rFonts w:hint="eastAsia"/>
          <w:color w:val="000000" w:themeColor="text1"/>
          <w14:textFill>
            <w14:solidFill>
              <w14:schemeClr w14:val="tx1"/>
            </w14:solidFill>
          </w14:textFill>
        </w:rPr>
        <w:t>8</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总量控制</w:t>
      </w:r>
      <w:bookmarkEnd w:id="431"/>
    </w:p>
    <w:p w14:paraId="6FFCFA97">
      <w:pPr>
        <w:pStyle w:val="6"/>
        <w:rPr>
          <w:color w:val="000000" w:themeColor="text1"/>
          <w14:textFill>
            <w14:solidFill>
              <w14:schemeClr w14:val="tx1"/>
            </w14:solidFill>
          </w14:textFill>
        </w:rPr>
      </w:pPr>
      <w:bookmarkStart w:id="432" w:name="_Toc28898"/>
      <w:r>
        <w:rPr>
          <w:rFonts w:hint="eastAsia"/>
          <w:color w:val="000000" w:themeColor="text1"/>
          <w14:textFill>
            <w14:solidFill>
              <w14:schemeClr w14:val="tx1"/>
            </w14:solidFill>
          </w14:textFill>
        </w:rPr>
        <w:t>8</w:t>
      </w:r>
      <w:r>
        <w:rPr>
          <w:color w:val="000000" w:themeColor="text1"/>
          <w14:textFill>
            <w14:solidFill>
              <w14:schemeClr w14:val="tx1"/>
            </w14:solidFill>
          </w14:textFill>
        </w:rPr>
        <w:t>.5.</w:t>
      </w:r>
      <w:r>
        <w:rPr>
          <w:rFonts w:hint="eastAsia"/>
          <w:color w:val="000000" w:themeColor="text1"/>
          <w:lang w:val="en-US" w:eastAsia="zh-CN"/>
          <w14:textFill>
            <w14:solidFill>
              <w14:schemeClr w14:val="tx1"/>
            </w14:solidFill>
          </w14:textFill>
        </w:rPr>
        <w:t>1</w:t>
      </w:r>
      <w:r>
        <w:rPr>
          <w:rFonts w:hint="eastAsia"/>
          <w:color w:val="000000" w:themeColor="text1"/>
          <w14:textFill>
            <w14:solidFill>
              <w14:schemeClr w14:val="tx1"/>
            </w14:solidFill>
          </w14:textFill>
        </w:rPr>
        <w:t>总量控制的意义和原则</w:t>
      </w:r>
      <w:bookmarkEnd w:id="432"/>
    </w:p>
    <w:p w14:paraId="5726565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实施总量控制将促进资源、能源的合量利用和优化配置，加速产业结构的调整，实现经济增长方式的根本转变；实施总量控制可以较好地协调经济发展与环境保护之间的关系，推动可持续发展战略的实行。</w:t>
      </w:r>
    </w:p>
    <w:p w14:paraId="79244657">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本工程属于啤酒生产项目，总量控制应以</w:t>
      </w:r>
      <w:r>
        <w:rPr>
          <w:rFonts w:hint="eastAsia"/>
          <w:color w:val="000000" w:themeColor="text1"/>
          <w:lang w:eastAsia="zh-CN"/>
          <w14:textFill>
            <w14:solidFill>
              <w14:schemeClr w14:val="tx1"/>
            </w14:solidFill>
          </w14:textFill>
        </w:rPr>
        <w:t>佳木斯市</w:t>
      </w:r>
      <w:r>
        <w:rPr>
          <w:rFonts w:hint="eastAsia"/>
          <w:color w:val="000000" w:themeColor="text1"/>
          <w14:textFill>
            <w14:solidFill>
              <w14:schemeClr w14:val="tx1"/>
            </w14:solidFill>
          </w14:textFill>
        </w:rPr>
        <w:t>总量控制规划为目标，将本工程投产后排放的污染物总量纳入其总量控制规划中，通过区域调整平衡，实现</w:t>
      </w:r>
      <w:r>
        <w:rPr>
          <w:rFonts w:hint="eastAsia"/>
          <w:color w:val="000000" w:themeColor="text1"/>
          <w:lang w:eastAsia="zh-CN"/>
          <w14:textFill>
            <w14:solidFill>
              <w14:schemeClr w14:val="tx1"/>
            </w14:solidFill>
          </w14:textFill>
        </w:rPr>
        <w:t>佳木斯市</w:t>
      </w:r>
      <w:r>
        <w:rPr>
          <w:rFonts w:hint="eastAsia"/>
          <w:color w:val="000000" w:themeColor="text1"/>
          <w14:textFill>
            <w14:solidFill>
              <w14:schemeClr w14:val="tx1"/>
            </w14:solidFill>
          </w14:textFill>
        </w:rPr>
        <w:t>污染物排放总量控制的目标。</w:t>
      </w:r>
    </w:p>
    <w:p w14:paraId="783E1827">
      <w:pPr>
        <w:pStyle w:val="6"/>
        <w:rPr>
          <w:color w:val="000000" w:themeColor="text1"/>
          <w14:textFill>
            <w14:solidFill>
              <w14:schemeClr w14:val="tx1"/>
            </w14:solidFill>
          </w14:textFill>
        </w:rPr>
      </w:pPr>
      <w:bookmarkStart w:id="433" w:name="_Toc52"/>
      <w:r>
        <w:rPr>
          <w:rFonts w:hint="eastAsia"/>
          <w:color w:val="000000" w:themeColor="text1"/>
          <w14:textFill>
            <w14:solidFill>
              <w14:schemeClr w14:val="tx1"/>
            </w14:solidFill>
          </w14:textFill>
        </w:rPr>
        <w:t>8.5.</w:t>
      </w: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总量控制因子</w:t>
      </w:r>
      <w:bookmarkEnd w:id="433"/>
    </w:p>
    <w:p w14:paraId="3CDD664B">
      <w:pPr>
        <w:pStyle w:val="85"/>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（1）水污染物总量控制指标</w:t>
      </w:r>
    </w:p>
    <w:p w14:paraId="0C870F61">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本项目年</w:t>
      </w:r>
      <w:r>
        <w:rPr>
          <w:rFonts w:hint="eastAsia"/>
          <w:color w:val="000000" w:themeColor="text1"/>
          <w:lang w:val="en-US" w:eastAsia="zh-CN"/>
          <w14:textFill>
            <w14:solidFill>
              <w14:schemeClr w14:val="tx1"/>
            </w14:solidFill>
          </w14:textFill>
        </w:rPr>
        <w:t>产</w:t>
      </w:r>
      <w:r>
        <w:rPr>
          <w:rFonts w:hint="eastAsia"/>
          <w:color w:val="000000" w:themeColor="text1"/>
          <w14:textFill>
            <w14:solidFill>
              <w14:schemeClr w14:val="tx1"/>
            </w14:solidFill>
          </w14:textFill>
        </w:rPr>
        <w:t>啤酒产能为</w:t>
      </w:r>
      <w:r>
        <w:rPr>
          <w:color w:val="000000" w:themeColor="text1"/>
          <w14:textFill>
            <w14:solidFill>
              <w14:schemeClr w14:val="tx1"/>
            </w14:solidFill>
          </w14:textFill>
        </w:rPr>
        <w:t>3</w:t>
      </w:r>
      <w:r>
        <w:rPr>
          <w:rFonts w:hint="eastAsia"/>
          <w:color w:val="000000" w:themeColor="text1"/>
          <w:lang w:val="en-US" w:eastAsia="zh-CN"/>
          <w14:textFill>
            <w14:solidFill>
              <w14:schemeClr w14:val="tx1"/>
            </w14:solidFill>
          </w14:textFill>
        </w:rPr>
        <w:t>0</w:t>
      </w:r>
      <w:r>
        <w:rPr>
          <w:color w:val="000000" w:themeColor="text1"/>
          <w14:textFill>
            <w14:solidFill>
              <w14:schemeClr w14:val="tx1"/>
            </w14:solidFill>
          </w14:textFill>
        </w:rPr>
        <w:t>000kL</w:t>
      </w:r>
      <w:r>
        <w:rPr>
          <w:rFonts w:hint="eastAsia"/>
          <w:color w:val="000000" w:themeColor="text1"/>
          <w14:textFill>
            <w14:solidFill>
              <w14:schemeClr w14:val="tx1"/>
            </w14:solidFill>
          </w14:textFill>
        </w:rPr>
        <w:t>。根据《排污许可证申请与核发技术规范—酒、饮料制造工业》（HJ1028-2019），啤酒制造工业排污单位依据单位产品的水污染物排放量限值和产品产能核定，计算公式如下式所示。酒类制造业水污染物排放标准发布后或地方有更严格排放标准要求的，分别按公式（1）和公式（2）核算，从严确定。</w:t>
      </w:r>
    </w:p>
    <w:p w14:paraId="0C1B2C53">
      <w:pPr>
        <w:pStyle w:val="85"/>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D </w:t>
      </w:r>
      <w:r>
        <w:rPr>
          <w:color w:val="000000" w:themeColor="text1"/>
          <w:vertAlign w:val="subscript"/>
          <w14:textFill>
            <w14:solidFill>
              <w14:schemeClr w14:val="tx1"/>
            </w14:solidFill>
          </w14:textFill>
        </w:rPr>
        <w:t>j</w:t>
      </w:r>
      <w:r>
        <w:rPr>
          <w:color w:val="000000" w:themeColor="text1"/>
          <w14:textFill>
            <w14:solidFill>
              <w14:schemeClr w14:val="tx1"/>
            </w14:solidFill>
          </w14:textFill>
        </w:rPr>
        <w:t>=S ×</w:t>
      </w:r>
      <w:r>
        <w:rPr>
          <w:rFonts w:hint="eastAsia"/>
          <w:color w:val="000000" w:themeColor="text1"/>
          <w14:textFill>
            <w14:solidFill>
              <w14:schemeClr w14:val="tx1"/>
            </w14:solidFill>
          </w14:textFill>
        </w:rPr>
        <w:t>P</w:t>
      </w:r>
      <w:r>
        <w:rPr>
          <w:color w:val="000000" w:themeColor="text1"/>
          <w14:textFill>
            <w14:solidFill>
              <w14:schemeClr w14:val="tx1"/>
            </w14:solidFill>
          </w14:textFill>
        </w:rPr>
        <w:t xml:space="preserve"> </w:t>
      </w:r>
      <w:r>
        <w:rPr>
          <w:color w:val="000000" w:themeColor="text1"/>
          <w:vertAlign w:val="subscript"/>
          <w14:textFill>
            <w14:solidFill>
              <w14:schemeClr w14:val="tx1"/>
            </w14:solidFill>
          </w14:textFill>
        </w:rPr>
        <w:t>j</w:t>
      </w:r>
      <w:r>
        <w:rPr>
          <w:color w:val="000000" w:themeColor="text1"/>
          <w14:textFill>
            <w14:solidFill>
              <w14:schemeClr w14:val="tx1"/>
            </w14:solidFill>
          </w14:textFill>
        </w:rPr>
        <w:t>×10</w:t>
      </w:r>
      <w:r>
        <w:rPr>
          <w:color w:val="000000" w:themeColor="text1"/>
          <w:vertAlign w:val="superscript"/>
          <w14:textFill>
            <w14:solidFill>
              <w14:schemeClr w14:val="tx1"/>
            </w14:solidFill>
          </w14:textFill>
        </w:rPr>
        <w:t>-6</w:t>
      </w:r>
    </w:p>
    <w:p w14:paraId="2FE75412">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式中</w:t>
      </w:r>
      <w:r>
        <w:rPr>
          <w:color w:val="000000" w:themeColor="text1"/>
          <w14:textFill>
            <w14:solidFill>
              <w14:schemeClr w14:val="tx1"/>
            </w14:solidFill>
          </w14:textFill>
        </w:rPr>
        <w:t xml:space="preserve">D </w:t>
      </w:r>
      <w:r>
        <w:rPr>
          <w:color w:val="000000" w:themeColor="text1"/>
          <w:vertAlign w:val="subscript"/>
          <w14:textFill>
            <w14:solidFill>
              <w14:schemeClr w14:val="tx1"/>
            </w14:solidFill>
          </w14:textFill>
        </w:rPr>
        <w:t>j</w:t>
      </w:r>
      <w:r>
        <w:rPr>
          <w:rFonts w:hint="eastAsia"/>
          <w:color w:val="000000" w:themeColor="text1"/>
          <w14:textFill>
            <w14:solidFill>
              <w14:schemeClr w14:val="tx1"/>
            </w14:solidFill>
          </w14:textFill>
        </w:rPr>
        <w:t>—排污单位废水第</w:t>
      </w:r>
      <w:r>
        <w:rPr>
          <w:color w:val="000000" w:themeColor="text1"/>
          <w14:textFill>
            <w14:solidFill>
              <w14:schemeClr w14:val="tx1"/>
            </w14:solidFill>
          </w14:textFill>
        </w:rPr>
        <w:t xml:space="preserve"> j </w:t>
      </w:r>
      <w:r>
        <w:rPr>
          <w:rFonts w:hint="eastAsia"/>
          <w:color w:val="000000" w:themeColor="text1"/>
          <w14:textFill>
            <w14:solidFill>
              <w14:schemeClr w14:val="tx1"/>
            </w14:solidFill>
          </w14:textFill>
        </w:rPr>
        <w:t>项水污染物的年许可排放量，</w:t>
      </w:r>
      <w:r>
        <w:rPr>
          <w:color w:val="000000" w:themeColor="text1"/>
          <w14:textFill>
            <w14:solidFill>
              <w14:schemeClr w14:val="tx1"/>
            </w14:solidFill>
          </w14:textFill>
        </w:rPr>
        <w:t>t/a</w:t>
      </w:r>
      <w:r>
        <w:rPr>
          <w:rFonts w:hint="eastAsia"/>
          <w:color w:val="000000" w:themeColor="text1"/>
          <w14:textFill>
            <w14:solidFill>
              <w14:schemeClr w14:val="tx1"/>
            </w14:solidFill>
          </w14:textFill>
        </w:rPr>
        <w:t>；</w:t>
      </w:r>
    </w:p>
    <w:p w14:paraId="4F4E1240">
      <w:pPr>
        <w:pStyle w:val="85"/>
        <w:rPr>
          <w:color w:val="000000" w:themeColor="text1"/>
          <w14:textFill>
            <w14:solidFill>
              <w14:schemeClr w14:val="tx1"/>
            </w14:solidFill>
          </w14:textFill>
        </w:rPr>
      </w:pPr>
      <w:r>
        <w:rPr>
          <w:color w:val="000000" w:themeColor="text1"/>
          <w14:textFill>
            <w14:solidFill>
              <w14:schemeClr w14:val="tx1"/>
            </w14:solidFill>
          </w14:textFill>
        </w:rPr>
        <w:t xml:space="preserve">S </w:t>
      </w:r>
      <w:r>
        <w:rPr>
          <w:rFonts w:hint="eastAsia"/>
          <w:color w:val="000000" w:themeColor="text1"/>
          <w14:textFill>
            <w14:solidFill>
              <w14:schemeClr w14:val="tx1"/>
            </w14:solidFill>
          </w14:textFill>
        </w:rPr>
        <w:t>—排污单位年生产产品产能，酒的单位为kL/a；麦芽的单位为 t/a。</w:t>
      </w:r>
    </w:p>
    <w:p w14:paraId="7057BA48">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P</w:t>
      </w:r>
      <w:r>
        <w:rPr>
          <w:color w:val="000000" w:themeColor="text1"/>
          <w14:textFill>
            <w14:solidFill>
              <w14:schemeClr w14:val="tx1"/>
            </w14:solidFill>
          </w14:textFill>
        </w:rPr>
        <w:t xml:space="preserve"> </w:t>
      </w:r>
      <w:r>
        <w:rPr>
          <w:color w:val="000000" w:themeColor="text1"/>
          <w:vertAlign w:val="subscript"/>
          <w14:textFill>
            <w14:solidFill>
              <w14:schemeClr w14:val="tx1"/>
            </w14:solidFill>
          </w14:textFill>
        </w:rPr>
        <w:t>j</w:t>
      </w:r>
      <w:r>
        <w:rPr>
          <w:rFonts w:hint="eastAsia"/>
          <w:color w:val="000000" w:themeColor="text1"/>
          <w14:textFill>
            <w14:solidFill>
              <w14:schemeClr w14:val="tx1"/>
            </w14:solidFill>
          </w14:textFill>
        </w:rPr>
        <w:t>—单位产品的水污染物排放量限值，酒的单位为 g/kL 产品，麦芽的单位为 g/t 产品，按照 6-1核算。</w:t>
      </w:r>
    </w:p>
    <w:p w14:paraId="0E28E7C0">
      <w:pPr>
        <w:pStyle w:val="143"/>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5268595" cy="1792605"/>
            <wp:effectExtent l="0" t="0" r="8255" b="17145"/>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pic:cNvPicPr>
                      <a:picLocks noChangeAspect="1"/>
                    </pic:cNvPicPr>
                  </pic:nvPicPr>
                  <pic:blipFill>
                    <a:blip r:embed="rId127">
                      <a:extLst>
                        <a:ext uri="{28A0092B-C50C-407E-A947-70E740481C1C}">
                          <a14:useLocalDpi xmlns:a14="http://schemas.microsoft.com/office/drawing/2010/main" val="0"/>
                        </a:ext>
                      </a:extLst>
                    </a:blip>
                    <a:srcRect b="45210"/>
                    <a:stretch>
                      <a:fillRect/>
                    </a:stretch>
                  </pic:blipFill>
                  <pic:spPr>
                    <a:xfrm>
                      <a:off x="0" y="0"/>
                      <a:ext cx="5268595" cy="1793174"/>
                    </a:xfrm>
                    <a:prstGeom prst="rect">
                      <a:avLst/>
                    </a:prstGeom>
                    <a:noFill/>
                    <a:ln>
                      <a:noFill/>
                    </a:ln>
                  </pic:spPr>
                </pic:pic>
              </a:graphicData>
            </a:graphic>
          </wp:inline>
        </w:drawing>
      </w:r>
    </w:p>
    <w:p w14:paraId="4A142DA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经计算，本项目废水总量指标核算如下：</w:t>
      </w:r>
    </w:p>
    <w:p w14:paraId="214A1987">
      <w:pPr>
        <w:pStyle w:val="85"/>
        <w:rPr>
          <w:color w:val="000000" w:themeColor="text1"/>
          <w14:textFill>
            <w14:solidFill>
              <w14:schemeClr w14:val="tx1"/>
            </w14:solidFill>
          </w14:textFill>
        </w:rPr>
      </w:pPr>
      <w:r>
        <w:rPr>
          <w:color w:val="000000" w:themeColor="text1"/>
          <w14:textFill>
            <w14:solidFill>
              <w14:schemeClr w14:val="tx1"/>
            </w14:solidFill>
          </w14:textFill>
        </w:rPr>
        <w:t>D</w:t>
      </w:r>
      <w:r>
        <w:rPr>
          <w:color w:val="000000" w:themeColor="text1"/>
          <w:vertAlign w:val="subscript"/>
          <w14:textFill>
            <w14:solidFill>
              <w14:schemeClr w14:val="tx1"/>
            </w14:solidFill>
          </w14:textFill>
        </w:rPr>
        <w:t>COD</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3500g/kL</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rFonts w:hint="eastAsia"/>
          <w:color w:val="000000" w:themeColor="text1"/>
          <w:lang w:val="en-US" w:eastAsia="zh-CN"/>
          <w14:textFill>
            <w14:solidFill>
              <w14:schemeClr w14:val="tx1"/>
            </w14:solidFill>
          </w14:textFill>
        </w:rPr>
        <w:t>0</w:t>
      </w:r>
      <w:r>
        <w:rPr>
          <w:rFonts w:hint="eastAsia"/>
          <w:color w:val="000000" w:themeColor="text1"/>
          <w14:textFill>
            <w14:solidFill>
              <w14:schemeClr w14:val="tx1"/>
            </w14:solidFill>
          </w14:textFill>
        </w:rPr>
        <w:t>000kL/a</w:t>
      </w:r>
      <w:r>
        <w:rPr>
          <w:color w:val="000000" w:themeColor="text1"/>
          <w14:textFill>
            <w14:solidFill>
              <w14:schemeClr w14:val="tx1"/>
            </w14:solidFill>
          </w14:textFill>
        </w:rPr>
        <w:t>×10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05</w:t>
      </w:r>
      <w:r>
        <w:rPr>
          <w:color w:val="000000" w:themeColor="text1"/>
          <w14:textFill>
            <w14:solidFill>
              <w14:schemeClr w14:val="tx1"/>
            </w14:solidFill>
          </w14:textFill>
        </w:rPr>
        <w:t>t/a</w:t>
      </w:r>
    </w:p>
    <w:p w14:paraId="5AFA6602">
      <w:pPr>
        <w:pStyle w:val="85"/>
        <w:rPr>
          <w:color w:val="000000" w:themeColor="text1"/>
          <w14:textFill>
            <w14:solidFill>
              <w14:schemeClr w14:val="tx1"/>
            </w14:solidFill>
          </w14:textFill>
        </w:rPr>
      </w:pPr>
      <w:r>
        <w:rPr>
          <w:color w:val="000000" w:themeColor="text1"/>
          <w14:textFill>
            <w14:solidFill>
              <w14:schemeClr w14:val="tx1"/>
            </w14:solidFill>
          </w14:textFill>
        </w:rPr>
        <w:t>D</w:t>
      </w:r>
      <w:r>
        <w:rPr>
          <w:rFonts w:hint="eastAsia"/>
          <w:color w:val="000000" w:themeColor="text1"/>
          <w:vertAlign w:val="subscript"/>
          <w14:textFill>
            <w14:solidFill>
              <w14:schemeClr w14:val="tx1"/>
            </w14:solidFill>
          </w14:textFill>
        </w:rPr>
        <w:t>氨氮</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315</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g/kL</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rFonts w:hint="eastAsia"/>
          <w:color w:val="000000" w:themeColor="text1"/>
          <w:lang w:val="en-US" w:eastAsia="zh-CN"/>
          <w14:textFill>
            <w14:solidFill>
              <w14:schemeClr w14:val="tx1"/>
            </w14:solidFill>
          </w14:textFill>
        </w:rPr>
        <w:t>0</w:t>
      </w:r>
      <w:r>
        <w:rPr>
          <w:rFonts w:hint="eastAsia"/>
          <w:color w:val="000000" w:themeColor="text1"/>
          <w14:textFill>
            <w14:solidFill>
              <w14:schemeClr w14:val="tx1"/>
            </w14:solidFill>
          </w14:textFill>
        </w:rPr>
        <w:t>000kL/a</w:t>
      </w:r>
      <w:r>
        <w:rPr>
          <w:color w:val="000000" w:themeColor="text1"/>
          <w14:textFill>
            <w14:solidFill>
              <w14:schemeClr w14:val="tx1"/>
            </w14:solidFill>
          </w14:textFill>
        </w:rPr>
        <w:t>×10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9.45</w:t>
      </w:r>
      <w:r>
        <w:rPr>
          <w:color w:val="000000" w:themeColor="text1"/>
          <w14:textFill>
            <w14:solidFill>
              <w14:schemeClr w14:val="tx1"/>
            </w14:solidFill>
          </w14:textFill>
        </w:rPr>
        <w:t>t/a</w:t>
      </w:r>
    </w:p>
    <w:p w14:paraId="086DBFEA">
      <w:pPr>
        <w:pStyle w:val="85"/>
        <w:rPr>
          <w:color w:val="000000" w:themeColor="text1"/>
          <w14:textFill>
            <w14:solidFill>
              <w14:schemeClr w14:val="tx1"/>
            </w14:solidFill>
          </w14:textFill>
        </w:rPr>
      </w:pPr>
      <w:r>
        <w:rPr>
          <w:color w:val="000000" w:themeColor="text1"/>
          <w14:textFill>
            <w14:solidFill>
              <w14:schemeClr w14:val="tx1"/>
            </w14:solidFill>
          </w14:textFill>
        </w:rPr>
        <w:t>（2）大气污染物总量控制指标</w:t>
      </w:r>
    </w:p>
    <w:p w14:paraId="25AF02C4">
      <w:pPr>
        <w:pStyle w:val="85"/>
        <w:rPr>
          <w:color w:val="000000" w:themeColor="text1"/>
          <w14:textFill>
            <w14:solidFill>
              <w14:schemeClr w14:val="tx1"/>
            </w14:solidFill>
          </w14:textFill>
        </w:rPr>
      </w:pPr>
      <w:r>
        <w:rPr>
          <w:color w:val="000000" w:themeColor="text1"/>
          <w14:textFill>
            <w14:solidFill>
              <w14:schemeClr w14:val="tx1"/>
            </w14:solidFill>
          </w14:textFill>
        </w:rPr>
        <w:t>根据《排污许可证申请与核发技术规范 锅炉》（HJ 953-2018）</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单台出力 10 吨/小时（7 兆瓦）以下且合计出力 20 吨/小时（14 兆瓦）以下锅炉排污单位的所有有组织排放口为一般排放口。本项目设置3台4t/h蒸汽锅炉，故本项目锅炉烟囱属于</w:t>
      </w:r>
      <w:r>
        <w:rPr>
          <w:color w:val="000000" w:themeColor="text1"/>
          <w14:textFill>
            <w14:solidFill>
              <w14:schemeClr w14:val="tx1"/>
            </w14:solidFill>
          </w14:textFill>
        </w:rPr>
        <w:t>一般排放口。</w:t>
      </w:r>
      <w:r>
        <w:rPr>
          <w:rFonts w:hint="eastAsia"/>
          <w:color w:val="000000" w:themeColor="text1"/>
          <w:lang w:val="en-US" w:eastAsia="zh-CN"/>
          <w14:textFill>
            <w14:solidFill>
              <w14:schemeClr w14:val="tx1"/>
            </w14:solidFill>
          </w14:textFill>
        </w:rPr>
        <w:t>一般排放口不设置许可排放量要求，仅许可排放浓度</w:t>
      </w:r>
      <w:r>
        <w:rPr>
          <w:rFonts w:hint="eastAsia"/>
          <w:color w:val="000000" w:themeColor="text1"/>
          <w14:textFill>
            <w14:solidFill>
              <w14:schemeClr w14:val="tx1"/>
            </w14:solidFill>
          </w14:textFill>
        </w:rPr>
        <w:t>。</w:t>
      </w:r>
    </w:p>
    <w:p w14:paraId="68AB81CC">
      <w:pPr>
        <w:pStyle w:val="85"/>
        <w:rPr>
          <w:color w:val="000000" w:themeColor="text1"/>
          <w14:textFill>
            <w14:solidFill>
              <w14:schemeClr w14:val="tx1"/>
            </w14:solidFill>
          </w14:textFill>
        </w:rPr>
      </w:pPr>
    </w:p>
    <w:p w14:paraId="11AF74D8">
      <w:pPr>
        <w:pStyle w:val="85"/>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163A3CD9">
      <w:pPr>
        <w:pStyle w:val="4"/>
        <w:rPr>
          <w:snapToGrid w:val="0"/>
          <w:color w:val="000000" w:themeColor="text1"/>
          <w14:textFill>
            <w14:solidFill>
              <w14:schemeClr w14:val="tx1"/>
            </w14:solidFill>
          </w14:textFill>
        </w:rPr>
      </w:pPr>
      <w:bookmarkStart w:id="434" w:name="_Toc27546"/>
      <w:r>
        <w:rPr>
          <w:snapToGrid w:val="0"/>
          <w:color w:val="000000" w:themeColor="text1"/>
          <w14:textFill>
            <w14:solidFill>
              <w14:schemeClr w14:val="tx1"/>
            </w14:solidFill>
          </w14:textFill>
        </w:rPr>
        <w:t>9</w:t>
      </w:r>
      <w:bookmarkEnd w:id="424"/>
      <w:bookmarkEnd w:id="425"/>
      <w:bookmarkEnd w:id="426"/>
      <w:r>
        <w:rPr>
          <w:rFonts w:hint="eastAsia"/>
          <w:snapToGrid w:val="0"/>
          <w:color w:val="000000" w:themeColor="text1"/>
          <w14:textFill>
            <w14:solidFill>
              <w14:schemeClr w14:val="tx1"/>
            </w14:solidFill>
          </w14:textFill>
        </w:rPr>
        <w:t>环境影响评价结论</w:t>
      </w:r>
      <w:bookmarkEnd w:id="434"/>
    </w:p>
    <w:p w14:paraId="533D05E1">
      <w:pPr>
        <w:pStyle w:val="5"/>
        <w:rPr>
          <w:snapToGrid w:val="0"/>
          <w:color w:val="000000" w:themeColor="text1"/>
          <w14:textFill>
            <w14:solidFill>
              <w14:schemeClr w14:val="tx1"/>
            </w14:solidFill>
          </w14:textFill>
        </w:rPr>
      </w:pPr>
      <w:bookmarkStart w:id="435" w:name="_Toc415146736"/>
      <w:bookmarkStart w:id="436" w:name="_Toc480447687"/>
      <w:bookmarkStart w:id="437" w:name="_Toc12423"/>
      <w:r>
        <w:rPr>
          <w:snapToGrid w:val="0"/>
          <w:color w:val="000000" w:themeColor="text1"/>
          <w14:textFill>
            <w14:solidFill>
              <w14:schemeClr w14:val="tx1"/>
            </w14:solidFill>
          </w14:textFill>
        </w:rPr>
        <w:t>9.1评价结论</w:t>
      </w:r>
      <w:bookmarkEnd w:id="435"/>
      <w:bookmarkEnd w:id="436"/>
      <w:bookmarkEnd w:id="437"/>
    </w:p>
    <w:p w14:paraId="671779A7">
      <w:pPr>
        <w:pStyle w:val="6"/>
        <w:rPr>
          <w:snapToGrid w:val="0"/>
          <w:color w:val="000000" w:themeColor="text1"/>
          <w14:textFill>
            <w14:solidFill>
              <w14:schemeClr w14:val="tx1"/>
            </w14:solidFill>
          </w14:textFill>
        </w:rPr>
      </w:pPr>
      <w:bookmarkStart w:id="438" w:name="_Toc4821"/>
      <w:r>
        <w:rPr>
          <w:snapToGrid w:val="0"/>
          <w:color w:val="000000" w:themeColor="text1"/>
          <w14:textFill>
            <w14:solidFill>
              <w14:schemeClr w14:val="tx1"/>
            </w14:solidFill>
          </w14:textFill>
        </w:rPr>
        <w:t>9.1.1建设项目概况</w:t>
      </w:r>
      <w:bookmarkEnd w:id="438"/>
    </w:p>
    <w:p w14:paraId="5A09B067">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w:t>
      </w:r>
      <w:r>
        <w:rPr>
          <w:rFonts w:hint="eastAsia"/>
          <w:snapToGrid w:val="0"/>
          <w:color w:val="000000" w:themeColor="text1"/>
          <w:lang w:val="en-US" w:eastAsia="zh-CN"/>
          <w14:textFill>
            <w14:solidFill>
              <w14:schemeClr w14:val="tx1"/>
            </w14:solidFill>
          </w14:textFill>
        </w:rPr>
        <w:t>为新建项目，位于</w:t>
      </w:r>
      <w:r>
        <w:rPr>
          <w:rFonts w:hint="eastAsia"/>
          <w:snapToGrid w:val="0"/>
          <w:color w:val="000000" w:themeColor="text1"/>
          <w:lang w:eastAsia="zh-CN"/>
          <w14:textFill>
            <w14:solidFill>
              <w14:schemeClr w14:val="tx1"/>
            </w14:solidFill>
          </w14:textFill>
        </w:rPr>
        <w:t>黑龙江省佳木斯市桦南县经济开发区兴企路东园兴街北，</w:t>
      </w:r>
      <w:r>
        <w:rPr>
          <w:rFonts w:hint="eastAsia"/>
          <w:snapToGrid w:val="0"/>
          <w:color w:val="000000" w:themeColor="text1"/>
          <w:lang w:val="en-US" w:eastAsia="zh-CN"/>
          <w14:textFill>
            <w14:solidFill>
              <w14:schemeClr w14:val="tx1"/>
            </w14:solidFill>
          </w14:textFill>
        </w:rPr>
        <w:t>新建酿造车间1座、包装车间1座、门卫2座、倒班楼1座、办公楼1座、污水处理站1座。</w:t>
      </w:r>
      <w:r>
        <w:rPr>
          <w:rFonts w:hint="eastAsia"/>
          <w:snapToGrid w:val="0"/>
          <w:color w:val="000000" w:themeColor="text1"/>
          <w14:textFill>
            <w14:solidFill>
              <w14:schemeClr w14:val="tx1"/>
            </w14:solidFill>
          </w14:textFill>
        </w:rPr>
        <w:t>本项目建成投产后，啤酒产能为3</w:t>
      </w:r>
      <w:r>
        <w:rPr>
          <w:rFonts w:hint="eastAsia"/>
          <w:snapToGrid w:val="0"/>
          <w:color w:val="000000" w:themeColor="text1"/>
          <w:lang w:val="en-US" w:eastAsia="zh-CN"/>
          <w14:textFill>
            <w14:solidFill>
              <w14:schemeClr w14:val="tx1"/>
            </w14:solidFill>
          </w14:textFill>
        </w:rPr>
        <w:t>0</w:t>
      </w:r>
      <w:r>
        <w:rPr>
          <w:rFonts w:hint="eastAsia"/>
          <w:snapToGrid w:val="0"/>
          <w:color w:val="000000" w:themeColor="text1"/>
          <w14:textFill>
            <w14:solidFill>
              <w14:schemeClr w14:val="tx1"/>
            </w14:solidFill>
          </w14:textFill>
        </w:rPr>
        <w:t>000kL/a。</w:t>
      </w:r>
    </w:p>
    <w:p w14:paraId="281B9D67">
      <w:pPr>
        <w:pStyle w:val="6"/>
        <w:rPr>
          <w:snapToGrid w:val="0"/>
          <w:color w:val="000000" w:themeColor="text1"/>
          <w14:textFill>
            <w14:solidFill>
              <w14:schemeClr w14:val="tx1"/>
            </w14:solidFill>
          </w14:textFill>
        </w:rPr>
      </w:pPr>
      <w:bookmarkStart w:id="439" w:name="_Toc17760"/>
      <w:r>
        <w:rPr>
          <w:snapToGrid w:val="0"/>
          <w:color w:val="000000" w:themeColor="text1"/>
          <w14:textFill>
            <w14:solidFill>
              <w14:schemeClr w14:val="tx1"/>
            </w14:solidFill>
          </w14:textFill>
        </w:rPr>
        <w:t>9.1.2</w:t>
      </w:r>
      <w:r>
        <w:rPr>
          <w:rFonts w:hint="eastAsia"/>
          <w:snapToGrid w:val="0"/>
          <w:color w:val="000000" w:themeColor="text1"/>
          <w14:textFill>
            <w14:solidFill>
              <w14:schemeClr w14:val="tx1"/>
            </w14:solidFill>
          </w14:textFill>
        </w:rPr>
        <w:t>项目</w:t>
      </w:r>
      <w:r>
        <w:rPr>
          <w:snapToGrid w:val="0"/>
          <w:color w:val="000000" w:themeColor="text1"/>
          <w14:textFill>
            <w14:solidFill>
              <w14:schemeClr w14:val="tx1"/>
            </w14:solidFill>
          </w14:textFill>
        </w:rPr>
        <w:t>符合性</w:t>
      </w:r>
      <w:r>
        <w:rPr>
          <w:rFonts w:hint="eastAsia"/>
          <w:snapToGrid w:val="0"/>
          <w:color w:val="000000" w:themeColor="text1"/>
          <w14:textFill>
            <w14:solidFill>
              <w14:schemeClr w14:val="tx1"/>
            </w14:solidFill>
          </w14:textFill>
        </w:rPr>
        <w:t>结论</w:t>
      </w:r>
      <w:bookmarkEnd w:id="439"/>
    </w:p>
    <w:p w14:paraId="467246F1">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9.1.2.1</w:t>
      </w:r>
      <w:r>
        <w:rPr>
          <w:rFonts w:hint="eastAsia"/>
          <w:snapToGrid w:val="0"/>
          <w:color w:val="000000" w:themeColor="text1"/>
          <w14:textFill>
            <w14:solidFill>
              <w14:schemeClr w14:val="tx1"/>
            </w14:solidFill>
          </w14:textFill>
        </w:rPr>
        <w:t>产业政策</w:t>
      </w:r>
      <w:r>
        <w:rPr>
          <w:snapToGrid w:val="0"/>
          <w:color w:val="000000" w:themeColor="text1"/>
          <w14:textFill>
            <w14:solidFill>
              <w14:schemeClr w14:val="tx1"/>
            </w14:solidFill>
          </w14:textFill>
        </w:rPr>
        <w:t>符合性结论</w:t>
      </w:r>
    </w:p>
    <w:p w14:paraId="318B8124">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本项目属于啤酒生产项目，根据《产业结构调整指导目录（2024年本）》有关条款，</w:t>
      </w:r>
      <w:r>
        <w:rPr>
          <w:snapToGrid w:val="0"/>
          <w:color w:val="000000" w:themeColor="text1"/>
          <w14:textFill>
            <w14:solidFill>
              <w14:schemeClr w14:val="tx1"/>
            </w14:solidFill>
          </w14:textFill>
        </w:rPr>
        <w:t>本项目不属于鼓励类、限制类和淘汰类项目，因此该项目属于“允许类”项目，符合产业政策。</w:t>
      </w:r>
    </w:p>
    <w:p w14:paraId="4FE601C4">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项目所用设备无《部分工业行业淘汰落后生产工艺装备和产品指导目录》（2010年本）中淘汰落后生产工艺装备，符合国家产业政策要求。项目所涉及行业性、领域性、区域性等方面无《关于印发&lt;市场准入负面清单（20</w:t>
      </w:r>
      <w:r>
        <w:rPr>
          <w:snapToGrid w:val="0"/>
          <w:color w:val="000000" w:themeColor="text1"/>
          <w14:textFill>
            <w14:solidFill>
              <w14:schemeClr w14:val="tx1"/>
            </w14:solidFill>
          </w14:textFill>
        </w:rPr>
        <w:t>25</w:t>
      </w:r>
      <w:r>
        <w:rPr>
          <w:rFonts w:hint="eastAsia"/>
          <w:snapToGrid w:val="0"/>
          <w:color w:val="000000" w:themeColor="text1"/>
          <w14:textFill>
            <w14:solidFill>
              <w14:schemeClr w14:val="tx1"/>
            </w14:solidFill>
          </w14:textFill>
        </w:rPr>
        <w:t>年版）&gt;的通知》中的违规另设市场准入行政审批情况。</w:t>
      </w:r>
    </w:p>
    <w:p w14:paraId="2A076735">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综上所述，本项目建设符合国家产业政策要求。</w:t>
      </w:r>
    </w:p>
    <w:p w14:paraId="790F1845">
      <w:pPr>
        <w:pStyle w:val="7"/>
        <w:rPr>
          <w:snapToGrid w:val="0"/>
          <w:color w:val="000000" w:themeColor="text1"/>
          <w14:textFill>
            <w14:solidFill>
              <w14:schemeClr w14:val="tx1"/>
            </w14:solidFill>
          </w14:textFill>
        </w:rPr>
      </w:pPr>
      <w:r>
        <w:rPr>
          <w:snapToGrid w:val="0"/>
          <w:color w:val="000000" w:themeColor="text1"/>
          <w14:textFill>
            <w14:solidFill>
              <w14:schemeClr w14:val="tx1"/>
            </w14:solidFill>
          </w14:textFill>
        </w:rPr>
        <w:t>9.1.2.2</w:t>
      </w:r>
      <w:r>
        <w:rPr>
          <w:rFonts w:hint="eastAsia"/>
          <w:snapToGrid w:val="0"/>
          <w:color w:val="000000" w:themeColor="text1"/>
          <w14:textFill>
            <w14:solidFill>
              <w14:schemeClr w14:val="tx1"/>
            </w14:solidFill>
          </w14:textFill>
        </w:rPr>
        <w:t>选址合理性</w:t>
      </w:r>
      <w:r>
        <w:rPr>
          <w:snapToGrid w:val="0"/>
          <w:color w:val="000000" w:themeColor="text1"/>
          <w14:textFill>
            <w14:solidFill>
              <w14:schemeClr w14:val="tx1"/>
            </w14:solidFill>
          </w14:textFill>
        </w:rPr>
        <w:t>结论</w:t>
      </w:r>
    </w:p>
    <w:p w14:paraId="7D8ADE94">
      <w:pPr>
        <w:adjustRightInd/>
        <w:snapToGrid/>
        <w:spacing w:line="500" w:lineRule="exact"/>
        <w:rPr>
          <w:color w:val="000000" w:themeColor="text1"/>
          <w14:textFill>
            <w14:solidFill>
              <w14:schemeClr w14:val="tx1"/>
            </w14:solidFill>
          </w14:textFill>
        </w:rPr>
      </w:pPr>
      <w:r>
        <w:rPr>
          <w:color w:val="000000" w:themeColor="text1"/>
          <w14:textFill>
            <w14:solidFill>
              <w14:schemeClr w14:val="tx1"/>
            </w14:solidFill>
          </w14:textFill>
        </w:rPr>
        <w:t>项目所在区域不属于生活饮用水源和地下水补给区、风景名胜区、温泉疗养区、水产养殖区、基本农田保护区、自然保护区等需要特殊保护区域，项目所在区域环境敏感程度一般。项目与周边环境相容性良好，保证各设施正常运行，实现各项污染物达标排放，加强环境管理，则项目的建设在环保方面是可行的，故项目选址合理。</w:t>
      </w:r>
    </w:p>
    <w:p w14:paraId="00251D3D">
      <w:pPr>
        <w:adjustRightInd/>
        <w:snapToGrid/>
        <w:spacing w:line="500" w:lineRule="exact"/>
        <w:rPr>
          <w:snapToGrid w:val="0"/>
          <w:color w:val="000000" w:themeColor="text1"/>
          <w:kern w:val="0"/>
          <w:szCs w:val="24"/>
          <w14:textFill>
            <w14:solidFill>
              <w14:schemeClr w14:val="tx1"/>
            </w14:solidFill>
          </w14:textFill>
        </w:rPr>
      </w:pPr>
      <w:r>
        <w:rPr>
          <w:rFonts w:hint="eastAsia"/>
          <w:color w:val="000000" w:themeColor="text1"/>
          <w14:textFill>
            <w14:solidFill>
              <w14:schemeClr w14:val="tx1"/>
            </w14:solidFill>
          </w14:textFill>
        </w:rPr>
        <w:t>综上分析，本项目选址从环保角度来讲可行。</w:t>
      </w:r>
    </w:p>
    <w:p w14:paraId="2ADF595F">
      <w:pPr>
        <w:pStyle w:val="6"/>
        <w:rPr>
          <w:snapToGrid w:val="0"/>
          <w:color w:val="000000" w:themeColor="text1"/>
          <w14:textFill>
            <w14:solidFill>
              <w14:schemeClr w14:val="tx1"/>
            </w14:solidFill>
          </w14:textFill>
        </w:rPr>
      </w:pPr>
      <w:bookmarkStart w:id="440" w:name="_Toc6988"/>
      <w:r>
        <w:rPr>
          <w:snapToGrid w:val="0"/>
          <w:color w:val="000000" w:themeColor="text1"/>
          <w14:textFill>
            <w14:solidFill>
              <w14:schemeClr w14:val="tx1"/>
            </w14:solidFill>
          </w14:textFill>
        </w:rPr>
        <w:t>9.1.3环境质量现状评价结论</w:t>
      </w:r>
      <w:bookmarkEnd w:id="440"/>
    </w:p>
    <w:p w14:paraId="55744B6F">
      <w:pPr>
        <w:pStyle w:val="7"/>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9</w:t>
      </w:r>
      <w:r>
        <w:rPr>
          <w:snapToGrid w:val="0"/>
          <w:color w:val="000000" w:themeColor="text1"/>
          <w:lang w:eastAsia="zh-CN"/>
          <w14:textFill>
            <w14:solidFill>
              <w14:schemeClr w14:val="tx1"/>
            </w14:solidFill>
          </w14:textFill>
        </w:rPr>
        <w:t>.1.3.1</w:t>
      </w:r>
      <w:r>
        <w:rPr>
          <w:snapToGrid w:val="0"/>
          <w:color w:val="000000" w:themeColor="text1"/>
          <w14:textFill>
            <w14:solidFill>
              <w14:schemeClr w14:val="tx1"/>
            </w14:solidFill>
          </w14:textFill>
        </w:rPr>
        <w:t>地表水环境质量现状评价结论</w:t>
      </w:r>
    </w:p>
    <w:p w14:paraId="6C0033F1">
      <w:pPr>
        <w:adjustRightInd/>
        <w:snapToGrid/>
        <w:spacing w:line="500" w:lineRule="exact"/>
        <w:rPr>
          <w:rFonts w:hint="eastAsia" w:cs="Times New Roman"/>
          <w:snapToGrid w:val="0"/>
          <w:color w:val="000000" w:themeColor="text1"/>
          <w:kern w:val="0"/>
          <w14:textFill>
            <w14:solidFill>
              <w14:schemeClr w14:val="tx1"/>
            </w14:solidFill>
          </w14:textFill>
        </w:rPr>
      </w:pPr>
      <w:r>
        <w:rPr>
          <w:rFonts w:hint="eastAsia" w:cs="Times New Roman"/>
          <w:snapToGrid w:val="0"/>
          <w:color w:val="000000" w:themeColor="text1"/>
          <w:kern w:val="0"/>
          <w:lang w:val="en-US" w:eastAsia="zh-CN"/>
          <w14:textFill>
            <w14:solidFill>
              <w14:schemeClr w14:val="tx1"/>
            </w14:solidFill>
          </w14:textFill>
        </w:rPr>
        <w:t>八虎力河为倭肯河右岸一级支流，根据《全国重要江河湖泊水功能区划（2011—2030 年）》，八虎力河未划分水功能区，入倭肯河河口所在的水功能二级区为倭肯河依兰县农业用水区（三道岗镇～入松花江河口），水质目标为Ⅳ类。</w:t>
      </w:r>
    </w:p>
    <w:p w14:paraId="0C7B2AAA">
      <w:pPr>
        <w:adjustRightInd/>
        <w:snapToGrid/>
        <w:spacing w:line="500" w:lineRule="exact"/>
        <w:rPr>
          <w:rFonts w:cs="宋体"/>
          <w:color w:val="000000" w:themeColor="text1"/>
          <w:kern w:val="0"/>
          <w:szCs w:val="24"/>
          <w14:textFill>
            <w14:solidFill>
              <w14:schemeClr w14:val="tx1"/>
            </w14:solidFill>
          </w14:textFill>
        </w:rPr>
      </w:pPr>
      <w:r>
        <w:rPr>
          <w:rFonts w:hint="eastAsia" w:cs="Times New Roman"/>
          <w:snapToGrid w:val="0"/>
          <w:color w:val="000000" w:themeColor="text1"/>
          <w:kern w:val="0"/>
          <w:lang w:val="en-US" w:eastAsia="zh-CN"/>
          <w14:textFill>
            <w14:solidFill>
              <w14:schemeClr w14:val="tx1"/>
            </w14:solidFill>
          </w14:textFill>
        </w:rPr>
        <w:t>根据</w:t>
      </w:r>
      <w:r>
        <w:rPr>
          <w:rFonts w:hint="eastAsia" w:ascii="Times New Roman" w:hAnsi="Times New Roman" w:eastAsia="宋体"/>
          <w:color w:val="auto"/>
          <w:highlight w:val="none"/>
        </w:rPr>
        <w:t>《佳木斯市生态环境质量简报（2024年）》可知</w:t>
      </w:r>
      <w:r>
        <w:rPr>
          <w:rFonts w:hint="eastAsia"/>
          <w:color w:val="auto"/>
          <w:highlight w:val="none"/>
          <w:lang w:eastAsia="zh-CN"/>
        </w:rPr>
        <w:t>：</w:t>
      </w:r>
      <w:r>
        <w:rPr>
          <w:rFonts w:hint="eastAsia" w:cs="Times New Roman"/>
          <w:snapToGrid w:val="0"/>
          <w:color w:val="000000" w:themeColor="text1"/>
          <w:kern w:val="0"/>
          <w14:textFill>
            <w14:solidFill>
              <w14:schemeClr w14:val="tx1"/>
            </w14:solidFill>
          </w14:textFill>
        </w:rPr>
        <w:t>2024年，黑龙江佳木斯江段干流及支流共4个断面，Ⅰ-Ⅲ类水质 比例为50.0%，无劣Ⅴ类水质断</w:t>
      </w:r>
      <w:r>
        <w:rPr>
          <w:rFonts w:hint="eastAsia" w:cs="Times New Roman"/>
          <w:color w:val="000000" w:themeColor="text1"/>
          <w14:textFill>
            <w14:solidFill>
              <w14:schemeClr w14:val="tx1"/>
            </w14:solidFill>
          </w14:textFill>
        </w:rPr>
        <w:t>。</w:t>
      </w:r>
    </w:p>
    <w:p w14:paraId="6C20852F">
      <w:pPr>
        <w:pStyle w:val="7"/>
        <w:rPr>
          <w:color w:val="000000" w:themeColor="text1"/>
          <w14:textFill>
            <w14:solidFill>
              <w14:schemeClr w14:val="tx1"/>
            </w14:solidFill>
          </w14:textFill>
        </w:rPr>
      </w:pPr>
      <w:r>
        <w:rPr>
          <w:color w:val="000000" w:themeColor="text1"/>
          <w14:textFill>
            <w14:solidFill>
              <w14:schemeClr w14:val="tx1"/>
            </w14:solidFill>
          </w14:textFill>
        </w:rPr>
        <w:t>9.1.3.2</w:t>
      </w:r>
      <w:r>
        <w:rPr>
          <w:rFonts w:hint="eastAsia"/>
          <w:color w:val="000000" w:themeColor="text1"/>
          <w14:textFill>
            <w14:solidFill>
              <w14:schemeClr w14:val="tx1"/>
            </w14:solidFill>
          </w14:textFill>
        </w:rPr>
        <w:t>地下水</w:t>
      </w:r>
      <w:r>
        <w:rPr>
          <w:rFonts w:hint="eastAsia"/>
          <w:color w:val="000000" w:themeColor="text1"/>
          <w:lang w:eastAsia="zh-CN"/>
          <w14:textFill>
            <w14:solidFill>
              <w14:schemeClr w14:val="tx1"/>
            </w14:solidFill>
          </w14:textFill>
        </w:rPr>
        <w:t>环境质量现状评价结论</w:t>
      </w:r>
    </w:p>
    <w:p w14:paraId="2D719677">
      <w:pPr>
        <w:adjustRightInd/>
        <w:snapToGrid/>
        <w:spacing w:line="500" w:lineRule="exact"/>
        <w:rPr>
          <w:color w:val="000000" w:themeColor="text1"/>
          <w:szCs w:val="24"/>
          <w:lang w:val="zh-CN"/>
          <w14:textFill>
            <w14:solidFill>
              <w14:schemeClr w14:val="tx1"/>
            </w14:solidFill>
          </w14:textFill>
        </w:rPr>
      </w:pPr>
      <w:r>
        <w:rPr>
          <w:rFonts w:hint="eastAsia"/>
          <w:color w:val="000000" w:themeColor="text1"/>
          <w14:textFill>
            <w14:solidFill>
              <w14:schemeClr w14:val="tx1"/>
            </w14:solidFill>
          </w14:textFill>
        </w:rPr>
        <w:t>根据监测统计结果可知，</w:t>
      </w:r>
      <w:r>
        <w:rPr>
          <w:color w:val="000000" w:themeColor="text1"/>
          <w14:textFill>
            <w14:solidFill>
              <w14:schemeClr w14:val="tx1"/>
            </w14:solidFill>
          </w14:textFill>
        </w:rPr>
        <w:t>评价区域内地下水个别点位锰超标，锰超标的原因是由于特殊的地下水水文地球化学原生还原环境造成的锰高背景环境状态。其余指标均满足《地下水质量标准》（GB/T14848-2017）Ⅲ类标准。</w:t>
      </w:r>
    </w:p>
    <w:p w14:paraId="3566ECEA">
      <w:pPr>
        <w:pStyle w:val="7"/>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9</w:t>
      </w:r>
      <w:r>
        <w:rPr>
          <w:snapToGrid w:val="0"/>
          <w:color w:val="000000" w:themeColor="text1"/>
          <w:lang w:eastAsia="zh-CN"/>
          <w14:textFill>
            <w14:solidFill>
              <w14:schemeClr w14:val="tx1"/>
            </w14:solidFill>
          </w14:textFill>
        </w:rPr>
        <w:t>.1.3.3</w:t>
      </w:r>
      <w:r>
        <w:rPr>
          <w:snapToGrid w:val="0"/>
          <w:color w:val="000000" w:themeColor="text1"/>
          <w14:textFill>
            <w14:solidFill>
              <w14:schemeClr w14:val="tx1"/>
            </w14:solidFill>
          </w14:textFill>
        </w:rPr>
        <w:t>大气环境质量现状评价结论</w:t>
      </w:r>
    </w:p>
    <w:p w14:paraId="630A17B7">
      <w:pPr>
        <w:pStyle w:val="85"/>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1</w:t>
      </w:r>
      <w:r>
        <w:rPr>
          <w:rFonts w:hint="eastAsia"/>
          <w:snapToGrid w:val="0"/>
          <w:color w:val="000000" w:themeColor="text1"/>
          <w:kern w:val="0"/>
          <w14:textFill>
            <w14:solidFill>
              <w14:schemeClr w14:val="tx1"/>
            </w14:solidFill>
          </w14:textFill>
        </w:rPr>
        <w:t>、基本污染物</w:t>
      </w:r>
    </w:p>
    <w:p w14:paraId="153CA24C">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本项目位于大气环境二类功能区，</w:t>
      </w:r>
      <w:r>
        <w:rPr>
          <w:rFonts w:hint="eastAsia" w:ascii="Times New Roman" w:hAnsi="Times New Roman" w:eastAsia="宋体"/>
          <w:color w:val="auto"/>
          <w:highlight w:val="none"/>
        </w:rPr>
        <w:t>根据《佳木斯市生态环境质量简报（2024年）》</w:t>
      </w:r>
      <w:r>
        <w:rPr>
          <w:rFonts w:hint="eastAsia"/>
          <w:snapToGrid w:val="0"/>
          <w:color w:val="000000" w:themeColor="text1"/>
          <w:kern w:val="0"/>
          <w14:textFill>
            <w14:solidFill>
              <w14:schemeClr w14:val="tx1"/>
            </w14:solidFill>
          </w14:textFill>
        </w:rPr>
        <w:t>中的监测数据，</w:t>
      </w:r>
      <w:r>
        <w:rPr>
          <w:rFonts w:hint="eastAsia"/>
          <w:snapToGrid w:val="0"/>
          <w:color w:val="000000" w:themeColor="text1"/>
          <w:kern w:val="0"/>
          <w:lang w:eastAsia="zh-CN"/>
          <w14:textFill>
            <w14:solidFill>
              <w14:schemeClr w14:val="tx1"/>
            </w14:solidFill>
          </w14:textFill>
        </w:rPr>
        <w:t>佳木斯市</w:t>
      </w:r>
      <w:r>
        <w:rPr>
          <w:rFonts w:hint="eastAsia"/>
          <w:snapToGrid w:val="0"/>
          <w:color w:val="000000" w:themeColor="text1"/>
          <w:kern w:val="0"/>
          <w14:textFill>
            <w14:solidFill>
              <w14:schemeClr w14:val="tx1"/>
            </w14:solidFill>
          </w14:textFill>
        </w:rPr>
        <w:t>2024年区域空气质量现状基本污染物（SO</w:t>
      </w:r>
      <w:r>
        <w:rPr>
          <w:rFonts w:hint="eastAsia"/>
          <w:snapToGrid w:val="0"/>
          <w:color w:val="000000" w:themeColor="text1"/>
          <w:kern w:val="0"/>
          <w:vertAlign w:val="subscript"/>
          <w14:textFill>
            <w14:solidFill>
              <w14:schemeClr w14:val="tx1"/>
            </w14:solidFill>
          </w14:textFill>
        </w:rPr>
        <w:t>2</w:t>
      </w:r>
      <w:r>
        <w:rPr>
          <w:rFonts w:hint="eastAsia"/>
          <w:snapToGrid w:val="0"/>
          <w:color w:val="000000" w:themeColor="text1"/>
          <w:kern w:val="0"/>
          <w14:textFill>
            <w14:solidFill>
              <w14:schemeClr w14:val="tx1"/>
            </w14:solidFill>
          </w14:textFill>
        </w:rPr>
        <w:t>、NO</w:t>
      </w:r>
      <w:r>
        <w:rPr>
          <w:rFonts w:hint="eastAsia"/>
          <w:snapToGrid w:val="0"/>
          <w:color w:val="000000" w:themeColor="text1"/>
          <w:kern w:val="0"/>
          <w:vertAlign w:val="subscript"/>
          <w14:textFill>
            <w14:solidFill>
              <w14:schemeClr w14:val="tx1"/>
            </w14:solidFill>
          </w14:textFill>
        </w:rPr>
        <w:t>2</w:t>
      </w:r>
      <w:r>
        <w:rPr>
          <w:rFonts w:hint="eastAsia"/>
          <w:snapToGrid w:val="0"/>
          <w:color w:val="000000" w:themeColor="text1"/>
          <w:kern w:val="0"/>
          <w14:textFill>
            <w14:solidFill>
              <w14:schemeClr w14:val="tx1"/>
            </w14:solidFill>
          </w14:textFill>
        </w:rPr>
        <w:t>、PM</w:t>
      </w:r>
      <w:r>
        <w:rPr>
          <w:rFonts w:hint="eastAsia"/>
          <w:snapToGrid w:val="0"/>
          <w:color w:val="000000" w:themeColor="text1"/>
          <w:kern w:val="0"/>
          <w:vertAlign w:val="subscript"/>
          <w14:textFill>
            <w14:solidFill>
              <w14:schemeClr w14:val="tx1"/>
            </w14:solidFill>
          </w14:textFill>
        </w:rPr>
        <w:t>10</w:t>
      </w:r>
      <w:r>
        <w:rPr>
          <w:rFonts w:hint="eastAsia"/>
          <w:snapToGrid w:val="0"/>
          <w:color w:val="000000" w:themeColor="text1"/>
          <w:kern w:val="0"/>
          <w14:textFill>
            <w14:solidFill>
              <w14:schemeClr w14:val="tx1"/>
            </w14:solidFill>
          </w14:textFill>
        </w:rPr>
        <w:t>、PM</w:t>
      </w:r>
      <w:r>
        <w:rPr>
          <w:rFonts w:hint="eastAsia"/>
          <w:snapToGrid w:val="0"/>
          <w:color w:val="000000" w:themeColor="text1"/>
          <w:kern w:val="0"/>
          <w:vertAlign w:val="subscript"/>
          <w14:textFill>
            <w14:solidFill>
              <w14:schemeClr w14:val="tx1"/>
            </w14:solidFill>
          </w14:textFill>
        </w:rPr>
        <w:t>2.5</w:t>
      </w:r>
      <w:r>
        <w:rPr>
          <w:rFonts w:hint="eastAsia"/>
          <w:snapToGrid w:val="0"/>
          <w:color w:val="000000" w:themeColor="text1"/>
          <w:kern w:val="0"/>
          <w14:textFill>
            <w14:solidFill>
              <w14:schemeClr w14:val="tx1"/>
            </w14:solidFill>
          </w14:textFill>
        </w:rPr>
        <w:t>、O</w:t>
      </w:r>
      <w:r>
        <w:rPr>
          <w:rFonts w:hint="eastAsia"/>
          <w:snapToGrid w:val="0"/>
          <w:color w:val="000000" w:themeColor="text1"/>
          <w:kern w:val="0"/>
          <w:vertAlign w:val="subscript"/>
          <w14:textFill>
            <w14:solidFill>
              <w14:schemeClr w14:val="tx1"/>
            </w14:solidFill>
          </w14:textFill>
        </w:rPr>
        <w:t>3</w:t>
      </w:r>
      <w:r>
        <w:rPr>
          <w:rFonts w:hint="eastAsia"/>
          <w:snapToGrid w:val="0"/>
          <w:color w:val="000000" w:themeColor="text1"/>
          <w:kern w:val="0"/>
          <w14:textFill>
            <w14:solidFill>
              <w14:schemeClr w14:val="tx1"/>
            </w14:solidFill>
          </w14:textFill>
        </w:rPr>
        <w:t>、CO）浓度满足《环境空气质量标准》（</w:t>
      </w:r>
      <w:r>
        <w:rPr>
          <w:rFonts w:hint="eastAsia"/>
          <w:snapToGrid w:val="0"/>
          <w:color w:val="000000" w:themeColor="text1"/>
          <w:kern w:val="0"/>
          <w:lang w:eastAsia="zh-CN"/>
          <w14:textFill>
            <w14:solidFill>
              <w14:schemeClr w14:val="tx1"/>
            </w14:solidFill>
          </w14:textFill>
        </w:rPr>
        <w:t>GB3095-2026</w:t>
      </w:r>
      <w:r>
        <w:rPr>
          <w:rFonts w:hint="eastAsia"/>
          <w:snapToGrid w:val="0"/>
          <w:color w:val="000000" w:themeColor="text1"/>
          <w:kern w:val="0"/>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r>
        <w:rPr>
          <w:rFonts w:hint="eastAsia"/>
          <w:snapToGrid w:val="0"/>
          <w:color w:val="000000" w:themeColor="text1"/>
          <w:lang w:val="en-US" w:eastAsia="zh-CN"/>
          <w14:textFill>
            <w14:solidFill>
              <w14:schemeClr w14:val="tx1"/>
            </w14:solidFill>
          </w14:textFill>
        </w:rPr>
        <w:t>要求</w:t>
      </w:r>
      <w:r>
        <w:rPr>
          <w:rFonts w:hint="eastAsia"/>
          <w:snapToGrid w:val="0"/>
          <w:color w:val="000000" w:themeColor="text1"/>
          <w:kern w:val="0"/>
          <w14:textFill>
            <w14:solidFill>
              <w14:schemeClr w14:val="tx1"/>
            </w14:solidFill>
          </w14:textFill>
        </w:rPr>
        <w:t>。本项目所在区域为达标区。</w:t>
      </w:r>
    </w:p>
    <w:p w14:paraId="522AF6C7">
      <w:pPr>
        <w:pStyle w:val="85"/>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2、其他污染物</w:t>
      </w:r>
    </w:p>
    <w:p w14:paraId="2ED49DD6">
      <w:pPr>
        <w:pStyle w:val="85"/>
        <w:rPr>
          <w:rFonts w:eastAsia="黑体"/>
          <w:snapToGrid w:val="0"/>
          <w:color w:val="000000" w:themeColor="text1"/>
          <w:kern w:val="0"/>
          <w:lang w:val="zh-CN" w:eastAsia="zh-CN"/>
          <w14:textFill>
            <w14:solidFill>
              <w14:schemeClr w14:val="tx1"/>
            </w14:solidFill>
          </w14:textFill>
        </w:rPr>
      </w:pPr>
      <w:r>
        <w:rPr>
          <w:snapToGrid w:val="0"/>
          <w:color w:val="000000" w:themeColor="text1"/>
          <w:szCs w:val="24"/>
          <w14:textFill>
            <w14:solidFill>
              <w14:schemeClr w14:val="tx1"/>
            </w14:solidFill>
          </w14:textFill>
        </w:rPr>
        <w:t>根据</w:t>
      </w:r>
      <w:r>
        <w:rPr>
          <w:rFonts w:hint="eastAsia"/>
          <w:snapToGrid w:val="0"/>
          <w:color w:val="000000" w:themeColor="text1"/>
          <w:szCs w:val="24"/>
          <w14:textFill>
            <w14:solidFill>
              <w14:schemeClr w14:val="tx1"/>
            </w14:solidFill>
          </w14:textFill>
        </w:rPr>
        <w:t>其他</w:t>
      </w:r>
      <w:r>
        <w:rPr>
          <w:snapToGrid w:val="0"/>
          <w:color w:val="000000" w:themeColor="text1"/>
          <w:szCs w:val="24"/>
          <w14:textFill>
            <w14:solidFill>
              <w14:schemeClr w14:val="tx1"/>
            </w14:solidFill>
          </w14:textFill>
        </w:rPr>
        <w:t>污染物现状评价结果可知，</w:t>
      </w:r>
      <w:r>
        <w:rPr>
          <w:rFonts w:hint="eastAsia"/>
          <w:snapToGrid w:val="0"/>
          <w:color w:val="000000" w:themeColor="text1"/>
          <w:szCs w:val="24"/>
          <w:lang w:val="en-US" w:eastAsia="zh-CN"/>
          <w14:textFill>
            <w14:solidFill>
              <w14:schemeClr w14:val="tx1"/>
            </w14:solidFill>
          </w14:textFill>
        </w:rPr>
        <w:t>各监测点位</w:t>
      </w:r>
      <w:r>
        <w:rPr>
          <w:rFonts w:hint="eastAsia" w:ascii="Times New Roman" w:hAnsi="Times New Roman"/>
          <w:color w:val="000000"/>
          <w:szCs w:val="24"/>
        </w:rPr>
        <w:t>氨、硫化氢满足《环境影响评价技术导则 大气环境》（HJ2.2-2018）附录D其他污染物空气质量浓度参考限值，臭气浓度＜10（无量纲），TSP满</w:t>
      </w:r>
      <w:r>
        <w:rPr>
          <w:rFonts w:hint="eastAsia" w:ascii="Times New Roman" w:hAnsi="Times New Roman"/>
          <w:color w:val="000000" w:themeColor="text1"/>
          <w:szCs w:val="24"/>
          <w14:textFill>
            <w14:solidFill>
              <w14:schemeClr w14:val="tx1"/>
            </w14:solidFill>
          </w14:textFill>
        </w:rPr>
        <w:t>足《环境空气质量标准》</w:t>
      </w: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GB3095-2026</w:t>
      </w:r>
      <w:r>
        <w:rPr>
          <w:rFonts w:hint="eastAsia"/>
          <w:snapToGrid w:val="0"/>
          <w:color w:val="000000" w:themeColor="text1"/>
          <w:kern w:val="0"/>
          <w:lang w:val="en-US"/>
          <w14:textFill>
            <w14:solidFill>
              <w14:schemeClr w14:val="tx1"/>
            </w14:solidFill>
          </w14:textFill>
        </w:rPr>
        <w:t>）</w:t>
      </w:r>
      <w:r>
        <w:rPr>
          <w:rFonts w:hint="eastAsia"/>
          <w:snapToGrid w:val="0"/>
          <w:color w:val="000000" w:themeColor="text1"/>
          <w14:textFill>
            <w14:solidFill>
              <w14:schemeClr w14:val="tx1"/>
            </w14:solidFill>
          </w14:textFill>
        </w:rPr>
        <w:t>中</w:t>
      </w:r>
      <w:r>
        <w:rPr>
          <w:rFonts w:hint="eastAsia"/>
          <w:snapToGrid w:val="0"/>
          <w:color w:val="000000" w:themeColor="text1"/>
          <w:lang w:val="en-US" w:eastAsia="zh-CN"/>
          <w14:textFill>
            <w14:solidFill>
              <w14:schemeClr w14:val="tx1"/>
            </w14:solidFill>
          </w14:textFill>
        </w:rPr>
        <w:t>过渡阶段</w:t>
      </w:r>
      <w:r>
        <w:rPr>
          <w:rFonts w:hint="eastAsia"/>
          <w:snapToGrid w:val="0"/>
          <w:color w:val="000000" w:themeColor="text1"/>
          <w14:textFill>
            <w14:solidFill>
              <w14:schemeClr w14:val="tx1"/>
            </w14:solidFill>
          </w14:textFill>
        </w:rPr>
        <w:t>二级标准浓度限值</w:t>
      </w:r>
      <w:r>
        <w:rPr>
          <w:rFonts w:hint="eastAsia" w:ascii="Times New Roman" w:hAnsi="Times New Roman"/>
          <w:color w:val="000000" w:themeColor="text1"/>
          <w:szCs w:val="24"/>
          <w14:textFill>
            <w14:solidFill>
              <w14:schemeClr w14:val="tx1"/>
            </w14:solidFill>
          </w14:textFill>
        </w:rPr>
        <w:t>。</w:t>
      </w:r>
    </w:p>
    <w:p w14:paraId="15571047">
      <w:pPr>
        <w:pStyle w:val="7"/>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9</w:t>
      </w:r>
      <w:r>
        <w:rPr>
          <w:snapToGrid w:val="0"/>
          <w:color w:val="000000" w:themeColor="text1"/>
          <w:lang w:eastAsia="zh-CN"/>
          <w14:textFill>
            <w14:solidFill>
              <w14:schemeClr w14:val="tx1"/>
            </w14:solidFill>
          </w14:textFill>
        </w:rPr>
        <w:t>.1.3.</w:t>
      </w:r>
      <w:r>
        <w:rPr>
          <w:snapToGrid w:val="0"/>
          <w:color w:val="000000" w:themeColor="text1"/>
          <w14:textFill>
            <w14:solidFill>
              <w14:schemeClr w14:val="tx1"/>
            </w14:solidFill>
          </w14:textFill>
        </w:rPr>
        <w:t>4声环境质量现状评价结论</w:t>
      </w:r>
    </w:p>
    <w:p w14:paraId="27723C80">
      <w:pPr>
        <w:spacing w:line="480" w:lineRule="exact"/>
        <w:ind w:firstLine="480" w:firstLineChars="200"/>
        <w:rPr>
          <w:rFonts w:hint="default" w:ascii="Times New Roman" w:hAnsi="Times New Roman" w:eastAsia="宋体" w:cs="Times New Roman"/>
          <w:sz w:val="24"/>
          <w:lang w:val="en-US" w:eastAsia="zh-CN"/>
        </w:rPr>
      </w:pPr>
      <w:r>
        <w:rPr>
          <w:snapToGrid w:val="0"/>
          <w:color w:val="000000" w:themeColor="text1"/>
          <w:kern w:val="0"/>
          <w:lang w:val="zh-CN"/>
          <w14:textFill>
            <w14:solidFill>
              <w14:schemeClr w14:val="tx1"/>
            </w14:solidFill>
          </w14:textFill>
        </w:rPr>
        <w:t>将环境噪声现状监测结果与标准比较，</w:t>
      </w:r>
      <w:r>
        <w:rPr>
          <w:rFonts w:hint="eastAsia"/>
          <w:snapToGrid w:val="0"/>
          <w:color w:val="000000" w:themeColor="text1"/>
          <w:kern w:val="0"/>
          <w:lang w:val="en-US" w:eastAsia="zh-CN"/>
          <w14:textFill>
            <w14:solidFill>
              <w14:schemeClr w14:val="tx1"/>
            </w14:solidFill>
          </w14:textFill>
        </w:rPr>
        <w:t>东侧、南侧、北侧</w:t>
      </w:r>
      <w:r>
        <w:rPr>
          <w:rFonts w:hint="eastAsia" w:ascii="Times New Roman" w:hAnsi="Times New Roman" w:eastAsia="宋体" w:cs="Times New Roman"/>
          <w:sz w:val="24"/>
          <w:lang w:val="en-US" w:eastAsia="zh-CN"/>
        </w:rPr>
        <w:t>厂界</w:t>
      </w:r>
      <w:r>
        <w:rPr>
          <w:rFonts w:hint="eastAsia" w:cs="Times New Roman"/>
          <w:sz w:val="24"/>
          <w:lang w:val="en-US" w:eastAsia="zh-CN"/>
        </w:rPr>
        <w:t>四周噪声</w:t>
      </w:r>
      <w:r>
        <w:rPr>
          <w:rFonts w:hint="eastAsia" w:ascii="Times New Roman" w:hAnsi="Times New Roman" w:eastAsia="宋体" w:cs="Times New Roman"/>
          <w:sz w:val="24"/>
          <w:lang w:val="en-US" w:eastAsia="zh-CN"/>
        </w:rPr>
        <w:t>满足</w:t>
      </w:r>
      <w:r>
        <w:rPr>
          <w:rFonts w:ascii="Times New Roman" w:hAnsi="Times New Roman" w:eastAsia="宋体" w:cs="Times New Roman"/>
          <w:sz w:val="24"/>
        </w:rPr>
        <w:t>《声环境质量标准》（GB3096-2008）中的3类</w:t>
      </w:r>
      <w:r>
        <w:rPr>
          <w:rFonts w:hint="eastAsia" w:ascii="Times New Roman" w:hAnsi="Times New Roman" w:eastAsia="宋体" w:cs="Times New Roman"/>
          <w:sz w:val="24"/>
          <w:lang w:val="en-US" w:eastAsia="zh-CN"/>
        </w:rPr>
        <w:t>标准限值要求，</w:t>
      </w:r>
      <w:r>
        <w:rPr>
          <w:rFonts w:hint="eastAsia"/>
          <w:snapToGrid w:val="0"/>
          <w:color w:val="000000" w:themeColor="text1"/>
          <w:kern w:val="0"/>
          <w:lang w:val="en-US" w:eastAsia="zh-CN"/>
          <w14:textFill>
            <w14:solidFill>
              <w14:schemeClr w14:val="tx1"/>
            </w14:solidFill>
          </w14:textFill>
        </w:rPr>
        <w:t>西侧</w:t>
      </w:r>
      <w:r>
        <w:rPr>
          <w:rFonts w:hint="eastAsia" w:ascii="Times New Roman" w:hAnsi="Times New Roman" w:eastAsia="宋体" w:cs="Times New Roman"/>
          <w:sz w:val="24"/>
          <w:lang w:val="en-US" w:eastAsia="zh-CN"/>
        </w:rPr>
        <w:t>厂界</w:t>
      </w:r>
      <w:r>
        <w:rPr>
          <w:rFonts w:hint="eastAsia" w:cs="Times New Roman"/>
          <w:sz w:val="24"/>
          <w:lang w:val="en-US" w:eastAsia="zh-CN"/>
        </w:rPr>
        <w:t>四周噪声</w:t>
      </w:r>
      <w:r>
        <w:rPr>
          <w:rFonts w:hint="eastAsia" w:ascii="Times New Roman" w:hAnsi="Times New Roman" w:eastAsia="宋体" w:cs="Times New Roman"/>
          <w:sz w:val="24"/>
          <w:lang w:val="en-US" w:eastAsia="zh-CN"/>
        </w:rPr>
        <w:t>满足</w:t>
      </w:r>
      <w:r>
        <w:rPr>
          <w:rFonts w:ascii="Times New Roman" w:hAnsi="Times New Roman" w:eastAsia="宋体" w:cs="Times New Roman"/>
          <w:sz w:val="24"/>
        </w:rPr>
        <w:t>《声环境质量标准》（GB3096-2008）中的</w:t>
      </w:r>
      <w:r>
        <w:rPr>
          <w:rFonts w:hint="eastAsia" w:cs="Times New Roman"/>
          <w:sz w:val="24"/>
          <w:lang w:val="en-US" w:eastAsia="zh-CN"/>
        </w:rPr>
        <w:t>4a</w:t>
      </w:r>
      <w:r>
        <w:rPr>
          <w:rFonts w:ascii="Times New Roman" w:hAnsi="Times New Roman" w:eastAsia="宋体" w:cs="Times New Roman"/>
          <w:sz w:val="24"/>
        </w:rPr>
        <w:t>类</w:t>
      </w:r>
      <w:r>
        <w:rPr>
          <w:rFonts w:hint="eastAsia" w:ascii="Times New Roman" w:hAnsi="Times New Roman" w:eastAsia="宋体" w:cs="Times New Roman"/>
          <w:sz w:val="24"/>
          <w:lang w:val="en-US" w:eastAsia="zh-CN"/>
        </w:rPr>
        <w:t>标准限值要求。东北侧敏感点</w:t>
      </w:r>
      <w:r>
        <w:rPr>
          <w:rFonts w:hint="eastAsia" w:cs="Times New Roman"/>
          <w:sz w:val="24"/>
          <w:lang w:val="en-US" w:eastAsia="zh-CN"/>
        </w:rPr>
        <w:t>噪声</w:t>
      </w:r>
      <w:r>
        <w:rPr>
          <w:rFonts w:hint="eastAsia" w:ascii="Times New Roman" w:hAnsi="Times New Roman" w:eastAsia="宋体" w:cs="Times New Roman"/>
          <w:sz w:val="24"/>
          <w:lang w:val="en-US" w:eastAsia="zh-CN"/>
        </w:rPr>
        <w:t>满足</w:t>
      </w:r>
      <w:r>
        <w:rPr>
          <w:rFonts w:ascii="Times New Roman" w:hAnsi="Times New Roman" w:eastAsia="宋体" w:cs="Times New Roman"/>
          <w:sz w:val="24"/>
        </w:rPr>
        <w:t>《声环境质量标准》（GB3096-2008）中的</w:t>
      </w:r>
      <w:r>
        <w:rPr>
          <w:rFonts w:hint="eastAsia" w:ascii="Times New Roman" w:hAnsi="Times New Roman" w:eastAsia="宋体" w:cs="Times New Roman"/>
          <w:sz w:val="24"/>
          <w:lang w:val="en-US" w:eastAsia="zh-CN"/>
        </w:rPr>
        <w:t>2</w:t>
      </w:r>
      <w:r>
        <w:rPr>
          <w:rFonts w:ascii="Times New Roman" w:hAnsi="Times New Roman" w:eastAsia="宋体" w:cs="Times New Roman"/>
          <w:sz w:val="24"/>
        </w:rPr>
        <w:t>类</w:t>
      </w:r>
      <w:r>
        <w:rPr>
          <w:rFonts w:hint="eastAsia" w:ascii="Times New Roman" w:hAnsi="Times New Roman" w:eastAsia="宋体" w:cs="Times New Roman"/>
          <w:sz w:val="24"/>
          <w:lang w:val="en-US" w:eastAsia="zh-CN"/>
        </w:rPr>
        <w:t>标准限值要求。</w:t>
      </w:r>
    </w:p>
    <w:p w14:paraId="7CA91E85">
      <w:pPr>
        <w:pStyle w:val="7"/>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9</w:t>
      </w:r>
      <w:r>
        <w:rPr>
          <w:snapToGrid w:val="0"/>
          <w:color w:val="000000" w:themeColor="text1"/>
          <w:lang w:eastAsia="zh-CN"/>
          <w14:textFill>
            <w14:solidFill>
              <w14:schemeClr w14:val="tx1"/>
            </w14:solidFill>
          </w14:textFill>
        </w:rPr>
        <w:t>.1.3.</w:t>
      </w:r>
      <w:r>
        <w:rPr>
          <w:rFonts w:hint="eastAsia"/>
          <w:snapToGrid w:val="0"/>
          <w:color w:val="000000" w:themeColor="text1"/>
          <w:lang w:val="en-US" w:eastAsia="zh-CN"/>
          <w14:textFill>
            <w14:solidFill>
              <w14:schemeClr w14:val="tx1"/>
            </w14:solidFill>
          </w14:textFill>
        </w:rPr>
        <w:t>5</w:t>
      </w:r>
      <w:r>
        <w:rPr>
          <w:rFonts w:hint="eastAsia"/>
          <w:snapToGrid w:val="0"/>
          <w:color w:val="000000" w:themeColor="text1"/>
          <w14:textFill>
            <w14:solidFill>
              <w14:schemeClr w14:val="tx1"/>
            </w14:solidFill>
          </w14:textFill>
        </w:rPr>
        <w:t>生态环境现状评价结论</w:t>
      </w:r>
    </w:p>
    <w:p w14:paraId="2F0DC332">
      <w:pPr>
        <w:pStyle w:val="85"/>
        <w:rPr>
          <w:snapToGrid w:val="0"/>
          <w:color w:val="000000" w:themeColor="text1"/>
          <w:kern w:val="0"/>
          <w:lang w:val="zh-CN"/>
          <w14:textFill>
            <w14:solidFill>
              <w14:schemeClr w14:val="tx1"/>
            </w14:solidFill>
          </w14:textFill>
        </w:rPr>
      </w:pPr>
      <w:r>
        <w:rPr>
          <w:rFonts w:hint="eastAsia"/>
          <w:color w:val="000000" w:themeColor="text1"/>
          <w14:textFill>
            <w14:solidFill>
              <w14:schemeClr w14:val="tx1"/>
            </w14:solidFill>
          </w14:textFill>
        </w:rPr>
        <w:t>经调查，本项目所在地区没有野生动物保护品种，也未发现濒危、珍惜动物栖息场所，占地区域内无国家、省、市级自然保护区、风景名胜区等保护目标，区域整体生态环境质量较好。</w:t>
      </w:r>
    </w:p>
    <w:p w14:paraId="604B8363">
      <w:pPr>
        <w:pStyle w:val="6"/>
        <w:rPr>
          <w:snapToGrid w:val="0"/>
          <w:color w:val="000000" w:themeColor="text1"/>
          <w14:textFill>
            <w14:solidFill>
              <w14:schemeClr w14:val="tx1"/>
            </w14:solidFill>
          </w14:textFill>
        </w:rPr>
      </w:pPr>
      <w:bookmarkStart w:id="441" w:name="_Toc8972"/>
      <w:r>
        <w:rPr>
          <w:snapToGrid w:val="0"/>
          <w:color w:val="000000" w:themeColor="text1"/>
          <w14:textFill>
            <w14:solidFill>
              <w14:schemeClr w14:val="tx1"/>
            </w14:solidFill>
          </w14:textFill>
        </w:rPr>
        <w:t>9.1.4污染物排放情况</w:t>
      </w:r>
      <w:bookmarkEnd w:id="441"/>
    </w:p>
    <w:p w14:paraId="4BFC4647">
      <w:pPr>
        <w:pStyle w:val="7"/>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9</w:t>
      </w:r>
      <w:r>
        <w:rPr>
          <w:color w:val="000000" w:themeColor="text1"/>
          <w:lang w:eastAsia="zh-CN"/>
          <w14:textFill>
            <w14:solidFill>
              <w14:schemeClr w14:val="tx1"/>
            </w14:solidFill>
          </w14:textFill>
        </w:rPr>
        <w:t>.1.4.1</w:t>
      </w:r>
      <w:r>
        <w:rPr>
          <w:color w:val="000000" w:themeColor="text1"/>
          <w14:textFill>
            <w14:solidFill>
              <w14:schemeClr w14:val="tx1"/>
            </w14:solidFill>
          </w14:textFill>
        </w:rPr>
        <w:t>大气污染物排放情况</w:t>
      </w:r>
    </w:p>
    <w:p w14:paraId="0399554D">
      <w:pPr>
        <w:pStyle w:val="400"/>
        <w:spacing w:line="360" w:lineRule="auto"/>
        <w:ind w:firstLine="504"/>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施工期：施工期大气污染物主要为施工机械、运输车辆尾气，施工环节产生的扬尘。</w:t>
      </w:r>
    </w:p>
    <w:p w14:paraId="080C1EC6">
      <w:pPr>
        <w:pStyle w:val="400"/>
        <w:spacing w:before="0" w:after="0" w:line="360" w:lineRule="auto"/>
        <w:ind w:firstLine="480" w:firstLineChars="200"/>
        <w:rPr>
          <w:color w:val="000000" w:themeColor="text1"/>
          <w14:textFill>
            <w14:solidFill>
              <w14:schemeClr w14:val="tx1"/>
            </w14:solidFill>
          </w14:textFill>
        </w:rPr>
      </w:pPr>
      <w:r>
        <w:rPr>
          <w:rFonts w:hint="eastAsia"/>
          <w:snapToGrid w:val="0"/>
          <w:color w:val="000000" w:themeColor="text1"/>
          <w:kern w:val="0"/>
          <w14:textFill>
            <w14:solidFill>
              <w14:schemeClr w14:val="tx1"/>
            </w14:solidFill>
          </w14:textFill>
        </w:rPr>
        <w:t>运营期：运营期大气污染源主要为</w:t>
      </w:r>
      <w:r>
        <w:rPr>
          <w:rFonts w:hint="eastAsia"/>
          <w:color w:val="000000" w:themeColor="text1"/>
          <w14:textFill>
            <w14:solidFill>
              <w14:schemeClr w14:val="tx1"/>
            </w14:solidFill>
          </w14:textFill>
        </w:rPr>
        <w:t>污水处理站恶臭气体、发酵车间</w:t>
      </w:r>
      <w:r>
        <w:rPr>
          <w:color w:val="000000" w:themeColor="text1"/>
          <w14:textFill>
            <w14:solidFill>
              <w14:schemeClr w14:val="tx1"/>
            </w14:solidFill>
          </w14:textFill>
        </w:rPr>
        <w:t>废气</w:t>
      </w:r>
      <w:r>
        <w:rPr>
          <w:rFonts w:hint="eastAsia"/>
          <w:color w:val="000000" w:themeColor="text1"/>
          <w14:textFill>
            <w14:solidFill>
              <w14:schemeClr w14:val="tx1"/>
            </w14:solidFill>
          </w14:textFill>
        </w:rPr>
        <w:t>、锅炉烟气、原料处理间粉尘、沼气燃烧废气</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食堂油烟、柴油发电机废气</w:t>
      </w:r>
      <w:r>
        <w:rPr>
          <w:rFonts w:hint="eastAsia"/>
          <w:color w:val="000000" w:themeColor="text1"/>
          <w14:textFill>
            <w14:solidFill>
              <w14:schemeClr w14:val="tx1"/>
            </w14:solidFill>
          </w14:textFill>
        </w:rPr>
        <w:t>等</w:t>
      </w:r>
      <w:r>
        <w:rPr>
          <w:rFonts w:hint="eastAsia"/>
          <w:snapToGrid w:val="0"/>
          <w:color w:val="000000" w:themeColor="text1"/>
          <w:kern w:val="0"/>
          <w14:textFill>
            <w14:solidFill>
              <w14:schemeClr w14:val="tx1"/>
            </w14:solidFill>
          </w14:textFill>
        </w:rPr>
        <w:t>。</w:t>
      </w:r>
    </w:p>
    <w:p w14:paraId="14F35562">
      <w:pPr>
        <w:pStyle w:val="7"/>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9</w:t>
      </w:r>
      <w:r>
        <w:rPr>
          <w:color w:val="000000" w:themeColor="text1"/>
          <w:lang w:eastAsia="zh-CN"/>
          <w14:textFill>
            <w14:solidFill>
              <w14:schemeClr w14:val="tx1"/>
            </w14:solidFill>
          </w14:textFill>
        </w:rPr>
        <w:t>.1.4.2</w:t>
      </w:r>
      <w:r>
        <w:rPr>
          <w:color w:val="000000" w:themeColor="text1"/>
          <w14:textFill>
            <w14:solidFill>
              <w14:schemeClr w14:val="tx1"/>
            </w14:solidFill>
          </w14:textFill>
        </w:rPr>
        <w:t>废水排放情况</w:t>
      </w:r>
    </w:p>
    <w:p w14:paraId="1CC1C7A9">
      <w:pPr>
        <w:spacing w:line="500" w:lineRule="exact"/>
        <w:rPr>
          <w:color w:val="000000" w:themeColor="text1"/>
          <w14:textFill>
            <w14:solidFill>
              <w14:schemeClr w14:val="tx1"/>
            </w14:solidFill>
          </w14:textFill>
        </w:rPr>
      </w:pPr>
      <w:bookmarkStart w:id="442" w:name="_Hlk522290139"/>
      <w:r>
        <w:rPr>
          <w:rFonts w:hint="eastAsia"/>
          <w:color w:val="000000" w:themeColor="text1"/>
          <w14:textFill>
            <w14:solidFill>
              <w14:schemeClr w14:val="tx1"/>
            </w14:solidFill>
          </w14:textFill>
        </w:rPr>
        <w:t>施工期：本项目在施工过程中对水环境污染源主要为施工废水、生活污水等。</w:t>
      </w:r>
    </w:p>
    <w:p w14:paraId="59637CD8">
      <w:pPr>
        <w:spacing w:line="500" w:lineRule="exact"/>
        <w:rPr>
          <w:color w:val="000000" w:themeColor="text1"/>
          <w:szCs w:val="24"/>
          <w14:textFill>
            <w14:solidFill>
              <w14:schemeClr w14:val="tx1"/>
            </w14:solidFill>
          </w14:textFill>
        </w:rPr>
      </w:pPr>
      <w:r>
        <w:rPr>
          <w:color w:val="000000" w:themeColor="text1"/>
          <w14:textFill>
            <w14:solidFill>
              <w14:schemeClr w14:val="tx1"/>
            </w14:solidFill>
          </w14:textFill>
        </w:rPr>
        <w:t>运营期：本项目</w:t>
      </w:r>
      <w:r>
        <w:rPr>
          <w:rFonts w:hint="eastAsia"/>
          <w:color w:val="000000" w:themeColor="text1"/>
          <w14:textFill>
            <w14:solidFill>
              <w14:schemeClr w14:val="tx1"/>
            </w14:solidFill>
          </w14:textFill>
        </w:rPr>
        <w:t>运营期</w:t>
      </w:r>
      <w:r>
        <w:rPr>
          <w:color w:val="000000" w:themeColor="text1"/>
          <w14:textFill>
            <w14:solidFill>
              <w14:schemeClr w14:val="tx1"/>
            </w14:solidFill>
          </w14:textFill>
        </w:rPr>
        <w:t>废水主要为</w:t>
      </w:r>
      <w:r>
        <w:rPr>
          <w:rFonts w:hint="eastAsia"/>
          <w:color w:val="000000" w:themeColor="text1"/>
          <w:lang w:val="en-US" w:eastAsia="zh-CN"/>
          <w14:textFill>
            <w14:solidFill>
              <w14:schemeClr w14:val="tx1"/>
            </w14:solidFill>
          </w14:textFill>
        </w:rPr>
        <w:t>生活污水、食堂废水、</w:t>
      </w:r>
      <w:r>
        <w:rPr>
          <w:color w:val="000000" w:themeColor="text1"/>
          <w14:textFill>
            <w14:solidFill>
              <w14:schemeClr w14:val="tx1"/>
            </w14:solidFill>
          </w14:textFill>
        </w:rPr>
        <w:t>车间地面冲洗废水、CO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回收系统洗气废水、啤酒生产工艺废水、CIP清洗废水、玻璃瓶清洗废水、化验室废水、锅炉废水及软水制备废水、纯水制备废水</w:t>
      </w:r>
      <w:r>
        <w:rPr>
          <w:rFonts w:hint="eastAsia"/>
          <w:color w:val="000000" w:themeColor="text1"/>
          <w14:textFill>
            <w14:solidFill>
              <w14:schemeClr w14:val="tx1"/>
            </w14:solidFill>
          </w14:textFill>
        </w:rPr>
        <w:t>。</w:t>
      </w:r>
    </w:p>
    <w:bookmarkEnd w:id="442"/>
    <w:p w14:paraId="0C211B4C">
      <w:pPr>
        <w:pStyle w:val="7"/>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9</w:t>
      </w:r>
      <w:r>
        <w:rPr>
          <w:color w:val="000000" w:themeColor="text1"/>
          <w:lang w:eastAsia="zh-CN"/>
          <w14:textFill>
            <w14:solidFill>
              <w14:schemeClr w14:val="tx1"/>
            </w14:solidFill>
          </w14:textFill>
        </w:rPr>
        <w:t>.1.4.3</w:t>
      </w:r>
      <w:r>
        <w:rPr>
          <w:color w:val="000000" w:themeColor="text1"/>
          <w14:textFill>
            <w14:solidFill>
              <w14:schemeClr w14:val="tx1"/>
            </w14:solidFill>
          </w14:textFill>
        </w:rPr>
        <w:t>噪声排放情况</w:t>
      </w:r>
    </w:p>
    <w:p w14:paraId="45169E0B">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施工期：施工期的噪声主要来源于施工机械，如装载机、推土机、重型运输车辆等。</w:t>
      </w:r>
    </w:p>
    <w:p w14:paraId="6D20F55E">
      <w:pPr>
        <w:spacing w:line="500" w:lineRule="exact"/>
        <w:rPr>
          <w:color w:val="000000" w:themeColor="text1"/>
          <w:szCs w:val="24"/>
          <w14:textFill>
            <w14:solidFill>
              <w14:schemeClr w14:val="tx1"/>
            </w14:solidFill>
          </w14:textFill>
        </w:rPr>
      </w:pPr>
      <w:r>
        <w:rPr>
          <w:snapToGrid w:val="0"/>
          <w:color w:val="000000" w:themeColor="text1"/>
          <w:kern w:val="0"/>
          <w14:textFill>
            <w14:solidFill>
              <w14:schemeClr w14:val="tx1"/>
            </w14:solidFill>
          </w14:textFill>
        </w:rPr>
        <w:t>运营期：本项目新增噪声源主要为各生产设备生产过程产生的噪声，包括</w:t>
      </w:r>
      <w:r>
        <w:rPr>
          <w:rFonts w:hint="eastAsia"/>
          <w:color w:val="000000" w:themeColor="text1"/>
          <w:lang w:val="en-US" w:eastAsia="zh-CN"/>
          <w14:textFill>
            <w14:solidFill>
              <w14:schemeClr w14:val="tx1"/>
            </w14:solidFill>
          </w14:textFill>
        </w:rPr>
        <w:t>斗提机、</w:t>
      </w:r>
      <w:r>
        <w:rPr>
          <w:color w:val="000000" w:themeColor="text1"/>
          <w14:textFill>
            <w14:solidFill>
              <w14:schemeClr w14:val="tx1"/>
            </w14:solidFill>
          </w14:textFill>
        </w:rPr>
        <w:t>粉碎机、</w:t>
      </w:r>
      <w:r>
        <w:rPr>
          <w:rFonts w:ascii="Segoe UI Emoji" w:hAnsi="Segoe UI Emoji" w:eastAsia="Segoe UI Emoji" w:cs="Segoe UI Emoji"/>
          <w:i w:val="0"/>
          <w:iCs w:val="0"/>
          <w:caps w:val="0"/>
          <w:spacing w:val="0"/>
          <w:sz w:val="24"/>
          <w:szCs w:val="24"/>
        </w:rPr>
        <w:t>糊化锅</w:t>
      </w:r>
      <w:r>
        <w:rPr>
          <w:rFonts w:hint="eastAsia" w:ascii="Segoe UI Emoji" w:hAnsi="Segoe UI Emoji" w:eastAsia="宋体" w:cs="Segoe UI Emoji"/>
          <w:i w:val="0"/>
          <w:iCs w:val="0"/>
          <w:caps w:val="0"/>
          <w:spacing w:val="0"/>
          <w:sz w:val="24"/>
          <w:szCs w:val="24"/>
          <w:lang w:eastAsia="zh-CN"/>
        </w:rPr>
        <w:t>、</w:t>
      </w:r>
      <w:r>
        <w:rPr>
          <w:rFonts w:ascii="Segoe UI Emoji" w:hAnsi="Segoe UI Emoji" w:eastAsia="Segoe UI Emoji" w:cs="Segoe UI Emoji"/>
          <w:i w:val="0"/>
          <w:iCs w:val="0"/>
          <w:caps w:val="0"/>
          <w:spacing w:val="0"/>
          <w:sz w:val="24"/>
          <w:szCs w:val="24"/>
        </w:rPr>
        <w:t>糖化锅</w:t>
      </w:r>
      <w:r>
        <w:rPr>
          <w:rFonts w:hint="eastAsia" w:ascii="Segoe UI Emoji" w:hAnsi="Segoe UI Emoji" w:eastAsia="宋体" w:cs="Segoe UI Emoji"/>
          <w:i w:val="0"/>
          <w:iCs w:val="0"/>
          <w:caps w:val="0"/>
          <w:spacing w:val="0"/>
          <w:sz w:val="24"/>
          <w:szCs w:val="24"/>
          <w:lang w:eastAsia="zh-CN"/>
        </w:rPr>
        <w:t>、</w:t>
      </w:r>
      <w:r>
        <w:rPr>
          <w:rFonts w:hint="eastAsia"/>
          <w:color w:val="000000" w:themeColor="text1"/>
          <w:lang w:val="en-US" w:eastAsia="zh-CN"/>
          <w14:textFill>
            <w14:solidFill>
              <w14:schemeClr w14:val="tx1"/>
            </w14:solidFill>
          </w14:textFill>
        </w:rPr>
        <w:t>离心机、螺杆空压机、</w:t>
      </w:r>
      <w:r>
        <w:rPr>
          <w:snapToGrid w:val="0"/>
          <w:color w:val="000000" w:themeColor="text1"/>
          <w:kern w:val="0"/>
          <w:szCs w:val="21"/>
          <w:lang w:val="en-US" w:eastAsia="zh-CN"/>
          <w14:textFill>
            <w14:solidFill>
              <w14:schemeClr w14:val="tx1"/>
            </w14:solidFill>
          </w14:textFill>
        </w:rPr>
        <w:t>吸附式干燥机</w:t>
      </w:r>
      <w:r>
        <w:rPr>
          <w:rFonts w:hint="eastAsia"/>
          <w:snapToGrid w:val="0"/>
          <w:color w:val="000000" w:themeColor="text1"/>
          <w:kern w:val="0"/>
          <w:szCs w:val="21"/>
          <w:lang w:val="en-US" w:eastAsia="zh-CN"/>
          <w14:textFill>
            <w14:solidFill>
              <w14:schemeClr w14:val="tx1"/>
            </w14:solidFill>
          </w14:textFill>
        </w:rPr>
        <w:t>、</w:t>
      </w:r>
      <w:r>
        <w:rPr>
          <w:snapToGrid w:val="0"/>
          <w:color w:val="000000" w:themeColor="text1"/>
          <w:kern w:val="0"/>
          <w:szCs w:val="21"/>
          <w:lang w:val="en-US" w:eastAsia="zh-CN"/>
          <w14:textFill>
            <w14:solidFill>
              <w14:schemeClr w14:val="tx1"/>
            </w14:solidFill>
          </w14:textFill>
        </w:rPr>
        <w:t>制冷压缩机</w:t>
      </w:r>
      <w:r>
        <w:rPr>
          <w:rFonts w:hint="eastAsia"/>
          <w:snapToGrid w:val="0"/>
          <w:color w:val="000000" w:themeColor="text1"/>
          <w:kern w:val="0"/>
          <w:szCs w:val="21"/>
          <w:lang w:val="en-US" w:eastAsia="zh-CN"/>
          <w14:textFill>
            <w14:solidFill>
              <w14:schemeClr w14:val="tx1"/>
            </w14:solidFill>
          </w14:textFill>
        </w:rPr>
        <w:t>、</w:t>
      </w:r>
      <w:r>
        <w:rPr>
          <w:color w:val="000000" w:themeColor="text1"/>
          <w14:textFill>
            <w14:solidFill>
              <w14:schemeClr w14:val="tx1"/>
            </w14:solidFill>
          </w14:textFill>
        </w:rPr>
        <w:t>灌装机、风机、各种泵类</w:t>
      </w:r>
      <w:r>
        <w:rPr>
          <w:snapToGrid w:val="0"/>
          <w:color w:val="000000" w:themeColor="text1"/>
          <w:kern w:val="0"/>
          <w14:textFill>
            <w14:solidFill>
              <w14:schemeClr w14:val="tx1"/>
            </w14:solidFill>
          </w14:textFill>
        </w:rPr>
        <w:t>等运行噪声。</w:t>
      </w:r>
    </w:p>
    <w:p w14:paraId="24721149">
      <w:pPr>
        <w:pStyle w:val="7"/>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9</w:t>
      </w:r>
      <w:r>
        <w:rPr>
          <w:color w:val="000000" w:themeColor="text1"/>
          <w:lang w:eastAsia="zh-CN"/>
          <w14:textFill>
            <w14:solidFill>
              <w14:schemeClr w14:val="tx1"/>
            </w14:solidFill>
          </w14:textFill>
        </w:rPr>
        <w:t>.1.4.4</w:t>
      </w:r>
      <w:r>
        <w:rPr>
          <w:color w:val="000000" w:themeColor="text1"/>
          <w14:textFill>
            <w14:solidFill>
              <w14:schemeClr w14:val="tx1"/>
            </w14:solidFill>
          </w14:textFill>
        </w:rPr>
        <w:t>固体废物排放情况</w:t>
      </w:r>
    </w:p>
    <w:p w14:paraId="46F65230">
      <w:pPr>
        <w:adjustRightInd/>
        <w:snapToGrid/>
        <w:spacing w:line="500" w:lineRule="exact"/>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施工期：施工期固体废物主要包括建筑垃圾、施工弃土弃渣和生活垃圾。</w:t>
      </w:r>
    </w:p>
    <w:p w14:paraId="08A34725">
      <w:pPr>
        <w:adjustRightInd/>
        <w:snapToGrid/>
        <w:spacing w:line="500" w:lineRule="exact"/>
        <w:rPr>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运营期：本项目固体废物主要为</w:t>
      </w:r>
      <w:r>
        <w:rPr>
          <w:rFonts w:hint="eastAsia"/>
          <w:color w:val="000000" w:themeColor="text1"/>
          <w:lang w:val="en-US" w:eastAsia="zh-CN"/>
          <w14:textFill>
            <w14:solidFill>
              <w14:schemeClr w14:val="tx1"/>
            </w14:solidFill>
          </w14:textFill>
        </w:rPr>
        <w:t>生活垃圾、餐厨废弃物以及废油脂、</w:t>
      </w:r>
      <w:r>
        <w:rPr>
          <w:color w:val="000000" w:themeColor="text1"/>
          <w14:textFill>
            <w14:solidFill>
              <w14:schemeClr w14:val="tx1"/>
            </w14:solidFill>
          </w14:textFill>
        </w:rPr>
        <w:t>杂质、酒糟及废酵母、除尘器收尘、废布袋、污水处理站污泥、废脱硫剂、废包装物、废活性炭、化验室废液、废过滤材料、废离子交换树脂</w:t>
      </w:r>
      <w:r>
        <w:rPr>
          <w:rFonts w:hint="eastAsia"/>
          <w:snapToGrid w:val="0"/>
          <w:color w:val="000000" w:themeColor="text1"/>
          <w14:textFill>
            <w14:solidFill>
              <w14:schemeClr w14:val="tx1"/>
            </w14:solidFill>
          </w14:textFill>
        </w:rPr>
        <w:t>。</w:t>
      </w:r>
    </w:p>
    <w:p w14:paraId="788A9322">
      <w:pPr>
        <w:pStyle w:val="6"/>
        <w:rPr>
          <w:snapToGrid w:val="0"/>
          <w:color w:val="000000" w:themeColor="text1"/>
          <w14:textFill>
            <w14:solidFill>
              <w14:schemeClr w14:val="tx1"/>
            </w14:solidFill>
          </w14:textFill>
        </w:rPr>
      </w:pPr>
      <w:bookmarkStart w:id="443" w:name="_Toc14514"/>
      <w:r>
        <w:rPr>
          <w:snapToGrid w:val="0"/>
          <w:color w:val="000000" w:themeColor="text1"/>
          <w14:textFill>
            <w14:solidFill>
              <w14:schemeClr w14:val="tx1"/>
            </w14:solidFill>
          </w14:textFill>
        </w:rPr>
        <w:t>9.1.5环境影响评价结论</w:t>
      </w:r>
      <w:bookmarkEnd w:id="443"/>
    </w:p>
    <w:p w14:paraId="773B73B6">
      <w:pPr>
        <w:pStyle w:val="7"/>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9</w:t>
      </w:r>
      <w:r>
        <w:rPr>
          <w:color w:val="000000" w:themeColor="text1"/>
          <w:lang w:eastAsia="zh-CN"/>
          <w14:textFill>
            <w14:solidFill>
              <w14:schemeClr w14:val="tx1"/>
            </w14:solidFill>
          </w14:textFill>
        </w:rPr>
        <w:t>.1.5.1</w:t>
      </w:r>
      <w:r>
        <w:rPr>
          <w:color w:val="000000" w:themeColor="text1"/>
          <w14:textFill>
            <w14:solidFill>
              <w14:schemeClr w14:val="tx1"/>
            </w14:solidFill>
          </w14:textFill>
        </w:rPr>
        <w:t>大气环境影响评价结论</w:t>
      </w:r>
    </w:p>
    <w:p w14:paraId="286549E9">
      <w:pPr>
        <w:spacing w:line="500" w:lineRule="exact"/>
        <w:rPr>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1、施工期</w:t>
      </w:r>
    </w:p>
    <w:p w14:paraId="3ED310C4">
      <w:pPr>
        <w:spacing w:line="500" w:lineRule="exact"/>
        <w:rPr>
          <w:color w:val="000000" w:themeColor="text1"/>
          <w:szCs w:val="24"/>
          <w14:textFill>
            <w14:solidFill>
              <w14:schemeClr w14:val="tx1"/>
            </w14:solidFill>
          </w14:textFill>
        </w:rPr>
      </w:pPr>
      <w:r>
        <w:rPr>
          <w:color w:val="000000" w:themeColor="text1"/>
          <w:szCs w:val="24"/>
          <w14:textFill>
            <w14:solidFill>
              <w14:schemeClr w14:val="tx1"/>
            </w14:solidFill>
          </w14:textFill>
        </w:rPr>
        <w:t>施工过程中产生的废气、粉尘（扬尘）将会造成周围大气环境污染，在采取相应的污染防治措施后，则可将对环境的不利影响控制在最低限度内。因此，整个施工期间对环境所产生的影响是可以接受的。</w:t>
      </w:r>
    </w:p>
    <w:p w14:paraId="2C3788F1">
      <w:pPr>
        <w:spacing w:line="500" w:lineRule="exact"/>
        <w:rPr>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2、运营期</w:t>
      </w:r>
    </w:p>
    <w:p w14:paraId="0E7725A5">
      <w:pPr>
        <w:spacing w:line="500" w:lineRule="exact"/>
        <w:rPr>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（1）污水处理站恶臭及发酵车间异味</w:t>
      </w:r>
    </w:p>
    <w:p w14:paraId="51D599BB">
      <w:pPr>
        <w:pStyle w:val="85"/>
        <w:rPr>
          <w:rFonts w:hint="eastAsia"/>
          <w:color w:val="000000" w:themeColor="text1"/>
          <w:szCs w:val="24"/>
          <w14:textFill>
            <w14:solidFill>
              <w14:schemeClr w14:val="tx1"/>
            </w14:solidFill>
          </w14:textFill>
        </w:rPr>
      </w:pPr>
      <w:r>
        <w:rPr>
          <w:color w:val="000000" w:themeColor="text1"/>
          <w:szCs w:val="24"/>
          <w14:textFill>
            <w14:solidFill>
              <w14:schemeClr w14:val="tx1"/>
            </w14:solidFill>
          </w14:textFill>
        </w:rPr>
        <w:t>污水处理站恶臭气体经引风机引至</w:t>
      </w:r>
      <w:r>
        <w:rPr>
          <w:rFonts w:hint="eastAsia"/>
          <w:color w:val="000000"/>
          <w:sz w:val="24"/>
          <w:lang w:val="zh-CN"/>
        </w:rPr>
        <w:t>活性炭吸附装置</w:t>
      </w:r>
      <w:r>
        <w:rPr>
          <w:color w:val="000000" w:themeColor="text1"/>
          <w:szCs w:val="24"/>
          <w14:textFill>
            <w14:solidFill>
              <w14:schemeClr w14:val="tx1"/>
            </w14:solidFill>
          </w14:textFill>
        </w:rPr>
        <w:t>，经处理后由15m排气筒</w:t>
      </w:r>
      <w:r>
        <w:rPr>
          <w:rFonts w:hint="eastAsia"/>
          <w:color w:val="000000" w:themeColor="text1"/>
          <w:szCs w:val="24"/>
          <w14:textFill>
            <w14:solidFill>
              <w14:schemeClr w14:val="tx1"/>
            </w14:solidFill>
          </w14:textFill>
        </w:rPr>
        <w:t>D</w:t>
      </w:r>
      <w:r>
        <w:rPr>
          <w:color w:val="000000" w:themeColor="text1"/>
          <w:szCs w:val="24"/>
          <w14:textFill>
            <w14:solidFill>
              <w14:schemeClr w14:val="tx1"/>
            </w14:solidFill>
          </w14:textFill>
        </w:rPr>
        <w:t>A00</w:t>
      </w:r>
      <w:r>
        <w:rPr>
          <w:rFonts w:hint="eastAsia"/>
          <w:color w:val="000000" w:themeColor="text1"/>
          <w:szCs w:val="24"/>
          <w:lang w:val="en-US" w:eastAsia="zh-CN"/>
          <w14:textFill>
            <w14:solidFill>
              <w14:schemeClr w14:val="tx1"/>
            </w14:solidFill>
          </w14:textFill>
        </w:rPr>
        <w:t>1</w:t>
      </w:r>
      <w:r>
        <w:rPr>
          <w:color w:val="000000" w:themeColor="text1"/>
          <w:szCs w:val="24"/>
          <w14:textFill>
            <w14:solidFill>
              <w14:schemeClr w14:val="tx1"/>
            </w14:solidFill>
          </w14:textFill>
        </w:rPr>
        <w:t>排放</w:t>
      </w:r>
      <w:r>
        <w:rPr>
          <w:rFonts w:hint="eastAsia"/>
          <w:color w:val="000000" w:themeColor="text1"/>
          <w:szCs w:val="24"/>
          <w14:textFill>
            <w14:solidFill>
              <w14:schemeClr w14:val="tx1"/>
            </w14:solidFill>
          </w14:textFill>
        </w:rPr>
        <w:t>。硫化氢、氨排放速率</w:t>
      </w:r>
      <w:r>
        <w:rPr>
          <w:rFonts w:hint="eastAsia"/>
          <w:color w:val="000000" w:themeColor="text1"/>
          <w:szCs w:val="24"/>
          <w:lang w:eastAsia="zh-CN"/>
          <w14:textFill>
            <w14:solidFill>
              <w14:schemeClr w14:val="tx1"/>
            </w14:solidFill>
          </w14:textFill>
        </w:rPr>
        <w:t>、</w:t>
      </w:r>
      <w:r>
        <w:rPr>
          <w:rFonts w:hint="eastAsia"/>
          <w:color w:val="000000" w:themeColor="text1"/>
          <w:szCs w:val="24"/>
          <w14:textFill>
            <w14:solidFill>
              <w14:schemeClr w14:val="tx1"/>
            </w14:solidFill>
          </w14:textFill>
        </w:rPr>
        <w:t>臭气浓度满足《恶臭污染物排放标准》（GB14554-93）表2中15m高排气筒标准要求；</w:t>
      </w:r>
      <w:r>
        <w:rPr>
          <w:rFonts w:hint="eastAsia"/>
          <w:color w:val="000000" w:themeColor="text1"/>
          <w:szCs w:val="24"/>
          <w:lang w:val="zh-CN"/>
          <w14:textFill>
            <w14:solidFill>
              <w14:schemeClr w14:val="tx1"/>
            </w14:solidFill>
          </w14:textFill>
        </w:rPr>
        <w:t>厂界H</w:t>
      </w:r>
      <w:r>
        <w:rPr>
          <w:rFonts w:hint="eastAsia"/>
          <w:color w:val="000000" w:themeColor="text1"/>
          <w:szCs w:val="24"/>
          <w:vertAlign w:val="subscript"/>
          <w:lang w:val="zh-CN"/>
          <w14:textFill>
            <w14:solidFill>
              <w14:schemeClr w14:val="tx1"/>
            </w14:solidFill>
          </w14:textFill>
        </w:rPr>
        <w:t>2</w:t>
      </w:r>
      <w:r>
        <w:rPr>
          <w:rFonts w:hint="eastAsia"/>
          <w:color w:val="000000" w:themeColor="text1"/>
          <w:szCs w:val="24"/>
          <w:lang w:val="zh-CN"/>
          <w14:textFill>
            <w14:solidFill>
              <w14:schemeClr w14:val="tx1"/>
            </w14:solidFill>
          </w14:textFill>
        </w:rPr>
        <w:t>S、NH</w:t>
      </w:r>
      <w:r>
        <w:rPr>
          <w:rFonts w:hint="eastAsia"/>
          <w:color w:val="000000" w:themeColor="text1"/>
          <w:szCs w:val="24"/>
          <w:vertAlign w:val="subscript"/>
          <w:lang w:val="zh-CN"/>
          <w14:textFill>
            <w14:solidFill>
              <w14:schemeClr w14:val="tx1"/>
            </w14:solidFill>
          </w14:textFill>
        </w:rPr>
        <w:t>3</w:t>
      </w:r>
      <w:r>
        <w:rPr>
          <w:rFonts w:hint="eastAsia"/>
          <w:color w:val="000000" w:themeColor="text1"/>
          <w:szCs w:val="24"/>
          <w:lang w:val="zh-CN"/>
          <w14:textFill>
            <w14:solidFill>
              <w14:schemeClr w14:val="tx1"/>
            </w14:solidFill>
          </w14:textFill>
        </w:rPr>
        <w:t>、臭气浓度</w:t>
      </w:r>
      <w:r>
        <w:rPr>
          <w:rFonts w:hint="eastAsia"/>
          <w:color w:val="000000" w:themeColor="text1"/>
          <w:szCs w:val="24"/>
          <w14:textFill>
            <w14:solidFill>
              <w14:schemeClr w14:val="tx1"/>
            </w14:solidFill>
          </w14:textFill>
        </w:rPr>
        <w:t>满足</w:t>
      </w:r>
      <w:r>
        <w:rPr>
          <w:rFonts w:hint="eastAsia"/>
          <w:color w:val="000000" w:themeColor="text1"/>
          <w:szCs w:val="24"/>
          <w:lang w:val="zh-CN"/>
          <w14:textFill>
            <w14:solidFill>
              <w14:schemeClr w14:val="tx1"/>
            </w14:solidFill>
          </w14:textFill>
        </w:rPr>
        <w:t>《恶臭污染物排放标准》（GB14554-93）表1中二级新扩改建标准</w:t>
      </w:r>
      <w:r>
        <w:rPr>
          <w:rFonts w:hint="eastAsia"/>
          <w:color w:val="000000" w:themeColor="text1"/>
          <w:szCs w:val="24"/>
          <w14:textFill>
            <w14:solidFill>
              <w14:schemeClr w14:val="tx1"/>
            </w14:solidFill>
          </w14:textFill>
        </w:rPr>
        <w:t>要求。</w:t>
      </w:r>
    </w:p>
    <w:p w14:paraId="0BEBE95C">
      <w:pPr>
        <w:pStyle w:val="85"/>
        <w:rPr>
          <w:color w:val="000000" w:themeColor="text1"/>
          <w:szCs w:val="24"/>
          <w14:textFill>
            <w14:solidFill>
              <w14:schemeClr w14:val="tx1"/>
            </w14:solidFill>
          </w14:textFill>
        </w:rPr>
      </w:pPr>
      <w:r>
        <w:rPr>
          <w:rFonts w:hint="eastAsia"/>
          <w:color w:val="000000" w:themeColor="text1"/>
          <w14:textFill>
            <w14:solidFill>
              <w14:schemeClr w14:val="tx1"/>
            </w14:solidFill>
          </w14:textFill>
        </w:rPr>
        <w:t>项目在发酵过程中会产生发酵废气，其主要成分为CO</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和异味（主要为臭气浓度）。二氧化碳逸出夹带少量异味废气排出，其异味废气产生量极少，在二氧化碳回收系统采用活性炭吸附异味气体后排放量甚微，主要为无组织排放。</w:t>
      </w:r>
    </w:p>
    <w:p w14:paraId="74642DA9">
      <w:pPr>
        <w:spacing w:line="500" w:lineRule="exact"/>
        <w:rPr>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（2）沼气</w:t>
      </w:r>
      <w:r>
        <w:rPr>
          <w:color w:val="000000" w:themeColor="text1"/>
          <w:szCs w:val="24"/>
          <w14:textFill>
            <w14:solidFill>
              <w14:schemeClr w14:val="tx1"/>
            </w14:solidFill>
          </w14:textFill>
        </w:rPr>
        <w:t>燃烧废气</w:t>
      </w:r>
    </w:p>
    <w:p w14:paraId="423891EC">
      <w:pPr>
        <w:spacing w:line="500" w:lineRule="exact"/>
        <w:rPr>
          <w:color w:val="000000" w:themeColor="text1"/>
          <w:szCs w:val="24"/>
          <w14:textFill>
            <w14:solidFill>
              <w14:schemeClr w14:val="tx1"/>
            </w14:solidFill>
          </w14:textFill>
        </w:rPr>
      </w:pPr>
      <w:r>
        <w:rPr>
          <w:color w:val="000000" w:themeColor="text1"/>
          <w:szCs w:val="24"/>
          <w14:textFill>
            <w14:solidFill>
              <w14:schemeClr w14:val="tx1"/>
            </w14:solidFill>
          </w14:textFill>
        </w:rPr>
        <w:t>沼气</w:t>
      </w:r>
      <w:r>
        <w:rPr>
          <w:rFonts w:hint="eastAsia"/>
          <w:color w:val="000000" w:themeColor="text1"/>
          <w:szCs w:val="24"/>
          <w:lang w:val="en-US" w:eastAsia="zh-CN"/>
          <w14:textFill>
            <w14:solidFill>
              <w14:schemeClr w14:val="tx1"/>
            </w14:solidFill>
          </w14:textFill>
        </w:rPr>
        <w:t>经干法</w:t>
      </w:r>
      <w:r>
        <w:rPr>
          <w:color w:val="000000" w:themeColor="text1"/>
          <w:szCs w:val="24"/>
          <w14:textFill>
            <w14:solidFill>
              <w14:schemeClr w14:val="tx1"/>
            </w14:solidFill>
          </w14:textFill>
        </w:rPr>
        <w:t>脱硫后经火炬燃烧排放，</w:t>
      </w:r>
      <w:r>
        <w:rPr>
          <w:rFonts w:hint="eastAsia"/>
          <w:color w:val="000000" w:themeColor="text1"/>
          <w:szCs w:val="24"/>
          <w14:textFill>
            <w14:solidFill>
              <w14:schemeClr w14:val="tx1"/>
            </w14:solidFill>
          </w14:textFill>
        </w:rPr>
        <w:t>颗粒物</w:t>
      </w:r>
      <w:r>
        <w:rPr>
          <w:color w:val="000000" w:themeColor="text1"/>
          <w:szCs w:val="24"/>
          <w14:textFill>
            <w14:solidFill>
              <w14:schemeClr w14:val="tx1"/>
            </w14:solidFill>
          </w14:textFill>
        </w:rPr>
        <w:t>、NOx、SO</w:t>
      </w:r>
      <w:r>
        <w:rPr>
          <w:color w:val="000000" w:themeColor="text1"/>
          <w:szCs w:val="24"/>
          <w:vertAlign w:val="subscript"/>
          <w14:textFill>
            <w14:solidFill>
              <w14:schemeClr w14:val="tx1"/>
            </w14:solidFill>
          </w14:textFill>
        </w:rPr>
        <w:t>2</w:t>
      </w:r>
      <w:r>
        <w:rPr>
          <w:color w:val="000000" w:themeColor="text1"/>
          <w:szCs w:val="24"/>
          <w14:textFill>
            <w14:solidFill>
              <w14:schemeClr w14:val="tx1"/>
            </w14:solidFill>
          </w14:textFill>
        </w:rPr>
        <w:t>排放</w:t>
      </w:r>
      <w:r>
        <w:rPr>
          <w:rFonts w:hint="eastAsia"/>
          <w:color w:val="000000" w:themeColor="text1"/>
          <w:szCs w:val="24"/>
          <w14:textFill>
            <w14:solidFill>
              <w14:schemeClr w14:val="tx1"/>
            </w14:solidFill>
          </w14:textFill>
        </w:rPr>
        <w:t>量均较小</w:t>
      </w:r>
      <w:r>
        <w:rPr>
          <w:color w:val="000000" w:themeColor="text1"/>
          <w:szCs w:val="24"/>
          <w14:textFill>
            <w14:solidFill>
              <w14:schemeClr w14:val="tx1"/>
            </w14:solidFill>
          </w14:textFill>
        </w:rPr>
        <w:t>，对环境影响很小，可以被环境接受。</w:t>
      </w:r>
      <w:r>
        <w:rPr>
          <w:rFonts w:hint="eastAsia"/>
          <w:color w:val="000000" w:themeColor="text1"/>
          <w:szCs w:val="24"/>
          <w14:textFill>
            <w14:solidFill>
              <w14:schemeClr w14:val="tx1"/>
            </w14:solidFill>
          </w14:textFill>
        </w:rPr>
        <w:t>沼气燃烧排放的颗粒物</w:t>
      </w:r>
      <w:r>
        <w:rPr>
          <w:color w:val="000000" w:themeColor="text1"/>
          <w:szCs w:val="24"/>
          <w14:textFill>
            <w14:solidFill>
              <w14:schemeClr w14:val="tx1"/>
            </w14:solidFill>
          </w14:textFill>
        </w:rPr>
        <w:t>、NOx、SO</w:t>
      </w:r>
      <w:r>
        <w:rPr>
          <w:color w:val="000000" w:themeColor="text1"/>
          <w:szCs w:val="24"/>
          <w:vertAlign w:val="subscript"/>
          <w14:textFill>
            <w14:solidFill>
              <w14:schemeClr w14:val="tx1"/>
            </w14:solidFill>
          </w14:textFill>
        </w:rPr>
        <w:t>2</w:t>
      </w:r>
      <w:r>
        <w:rPr>
          <w:rFonts w:hint="eastAsia"/>
          <w:color w:val="000000" w:themeColor="text1"/>
          <w:szCs w:val="24"/>
          <w14:textFill>
            <w14:solidFill>
              <w14:schemeClr w14:val="tx1"/>
            </w14:solidFill>
          </w14:textFill>
        </w:rPr>
        <w:t>无组织排放浓度满足</w:t>
      </w:r>
      <w:r>
        <w:rPr>
          <w:color w:val="000000" w:themeColor="text1"/>
          <w:szCs w:val="24"/>
          <w14:textFill>
            <w14:solidFill>
              <w14:schemeClr w14:val="tx1"/>
            </w14:solidFill>
          </w14:textFill>
        </w:rPr>
        <w:t>《大气污染物综合排放标准》（GB16297-1996）表2中无组织排放浓度监控限值要求。</w:t>
      </w:r>
    </w:p>
    <w:p w14:paraId="0F42E95F">
      <w:pPr>
        <w:spacing w:line="500" w:lineRule="exact"/>
        <w:rPr>
          <w:color w:val="000000" w:themeColor="text1"/>
          <w:szCs w:val="24"/>
          <w14:textFill>
            <w14:solidFill>
              <w14:schemeClr w14:val="tx1"/>
            </w14:solidFill>
          </w14:textFill>
        </w:rPr>
      </w:pPr>
      <w:r>
        <w:rPr>
          <w:color w:val="000000" w:themeColor="text1"/>
          <w:szCs w:val="24"/>
          <w14:textFill>
            <w14:solidFill>
              <w14:schemeClr w14:val="tx1"/>
            </w14:solidFill>
          </w14:textFill>
        </w:rPr>
        <w:t>（</w:t>
      </w:r>
      <w:r>
        <w:rPr>
          <w:rFonts w:hint="eastAsia"/>
          <w:color w:val="000000" w:themeColor="text1"/>
          <w:szCs w:val="24"/>
          <w14:textFill>
            <w14:solidFill>
              <w14:schemeClr w14:val="tx1"/>
            </w14:solidFill>
          </w14:textFill>
        </w:rPr>
        <w:t>3</w:t>
      </w:r>
      <w:r>
        <w:rPr>
          <w:color w:val="000000" w:themeColor="text1"/>
          <w:szCs w:val="24"/>
          <w14:textFill>
            <w14:solidFill>
              <w14:schemeClr w14:val="tx1"/>
            </w14:solidFill>
          </w14:textFill>
        </w:rPr>
        <w:t>）</w:t>
      </w:r>
      <w:r>
        <w:rPr>
          <w:rFonts w:hint="eastAsia"/>
          <w:color w:val="000000" w:themeColor="text1"/>
          <w:szCs w:val="24"/>
          <w14:textFill>
            <w14:solidFill>
              <w14:schemeClr w14:val="tx1"/>
            </w14:solidFill>
          </w14:textFill>
        </w:rPr>
        <w:t>锅炉烟气</w:t>
      </w:r>
    </w:p>
    <w:p w14:paraId="14FFA4CD">
      <w:pPr>
        <w:spacing w:line="500" w:lineRule="exact"/>
        <w:rPr>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本项目锅炉配套</w:t>
      </w:r>
      <w:r>
        <w:rPr>
          <w:color w:val="000000" w:themeColor="text1"/>
          <w:szCs w:val="24"/>
          <w14:textFill>
            <w14:solidFill>
              <w14:schemeClr w14:val="tx1"/>
            </w14:solidFill>
          </w14:textFill>
        </w:rPr>
        <w:t>低氮燃烧</w:t>
      </w:r>
      <w:r>
        <w:rPr>
          <w:rFonts w:hint="eastAsia"/>
          <w:color w:val="000000" w:themeColor="text1"/>
          <w:szCs w:val="24"/>
          <w14:textFill>
            <w14:solidFill>
              <w14:schemeClr w14:val="tx1"/>
            </w14:solidFill>
          </w14:textFill>
        </w:rPr>
        <w:t>，锅炉烟气</w:t>
      </w:r>
      <w:r>
        <w:rPr>
          <w:rFonts w:hint="eastAsia"/>
          <w:color w:val="000000" w:themeColor="text1"/>
          <w:szCs w:val="24"/>
          <w:lang w:val="en-US" w:eastAsia="zh-CN"/>
          <w14:textFill>
            <w14:solidFill>
              <w14:schemeClr w14:val="tx1"/>
            </w14:solidFill>
          </w14:textFill>
        </w:rPr>
        <w:t>经新建</w:t>
      </w:r>
      <w:r>
        <w:rPr>
          <w:color w:val="000000" w:themeColor="text1"/>
          <w:szCs w:val="24"/>
          <w14:textFill>
            <w14:solidFill>
              <w14:schemeClr w14:val="tx1"/>
            </w14:solidFill>
          </w14:textFill>
        </w:rPr>
        <w:t>25m烟囱DA00</w:t>
      </w:r>
      <w:r>
        <w:rPr>
          <w:rFonts w:hint="eastAsia"/>
          <w:color w:val="000000" w:themeColor="text1"/>
          <w:szCs w:val="24"/>
          <w:lang w:val="en-US" w:eastAsia="zh-CN"/>
          <w14:textFill>
            <w14:solidFill>
              <w14:schemeClr w14:val="tx1"/>
            </w14:solidFill>
          </w14:textFill>
        </w:rPr>
        <w:t>2</w:t>
      </w:r>
      <w:r>
        <w:rPr>
          <w:color w:val="000000" w:themeColor="text1"/>
          <w:szCs w:val="24"/>
          <w14:textFill>
            <w14:solidFill>
              <w14:schemeClr w14:val="tx1"/>
            </w14:solidFill>
          </w14:textFill>
        </w:rPr>
        <w:t>排放</w:t>
      </w:r>
      <w:r>
        <w:rPr>
          <w:rFonts w:hint="eastAsia"/>
          <w:color w:val="000000" w:themeColor="text1"/>
          <w:szCs w:val="24"/>
          <w14:textFill>
            <w14:solidFill>
              <w14:schemeClr w14:val="tx1"/>
            </w14:solidFill>
          </w14:textFill>
        </w:rPr>
        <w:t>。</w:t>
      </w:r>
      <w:r>
        <w:rPr>
          <w:rFonts w:hint="eastAsia"/>
          <w:bCs/>
          <w:color w:val="000000" w:themeColor="text1"/>
          <w:szCs w:val="24"/>
          <w14:textFill>
            <w14:solidFill>
              <w14:schemeClr w14:val="tx1"/>
            </w14:solidFill>
          </w14:textFill>
        </w:rPr>
        <w:t>颗粒物、</w:t>
      </w:r>
      <w:r>
        <w:rPr>
          <w:bCs/>
          <w:color w:val="000000" w:themeColor="text1"/>
          <w:szCs w:val="24"/>
          <w14:textFill>
            <w14:solidFill>
              <w14:schemeClr w14:val="tx1"/>
            </w14:solidFill>
          </w14:textFill>
        </w:rPr>
        <w:t>SO</w:t>
      </w:r>
      <w:r>
        <w:rPr>
          <w:bCs/>
          <w:color w:val="000000" w:themeColor="text1"/>
          <w:szCs w:val="24"/>
          <w:vertAlign w:val="subscript"/>
          <w14:textFill>
            <w14:solidFill>
              <w14:schemeClr w14:val="tx1"/>
            </w14:solidFill>
          </w14:textFill>
        </w:rPr>
        <w:t>2</w:t>
      </w:r>
      <w:r>
        <w:rPr>
          <w:rFonts w:hint="eastAsia"/>
          <w:bCs/>
          <w:color w:val="000000" w:themeColor="text1"/>
          <w:szCs w:val="24"/>
          <w14:textFill>
            <w14:solidFill>
              <w14:schemeClr w14:val="tx1"/>
            </w14:solidFill>
          </w14:textFill>
        </w:rPr>
        <w:t>、</w:t>
      </w:r>
      <w:r>
        <w:rPr>
          <w:bCs/>
          <w:color w:val="000000" w:themeColor="text1"/>
          <w:szCs w:val="24"/>
          <w14:textFill>
            <w14:solidFill>
              <w14:schemeClr w14:val="tx1"/>
            </w14:solidFill>
          </w14:textFill>
        </w:rPr>
        <w:t>NOx</w:t>
      </w:r>
      <w:r>
        <w:rPr>
          <w:rFonts w:hint="eastAsia"/>
          <w:bCs/>
          <w:color w:val="000000" w:themeColor="text1"/>
          <w:szCs w:val="24"/>
          <w14:textFill>
            <w14:solidFill>
              <w14:schemeClr w14:val="tx1"/>
            </w14:solidFill>
          </w14:textFill>
        </w:rPr>
        <w:t>排放浓度及烟气黑度满足《锅炉大气污染物排放标准》（GB13271-2014）表2</w:t>
      </w:r>
      <w:r>
        <w:rPr>
          <w:rFonts w:hint="eastAsia"/>
          <w:bCs/>
          <w:color w:val="000000" w:themeColor="text1"/>
          <w:szCs w:val="24"/>
          <w:lang w:eastAsia="zh-CN"/>
          <w14:textFill>
            <w14:solidFill>
              <w14:schemeClr w14:val="tx1"/>
            </w14:solidFill>
          </w14:textFill>
        </w:rPr>
        <w:t>燃气</w:t>
      </w:r>
      <w:r>
        <w:rPr>
          <w:rFonts w:hint="eastAsia"/>
          <w:bCs/>
          <w:color w:val="000000" w:themeColor="text1"/>
          <w:szCs w:val="24"/>
          <w14:textFill>
            <w14:solidFill>
              <w14:schemeClr w14:val="tx1"/>
            </w14:solidFill>
          </w14:textFill>
        </w:rPr>
        <w:t>锅炉标准。</w:t>
      </w:r>
    </w:p>
    <w:p w14:paraId="2E62044C">
      <w:pPr>
        <w:spacing w:line="500" w:lineRule="exact"/>
        <w:rPr>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w:t>
      </w:r>
      <w:r>
        <w:rPr>
          <w:color w:val="000000" w:themeColor="text1"/>
          <w:szCs w:val="24"/>
          <w14:textFill>
            <w14:solidFill>
              <w14:schemeClr w14:val="tx1"/>
            </w14:solidFill>
          </w14:textFill>
        </w:rPr>
        <w:t>4</w:t>
      </w:r>
      <w:r>
        <w:rPr>
          <w:rFonts w:hint="eastAsia"/>
          <w:color w:val="000000" w:themeColor="text1"/>
          <w:szCs w:val="24"/>
          <w14:textFill>
            <w14:solidFill>
              <w14:schemeClr w14:val="tx1"/>
            </w14:solidFill>
          </w14:textFill>
        </w:rPr>
        <w:t>）</w:t>
      </w:r>
      <w:r>
        <w:rPr>
          <w:rFonts w:hint="eastAsia"/>
          <w:color w:val="000000" w:themeColor="text1"/>
          <w:szCs w:val="24"/>
          <w:lang w:val="en-US" w:eastAsia="zh-CN"/>
          <w14:textFill>
            <w14:solidFill>
              <w14:schemeClr w14:val="tx1"/>
            </w14:solidFill>
          </w14:textFill>
        </w:rPr>
        <w:t>原料处理</w:t>
      </w:r>
      <w:r>
        <w:rPr>
          <w:rFonts w:hint="eastAsia"/>
          <w:color w:val="000000" w:themeColor="text1"/>
          <w:szCs w:val="24"/>
          <w14:textFill>
            <w14:solidFill>
              <w14:schemeClr w14:val="tx1"/>
            </w14:solidFill>
          </w14:textFill>
        </w:rPr>
        <w:t>粉尘</w:t>
      </w:r>
    </w:p>
    <w:p w14:paraId="4C726854">
      <w:pPr>
        <w:spacing w:line="500" w:lineRule="exact"/>
        <w:rPr>
          <w:rFonts w:hint="eastAsia"/>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原料处理间为封闭设备，原料投料、输送及去石筛分过程中产生的粉尘</w:t>
      </w:r>
      <w:r>
        <w:rPr>
          <w:color w:val="000000" w:themeColor="text1"/>
          <w:szCs w:val="24"/>
          <w14:textFill>
            <w14:solidFill>
              <w14:schemeClr w14:val="tx1"/>
            </w14:solidFill>
          </w14:textFill>
        </w:rPr>
        <w:t>经引风机引至布袋除尘器，经处理后由</w:t>
      </w:r>
      <w:r>
        <w:rPr>
          <w:rFonts w:hint="eastAsia"/>
          <w:color w:val="000000" w:themeColor="text1"/>
          <w:szCs w:val="24"/>
          <w:lang w:val="en-US" w:eastAsia="zh-CN"/>
          <w14:textFill>
            <w14:solidFill>
              <w14:schemeClr w14:val="tx1"/>
            </w14:solidFill>
          </w14:textFill>
        </w:rPr>
        <w:t>15</w:t>
      </w:r>
      <w:r>
        <w:rPr>
          <w:color w:val="000000" w:themeColor="text1"/>
          <w:szCs w:val="24"/>
          <w14:textFill>
            <w14:solidFill>
              <w14:schemeClr w14:val="tx1"/>
            </w14:solidFill>
          </w14:textFill>
        </w:rPr>
        <w:t>m排气筒</w:t>
      </w:r>
      <w:r>
        <w:rPr>
          <w:rFonts w:hint="eastAsia"/>
          <w:color w:val="000000" w:themeColor="text1"/>
          <w:szCs w:val="24"/>
          <w14:textFill>
            <w14:solidFill>
              <w14:schemeClr w14:val="tx1"/>
            </w14:solidFill>
          </w14:textFill>
        </w:rPr>
        <w:t>D</w:t>
      </w:r>
      <w:r>
        <w:rPr>
          <w:color w:val="000000" w:themeColor="text1"/>
          <w:szCs w:val="24"/>
          <w14:textFill>
            <w14:solidFill>
              <w14:schemeClr w14:val="tx1"/>
            </w14:solidFill>
          </w14:textFill>
        </w:rPr>
        <w:t>A00</w:t>
      </w:r>
      <w:r>
        <w:rPr>
          <w:rFonts w:hint="eastAsia"/>
          <w:color w:val="000000" w:themeColor="text1"/>
          <w:szCs w:val="24"/>
          <w:lang w:val="en-US" w:eastAsia="zh-CN"/>
          <w14:textFill>
            <w14:solidFill>
              <w14:schemeClr w14:val="tx1"/>
            </w14:solidFill>
          </w14:textFill>
        </w:rPr>
        <w:t>3</w:t>
      </w:r>
      <w:r>
        <w:rPr>
          <w:color w:val="000000" w:themeColor="text1"/>
          <w:szCs w:val="24"/>
          <w14:textFill>
            <w14:solidFill>
              <w14:schemeClr w14:val="tx1"/>
            </w14:solidFill>
          </w14:textFill>
        </w:rPr>
        <w:t>排放，</w:t>
      </w:r>
      <w:r>
        <w:rPr>
          <w:rFonts w:hint="eastAsia"/>
          <w:color w:val="000000" w:themeColor="text1"/>
          <w:szCs w:val="24"/>
          <w:lang w:val="zh-CN"/>
          <w14:textFill>
            <w14:solidFill>
              <w14:schemeClr w14:val="tx1"/>
            </w14:solidFill>
          </w14:textFill>
        </w:rPr>
        <w:t>原料间粉尘粉尘排放速率和排放浓度执行《大气污染物综合排放标准》（GB16297-1996）表2中二级标准</w:t>
      </w:r>
      <w:r>
        <w:rPr>
          <w:rFonts w:hint="eastAsia"/>
        </w:rPr>
        <w:t>（排放速率严格50%执行）</w:t>
      </w:r>
      <w:r>
        <w:rPr>
          <w:rFonts w:hint="eastAsia"/>
          <w:color w:val="000000" w:themeColor="text1"/>
          <w:szCs w:val="24"/>
          <w:lang w:val="zh-CN"/>
          <w14:textFill>
            <w14:solidFill>
              <w14:schemeClr w14:val="tx1"/>
            </w14:solidFill>
          </w14:textFill>
        </w:rPr>
        <w:t>要求</w:t>
      </w:r>
      <w:r>
        <w:rPr>
          <w:rFonts w:hint="eastAsia"/>
          <w:color w:val="000000" w:themeColor="text1"/>
          <w:szCs w:val="24"/>
          <w14:textFill>
            <w14:solidFill>
              <w14:schemeClr w14:val="tx1"/>
            </w14:solidFill>
          </w14:textFill>
        </w:rPr>
        <w:t>。</w:t>
      </w:r>
    </w:p>
    <w:p w14:paraId="22E18A9B">
      <w:pPr>
        <w:numPr>
          <w:ilvl w:val="0"/>
          <w:numId w:val="12"/>
        </w:numPr>
        <w:spacing w:line="500" w:lineRule="exact"/>
        <w:rPr>
          <w:rFonts w:hint="eastAsia"/>
          <w:b w:val="0"/>
          <w:bCs w:val="0"/>
          <w:color w:val="000000" w:themeColor="text1"/>
          <w:sz w:val="24"/>
          <w:szCs w:val="24"/>
          <w14:textFill>
            <w14:solidFill>
              <w14:schemeClr w14:val="tx1"/>
            </w14:solidFill>
          </w14:textFill>
        </w:rPr>
      </w:pPr>
      <w:r>
        <w:rPr>
          <w:rFonts w:hint="eastAsia"/>
          <w:b w:val="0"/>
          <w:bCs w:val="0"/>
          <w:color w:val="000000" w:themeColor="text1"/>
          <w:sz w:val="24"/>
          <w:szCs w:val="24"/>
          <w14:textFill>
            <w14:solidFill>
              <w14:schemeClr w14:val="tx1"/>
            </w14:solidFill>
          </w14:textFill>
        </w:rPr>
        <w:t>食堂油烟</w:t>
      </w:r>
    </w:p>
    <w:p w14:paraId="40F21102">
      <w:pPr>
        <w:keepNext w:val="0"/>
        <w:keepLines w:val="0"/>
        <w:pageBreakBefore w:val="0"/>
        <w:widowControl w:val="0"/>
        <w:numPr>
          <w:ilvl w:val="0"/>
          <w:numId w:val="0"/>
        </w:numPr>
        <w:kinsoku/>
        <w:wordWrap/>
        <w:overflowPunct/>
        <w:topLinePunct w:val="0"/>
        <w:autoSpaceDE/>
        <w:autoSpaceDN/>
        <w:bidi w:val="0"/>
        <w:adjustRightInd w:val="0"/>
        <w:snapToGrid w:val="0"/>
        <w:spacing w:line="500" w:lineRule="exact"/>
        <w:ind w:firstLine="480" w:firstLineChars="200"/>
        <w:jc w:val="both"/>
        <w:textAlignment w:val="auto"/>
        <w:rPr>
          <w:rFonts w:hint="eastAsia"/>
          <w:color w:val="000000" w:themeColor="text1"/>
          <w:sz w:val="24"/>
          <w:szCs w:val="24"/>
          <w:lang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项目食堂油烟</w:t>
      </w:r>
      <w:r>
        <w:rPr>
          <w:rFonts w:hint="eastAsia"/>
          <w:color w:val="000000" w:themeColor="text1"/>
          <w:sz w:val="24"/>
          <w:szCs w:val="24"/>
          <w:lang w:bidi="ar"/>
          <w14:textFill>
            <w14:solidFill>
              <w14:schemeClr w14:val="tx1"/>
            </w14:solidFill>
          </w14:textFill>
        </w:rPr>
        <w:t>经油烟净化设施处理后引至屋顶排放，</w:t>
      </w:r>
      <w:r>
        <w:rPr>
          <w:rFonts w:hint="eastAsia"/>
          <w:color w:val="000000" w:themeColor="text1"/>
          <w:sz w:val="24"/>
          <w:szCs w:val="24"/>
          <w:lang w:val="en-US" w:eastAsia="zh-CN" w:bidi="ar"/>
          <w14:textFill>
            <w14:solidFill>
              <w14:schemeClr w14:val="tx1"/>
            </w14:solidFill>
          </w14:textFill>
        </w:rPr>
        <w:t>油烟排放浓度</w:t>
      </w:r>
      <w:r>
        <w:rPr>
          <w:rFonts w:hint="eastAsia"/>
          <w:color w:val="000000" w:themeColor="text1"/>
          <w:sz w:val="24"/>
          <w:szCs w:val="24"/>
          <w:lang w:bidi="ar"/>
          <w14:textFill>
            <w14:solidFill>
              <w14:schemeClr w14:val="tx1"/>
            </w14:solidFill>
          </w14:textFill>
        </w:rPr>
        <w:t>满足《饮食业油烟排放标准》（GB18483-2001）</w:t>
      </w:r>
      <w:r>
        <w:rPr>
          <w:rFonts w:hint="eastAsia"/>
          <w:color w:val="000000" w:themeColor="text1"/>
          <w:sz w:val="24"/>
          <w:szCs w:val="24"/>
          <w:lang w:val="en-US" w:eastAsia="zh-CN" w:bidi="ar"/>
          <w14:textFill>
            <w14:solidFill>
              <w14:schemeClr w14:val="tx1"/>
            </w14:solidFill>
          </w14:textFill>
        </w:rPr>
        <w:t>中最高允许</w:t>
      </w:r>
      <w:r>
        <w:rPr>
          <w:rFonts w:hint="eastAsia"/>
          <w:color w:val="000000" w:themeColor="text1"/>
          <w:sz w:val="24"/>
          <w:szCs w:val="24"/>
          <w:lang w:bidi="ar"/>
          <w14:textFill>
            <w14:solidFill>
              <w14:schemeClr w14:val="tx1"/>
            </w14:solidFill>
          </w14:textFill>
        </w:rPr>
        <w:t>排放浓度</w:t>
      </w:r>
      <w:r>
        <w:rPr>
          <w:rFonts w:hint="eastAsia"/>
          <w:color w:val="000000" w:themeColor="text1"/>
          <w:sz w:val="24"/>
          <w:szCs w:val="24"/>
          <w:lang w:val="en-US" w:eastAsia="zh-CN" w:bidi="ar"/>
          <w14:textFill>
            <w14:solidFill>
              <w14:schemeClr w14:val="tx1"/>
            </w14:solidFill>
          </w14:textFill>
        </w:rPr>
        <w:t>2.0</w:t>
      </w:r>
      <w:r>
        <w:rPr>
          <w:rFonts w:hint="eastAsia"/>
          <w:color w:val="000000" w:themeColor="text1"/>
          <w:sz w:val="24"/>
          <w:szCs w:val="24"/>
          <w:lang w:bidi="ar"/>
          <w14:textFill>
            <w14:solidFill>
              <w14:schemeClr w14:val="tx1"/>
            </w14:solidFill>
          </w14:textFill>
        </w:rPr>
        <w:t>mg/m</w:t>
      </w:r>
      <w:r>
        <w:rPr>
          <w:rFonts w:hint="eastAsia"/>
          <w:color w:val="000000" w:themeColor="text1"/>
          <w:sz w:val="24"/>
          <w:szCs w:val="24"/>
          <w:vertAlign w:val="superscript"/>
          <w:lang w:bidi="ar"/>
          <w14:textFill>
            <w14:solidFill>
              <w14:schemeClr w14:val="tx1"/>
            </w14:solidFill>
          </w14:textFill>
        </w:rPr>
        <w:t>3</w:t>
      </w:r>
      <w:r>
        <w:rPr>
          <w:rFonts w:hint="eastAsia"/>
          <w:color w:val="000000" w:themeColor="text1"/>
          <w:sz w:val="24"/>
          <w:szCs w:val="24"/>
          <w:lang w:bidi="ar"/>
          <w14:textFill>
            <w14:solidFill>
              <w14:schemeClr w14:val="tx1"/>
            </w14:solidFill>
          </w14:textFill>
        </w:rPr>
        <w:t>的标准要求，经处理后的油烟废气经专用烟道引至楼顶排放。</w:t>
      </w:r>
    </w:p>
    <w:p w14:paraId="4C74169C">
      <w:pPr>
        <w:keepNext w:val="0"/>
        <w:keepLines w:val="0"/>
        <w:pageBreakBefore w:val="0"/>
        <w:widowControl w:val="0"/>
        <w:numPr>
          <w:ilvl w:val="0"/>
          <w:numId w:val="0"/>
        </w:numPr>
        <w:kinsoku/>
        <w:wordWrap/>
        <w:overflowPunct/>
        <w:topLinePunct w:val="0"/>
        <w:autoSpaceDE/>
        <w:autoSpaceDN/>
        <w:bidi w:val="0"/>
        <w:adjustRightInd w:val="0"/>
        <w:snapToGrid w:val="0"/>
        <w:spacing w:line="500" w:lineRule="exact"/>
        <w:ind w:firstLine="480" w:firstLineChars="200"/>
        <w:jc w:val="both"/>
        <w:textAlignment w:val="auto"/>
        <w:rPr>
          <w:rFonts w:hint="eastAsia"/>
          <w:b w:val="0"/>
          <w:bCs w:val="0"/>
          <w:color w:val="000000" w:themeColor="text1"/>
          <w:sz w:val="24"/>
          <w:szCs w:val="24"/>
          <w:lang w:eastAsia="zh-CN"/>
          <w14:textFill>
            <w14:solidFill>
              <w14:schemeClr w14:val="tx1"/>
            </w14:solidFill>
          </w14:textFill>
        </w:rPr>
      </w:pPr>
      <w:r>
        <w:rPr>
          <w:rFonts w:hint="eastAsia"/>
          <w:b w:val="0"/>
          <w:bCs w:val="0"/>
          <w:color w:val="000000" w:themeColor="text1"/>
          <w:sz w:val="24"/>
          <w:szCs w:val="24"/>
          <w:lang w:eastAsia="zh-CN"/>
          <w14:textFill>
            <w14:solidFill>
              <w14:schemeClr w14:val="tx1"/>
            </w14:solidFill>
          </w14:textFill>
        </w:rPr>
        <w:t>（</w:t>
      </w:r>
      <w:r>
        <w:rPr>
          <w:rFonts w:hint="eastAsia"/>
          <w:b w:val="0"/>
          <w:bCs w:val="0"/>
          <w:color w:val="000000" w:themeColor="text1"/>
          <w:sz w:val="24"/>
          <w:szCs w:val="24"/>
          <w:lang w:val="en-US" w:eastAsia="zh-CN"/>
          <w14:textFill>
            <w14:solidFill>
              <w14:schemeClr w14:val="tx1"/>
            </w14:solidFill>
          </w14:textFill>
        </w:rPr>
        <w:t>6</w:t>
      </w:r>
      <w:r>
        <w:rPr>
          <w:rFonts w:hint="eastAsia"/>
          <w:b w:val="0"/>
          <w:bCs w:val="0"/>
          <w:color w:val="000000" w:themeColor="text1"/>
          <w:sz w:val="24"/>
          <w:szCs w:val="24"/>
          <w:lang w:eastAsia="zh-CN"/>
          <w14:textFill>
            <w14:solidFill>
              <w14:schemeClr w14:val="tx1"/>
            </w14:solidFill>
          </w14:textFill>
        </w:rPr>
        <w:t>）</w:t>
      </w:r>
      <w:r>
        <w:rPr>
          <w:rFonts w:hint="eastAsia"/>
          <w:color w:val="000000" w:themeColor="text1"/>
          <w:sz w:val="24"/>
          <w:szCs w:val="24"/>
          <w:lang w:val="en-US" w:eastAsia="zh-CN" w:bidi="ar"/>
          <w14:textFill>
            <w14:solidFill>
              <w14:schemeClr w14:val="tx1"/>
            </w14:solidFill>
          </w14:textFill>
        </w:rPr>
        <w:t>柴油发电机废气</w:t>
      </w:r>
    </w:p>
    <w:p w14:paraId="3FB17FCB">
      <w:pPr>
        <w:pStyle w:val="9"/>
        <w:spacing w:line="360" w:lineRule="auto"/>
        <w:ind w:firstLine="480"/>
        <w:rPr>
          <w:rFonts w:hint="eastAsia"/>
          <w:color w:val="000000" w:themeColor="text1"/>
          <w:sz w:val="24"/>
          <w:szCs w:val="24"/>
          <w:lang w:val="en-US" w:eastAsia="zh-CN" w:bidi="ar"/>
          <w14:textFill>
            <w14:solidFill>
              <w14:schemeClr w14:val="tx1"/>
            </w14:solidFill>
          </w14:textFill>
        </w:rPr>
      </w:pPr>
      <w:r>
        <w:rPr>
          <w:rFonts w:hint="eastAsia"/>
          <w:color w:val="000000" w:themeColor="text1"/>
          <w:sz w:val="24"/>
          <w:szCs w:val="24"/>
          <w:lang w:val="en-US" w:eastAsia="zh-CN" w:bidi="ar"/>
          <w14:textFill>
            <w14:solidFill>
              <w14:schemeClr w14:val="tx1"/>
            </w14:solidFill>
          </w14:textFill>
        </w:rPr>
        <w:t>项目发电机设置在柴油发电机房内，使用时间极少，因此产生的污染物也较少，只要严格按要求操作，控制好燃烧状况，燃烧废气中的主要污染物烟尘、NO</w:t>
      </w:r>
      <w:r>
        <w:rPr>
          <w:rFonts w:hint="eastAsia"/>
          <w:color w:val="000000" w:themeColor="text1"/>
          <w:sz w:val="24"/>
          <w:szCs w:val="24"/>
          <w:vertAlign w:val="subscript"/>
          <w:lang w:val="en-US" w:eastAsia="zh-CN" w:bidi="ar"/>
          <w14:textFill>
            <w14:solidFill>
              <w14:schemeClr w14:val="tx1"/>
            </w14:solidFill>
          </w14:textFill>
        </w:rPr>
        <w:t>X</w:t>
      </w:r>
      <w:r>
        <w:rPr>
          <w:rFonts w:hint="eastAsia"/>
          <w:color w:val="000000" w:themeColor="text1"/>
          <w:sz w:val="24"/>
          <w:szCs w:val="24"/>
          <w:lang w:val="en-US" w:eastAsia="zh-CN" w:bidi="ar"/>
          <w14:textFill>
            <w14:solidFill>
              <w14:schemeClr w14:val="tx1"/>
            </w14:solidFill>
          </w14:textFill>
        </w:rPr>
        <w:t>、SO</w:t>
      </w:r>
      <w:r>
        <w:rPr>
          <w:rFonts w:hint="eastAsia"/>
          <w:color w:val="000000" w:themeColor="text1"/>
          <w:sz w:val="24"/>
          <w:szCs w:val="24"/>
          <w:vertAlign w:val="subscript"/>
          <w:lang w:val="en-US" w:eastAsia="zh-CN" w:bidi="ar"/>
          <w14:textFill>
            <w14:solidFill>
              <w14:schemeClr w14:val="tx1"/>
            </w14:solidFill>
          </w14:textFill>
        </w:rPr>
        <w:t>2</w:t>
      </w:r>
      <w:r>
        <w:rPr>
          <w:rFonts w:hint="eastAsia"/>
          <w:color w:val="000000" w:themeColor="text1"/>
          <w:sz w:val="24"/>
          <w:szCs w:val="24"/>
          <w:lang w:val="en-US" w:eastAsia="zh-CN" w:bidi="ar"/>
          <w14:textFill>
            <w14:solidFill>
              <w14:schemeClr w14:val="tx1"/>
            </w14:solidFill>
          </w14:textFill>
        </w:rPr>
        <w:t>均可做到达标排放，废气通过发电机排气系统引至柴油发电机房的排烟管道无组织排放，经大气稀释、植被吸收后对周围环境空气质量影响较小，排放浓度能满足《大气污染物综合排放标准》（GB16297-1996）表2无组织排放浓度限值要求。</w:t>
      </w:r>
    </w:p>
    <w:p w14:paraId="42370E96">
      <w:pPr>
        <w:spacing w:line="500" w:lineRule="exact"/>
        <w:rPr>
          <w:color w:val="000000" w:themeColor="text1"/>
          <w:szCs w:val="24"/>
          <w14:textFill>
            <w14:solidFill>
              <w14:schemeClr w14:val="tx1"/>
            </w14:solidFill>
          </w14:textFill>
        </w:rPr>
      </w:pPr>
      <w:r>
        <w:rPr>
          <w:color w:val="000000" w:themeColor="text1"/>
          <w:szCs w:val="24"/>
          <w14:textFill>
            <w14:solidFill>
              <w14:schemeClr w14:val="tx1"/>
            </w14:solidFill>
          </w14:textFill>
        </w:rPr>
        <w:t>项目运营期采取了积极有效的污染治理措施，各大气污染物对环境空气的影响不大，并且可以达标排放。本项目不设大气环境防护距离。</w:t>
      </w:r>
    </w:p>
    <w:p w14:paraId="55377319">
      <w:pPr>
        <w:spacing w:line="500" w:lineRule="exact"/>
        <w:rPr>
          <w:color w:val="000000" w:themeColor="text1"/>
          <w:szCs w:val="24"/>
          <w14:textFill>
            <w14:solidFill>
              <w14:schemeClr w14:val="tx1"/>
            </w14:solidFill>
          </w14:textFill>
        </w:rPr>
      </w:pPr>
      <w:r>
        <w:rPr>
          <w:color w:val="000000" w:themeColor="text1"/>
          <w:szCs w:val="24"/>
          <w14:textFill>
            <w14:solidFill>
              <w14:schemeClr w14:val="tx1"/>
            </w14:solidFill>
          </w14:textFill>
        </w:rPr>
        <w:t>因此，从环境空气的角度来看，该项目是可行的。</w:t>
      </w:r>
    </w:p>
    <w:p w14:paraId="4B47616B">
      <w:pPr>
        <w:pStyle w:val="7"/>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9</w:t>
      </w:r>
      <w:r>
        <w:rPr>
          <w:color w:val="000000" w:themeColor="text1"/>
          <w:lang w:eastAsia="zh-CN"/>
          <w14:textFill>
            <w14:solidFill>
              <w14:schemeClr w14:val="tx1"/>
            </w14:solidFill>
          </w14:textFill>
        </w:rPr>
        <w:t>.1.5.2</w:t>
      </w:r>
      <w:r>
        <w:rPr>
          <w:rFonts w:hint="eastAsia"/>
          <w:color w:val="000000" w:themeColor="text1"/>
          <w:lang w:val="en-US" w:eastAsia="zh-CN"/>
          <w14:textFill>
            <w14:solidFill>
              <w14:schemeClr w14:val="tx1"/>
            </w14:solidFill>
          </w14:textFill>
        </w:rPr>
        <w:t>地表</w:t>
      </w:r>
      <w:r>
        <w:rPr>
          <w:color w:val="000000" w:themeColor="text1"/>
          <w14:textFill>
            <w14:solidFill>
              <w14:schemeClr w14:val="tx1"/>
            </w14:solidFill>
          </w14:textFill>
        </w:rPr>
        <w:t>水环境影响评价结论</w:t>
      </w:r>
    </w:p>
    <w:p w14:paraId="27590BC8">
      <w:pPr>
        <w:spacing w:line="500" w:lineRule="exact"/>
        <w:rPr>
          <w:color w:val="000000" w:themeColor="text1"/>
          <w:szCs w:val="24"/>
          <w14:textFill>
            <w14:solidFill>
              <w14:schemeClr w14:val="tx1"/>
            </w14:solidFill>
          </w14:textFill>
        </w:rPr>
      </w:pPr>
      <w:r>
        <w:rPr>
          <w:rFonts w:hint="eastAsia"/>
          <w:color w:val="000000" w:themeColor="text1"/>
          <w:szCs w:val="24"/>
          <w14:textFill>
            <w14:solidFill>
              <w14:schemeClr w14:val="tx1"/>
            </w14:solidFill>
          </w14:textFill>
        </w:rPr>
        <w:t>（1）</w:t>
      </w:r>
      <w:r>
        <w:rPr>
          <w:color w:val="000000" w:themeColor="text1"/>
          <w:szCs w:val="24"/>
          <w14:textFill>
            <w14:solidFill>
              <w14:schemeClr w14:val="tx1"/>
            </w14:solidFill>
          </w14:textFill>
        </w:rPr>
        <w:t>施工期</w:t>
      </w:r>
    </w:p>
    <w:p w14:paraId="0C712FD3">
      <w:pPr>
        <w:spacing w:line="500" w:lineRule="exact"/>
        <w:rPr>
          <w:color w:val="000000" w:themeColor="text1"/>
          <w:szCs w:val="24"/>
          <w14:textFill>
            <w14:solidFill>
              <w14:schemeClr w14:val="tx1"/>
            </w14:solidFill>
          </w14:textFill>
        </w:rPr>
      </w:pPr>
      <w:r>
        <w:rPr>
          <w:rFonts w:hint="eastAsia"/>
          <w:color w:val="000000" w:themeColor="text1"/>
          <w:szCs w:val="24"/>
          <w:lang w:val="en-US" w:eastAsia="zh-CN"/>
          <w14:textFill>
            <w14:solidFill>
              <w14:schemeClr w14:val="tx1"/>
            </w14:solidFill>
          </w14:textFill>
        </w:rPr>
        <w:t>施工期</w:t>
      </w:r>
      <w:r>
        <w:rPr>
          <w:color w:val="000000" w:themeColor="text1"/>
          <w:szCs w:val="24"/>
          <w14:textFill>
            <w14:solidFill>
              <w14:schemeClr w14:val="tx1"/>
            </w14:solidFill>
          </w14:textFill>
        </w:rPr>
        <w:t>产生的废水量不大，施工废水不任意直接排放，按其不同的性质，分类收集处理，不会形成地表径流，因此施工期废水对周围地表水环境影响不显著。</w:t>
      </w:r>
    </w:p>
    <w:p w14:paraId="4F4A4677">
      <w:pPr>
        <w:spacing w:line="500" w:lineRule="exact"/>
        <w:rPr>
          <w:rFonts w:hint="eastAsia"/>
          <w:color w:val="000000" w:themeColor="text1"/>
          <w:lang w:eastAsia="zh-CN"/>
          <w14:textFill>
            <w14:solidFill>
              <w14:schemeClr w14:val="tx1"/>
            </w14:solidFill>
          </w14:textFill>
        </w:rPr>
      </w:pPr>
      <w:bookmarkStart w:id="444" w:name="_Hlk522290152"/>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2</w:t>
      </w:r>
      <w:r>
        <w:rPr>
          <w:rFonts w:hint="eastAsia"/>
          <w:color w:val="000000" w:themeColor="text1"/>
          <w:lang w:eastAsia="zh-CN"/>
          <w14:textFill>
            <w14:solidFill>
              <w14:schemeClr w14:val="tx1"/>
            </w14:solidFill>
          </w14:textFill>
        </w:rPr>
        <w:t>）</w:t>
      </w:r>
      <w:r>
        <w:rPr>
          <w:rFonts w:hint="eastAsia"/>
          <w:color w:val="000000" w:themeColor="text1"/>
          <w:szCs w:val="24"/>
          <w14:textFill>
            <w14:solidFill>
              <w14:schemeClr w14:val="tx1"/>
            </w14:solidFill>
          </w14:textFill>
        </w:rPr>
        <w:t>运营期</w:t>
      </w:r>
    </w:p>
    <w:p w14:paraId="71762D27">
      <w:pPr>
        <w:spacing w:line="500" w:lineRule="exact"/>
        <w:rPr>
          <w:color w:val="000000" w:themeColor="text1"/>
          <w:szCs w:val="24"/>
          <w14:textFill>
            <w14:solidFill>
              <w14:schemeClr w14:val="tx1"/>
            </w14:solidFill>
          </w14:textFill>
        </w:rPr>
      </w:pPr>
      <w:r>
        <w:rPr>
          <w:color w:val="000000" w:themeColor="text1"/>
          <w14:textFill>
            <w14:solidFill>
              <w14:schemeClr w14:val="tx1"/>
            </w14:solidFill>
          </w14:textFill>
        </w:rPr>
        <w:t>本项目废水由新建</w:t>
      </w:r>
      <w:r>
        <w:rPr>
          <w:rFonts w:hint="eastAsia"/>
          <w:color w:val="000000" w:themeColor="text1"/>
          <w14:textFill>
            <w14:solidFill>
              <w14:schemeClr w14:val="tx1"/>
            </w14:solidFill>
          </w14:textFill>
        </w:rPr>
        <w:t>的处理能力为</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污水处理站处理满足《</w:t>
      </w:r>
      <w:r>
        <w:rPr>
          <w:rFonts w:hint="eastAsia"/>
          <w:color w:val="000000" w:themeColor="text1"/>
          <w:lang w:eastAsia="zh-CN"/>
          <w14:textFill>
            <w14:solidFill>
              <w14:schemeClr w14:val="tx1"/>
            </w14:solidFill>
          </w14:textFill>
        </w:rPr>
        <w:t>酒类制造业水污染物排放标准</w:t>
      </w:r>
      <w:r>
        <w:rPr>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GB19821-2025</w:t>
      </w:r>
      <w:r>
        <w:rPr>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color w:val="000000" w:themeColor="text1"/>
          <w14:textFill>
            <w14:solidFill>
              <w14:schemeClr w14:val="tx1"/>
            </w14:solidFill>
          </w14:textFill>
        </w:rPr>
        <w:t>及</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进水指标后进入市政污水管网，排入</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统一处理，废水</w:t>
      </w:r>
      <w:r>
        <w:rPr>
          <w:rFonts w:hint="eastAsia"/>
          <w:color w:val="000000" w:themeColor="text1"/>
          <w14:textFill>
            <w14:solidFill>
              <w14:schemeClr w14:val="tx1"/>
            </w14:solidFill>
          </w14:textFill>
        </w:rPr>
        <w:t>达到《城镇污水处理厂污染物排放标准》（GB 18918-2002）及修改单中的一级A标准排入</w:t>
      </w:r>
      <w:r>
        <w:rPr>
          <w:rFonts w:hint="default" w:eastAsia="宋体"/>
          <w:lang w:val="en-US" w:eastAsia="zh-CN"/>
        </w:rPr>
        <w:t>八虎力河，最终汇入倭肯河</w:t>
      </w:r>
      <w:r>
        <w:rPr>
          <w:rFonts w:hint="eastAsia"/>
          <w:color w:val="000000" w:themeColor="text1"/>
          <w14:textFill>
            <w14:solidFill>
              <w14:schemeClr w14:val="tx1"/>
            </w14:solidFill>
          </w14:textFill>
        </w:rPr>
        <w:t>，</w:t>
      </w:r>
      <w:r>
        <w:rPr>
          <w:color w:val="000000" w:themeColor="text1"/>
          <w:szCs w:val="24"/>
          <w14:textFill>
            <w14:solidFill>
              <w14:schemeClr w14:val="tx1"/>
            </w14:solidFill>
          </w14:textFill>
        </w:rPr>
        <w:t>对环境影响较小。</w:t>
      </w:r>
    </w:p>
    <w:bookmarkEnd w:id="444"/>
    <w:p w14:paraId="654265BF">
      <w:pPr>
        <w:pStyle w:val="7"/>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9</w:t>
      </w:r>
      <w:r>
        <w:rPr>
          <w:color w:val="000000" w:themeColor="text1"/>
          <w:lang w:eastAsia="zh-CN"/>
          <w14:textFill>
            <w14:solidFill>
              <w14:schemeClr w14:val="tx1"/>
            </w14:solidFill>
          </w14:textFill>
        </w:rPr>
        <w:t>.1.5.3</w:t>
      </w:r>
      <w:r>
        <w:rPr>
          <w:color w:val="000000" w:themeColor="text1"/>
          <w14:textFill>
            <w14:solidFill>
              <w14:schemeClr w14:val="tx1"/>
            </w14:solidFill>
          </w14:textFill>
        </w:rPr>
        <w:t>声环境影响评价结论</w:t>
      </w:r>
    </w:p>
    <w:p w14:paraId="3F464CB1">
      <w:pPr>
        <w:pStyle w:val="85"/>
        <w:rPr>
          <w:color w:val="000000" w:themeColor="text1"/>
          <w14:textFill>
            <w14:solidFill>
              <w14:schemeClr w14:val="tx1"/>
            </w14:solidFill>
          </w14:textFill>
        </w:rPr>
      </w:pPr>
      <w:r>
        <w:rPr>
          <w:color w:val="000000" w:themeColor="text1"/>
          <w14:textFill>
            <w14:solidFill>
              <w14:schemeClr w14:val="tx1"/>
            </w14:solidFill>
          </w14:textFill>
        </w:rPr>
        <w:t>在严格控制夜间施工不使用噪声设备的前提下，本项目施工期间产生的噪声不会对周围环境造成明显影响，其施工场界声环境可满足</w:t>
      </w:r>
      <w:r>
        <w:rPr>
          <w:rFonts w:hint="eastAsia"/>
          <w:color w:val="000000" w:themeColor="text1"/>
          <w:lang w:eastAsia="zh-CN"/>
          <w14:textFill>
            <w14:solidFill>
              <w14:schemeClr w14:val="tx1"/>
            </w14:solidFill>
          </w14:textFill>
        </w:rPr>
        <w:t>《建筑施工噪声排放标准》（GB12523-2025）</w:t>
      </w:r>
      <w:r>
        <w:rPr>
          <w:color w:val="000000" w:themeColor="text1"/>
          <w14:textFill>
            <w14:solidFill>
              <w14:schemeClr w14:val="tx1"/>
            </w14:solidFill>
          </w14:textFill>
        </w:rPr>
        <w:t>要求，对区域声环境不会产生显著性不良影响。</w:t>
      </w:r>
    </w:p>
    <w:p w14:paraId="06F90942">
      <w:pPr>
        <w:spacing w:line="500" w:lineRule="exact"/>
        <w:rPr>
          <w:color w:val="000000" w:themeColor="text1"/>
          <w:szCs w:val="24"/>
          <w14:textFill>
            <w14:solidFill>
              <w14:schemeClr w14:val="tx1"/>
            </w14:solidFill>
          </w14:textFill>
        </w:rPr>
      </w:pPr>
      <w:r>
        <w:rPr>
          <w:color w:val="000000" w:themeColor="text1"/>
          <w:szCs w:val="24"/>
          <w14:textFill>
            <w14:solidFill>
              <w14:schemeClr w14:val="tx1"/>
            </w14:solidFill>
          </w14:textFill>
        </w:rPr>
        <w:t>在落实各项噪声污染控制措施后，项目运营期</w:t>
      </w:r>
      <w:r>
        <w:rPr>
          <w:rFonts w:hint="eastAsia"/>
          <w:color w:val="000000" w:themeColor="text1"/>
          <w:szCs w:val="24"/>
          <w:lang w:val="en-US" w:eastAsia="zh-CN"/>
          <w14:textFill>
            <w14:solidFill>
              <w14:schemeClr w14:val="tx1"/>
            </w14:solidFill>
          </w14:textFill>
        </w:rPr>
        <w:t>东侧、南侧、北侧厂界</w:t>
      </w:r>
      <w:r>
        <w:rPr>
          <w:color w:val="000000" w:themeColor="text1"/>
          <w:szCs w:val="24"/>
          <w14:textFill>
            <w14:solidFill>
              <w14:schemeClr w14:val="tx1"/>
            </w14:solidFill>
          </w14:textFill>
        </w:rPr>
        <w:t>可满足《工业企业厂界噪声标准》（GB12348-2008）表1中的</w:t>
      </w:r>
      <w:r>
        <w:rPr>
          <w:rFonts w:hint="eastAsia"/>
          <w:color w:val="000000" w:themeColor="text1"/>
          <w:szCs w:val="24"/>
          <w14:textFill>
            <w14:solidFill>
              <w14:schemeClr w14:val="tx1"/>
            </w14:solidFill>
          </w14:textFill>
        </w:rPr>
        <w:t>3类</w:t>
      </w:r>
      <w:r>
        <w:rPr>
          <w:color w:val="000000" w:themeColor="text1"/>
          <w:szCs w:val="24"/>
          <w14:textFill>
            <w14:solidFill>
              <w14:schemeClr w14:val="tx1"/>
            </w14:solidFill>
          </w14:textFill>
        </w:rPr>
        <w:t>功能区标准，</w:t>
      </w:r>
      <w:r>
        <w:rPr>
          <w:rFonts w:hint="eastAsia"/>
          <w:color w:val="000000" w:themeColor="text1"/>
          <w:szCs w:val="24"/>
          <w:lang w:val="en-US" w:eastAsia="zh-CN"/>
          <w14:textFill>
            <w14:solidFill>
              <w14:schemeClr w14:val="tx1"/>
            </w14:solidFill>
          </w14:textFill>
        </w:rPr>
        <w:t>西侧厂界</w:t>
      </w:r>
      <w:r>
        <w:rPr>
          <w:color w:val="000000" w:themeColor="text1"/>
          <w:szCs w:val="24"/>
          <w14:textFill>
            <w14:solidFill>
              <w14:schemeClr w14:val="tx1"/>
            </w14:solidFill>
          </w14:textFill>
        </w:rPr>
        <w:t>可满足《工业企业厂界噪声标准》（GB12348-2008）表1中的</w:t>
      </w:r>
      <w:r>
        <w:rPr>
          <w:rFonts w:hint="eastAsia"/>
          <w:color w:val="000000" w:themeColor="text1"/>
          <w:szCs w:val="24"/>
          <w:lang w:val="en-US" w:eastAsia="zh-CN"/>
          <w14:textFill>
            <w14:solidFill>
              <w14:schemeClr w14:val="tx1"/>
            </w14:solidFill>
          </w14:textFill>
        </w:rPr>
        <w:t>4</w:t>
      </w:r>
      <w:r>
        <w:rPr>
          <w:rFonts w:hint="eastAsia"/>
          <w:color w:val="000000" w:themeColor="text1"/>
          <w:szCs w:val="24"/>
          <w14:textFill>
            <w14:solidFill>
              <w14:schemeClr w14:val="tx1"/>
            </w14:solidFill>
          </w14:textFill>
        </w:rPr>
        <w:t>类</w:t>
      </w:r>
      <w:r>
        <w:rPr>
          <w:color w:val="000000" w:themeColor="text1"/>
          <w:szCs w:val="24"/>
          <w14:textFill>
            <w14:solidFill>
              <w14:schemeClr w14:val="tx1"/>
            </w14:solidFill>
          </w14:textFill>
        </w:rPr>
        <w:t>功能区标准</w:t>
      </w:r>
      <w:r>
        <w:rPr>
          <w:rFonts w:hint="eastAsia"/>
          <w:color w:val="000000" w:themeColor="text1"/>
          <w:szCs w:val="24"/>
          <w:lang w:eastAsia="zh-CN"/>
          <w14:textFill>
            <w14:solidFill>
              <w14:schemeClr w14:val="tx1"/>
            </w14:solidFill>
          </w14:textFill>
        </w:rPr>
        <w:t>，</w:t>
      </w:r>
      <w:r>
        <w:rPr>
          <w:color w:val="000000" w:themeColor="text1"/>
          <w:szCs w:val="24"/>
          <w14:textFill>
            <w14:solidFill>
              <w14:schemeClr w14:val="tx1"/>
            </w14:solidFill>
          </w14:textFill>
        </w:rPr>
        <w:t>对区域声环境的影响较小。</w:t>
      </w:r>
    </w:p>
    <w:p w14:paraId="1AE4CC1F">
      <w:pPr>
        <w:spacing w:line="500" w:lineRule="exact"/>
        <w:rPr>
          <w:color w:val="000000" w:themeColor="text1"/>
          <w:szCs w:val="24"/>
          <w14:textFill>
            <w14:solidFill>
              <w14:schemeClr w14:val="tx1"/>
            </w14:solidFill>
          </w14:textFill>
        </w:rPr>
      </w:pPr>
      <w:r>
        <w:rPr>
          <w:color w:val="000000" w:themeColor="text1"/>
          <w:szCs w:val="24"/>
          <w14:textFill>
            <w14:solidFill>
              <w14:schemeClr w14:val="tx1"/>
            </w14:solidFill>
          </w14:textFill>
        </w:rPr>
        <w:t>综上所述，本项目建设所产生的噪声，可以被环境所接受，从声环境角度该项目可行。</w:t>
      </w:r>
    </w:p>
    <w:p w14:paraId="56777C01">
      <w:pPr>
        <w:pStyle w:val="7"/>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9</w:t>
      </w:r>
      <w:r>
        <w:rPr>
          <w:color w:val="000000" w:themeColor="text1"/>
          <w:lang w:eastAsia="zh-CN"/>
          <w14:textFill>
            <w14:solidFill>
              <w14:schemeClr w14:val="tx1"/>
            </w14:solidFill>
          </w14:textFill>
        </w:rPr>
        <w:t>.1.5.4</w:t>
      </w:r>
      <w:r>
        <w:rPr>
          <w:color w:val="000000" w:themeColor="text1"/>
          <w14:textFill>
            <w14:solidFill>
              <w14:schemeClr w14:val="tx1"/>
            </w14:solidFill>
          </w14:textFill>
        </w:rPr>
        <w:t>固体废物环境影响分析结论</w:t>
      </w:r>
    </w:p>
    <w:p w14:paraId="1EFE476F">
      <w:pPr>
        <w:spacing w:line="500" w:lineRule="exact"/>
        <w:rPr>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期施工期建筑垃圾、施工弃土弃渣中可再利用的建筑废料，应进行回收利用，以节省资源。多余废弃的砂、砾石可结合修路利用；除可回收利用外建筑垃圾应运输到环境保护管理部门指定的地点进行填埋，最大程度减小对环境的影响。在施工现场设置垃圾收集箱，集中收集后应由市政环卫部门统一清运处置。</w:t>
      </w:r>
    </w:p>
    <w:p w14:paraId="20084466">
      <w:pPr>
        <w:spacing w:line="5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运营期</w:t>
      </w:r>
      <w:r>
        <w:rPr>
          <w:rFonts w:hint="eastAsia"/>
          <w:b w:val="0"/>
          <w:bCs w:val="0"/>
          <w:color w:val="000000" w:themeColor="text1"/>
          <w:lang w:val="en-US" w:eastAsia="zh-CN"/>
          <w14:textFill>
            <w14:solidFill>
              <w14:schemeClr w14:val="tx1"/>
            </w14:solidFill>
          </w14:textFill>
        </w:rPr>
        <w:t>生活垃圾经垃圾桶收集暂存后委托环卫部门集中处理；</w:t>
      </w:r>
      <w:r>
        <w:rPr>
          <w:rFonts w:hint="eastAsia"/>
          <w:color w:val="000000" w:themeColor="text1"/>
          <w:highlight w:val="none"/>
          <w14:textFill>
            <w14:solidFill>
              <w14:schemeClr w14:val="tx1"/>
            </w14:solidFill>
          </w14:textFill>
        </w:rPr>
        <w:t>餐厨垃圾</w:t>
      </w:r>
      <w:r>
        <w:rPr>
          <w:rFonts w:hint="eastAsia"/>
          <w:color w:val="000000" w:themeColor="text1"/>
          <w:highlight w:val="none"/>
          <w:lang w:val="en-US" w:eastAsia="zh-CN"/>
          <w14:textFill>
            <w14:solidFill>
              <w14:schemeClr w14:val="tx1"/>
            </w14:solidFill>
          </w14:textFill>
        </w:rPr>
        <w:t>集中收集，交由有资质单位处理；生产过程产生的</w:t>
      </w:r>
      <w:r>
        <w:rPr>
          <w:rFonts w:hint="eastAsia"/>
          <w:color w:val="auto"/>
          <w:lang w:val="en-US" w:eastAsia="zh-CN"/>
        </w:rPr>
        <w:t>原料</w:t>
      </w:r>
      <w:r>
        <w:rPr>
          <w:rFonts w:hint="eastAsia"/>
          <w:color w:val="auto"/>
        </w:rPr>
        <w:t>杂质，集中收集，外售有机肥厂生产有机肥</w:t>
      </w:r>
      <w:r>
        <w:rPr>
          <w:rFonts w:hint="eastAsia"/>
          <w:color w:val="auto"/>
          <w:lang w:eastAsia="zh-CN"/>
        </w:rPr>
        <w:t>；</w:t>
      </w:r>
      <w:r>
        <w:rPr>
          <w:rFonts w:hint="eastAsia"/>
          <w:color w:val="auto"/>
          <w:lang w:val="en-US" w:eastAsia="zh-CN"/>
        </w:rPr>
        <w:t>废</w:t>
      </w:r>
      <w:r>
        <w:rPr>
          <w:color w:val="auto"/>
        </w:rPr>
        <w:t>酒糟及废酵母采用专用容器收集并加盖密封，外售作饲料，日产日清</w:t>
      </w:r>
      <w:r>
        <w:rPr>
          <w:rFonts w:hint="eastAsia"/>
          <w:color w:val="auto"/>
          <w:lang w:eastAsia="zh-CN"/>
        </w:rPr>
        <w:t>；</w:t>
      </w:r>
      <w:r>
        <w:rPr>
          <w:rFonts w:hint="eastAsia"/>
          <w:color w:val="000000" w:themeColor="text1"/>
          <w:lang w:val="en-US" w:eastAsia="zh-CN"/>
          <w14:textFill>
            <w14:solidFill>
              <w14:schemeClr w14:val="tx1"/>
            </w14:solidFill>
          </w14:textFill>
        </w:rPr>
        <w:t>废硅藻土暂存在密闭废土罐中</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外售综合利用</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定期转运</w:t>
      </w:r>
      <w:r>
        <w:rPr>
          <w:rFonts w:hint="default"/>
          <w:color w:val="000000" w:themeColor="text1"/>
          <w:lang w:val="en-US" w:eastAsia="zh-CN"/>
          <w14:textFill>
            <w14:solidFill>
              <w14:schemeClr w14:val="tx1"/>
            </w14:solidFill>
          </w14:textFill>
        </w:rPr>
        <w:t>不在厂区长时间贮存</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除尘器收尘集中收集，外售有机肥厂生产有机肥</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废布袋更换时交厂家回收处置</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污水处理站产生的污泥外运前应采取压滤脱水处理，确保含水率低于</w:t>
      </w:r>
      <w:r>
        <w:rPr>
          <w:color w:val="000000" w:themeColor="text1"/>
          <w14:textFill>
            <w14:solidFill>
              <w14:schemeClr w14:val="tx1"/>
            </w14:solidFill>
          </w14:textFill>
        </w:rPr>
        <w:t>60%</w:t>
      </w:r>
      <w:r>
        <w:rPr>
          <w:rFonts w:hint="eastAsia"/>
          <w:color w:val="000000" w:themeColor="text1"/>
          <w14:textFill>
            <w14:solidFill>
              <w14:schemeClr w14:val="tx1"/>
            </w14:solidFill>
          </w14:textFill>
        </w:rPr>
        <w:t>，定期交由市政部门统一处理</w:t>
      </w:r>
      <w:r>
        <w:rPr>
          <w:rFonts w:hint="eastAsia"/>
          <w:color w:val="000000" w:themeColor="text1"/>
          <w:lang w:eastAsia="zh-CN"/>
          <w14:textFill>
            <w14:solidFill>
              <w14:schemeClr w14:val="tx1"/>
            </w14:solidFill>
          </w14:textFill>
        </w:rPr>
        <w:t>；废脱硫剂</w:t>
      </w:r>
      <w:r>
        <w:rPr>
          <w:rFonts w:hint="eastAsia"/>
          <w:color w:val="000000" w:themeColor="text1"/>
          <w:lang w:val="en-US" w:eastAsia="zh-CN"/>
          <w14:textFill>
            <w14:solidFill>
              <w14:schemeClr w14:val="tx1"/>
            </w14:solidFill>
          </w14:textFill>
        </w:rPr>
        <w:t>更换时</w:t>
      </w:r>
      <w:r>
        <w:rPr>
          <w:rFonts w:hint="eastAsia"/>
          <w:color w:val="000000" w:themeColor="text1"/>
          <w:lang w:eastAsia="zh-CN"/>
          <w14:textFill>
            <w14:solidFill>
              <w14:schemeClr w14:val="tx1"/>
            </w14:solidFill>
          </w14:textFill>
        </w:rPr>
        <w:t>由厂家回收；</w:t>
      </w:r>
      <w:r>
        <w:rPr>
          <w:rFonts w:hint="eastAsia"/>
          <w:color w:val="000000" w:themeColor="text1"/>
          <w:highlight w:val="none"/>
          <w14:textFill>
            <w14:solidFill>
              <w14:schemeClr w14:val="tx1"/>
            </w14:solidFill>
          </w14:textFill>
        </w:rPr>
        <w:t>废包装物</w:t>
      </w:r>
      <w:r>
        <w:rPr>
          <w:rFonts w:hint="eastAsia"/>
          <w:color w:val="000000" w:themeColor="text1"/>
          <w14:textFill>
            <w14:solidFill>
              <w14:schemeClr w14:val="tx1"/>
            </w14:solidFill>
          </w14:textFill>
        </w:rPr>
        <w:t>集中收集，外售废品收购站综合利用</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废过滤材料</w:t>
      </w:r>
      <w:r>
        <w:rPr>
          <w:rFonts w:hint="eastAsia"/>
          <w:color w:val="000000" w:themeColor="text1"/>
          <w:lang w:val="en-US" w:eastAsia="zh-CN"/>
          <w14:textFill>
            <w14:solidFill>
              <w14:schemeClr w14:val="tx1"/>
            </w14:solidFill>
          </w14:textFill>
        </w:rPr>
        <w:t>由</w:t>
      </w:r>
      <w:r>
        <w:rPr>
          <w:rFonts w:hint="eastAsia"/>
          <w:color w:val="000000" w:themeColor="text1"/>
          <w14:textFill>
            <w14:solidFill>
              <w14:schemeClr w14:val="tx1"/>
            </w14:solidFill>
          </w14:textFill>
        </w:rPr>
        <w:t>纯水设备公司</w:t>
      </w:r>
      <w:r>
        <w:rPr>
          <w:rFonts w:hint="eastAsia"/>
          <w:color w:val="000000" w:themeColor="text1"/>
          <w:lang w:val="en-US" w:eastAsia="zh-CN"/>
          <w14:textFill>
            <w14:solidFill>
              <w14:schemeClr w14:val="tx1"/>
            </w14:solidFill>
          </w14:textFill>
        </w:rPr>
        <w:t>定期更换时</w:t>
      </w:r>
      <w:r>
        <w:rPr>
          <w:rFonts w:hint="eastAsia"/>
          <w:color w:val="000000" w:themeColor="text1"/>
          <w14:textFill>
            <w14:solidFill>
              <w14:schemeClr w14:val="tx1"/>
            </w14:solidFill>
          </w14:textFill>
        </w:rPr>
        <w:t>回收处理</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废离子交换树脂由软水设备</w:t>
      </w:r>
      <w:r>
        <w:rPr>
          <w:rFonts w:hint="eastAsia"/>
          <w:color w:val="000000" w:themeColor="text1"/>
          <w:lang w:val="en-US" w:eastAsia="zh-CN"/>
          <w14:textFill>
            <w14:solidFill>
              <w14:schemeClr w14:val="tx1"/>
            </w14:solidFill>
          </w14:textFill>
        </w:rPr>
        <w:t>公司更换时</w:t>
      </w:r>
      <w:r>
        <w:rPr>
          <w:rFonts w:hint="eastAsia"/>
          <w:color w:val="000000" w:themeColor="text1"/>
          <w14:textFill>
            <w14:solidFill>
              <w14:schemeClr w14:val="tx1"/>
            </w14:solidFill>
          </w14:textFill>
        </w:rPr>
        <w:t>回收处理</w:t>
      </w:r>
      <w:r>
        <w:rPr>
          <w:rFonts w:hint="eastAsia"/>
          <w:color w:val="000000" w:themeColor="text1"/>
          <w:lang w:eastAsia="zh-CN"/>
          <w14:textFill>
            <w14:solidFill>
              <w14:schemeClr w14:val="tx1"/>
            </w14:solidFill>
          </w14:textFill>
        </w:rPr>
        <w:t>；</w:t>
      </w:r>
      <w:r>
        <w:rPr>
          <w:rFonts w:hint="default" w:ascii="Times New Roman" w:hAnsi="Times New Roman" w:eastAsia="宋体" w:cs="Times New Roman"/>
          <w:b w:val="0"/>
          <w:bCs w:val="0"/>
          <w:color w:val="000000"/>
          <w:kern w:val="0"/>
          <w:sz w:val="24"/>
          <w:szCs w:val="24"/>
          <w:lang w:val="en-US" w:eastAsia="zh-CN" w:bidi="ar"/>
        </w:rPr>
        <w:t>CO</w:t>
      </w:r>
      <w:r>
        <w:rPr>
          <w:rFonts w:hint="default" w:ascii="Times New Roman" w:hAnsi="Times New Roman" w:eastAsia="宋体" w:cs="Times New Roman"/>
          <w:b w:val="0"/>
          <w:bCs w:val="0"/>
          <w:color w:val="000000"/>
          <w:kern w:val="0"/>
          <w:sz w:val="15"/>
          <w:szCs w:val="15"/>
          <w:lang w:val="en-US" w:eastAsia="zh-CN" w:bidi="ar"/>
        </w:rPr>
        <w:t>2</w:t>
      </w:r>
      <w:r>
        <w:rPr>
          <w:rFonts w:hint="eastAsia" w:ascii="宋体" w:hAnsi="宋体" w:eastAsia="宋体" w:cs="宋体"/>
          <w:b w:val="0"/>
          <w:bCs w:val="0"/>
          <w:color w:val="000000"/>
          <w:kern w:val="0"/>
          <w:sz w:val="24"/>
          <w:szCs w:val="24"/>
          <w:lang w:val="en-US" w:eastAsia="zh-CN" w:bidi="ar"/>
        </w:rPr>
        <w:t>回收系统的</w:t>
      </w:r>
      <w:r>
        <w:rPr>
          <w:rFonts w:hint="eastAsia" w:ascii="宋体" w:hAnsi="宋体" w:eastAsia="宋体" w:cs="宋体"/>
          <w:color w:val="000000"/>
          <w:kern w:val="0"/>
          <w:sz w:val="24"/>
          <w:szCs w:val="24"/>
          <w:lang w:val="en-US" w:eastAsia="zh-CN" w:bidi="ar"/>
        </w:rPr>
        <w:t>废分子筛和废活性炭属于一般固废，</w:t>
      </w: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r>
        <w:rPr>
          <w:rFonts w:hint="eastAsia" w:ascii="宋体" w:hAnsi="宋体" w:eastAsia="宋体" w:cs="宋体"/>
          <w:color w:val="000000"/>
          <w:kern w:val="0"/>
          <w:sz w:val="24"/>
          <w:szCs w:val="24"/>
          <w:lang w:val="en-US" w:eastAsia="zh-CN" w:bidi="ar"/>
        </w:rPr>
        <w:t>。</w:t>
      </w:r>
      <w:r>
        <w:rPr>
          <w:rFonts w:hint="eastAsia"/>
          <w:color w:val="000000" w:themeColor="text1"/>
          <w:lang w:val="en-US" w:eastAsia="zh-CN"/>
          <w14:textFill>
            <w14:solidFill>
              <w14:schemeClr w14:val="tx1"/>
            </w14:solidFill>
          </w14:textFill>
        </w:rPr>
        <w:t>废危化品包装材料、</w:t>
      </w:r>
      <w:r>
        <w:rPr>
          <w:rFonts w:hint="eastAsia"/>
          <w:color w:val="000000" w:themeColor="text1"/>
          <w14:textFill>
            <w14:solidFill>
              <w14:schemeClr w14:val="tx1"/>
            </w14:solidFill>
          </w14:textFill>
        </w:rPr>
        <w:t>化验室废液</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废机油、废机油桶、废含油抹布手套分类暂存于危险废物贮存点，定期委托有资质单位处置</w:t>
      </w:r>
      <w:r>
        <w:rPr>
          <w:color w:val="000000" w:themeColor="text1"/>
          <w14:textFill>
            <w14:solidFill>
              <w14:schemeClr w14:val="tx1"/>
            </w14:solidFill>
          </w14:textFill>
        </w:rPr>
        <w:t>。</w:t>
      </w:r>
    </w:p>
    <w:p w14:paraId="485282ED">
      <w:pPr>
        <w:spacing w:line="500" w:lineRule="exact"/>
        <w:rPr>
          <w:color w:val="000000" w:themeColor="text1"/>
          <w:szCs w:val="24"/>
          <w14:textFill>
            <w14:solidFill>
              <w14:schemeClr w14:val="tx1"/>
            </w14:solidFill>
          </w14:textFill>
        </w:rPr>
      </w:pPr>
      <w:r>
        <w:rPr>
          <w:color w:val="000000" w:themeColor="text1"/>
          <w14:textFill>
            <w14:solidFill>
              <w14:schemeClr w14:val="tx1"/>
            </w14:solidFill>
          </w14:textFill>
        </w:rPr>
        <w:t>本项目固体废物全部得到妥善处理，不直接排入外环境，满足《一般工业固体废物贮存和填埋污染控制标准》（GB18599-2020）、《危险废物贮存污染控制标准》（GB 18597-2023）中要求。</w:t>
      </w:r>
      <w:r>
        <w:rPr>
          <w:rFonts w:hint="eastAsia"/>
          <w:color w:val="000000" w:themeColor="text1"/>
          <w14:textFill>
            <w14:solidFill>
              <w14:schemeClr w14:val="tx1"/>
            </w14:solidFill>
          </w14:textFill>
        </w:rPr>
        <w:t>因此本项目产生的固废均可得到有效的处置和利用，不会产生二次污染，对项目周围环境不会产生明显不良影响。</w:t>
      </w:r>
    </w:p>
    <w:p w14:paraId="69DFB5AE">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9</w:t>
      </w:r>
      <w:r>
        <w:rPr>
          <w:color w:val="000000" w:themeColor="text1"/>
          <w14:textFill>
            <w14:solidFill>
              <w14:schemeClr w14:val="tx1"/>
            </w14:solidFill>
          </w14:textFill>
        </w:rPr>
        <w:t>.1.5.5</w:t>
      </w:r>
      <w:r>
        <w:rPr>
          <w:rFonts w:hint="eastAsia"/>
          <w:color w:val="000000" w:themeColor="text1"/>
          <w14:textFill>
            <w14:solidFill>
              <w14:schemeClr w14:val="tx1"/>
            </w14:solidFill>
          </w14:textFill>
        </w:rPr>
        <w:t>地下水环境影响分析结论</w:t>
      </w:r>
    </w:p>
    <w:p w14:paraId="73E7179D">
      <w:pPr>
        <w:adjustRightInd/>
        <w:snapToGrid/>
        <w:spacing w:line="500" w:lineRule="exact"/>
        <w:rPr>
          <w:snapToGrid w:val="0"/>
          <w:color w:val="000000" w:themeColor="text1"/>
          <w:kern w:val="0"/>
          <w:lang w:val="zh-CN"/>
          <w14:textFill>
            <w14:solidFill>
              <w14:schemeClr w14:val="tx1"/>
            </w14:solidFill>
          </w14:textFill>
        </w:rPr>
      </w:pPr>
      <w:bookmarkStart w:id="445" w:name="_Hlk523069882"/>
      <w:r>
        <w:rPr>
          <w:snapToGrid w:val="0"/>
          <w:color w:val="000000" w:themeColor="text1"/>
          <w:kern w:val="0"/>
          <w:lang w:val="zh-CN"/>
          <w14:textFill>
            <w14:solidFill>
              <w14:schemeClr w14:val="tx1"/>
            </w14:solidFill>
          </w14:textFill>
        </w:rPr>
        <w:t>由预测结果可知，</w:t>
      </w:r>
      <w:r>
        <w:rPr>
          <w:rFonts w:hint="eastAsia"/>
          <w:snapToGrid w:val="0"/>
          <w:color w:val="000000" w:themeColor="text1"/>
          <w:kern w:val="0"/>
          <w:lang w:val="zh-CN"/>
          <w14:textFill>
            <w14:solidFill>
              <w14:schemeClr w14:val="tx1"/>
            </w14:solidFill>
          </w14:textFill>
        </w:rPr>
        <w:t>非正常工况</w:t>
      </w:r>
      <w:r>
        <w:rPr>
          <w:snapToGrid w:val="0"/>
          <w:color w:val="000000" w:themeColor="text1"/>
          <w:kern w:val="0"/>
          <w14:textFill>
            <w14:solidFill>
              <w14:schemeClr w14:val="tx1"/>
            </w14:solidFill>
          </w14:textFill>
        </w:rPr>
        <w:t>本项目发生渗漏情况下，COD：100d，</w:t>
      </w:r>
      <w:r>
        <w:rPr>
          <w:rFonts w:hint="eastAsia"/>
          <w:snapToGrid w:val="0"/>
          <w:color w:val="000000" w:themeColor="text1"/>
          <w:kern w:val="0"/>
          <w14:textFill>
            <w14:solidFill>
              <w14:schemeClr w14:val="tx1"/>
            </w14:solidFill>
          </w14:textFill>
        </w:rPr>
        <w:t>超标距离为</w:t>
      </w:r>
      <w:r>
        <w:rPr>
          <w:rFonts w:hint="eastAsia"/>
          <w:snapToGrid w:val="0"/>
          <w:color w:val="000000" w:themeColor="text1"/>
          <w:kern w:val="0"/>
          <w:lang w:val="en-US" w:eastAsia="zh-CN"/>
          <w14:textFill>
            <w14:solidFill>
              <w14:schemeClr w14:val="tx1"/>
            </w14:solidFill>
          </w14:textFill>
        </w:rPr>
        <w:t>17</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影响距离19m</w:t>
      </w:r>
      <w:r>
        <w:rPr>
          <w:snapToGrid w:val="0"/>
          <w:color w:val="000000" w:themeColor="text1"/>
          <w:kern w:val="0"/>
          <w14:textFill>
            <w14:solidFill>
              <w14:schemeClr w14:val="tx1"/>
            </w14:solidFill>
          </w14:textFill>
        </w:rPr>
        <w:t>；1000d</w:t>
      </w:r>
      <w:r>
        <w:rPr>
          <w:rFonts w:hint="eastAsia"/>
          <w:snapToGrid w:val="0"/>
          <w:color w:val="000000" w:themeColor="text1"/>
          <w:kern w:val="0"/>
          <w14:textFill>
            <w14:solidFill>
              <w14:schemeClr w14:val="tx1"/>
            </w14:solidFill>
          </w14:textFill>
        </w:rPr>
        <w:t>，超标距离为</w:t>
      </w:r>
      <w:r>
        <w:rPr>
          <w:rFonts w:hint="eastAsia"/>
          <w:snapToGrid w:val="0"/>
          <w:color w:val="000000" w:themeColor="text1"/>
          <w:kern w:val="0"/>
          <w:lang w:val="en-US" w:eastAsia="zh-CN"/>
          <w14:textFill>
            <w14:solidFill>
              <w14:schemeClr w14:val="tx1"/>
            </w14:solidFill>
          </w14:textFill>
        </w:rPr>
        <w:t>104</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影响距离110m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0</w:t>
      </w:r>
      <w:r>
        <w:rPr>
          <w:rFonts w:hint="eastAsia"/>
          <w:snapToGrid w:val="0"/>
          <w:color w:val="000000" w:themeColor="text1"/>
          <w:kern w:val="0"/>
          <w14:textFill>
            <w14:solidFill>
              <w14:schemeClr w14:val="tx1"/>
            </w14:solidFill>
          </w14:textFill>
        </w:rPr>
        <w:t>a超标距离为</w:t>
      </w:r>
      <w:r>
        <w:rPr>
          <w:rFonts w:hint="eastAsia"/>
          <w:snapToGrid w:val="0"/>
          <w:color w:val="000000" w:themeColor="text1"/>
          <w:kern w:val="0"/>
          <w:lang w:val="en-US" w:eastAsia="zh-CN"/>
          <w14:textFill>
            <w14:solidFill>
              <w14:schemeClr w14:val="tx1"/>
            </w14:solidFill>
          </w14:textFill>
        </w:rPr>
        <w:t>331</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影响距离344m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氨氮</w:t>
      </w:r>
      <w:r>
        <w:rPr>
          <w:snapToGrid w:val="0"/>
          <w:color w:val="000000" w:themeColor="text1"/>
          <w:kern w:val="0"/>
          <w14:textFill>
            <w14:solidFill>
              <w14:schemeClr w14:val="tx1"/>
            </w14:solidFill>
          </w14:textFill>
        </w:rPr>
        <w:t>：100d，</w:t>
      </w:r>
      <w:r>
        <w:rPr>
          <w:rFonts w:hint="eastAsia"/>
          <w:snapToGrid w:val="0"/>
          <w:color w:val="000000" w:themeColor="text1"/>
          <w:kern w:val="0"/>
          <w14:textFill>
            <w14:solidFill>
              <w14:schemeClr w14:val="tx1"/>
            </w14:solidFill>
          </w14:textFill>
        </w:rPr>
        <w:t>超标距离为</w:t>
      </w:r>
      <w:r>
        <w:rPr>
          <w:rFonts w:hint="eastAsia"/>
          <w:snapToGrid w:val="0"/>
          <w:color w:val="000000" w:themeColor="text1"/>
          <w:kern w:val="0"/>
          <w:lang w:val="en-US" w:eastAsia="zh-CN"/>
          <w14:textFill>
            <w14:solidFill>
              <w14:schemeClr w14:val="tx1"/>
            </w14:solidFill>
          </w14:textFill>
        </w:rPr>
        <w:t>17</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影响距离20m</w:t>
      </w:r>
      <w:r>
        <w:rPr>
          <w:snapToGrid w:val="0"/>
          <w:color w:val="000000" w:themeColor="text1"/>
          <w:kern w:val="0"/>
          <w14:textFill>
            <w14:solidFill>
              <w14:schemeClr w14:val="tx1"/>
            </w14:solidFill>
          </w14:textFill>
        </w:rPr>
        <w:t>；1000d</w:t>
      </w:r>
      <w:r>
        <w:rPr>
          <w:rFonts w:hint="eastAsia"/>
          <w:snapToGrid w:val="0"/>
          <w:color w:val="000000" w:themeColor="text1"/>
          <w:kern w:val="0"/>
          <w14:textFill>
            <w14:solidFill>
              <w14:schemeClr w14:val="tx1"/>
            </w14:solidFill>
          </w14:textFill>
        </w:rPr>
        <w:t>，超标距离为</w:t>
      </w:r>
      <w:r>
        <w:rPr>
          <w:rFonts w:hint="eastAsia"/>
          <w:snapToGrid w:val="0"/>
          <w:color w:val="000000" w:themeColor="text1"/>
          <w:kern w:val="0"/>
          <w:lang w:val="en-US" w:eastAsia="zh-CN"/>
          <w14:textFill>
            <w14:solidFill>
              <w14:schemeClr w14:val="tx1"/>
            </w14:solidFill>
          </w14:textFill>
        </w:rPr>
        <w:t>106</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影响距离116m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14:textFill>
            <w14:solidFill>
              <w14:schemeClr w14:val="tx1"/>
            </w14:solidFill>
          </w14:textFill>
        </w:rPr>
        <w:t>1</w:t>
      </w:r>
      <w:r>
        <w:rPr>
          <w:snapToGrid w:val="0"/>
          <w:color w:val="000000" w:themeColor="text1"/>
          <w:kern w:val="0"/>
          <w14:textFill>
            <w14:solidFill>
              <w14:schemeClr w14:val="tx1"/>
            </w14:solidFill>
          </w14:textFill>
        </w:rPr>
        <w:t>0</w:t>
      </w:r>
      <w:r>
        <w:rPr>
          <w:rFonts w:hint="eastAsia"/>
          <w:snapToGrid w:val="0"/>
          <w:color w:val="000000" w:themeColor="text1"/>
          <w:kern w:val="0"/>
          <w14:textFill>
            <w14:solidFill>
              <w14:schemeClr w14:val="tx1"/>
            </w14:solidFill>
          </w14:textFill>
        </w:rPr>
        <w:t>a超标距离为</w:t>
      </w:r>
      <w:r>
        <w:rPr>
          <w:rFonts w:hint="eastAsia"/>
          <w:snapToGrid w:val="0"/>
          <w:color w:val="000000" w:themeColor="text1"/>
          <w:kern w:val="0"/>
          <w:lang w:val="en-US" w:eastAsia="zh-CN"/>
          <w14:textFill>
            <w14:solidFill>
              <w14:schemeClr w14:val="tx1"/>
            </w14:solidFill>
          </w14:textFill>
        </w:rPr>
        <w:t>334</w:t>
      </w:r>
      <w:r>
        <w:rPr>
          <w:rFonts w:hint="eastAsia"/>
          <w:snapToGrid w:val="0"/>
          <w:color w:val="000000" w:themeColor="text1"/>
          <w:kern w:val="0"/>
          <w14:textFill>
            <w14:solidFill>
              <w14:schemeClr w14:val="tx1"/>
            </w14:solidFill>
          </w14:textFill>
        </w:rPr>
        <w:t>m</w:t>
      </w:r>
      <w:r>
        <w:rPr>
          <w:rFonts w:hint="eastAsia"/>
          <w:snapToGrid w:val="0"/>
          <w:color w:val="000000" w:themeColor="text1"/>
          <w:kern w:val="0"/>
          <w:lang w:eastAsia="zh-CN"/>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影响距离355m</w:t>
      </w:r>
      <w:r>
        <w:rPr>
          <w:rFonts w:hint="eastAsia"/>
          <w:snapToGrid w:val="0"/>
          <w:color w:val="000000" w:themeColor="text1"/>
          <w:kern w:val="0"/>
          <w:lang w:eastAsia="zh-CN"/>
          <w14:textFill>
            <w14:solidFill>
              <w14:schemeClr w14:val="tx1"/>
            </w14:solidFill>
          </w14:textFill>
        </w:rPr>
        <w:t>。</w:t>
      </w:r>
      <w:r>
        <w:rPr>
          <w:snapToGrid w:val="0"/>
          <w:color w:val="000000" w:themeColor="text1"/>
          <w:kern w:val="0"/>
          <w14:textFill>
            <w14:solidFill>
              <w14:schemeClr w14:val="tx1"/>
            </w14:solidFill>
          </w14:textFill>
        </w:rPr>
        <w:t>项目</w:t>
      </w:r>
      <w:r>
        <w:rPr>
          <w:rFonts w:hint="eastAsia"/>
          <w:snapToGrid w:val="0"/>
          <w:color w:val="000000" w:themeColor="text1"/>
          <w:kern w:val="0"/>
          <w:lang w:val="en-US" w:eastAsia="zh-CN"/>
          <w14:textFill>
            <w14:solidFill>
              <w14:schemeClr w14:val="tx1"/>
            </w14:solidFill>
          </w14:textFill>
        </w:rPr>
        <w:t>影响</w:t>
      </w:r>
      <w:r>
        <w:rPr>
          <w:snapToGrid w:val="0"/>
          <w:color w:val="000000" w:themeColor="text1"/>
          <w:kern w:val="0"/>
          <w14:textFill>
            <w14:solidFill>
              <w14:schemeClr w14:val="tx1"/>
            </w14:solidFill>
          </w14:textFill>
        </w:rPr>
        <w:t>范围内</w:t>
      </w:r>
      <w:r>
        <w:rPr>
          <w:rFonts w:hint="eastAsia"/>
          <w:snapToGrid w:val="0"/>
          <w:color w:val="000000" w:themeColor="text1"/>
          <w:kern w:val="0"/>
          <w14:textFill>
            <w14:solidFill>
              <w14:schemeClr w14:val="tx1"/>
            </w14:solidFill>
          </w14:textFill>
        </w:rPr>
        <w:t>下游</w:t>
      </w:r>
      <w:r>
        <w:rPr>
          <w:snapToGrid w:val="0"/>
          <w:color w:val="000000" w:themeColor="text1"/>
          <w:kern w:val="0"/>
          <w14:textFill>
            <w14:solidFill>
              <w14:schemeClr w14:val="tx1"/>
            </w14:solidFill>
          </w14:textFill>
        </w:rPr>
        <w:t>无地下水饮用水井，所以非正常工况下，在加强管理、及时维护、避免发生渗漏的情况下，该项目对地下水环境影响可接受，不会对周围环境保护目标造成影响。</w:t>
      </w:r>
    </w:p>
    <w:p w14:paraId="42362083">
      <w:pPr>
        <w:spacing w:line="500" w:lineRule="exact"/>
        <w:rPr>
          <w:color w:val="000000" w:themeColor="text1"/>
          <w:szCs w:val="24"/>
          <w14:textFill>
            <w14:solidFill>
              <w14:schemeClr w14:val="tx1"/>
            </w14:solidFill>
          </w14:textFill>
        </w:rPr>
      </w:pPr>
      <w:r>
        <w:rPr>
          <w:rFonts w:hint="eastAsia"/>
          <w:snapToGrid w:val="0"/>
          <w:color w:val="000000" w:themeColor="text1"/>
          <w:kern w:val="0"/>
          <w:lang w:val="zh-CN"/>
          <w14:textFill>
            <w14:solidFill>
              <w14:schemeClr w14:val="tx1"/>
            </w14:solidFill>
          </w14:textFill>
        </w:rPr>
        <w:t>因此非正常工况下，污染物最大运移距离小于</w:t>
      </w:r>
      <w:r>
        <w:rPr>
          <w:rFonts w:hint="eastAsia"/>
          <w:snapToGrid w:val="0"/>
          <w:color w:val="000000" w:themeColor="text1"/>
          <w:kern w:val="0"/>
          <w:lang w:val="en-US" w:eastAsia="zh-CN"/>
          <w14:textFill>
            <w14:solidFill>
              <w14:schemeClr w14:val="tx1"/>
            </w14:solidFill>
          </w14:textFill>
        </w:rPr>
        <w:t>距离</w:t>
      </w:r>
      <w:r>
        <w:rPr>
          <w:rFonts w:hint="eastAsia"/>
          <w:snapToGrid w:val="0"/>
          <w:color w:val="000000" w:themeColor="text1"/>
          <w:kern w:val="0"/>
          <w:lang w:val="zh-CN"/>
          <w14:textFill>
            <w14:solidFill>
              <w14:schemeClr w14:val="tx1"/>
            </w14:solidFill>
          </w14:textFill>
        </w:rPr>
        <w:t>最近饮用水水源距离，不会对其地下水饮用水水源造成影响。实际工作中要求建设单位加强巡视，做好地下水跟踪监测，尽可能的减小对地下水环境的影响。</w:t>
      </w:r>
    </w:p>
    <w:bookmarkEnd w:id="445"/>
    <w:p w14:paraId="668AF782">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9</w:t>
      </w:r>
      <w:r>
        <w:rPr>
          <w:color w:val="000000" w:themeColor="text1"/>
          <w14:textFill>
            <w14:solidFill>
              <w14:schemeClr w14:val="tx1"/>
            </w14:solidFill>
          </w14:textFill>
        </w:rPr>
        <w:t>.1.5.6</w:t>
      </w:r>
      <w:r>
        <w:rPr>
          <w:rFonts w:hint="eastAsia"/>
          <w:color w:val="000000" w:themeColor="text1"/>
          <w14:textFill>
            <w14:solidFill>
              <w14:schemeClr w14:val="tx1"/>
            </w14:solidFill>
          </w14:textFill>
        </w:rPr>
        <w:t>环境风险分析结论</w:t>
      </w:r>
    </w:p>
    <w:p w14:paraId="76C110EC">
      <w:pPr>
        <w:spacing w:line="500" w:lineRule="exact"/>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本项目在下一步设计中应按照本报告中的要求、建议进一步完善其环境风险防范措施。如能在施工、运行过程中切实落实本报告中所提出的环境风险防范对策措施，则</w:t>
      </w:r>
      <w:r>
        <w:rPr>
          <w:rFonts w:hint="eastAsia" w:cs="Times New Roman"/>
          <w:color w:val="000000" w:themeColor="text1"/>
          <w14:textFill>
            <w14:solidFill>
              <w14:schemeClr w14:val="tx1"/>
            </w14:solidFill>
          </w14:textFill>
        </w:rPr>
        <w:t>本项目</w:t>
      </w:r>
      <w:r>
        <w:rPr>
          <w:rFonts w:cs="Times New Roman"/>
          <w:color w:val="000000" w:themeColor="text1"/>
          <w14:textFill>
            <w14:solidFill>
              <w14:schemeClr w14:val="tx1"/>
            </w14:solidFill>
          </w14:textFill>
        </w:rPr>
        <w:t>运行后，从环境风险的角度考虑本项目是可行的。</w:t>
      </w:r>
    </w:p>
    <w:p w14:paraId="11430915">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9</w:t>
      </w:r>
      <w:r>
        <w:rPr>
          <w:color w:val="000000" w:themeColor="text1"/>
          <w14:textFill>
            <w14:solidFill>
              <w14:schemeClr w14:val="tx1"/>
            </w14:solidFill>
          </w14:textFill>
        </w:rPr>
        <w:t>.1.5.7</w:t>
      </w:r>
      <w:r>
        <w:rPr>
          <w:rFonts w:hint="eastAsia"/>
          <w:color w:val="000000" w:themeColor="text1"/>
          <w:lang w:eastAsia="zh-CN"/>
          <w14:textFill>
            <w14:solidFill>
              <w14:schemeClr w14:val="tx1"/>
            </w14:solidFill>
          </w14:textFill>
        </w:rPr>
        <w:t>生态环境影响分析</w:t>
      </w:r>
    </w:p>
    <w:p w14:paraId="7575D82B">
      <w:pPr>
        <w:spacing w:line="500" w:lineRule="exact"/>
        <w:rPr>
          <w:color w:val="000000" w:themeColor="text1"/>
          <w:szCs w:val="24"/>
          <w14:textFill>
            <w14:solidFill>
              <w14:schemeClr w14:val="tx1"/>
            </w14:solidFill>
          </w14:textFill>
        </w:rPr>
      </w:pPr>
      <w:r>
        <w:rPr>
          <w:rFonts w:cs="Times New Roman"/>
          <w:snapToGrid w:val="0"/>
          <w:color w:val="000000" w:themeColor="text1"/>
          <w:kern w:val="0"/>
          <w14:textFill>
            <w14:solidFill>
              <w14:schemeClr w14:val="tx1"/>
            </w14:solidFill>
          </w14:textFill>
        </w:rPr>
        <w:t>综合评价区生态环境现状及拟建项目对整体生态环境及主要生态因子的影响程度，本评价认为，在严格落实生态防护措施条件下，拟建项目对生态影响是可以接受的。</w:t>
      </w:r>
    </w:p>
    <w:p w14:paraId="7D7FDDA9">
      <w:pPr>
        <w:pStyle w:val="6"/>
        <w:rPr>
          <w:snapToGrid w:val="0"/>
          <w:color w:val="000000" w:themeColor="text1"/>
          <w14:textFill>
            <w14:solidFill>
              <w14:schemeClr w14:val="tx1"/>
            </w14:solidFill>
          </w14:textFill>
        </w:rPr>
      </w:pPr>
      <w:bookmarkStart w:id="446" w:name="_Toc21697"/>
      <w:r>
        <w:rPr>
          <w:snapToGrid w:val="0"/>
          <w:color w:val="000000" w:themeColor="text1"/>
          <w14:textFill>
            <w14:solidFill>
              <w14:schemeClr w14:val="tx1"/>
            </w14:solidFill>
          </w14:textFill>
        </w:rPr>
        <w:t>9.1.6污染防治措施</w:t>
      </w:r>
      <w:bookmarkEnd w:id="446"/>
    </w:p>
    <w:p w14:paraId="2D678EF6">
      <w:pPr>
        <w:pStyle w:val="7"/>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9</w:t>
      </w:r>
      <w:r>
        <w:rPr>
          <w:snapToGrid w:val="0"/>
          <w:color w:val="000000" w:themeColor="text1"/>
          <w:lang w:eastAsia="zh-CN"/>
          <w14:textFill>
            <w14:solidFill>
              <w14:schemeClr w14:val="tx1"/>
            </w14:solidFill>
          </w14:textFill>
        </w:rPr>
        <w:t>.1.6.1</w:t>
      </w:r>
      <w:r>
        <w:rPr>
          <w:rFonts w:hint="eastAsia"/>
          <w:snapToGrid w:val="0"/>
          <w:color w:val="000000" w:themeColor="text1"/>
          <w14:textFill>
            <w14:solidFill>
              <w14:schemeClr w14:val="tx1"/>
            </w14:solidFill>
          </w14:textFill>
        </w:rPr>
        <w:t>废气</w:t>
      </w:r>
    </w:p>
    <w:p w14:paraId="32EE10B5">
      <w:pPr>
        <w:pStyle w:val="85"/>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施工期：采取加强施工管理、减小作业面面积、洒水降尘、避免雨天作业以及避免大风天气施工等措施，施工期对周边环境空气影响较小。</w:t>
      </w:r>
    </w:p>
    <w:p w14:paraId="61A31D18">
      <w:pPr>
        <w:pStyle w:val="85"/>
        <w:rPr>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运营期：</w:t>
      </w:r>
      <w:r>
        <w:rPr>
          <w:color w:val="000000" w:themeColor="text1"/>
          <w14:textFill>
            <w14:solidFill>
              <w14:schemeClr w14:val="tx1"/>
            </w14:solidFill>
          </w14:textFill>
        </w:rPr>
        <w:t>污水处理站恶臭气体经引风机引至</w:t>
      </w:r>
      <w:r>
        <w:rPr>
          <w:rFonts w:hint="eastAsia"/>
          <w:snapToGrid w:val="0"/>
          <w:color w:val="000000" w:themeColor="text1"/>
          <w:kern w:val="0"/>
          <w:lang w:val="en-US" w:eastAsia="zh-CN"/>
          <w14:textFill>
            <w14:solidFill>
              <w14:schemeClr w14:val="tx1"/>
            </w14:solidFill>
          </w14:textFill>
        </w:rPr>
        <w:t>活性炭吸附</w:t>
      </w:r>
      <w:r>
        <w:rPr>
          <w:snapToGrid w:val="0"/>
          <w:color w:val="000000" w:themeColor="text1"/>
          <w:kern w:val="0"/>
          <w:lang w:val="en-US"/>
          <w14:textFill>
            <w14:solidFill>
              <w14:schemeClr w14:val="tx1"/>
            </w14:solidFill>
          </w14:textFill>
        </w:rPr>
        <w:t>设施</w:t>
      </w:r>
      <w:r>
        <w:rPr>
          <w:color w:val="000000" w:themeColor="text1"/>
          <w14:textFill>
            <w14:solidFill>
              <w14:schemeClr w14:val="tx1"/>
            </w14:solidFill>
          </w14:textFill>
        </w:rPr>
        <w:t>，经处理后由15m排气筒</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A00</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。二氧化碳逸出夹带少量异味废气排出，其异味废气产生量极少，在二氧化碳回收系统采用活性炭吸附异味气体后排放量甚微，主要为无组织排放。</w:t>
      </w:r>
      <w:r>
        <w:rPr>
          <w:color w:val="000000" w:themeColor="text1"/>
          <w14:textFill>
            <w14:solidFill>
              <w14:schemeClr w14:val="tx1"/>
            </w14:solidFill>
          </w14:textFill>
        </w:rPr>
        <w:t>在厂区道路两边种植灌木，厂界边缘地带种植杨、槐等高大乔木树种，形成多层防护林带，以降低恶臭污染的影响。</w:t>
      </w:r>
      <w:r>
        <w:rPr>
          <w:rFonts w:hint="eastAsia"/>
          <w:color w:val="000000" w:themeColor="text1"/>
          <w14:textFill>
            <w14:solidFill>
              <w14:schemeClr w14:val="tx1"/>
            </w14:solidFill>
          </w14:textFill>
        </w:rPr>
        <w:t>本项目锅炉配套</w:t>
      </w:r>
      <w:r>
        <w:rPr>
          <w:color w:val="000000" w:themeColor="text1"/>
          <w14:textFill>
            <w14:solidFill>
              <w14:schemeClr w14:val="tx1"/>
            </w14:solidFill>
          </w14:textFill>
        </w:rPr>
        <w:t>低氮燃烧</w:t>
      </w:r>
      <w:r>
        <w:rPr>
          <w:rFonts w:hint="eastAsia"/>
          <w:color w:val="000000" w:themeColor="text1"/>
          <w14:textFill>
            <w14:solidFill>
              <w14:schemeClr w14:val="tx1"/>
            </w14:solidFill>
          </w14:textFill>
        </w:rPr>
        <w:t>，锅炉烟气</w:t>
      </w:r>
      <w:r>
        <w:rPr>
          <w:rFonts w:hint="eastAsia"/>
          <w:color w:val="000000" w:themeColor="text1"/>
          <w:lang w:val="en-US" w:eastAsia="zh-CN"/>
          <w14:textFill>
            <w14:solidFill>
              <w14:schemeClr w14:val="tx1"/>
            </w14:solidFill>
          </w14:textFill>
        </w:rPr>
        <w:t>经</w:t>
      </w:r>
      <w:r>
        <w:rPr>
          <w:color w:val="000000" w:themeColor="text1"/>
          <w14:textFill>
            <w14:solidFill>
              <w14:schemeClr w14:val="tx1"/>
            </w14:solidFill>
          </w14:textFill>
        </w:rPr>
        <w:t>25m烟囱DA00</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。原料处理间为封闭设备，原料投料、输送及去石筛分过程中产生的粉尘</w:t>
      </w:r>
      <w:r>
        <w:rPr>
          <w:color w:val="000000" w:themeColor="text1"/>
          <w14:textFill>
            <w14:solidFill>
              <w14:schemeClr w14:val="tx1"/>
            </w14:solidFill>
          </w14:textFill>
        </w:rPr>
        <w:t>经引风机引至布袋除尘器，经处理后由15m排气筒</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A00</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沼气脱硫后经火炬燃烧排放，</w:t>
      </w:r>
      <w:r>
        <w:rPr>
          <w:rFonts w:hint="eastAsia"/>
          <w:color w:val="000000" w:themeColor="text1"/>
          <w14:textFill>
            <w14:solidFill>
              <w14:schemeClr w14:val="tx1"/>
            </w14:solidFill>
          </w14:textFill>
        </w:rPr>
        <w:t>颗粒物</w:t>
      </w:r>
      <w:r>
        <w:rPr>
          <w:color w:val="000000" w:themeColor="text1"/>
          <w14:textFill>
            <w14:solidFill>
              <w14:schemeClr w14:val="tx1"/>
            </w14:solidFill>
          </w14:textFill>
        </w:rPr>
        <w:t>、NOx、SO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排放</w:t>
      </w:r>
      <w:r>
        <w:rPr>
          <w:rFonts w:hint="eastAsia"/>
          <w:color w:val="000000" w:themeColor="text1"/>
          <w14:textFill>
            <w14:solidFill>
              <w14:schemeClr w14:val="tx1"/>
            </w14:solidFill>
          </w14:textFill>
        </w:rPr>
        <w:t>量均较小</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食堂油烟经</w:t>
      </w:r>
      <w:r>
        <w:rPr>
          <w:rFonts w:hint="default"/>
          <w:snapToGrid w:val="0"/>
          <w:color w:val="000000" w:themeColor="text1"/>
          <w:kern w:val="0"/>
          <w:lang w:val="en-US" w:eastAsia="zh-CN"/>
          <w14:textFill>
            <w14:solidFill>
              <w14:schemeClr w14:val="tx1"/>
            </w14:solidFill>
          </w14:textFill>
        </w:rPr>
        <w:t>净化效率为85%的油烟净化设施处理后引至屋顶排放</w:t>
      </w:r>
      <w:r>
        <w:rPr>
          <w:rFonts w:hint="eastAsia"/>
          <w:color w:val="000000" w:themeColor="text1"/>
          <w:lang w:val="en-US" w:eastAsia="zh-CN"/>
          <w14:textFill>
            <w14:solidFill>
              <w14:schemeClr w14:val="tx1"/>
            </w14:solidFill>
          </w14:textFill>
        </w:rPr>
        <w:t>。柴油发电机废气经内置烟井引至房顶无组织排放。</w:t>
      </w:r>
      <w:r>
        <w:rPr>
          <w:color w:val="000000" w:themeColor="text1"/>
          <w14:textFill>
            <w14:solidFill>
              <w14:schemeClr w14:val="tx1"/>
            </w14:solidFill>
          </w14:textFill>
        </w:rPr>
        <w:t>对环境影响很小，可以被环境接受</w:t>
      </w:r>
      <w:r>
        <w:rPr>
          <w:snapToGrid w:val="0"/>
          <w:color w:val="000000" w:themeColor="text1"/>
          <w14:textFill>
            <w14:solidFill>
              <w14:schemeClr w14:val="tx1"/>
            </w14:solidFill>
          </w14:textFill>
        </w:rPr>
        <w:t>。</w:t>
      </w:r>
    </w:p>
    <w:p w14:paraId="7FAB3792">
      <w:pPr>
        <w:pStyle w:val="7"/>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9</w:t>
      </w:r>
      <w:r>
        <w:rPr>
          <w:snapToGrid w:val="0"/>
          <w:color w:val="000000" w:themeColor="text1"/>
          <w:lang w:eastAsia="zh-CN"/>
          <w14:textFill>
            <w14:solidFill>
              <w14:schemeClr w14:val="tx1"/>
            </w14:solidFill>
          </w14:textFill>
        </w:rPr>
        <w:t>.1.6.2</w:t>
      </w:r>
      <w:r>
        <w:rPr>
          <w:snapToGrid w:val="0"/>
          <w:color w:val="000000" w:themeColor="text1"/>
          <w14:textFill>
            <w14:solidFill>
              <w14:schemeClr w14:val="tx1"/>
            </w14:solidFill>
          </w14:textFill>
        </w:rPr>
        <w:t>废水</w:t>
      </w:r>
    </w:p>
    <w:p w14:paraId="61D3D05C">
      <w:pPr>
        <w:pStyle w:val="85"/>
        <w:adjustRightInd w:val="0"/>
        <w:snapToGrid w:val="0"/>
        <w:rPr>
          <w:color w:val="000000" w:themeColor="text1"/>
          <w14:textFill>
            <w14:solidFill>
              <w14:schemeClr w14:val="tx1"/>
            </w14:solidFill>
          </w14:textFill>
        </w:rPr>
      </w:pPr>
      <w:bookmarkStart w:id="447" w:name="_Hlk522290163"/>
      <w:r>
        <w:rPr>
          <w:rFonts w:hint="eastAsia"/>
          <w:color w:val="000000" w:themeColor="text1"/>
          <w14:textFill>
            <w14:solidFill>
              <w14:schemeClr w14:val="tx1"/>
            </w14:solidFill>
          </w14:textFill>
        </w:rPr>
        <w:t>施工期：施工现场设置临时沉淀池，施工废水经沉淀后上清液用于施工场地和道路洒水降尘；</w:t>
      </w:r>
      <w:r>
        <w:rPr>
          <w:rFonts w:hint="eastAsia"/>
          <w:snapToGrid w:val="0"/>
          <w:color w:val="000000" w:themeColor="text1"/>
          <w14:textFill>
            <w14:solidFill>
              <w14:schemeClr w14:val="tx1"/>
            </w14:solidFill>
          </w14:textFill>
        </w:rPr>
        <w:t>施工现场</w:t>
      </w:r>
      <w:r>
        <w:rPr>
          <w:rFonts w:hint="eastAsia" w:ascii="Times New Roman" w:hAnsi="Times New Roman" w:eastAsia="宋体"/>
          <w:bCs/>
          <w:color w:val="000000" w:themeColor="text1"/>
          <w:sz w:val="24"/>
          <w:szCs w:val="24"/>
          <w:lang w:val="en-US" w:eastAsia="zh-CN"/>
          <w14:textFill>
            <w14:solidFill>
              <w14:schemeClr w14:val="tx1"/>
            </w14:solidFill>
          </w14:textFill>
        </w:rPr>
        <w:t>设置</w:t>
      </w:r>
      <w:r>
        <w:rPr>
          <w:rFonts w:hint="eastAsia"/>
          <w:bCs/>
          <w:color w:val="000000" w:themeColor="text1"/>
          <w:sz w:val="24"/>
          <w:szCs w:val="24"/>
          <w:lang w:val="en-US" w:eastAsia="zh-CN"/>
          <w14:textFill>
            <w14:solidFill>
              <w14:schemeClr w14:val="tx1"/>
            </w14:solidFill>
          </w14:textFill>
        </w:rPr>
        <w:t>临时防渗旱厕</w:t>
      </w:r>
      <w:r>
        <w:rPr>
          <w:rFonts w:hint="eastAsia" w:ascii="Times New Roman" w:hAnsi="Times New Roman" w:eastAsia="宋体"/>
          <w:bCs/>
          <w:color w:val="000000" w:themeColor="text1"/>
          <w:sz w:val="24"/>
          <w:szCs w:val="24"/>
          <w:lang w:val="en-US" w:eastAsia="zh-CN"/>
          <w14:textFill>
            <w14:solidFill>
              <w14:schemeClr w14:val="tx1"/>
            </w14:solidFill>
          </w14:textFill>
        </w:rPr>
        <w:t>，</w:t>
      </w:r>
      <w:r>
        <w:rPr>
          <w:rFonts w:hint="eastAsia"/>
          <w:bCs/>
          <w:color w:val="000000" w:themeColor="text1"/>
          <w:sz w:val="24"/>
          <w:szCs w:val="24"/>
          <w:lang w:val="en-US" w:eastAsia="zh-CN"/>
          <w14:textFill>
            <w14:solidFill>
              <w14:schemeClr w14:val="tx1"/>
            </w14:solidFill>
          </w14:textFill>
        </w:rPr>
        <w:t>待施工期结束后，拆除临时防渗旱厕</w:t>
      </w:r>
      <w:r>
        <w:rPr>
          <w:rFonts w:hint="eastAsia" w:ascii="Times New Roman" w:hAnsi="Times New Roman" w:eastAsia="宋体"/>
          <w:bCs/>
          <w:color w:val="000000" w:themeColor="text1"/>
          <w:sz w:val="24"/>
          <w:szCs w:val="24"/>
          <w:lang w:val="en-US" w:eastAsia="zh-CN"/>
          <w14:textFill>
            <w14:solidFill>
              <w14:schemeClr w14:val="tx1"/>
            </w14:solidFill>
          </w14:textFill>
        </w:rPr>
        <w:t>，粪污</w:t>
      </w:r>
      <w:r>
        <w:rPr>
          <w:rFonts w:hint="eastAsia"/>
          <w:bCs/>
          <w:color w:val="000000" w:themeColor="text1"/>
          <w:sz w:val="24"/>
          <w:szCs w:val="24"/>
          <w:lang w:val="en-US" w:eastAsia="zh-CN"/>
          <w14:textFill>
            <w14:solidFill>
              <w14:schemeClr w14:val="tx1"/>
            </w14:solidFill>
          </w14:textFill>
        </w:rPr>
        <w:t>外售堆肥</w:t>
      </w:r>
      <w:r>
        <w:rPr>
          <w:rFonts w:hint="eastAsia" w:ascii="Times New Roman" w:hAnsi="Times New Roman" w:eastAsia="宋体"/>
          <w:bCs/>
          <w:color w:val="000000" w:themeColor="text1"/>
          <w:sz w:val="24"/>
          <w:szCs w:val="24"/>
          <w:lang w:val="en-US" w:eastAsia="zh-CN"/>
          <w14:textFill>
            <w14:solidFill>
              <w14:schemeClr w14:val="tx1"/>
            </w14:solidFill>
          </w14:textFill>
        </w:rPr>
        <w:t>。</w:t>
      </w:r>
    </w:p>
    <w:p w14:paraId="6AEFC55F">
      <w:pPr>
        <w:pStyle w:val="85"/>
        <w:rPr>
          <w:rFonts w:hint="eastAsia" w:eastAsia="宋体"/>
          <w:snapToGrid w:val="0"/>
          <w:color w:val="000000" w:themeColor="text1"/>
          <w:kern w:val="0"/>
          <w:lang w:val="en-US" w:eastAsia="zh-CN"/>
          <w14:textFill>
            <w14:solidFill>
              <w14:schemeClr w14:val="tx1"/>
            </w14:solidFill>
          </w14:textFill>
        </w:rPr>
      </w:pPr>
      <w:r>
        <w:rPr>
          <w:rFonts w:hint="eastAsia"/>
          <w:color w:val="000000" w:themeColor="text1"/>
          <w14:textFill>
            <w14:solidFill>
              <w14:schemeClr w14:val="tx1"/>
            </w14:solidFill>
          </w14:textFill>
        </w:rPr>
        <w:t>运营期：</w:t>
      </w:r>
      <w:r>
        <w:rPr>
          <w:color w:val="000000" w:themeColor="text1"/>
          <w14:textFill>
            <w14:solidFill>
              <w14:schemeClr w14:val="tx1"/>
            </w14:solidFill>
          </w14:textFill>
        </w:rPr>
        <w:t>本项目废水由新建</w:t>
      </w:r>
      <w:r>
        <w:rPr>
          <w:rFonts w:hint="eastAsia"/>
          <w:color w:val="000000" w:themeColor="text1"/>
          <w14:textFill>
            <w14:solidFill>
              <w14:schemeClr w14:val="tx1"/>
            </w14:solidFill>
          </w14:textFill>
        </w:rPr>
        <w:t>的处理能力为</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00m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污水处理站处理满足《</w:t>
      </w:r>
      <w:r>
        <w:rPr>
          <w:rFonts w:hint="eastAsia"/>
          <w:color w:val="000000" w:themeColor="text1"/>
          <w:lang w:eastAsia="zh-CN"/>
          <w14:textFill>
            <w14:solidFill>
              <w14:schemeClr w14:val="tx1"/>
            </w14:solidFill>
          </w14:textFill>
        </w:rPr>
        <w:t>酒类制造业水污染物排放标准</w:t>
      </w:r>
      <w:r>
        <w:rPr>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GB19821-2025</w:t>
      </w:r>
      <w:r>
        <w:rPr>
          <w:color w:val="000000" w:themeColor="text1"/>
          <w14:textFill>
            <w14:solidFill>
              <w14:schemeClr w14:val="tx1"/>
            </w14:solidFill>
          </w14:textFill>
        </w:rPr>
        <w:t>）</w:t>
      </w:r>
      <w:r>
        <w:rPr>
          <w:rFonts w:hint="eastAsia"/>
          <w:snapToGrid w:val="0"/>
          <w:color w:val="000000" w:themeColor="text1"/>
          <w:kern w:val="0"/>
          <w:lang w:val="en-US" w:eastAsia="zh-CN"/>
          <w14:textFill>
            <w14:solidFill>
              <w14:schemeClr w14:val="tx1"/>
            </w14:solidFill>
          </w14:textFill>
        </w:rPr>
        <w:t>间接排放</w:t>
      </w:r>
      <w:r>
        <w:rPr>
          <w:snapToGrid w:val="0"/>
          <w:color w:val="000000" w:themeColor="text1"/>
          <w:kern w:val="0"/>
          <w:lang w:val="en-US"/>
          <w14:textFill>
            <w14:solidFill>
              <w14:schemeClr w14:val="tx1"/>
            </w14:solidFill>
          </w14:textFill>
        </w:rPr>
        <w:t>标准</w:t>
      </w:r>
      <w:r>
        <w:rPr>
          <w:color w:val="000000" w:themeColor="text1"/>
          <w14:textFill>
            <w14:solidFill>
              <w14:schemeClr w14:val="tx1"/>
            </w14:solidFill>
          </w14:textFill>
        </w:rPr>
        <w:t>及</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进水指标后进入市政污水管网，排入</w:t>
      </w:r>
      <w:r>
        <w:rPr>
          <w:rFonts w:hint="eastAsia"/>
          <w:color w:val="000000" w:themeColor="text1"/>
          <w:lang w:eastAsia="zh-CN"/>
          <w14:textFill>
            <w14:solidFill>
              <w14:schemeClr w14:val="tx1"/>
            </w14:solidFill>
          </w14:textFill>
        </w:rPr>
        <w:t>桦南县城镇污水处理厂</w:t>
      </w:r>
      <w:r>
        <w:rPr>
          <w:color w:val="000000" w:themeColor="text1"/>
          <w14:textFill>
            <w14:solidFill>
              <w14:schemeClr w14:val="tx1"/>
            </w14:solidFill>
          </w14:textFill>
        </w:rPr>
        <w:t>统一处理，废水</w:t>
      </w:r>
      <w:r>
        <w:rPr>
          <w:rFonts w:hint="eastAsia"/>
          <w:color w:val="000000" w:themeColor="text1"/>
          <w14:textFill>
            <w14:solidFill>
              <w14:schemeClr w14:val="tx1"/>
            </w14:solidFill>
          </w14:textFill>
        </w:rPr>
        <w:t>达到《城镇污水处理厂污染物排放标准》（GB 18918-2002）及修改单中的一级A标准排入</w:t>
      </w:r>
      <w:r>
        <w:rPr>
          <w:rFonts w:hint="default" w:eastAsia="宋体"/>
          <w:color w:val="000000" w:themeColor="text1"/>
          <w:lang w:val="en-US" w:eastAsia="zh-CN"/>
          <w14:textFill>
            <w14:solidFill>
              <w14:schemeClr w14:val="tx1"/>
            </w14:solidFill>
          </w14:textFill>
        </w:rPr>
        <w:t>八虎力河，最终汇入倭肯河</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设置1座300</w:t>
      </w:r>
      <w:r>
        <w:rPr>
          <w:rFonts w:hint="eastAsia"/>
          <w:color w:val="000000" w:themeColor="text1"/>
          <w14:textFill>
            <w14:solidFill>
              <w14:schemeClr w14:val="tx1"/>
            </w14:solidFill>
          </w14:textFill>
        </w:rPr>
        <w:t>m</w:t>
      </w:r>
      <w:r>
        <w:rPr>
          <w:rFonts w:hint="eastAsia"/>
          <w:color w:val="000000" w:themeColor="text1"/>
          <w:vertAlign w:val="superscript"/>
          <w14:textFill>
            <w14:solidFill>
              <w14:schemeClr w14:val="tx1"/>
            </w14:solidFill>
          </w14:textFill>
        </w:rPr>
        <w:t>3</w:t>
      </w:r>
      <w:r>
        <w:rPr>
          <w:rFonts w:hint="eastAsia"/>
          <w:color w:val="000000" w:themeColor="text1"/>
          <w:vertAlign w:val="baseline"/>
          <w:lang w:val="en-US" w:eastAsia="zh-CN"/>
          <w14:textFill>
            <w14:solidFill>
              <w14:schemeClr w14:val="tx1"/>
            </w14:solidFill>
          </w14:textFill>
        </w:rPr>
        <w:t>事故池，</w:t>
      </w:r>
      <w:r>
        <w:rPr>
          <w:rFonts w:hint="eastAsia"/>
          <w:color w:val="000000" w:themeColor="text1"/>
          <w14:textFill>
            <w14:solidFill>
              <w14:schemeClr w14:val="tx1"/>
            </w14:solidFill>
          </w14:textFill>
        </w:rPr>
        <w:t>可容纳</w:t>
      </w:r>
      <w:r>
        <w:rPr>
          <w:rFonts w:hint="eastAsia"/>
          <w:color w:val="000000" w:themeColor="text1"/>
          <w:lang w:val="en-US" w:eastAsia="zh-CN"/>
          <w14:textFill>
            <w14:solidFill>
              <w14:schemeClr w14:val="tx1"/>
            </w14:solidFill>
          </w14:textFill>
        </w:rPr>
        <w:t>2天</w:t>
      </w:r>
      <w:r>
        <w:rPr>
          <w:rFonts w:hint="eastAsia"/>
          <w:color w:val="000000" w:themeColor="text1"/>
          <w14:textFill>
            <w14:solidFill>
              <w14:schemeClr w14:val="tx1"/>
            </w14:solidFill>
          </w14:textFill>
        </w:rPr>
        <w:t>废水量，可以满足事故排水要求。</w:t>
      </w:r>
    </w:p>
    <w:bookmarkEnd w:id="447"/>
    <w:p w14:paraId="595609B9">
      <w:pPr>
        <w:pStyle w:val="7"/>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9</w:t>
      </w:r>
      <w:r>
        <w:rPr>
          <w:snapToGrid w:val="0"/>
          <w:color w:val="000000" w:themeColor="text1"/>
          <w:lang w:eastAsia="zh-CN"/>
          <w14:textFill>
            <w14:solidFill>
              <w14:schemeClr w14:val="tx1"/>
            </w14:solidFill>
          </w14:textFill>
        </w:rPr>
        <w:t>.1.6.3</w:t>
      </w:r>
      <w:r>
        <w:rPr>
          <w:snapToGrid w:val="0"/>
          <w:color w:val="000000" w:themeColor="text1"/>
          <w14:textFill>
            <w14:solidFill>
              <w14:schemeClr w14:val="tx1"/>
            </w14:solidFill>
          </w14:textFill>
        </w:rPr>
        <w:t>噪声</w:t>
      </w:r>
    </w:p>
    <w:p w14:paraId="7D47E84D">
      <w:pPr>
        <w:pStyle w:val="85"/>
        <w:adjustRightInd w:val="0"/>
        <w:snapToGrid w:val="0"/>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施工期：选用低噪声施工机械，加强施工期管理，合理安排施工运输路线，</w:t>
      </w:r>
      <w:r>
        <w:rPr>
          <w:snapToGrid w:val="0"/>
          <w:color w:val="000000" w:themeColor="text1"/>
          <w14:textFill>
            <w14:solidFill>
              <w14:schemeClr w14:val="tx1"/>
            </w14:solidFill>
          </w14:textFill>
        </w:rPr>
        <w:t>严格控制夜间施工不使用噪声设备的前提下，本项目施工期间产生的噪声不会对周围环境造成明显影响。</w:t>
      </w:r>
    </w:p>
    <w:p w14:paraId="54BFE0E3">
      <w:pPr>
        <w:pStyle w:val="85"/>
        <w:adjustRightInd w:val="0"/>
        <w:snapToGrid w:val="0"/>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运营期：</w:t>
      </w:r>
      <w:r>
        <w:rPr>
          <w:snapToGrid w:val="0"/>
          <w:color w:val="000000" w:themeColor="text1"/>
          <w14:textFill>
            <w14:solidFill>
              <w14:schemeClr w14:val="tx1"/>
            </w14:solidFill>
          </w14:textFill>
        </w:rPr>
        <w:t>选用低噪声设备，项目在建筑上采取隔声、吸声措施，在厂区内外种植树木，以降低噪声影响；通过合理布局，达到阻隔、衰减噪声的目的。</w:t>
      </w:r>
    </w:p>
    <w:p w14:paraId="602346C5">
      <w:pPr>
        <w:pStyle w:val="7"/>
        <w:rPr>
          <w:snapToGrid w:val="0"/>
          <w:color w:val="000000" w:themeColor="text1"/>
          <w14:textFill>
            <w14:solidFill>
              <w14:schemeClr w14:val="tx1"/>
            </w14:solidFill>
          </w14:textFill>
        </w:rPr>
      </w:pPr>
      <w:r>
        <w:rPr>
          <w:rFonts w:hint="eastAsia"/>
          <w:snapToGrid w:val="0"/>
          <w:color w:val="000000" w:themeColor="text1"/>
          <w:lang w:eastAsia="zh-CN"/>
          <w14:textFill>
            <w14:solidFill>
              <w14:schemeClr w14:val="tx1"/>
            </w14:solidFill>
          </w14:textFill>
        </w:rPr>
        <w:t>9</w:t>
      </w:r>
      <w:r>
        <w:rPr>
          <w:snapToGrid w:val="0"/>
          <w:color w:val="000000" w:themeColor="text1"/>
          <w:lang w:eastAsia="zh-CN"/>
          <w14:textFill>
            <w14:solidFill>
              <w14:schemeClr w14:val="tx1"/>
            </w14:solidFill>
          </w14:textFill>
        </w:rPr>
        <w:t>.1.6.4</w:t>
      </w:r>
      <w:r>
        <w:rPr>
          <w:snapToGrid w:val="0"/>
          <w:color w:val="000000" w:themeColor="text1"/>
          <w14:textFill>
            <w14:solidFill>
              <w14:schemeClr w14:val="tx1"/>
            </w14:solidFill>
          </w14:textFill>
        </w:rPr>
        <w:t>固体废物</w:t>
      </w:r>
    </w:p>
    <w:p w14:paraId="2E2C9435">
      <w:pPr>
        <w:pStyle w:val="85"/>
        <w:adjustRightInd w:val="0"/>
        <w:snapToGrid w:val="0"/>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施工期：施工期建筑垃圾、施工弃土弃渣中可再利用的建筑废料，应进行回收利用，以节省资源。多余废弃的砂、砾石可结合修路利用；除可回收利用外建筑垃圾应运输到环境保护管理部门指定的地点进行填埋，最大程度减小对环境的影响。在施工现场设置垃圾收集箱，集中收集后应由市政环卫部门统一清运处置。</w:t>
      </w:r>
    </w:p>
    <w:p w14:paraId="445ED965">
      <w:pPr>
        <w:pStyle w:val="85"/>
        <w:adjustRightInd w:val="0"/>
        <w:snapToGrid w:val="0"/>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运营期：</w:t>
      </w:r>
      <w:r>
        <w:rPr>
          <w:rFonts w:hint="eastAsia"/>
          <w:b w:val="0"/>
          <w:bCs w:val="0"/>
          <w:color w:val="000000" w:themeColor="text1"/>
          <w:lang w:val="en-US" w:eastAsia="zh-CN"/>
          <w14:textFill>
            <w14:solidFill>
              <w14:schemeClr w14:val="tx1"/>
            </w14:solidFill>
          </w14:textFill>
        </w:rPr>
        <w:t>生活垃圾经垃圾桶收集暂存后委托环卫部门集中处理；</w:t>
      </w:r>
      <w:r>
        <w:rPr>
          <w:rFonts w:hint="eastAsia"/>
          <w:color w:val="000000" w:themeColor="text1"/>
          <w:highlight w:val="none"/>
          <w14:textFill>
            <w14:solidFill>
              <w14:schemeClr w14:val="tx1"/>
            </w14:solidFill>
          </w14:textFill>
        </w:rPr>
        <w:t>餐厨垃圾</w:t>
      </w:r>
      <w:r>
        <w:rPr>
          <w:rFonts w:hint="eastAsia"/>
          <w:color w:val="000000" w:themeColor="text1"/>
          <w:highlight w:val="none"/>
          <w:lang w:val="en-US" w:eastAsia="zh-CN"/>
          <w14:textFill>
            <w14:solidFill>
              <w14:schemeClr w14:val="tx1"/>
            </w14:solidFill>
          </w14:textFill>
        </w:rPr>
        <w:t>集中收集，交由有资质单位处理；生产过程产生的</w:t>
      </w:r>
      <w:r>
        <w:rPr>
          <w:rFonts w:hint="eastAsia"/>
          <w:color w:val="auto"/>
          <w:lang w:val="en-US" w:eastAsia="zh-CN"/>
        </w:rPr>
        <w:t>原料</w:t>
      </w:r>
      <w:r>
        <w:rPr>
          <w:rFonts w:hint="eastAsia"/>
          <w:color w:val="auto"/>
        </w:rPr>
        <w:t>杂质，集中收集，外售有机肥厂生产有机肥</w:t>
      </w:r>
      <w:r>
        <w:rPr>
          <w:rFonts w:hint="eastAsia"/>
          <w:color w:val="auto"/>
          <w:lang w:eastAsia="zh-CN"/>
        </w:rPr>
        <w:t>；</w:t>
      </w:r>
      <w:r>
        <w:rPr>
          <w:rFonts w:hint="eastAsia"/>
          <w:color w:val="auto"/>
          <w:lang w:val="en-US" w:eastAsia="zh-CN"/>
        </w:rPr>
        <w:t>废</w:t>
      </w:r>
      <w:r>
        <w:rPr>
          <w:color w:val="auto"/>
        </w:rPr>
        <w:t>酒糟及废酵母采用专用容器收集并加盖密封，外售作饲料，日产日清</w:t>
      </w:r>
      <w:r>
        <w:rPr>
          <w:rFonts w:hint="eastAsia"/>
          <w:color w:val="auto"/>
          <w:lang w:eastAsia="zh-CN"/>
        </w:rPr>
        <w:t>；</w:t>
      </w:r>
      <w:r>
        <w:rPr>
          <w:rFonts w:hint="eastAsia"/>
          <w:color w:val="000000" w:themeColor="text1"/>
          <w:lang w:val="en-US" w:eastAsia="zh-CN"/>
          <w14:textFill>
            <w14:solidFill>
              <w14:schemeClr w14:val="tx1"/>
            </w14:solidFill>
          </w14:textFill>
        </w:rPr>
        <w:t>废硅藻土暂存在密闭废土罐中</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外售综合利用</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定期转运</w:t>
      </w:r>
      <w:r>
        <w:rPr>
          <w:rFonts w:hint="default"/>
          <w:color w:val="000000" w:themeColor="text1"/>
          <w:lang w:val="en-US" w:eastAsia="zh-CN"/>
          <w14:textFill>
            <w14:solidFill>
              <w14:schemeClr w14:val="tx1"/>
            </w14:solidFill>
          </w14:textFill>
        </w:rPr>
        <w:t>不在厂区长时间贮存</w:t>
      </w:r>
      <w:r>
        <w:rPr>
          <w:rFonts w:hint="eastAsia"/>
          <w:color w:val="000000" w:themeColor="text1"/>
          <w:lang w:val="en-US" w:eastAsia="zh-CN"/>
          <w14:textFill>
            <w14:solidFill>
              <w14:schemeClr w14:val="tx1"/>
            </w14:solidFill>
          </w14:textFill>
        </w:rPr>
        <w:t>；</w:t>
      </w:r>
      <w:r>
        <w:rPr>
          <w:rFonts w:hint="eastAsia"/>
          <w:color w:val="000000" w:themeColor="text1"/>
          <w14:textFill>
            <w14:solidFill>
              <w14:schemeClr w14:val="tx1"/>
            </w14:solidFill>
          </w14:textFill>
        </w:rPr>
        <w:t>除尘器收尘集中收集，外售有机肥厂生产有机肥</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废布袋更换时交厂家回收处置</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污水处理站产生的污泥外运前应采取压滤脱水处理，确保含水率低于</w:t>
      </w:r>
      <w:r>
        <w:rPr>
          <w:color w:val="000000" w:themeColor="text1"/>
          <w14:textFill>
            <w14:solidFill>
              <w14:schemeClr w14:val="tx1"/>
            </w14:solidFill>
          </w14:textFill>
        </w:rPr>
        <w:t>60%</w:t>
      </w:r>
      <w:r>
        <w:rPr>
          <w:rFonts w:hint="eastAsia"/>
          <w:color w:val="000000" w:themeColor="text1"/>
          <w14:textFill>
            <w14:solidFill>
              <w14:schemeClr w14:val="tx1"/>
            </w14:solidFill>
          </w14:textFill>
        </w:rPr>
        <w:t>，定期交由市政部门统一处理</w:t>
      </w:r>
      <w:r>
        <w:rPr>
          <w:rFonts w:hint="eastAsia"/>
          <w:color w:val="000000" w:themeColor="text1"/>
          <w:lang w:eastAsia="zh-CN"/>
          <w14:textFill>
            <w14:solidFill>
              <w14:schemeClr w14:val="tx1"/>
            </w14:solidFill>
          </w14:textFill>
        </w:rPr>
        <w:t>；废脱硫剂</w:t>
      </w:r>
      <w:r>
        <w:rPr>
          <w:rFonts w:hint="eastAsia"/>
          <w:color w:val="000000" w:themeColor="text1"/>
          <w:lang w:val="en-US" w:eastAsia="zh-CN"/>
          <w14:textFill>
            <w14:solidFill>
              <w14:schemeClr w14:val="tx1"/>
            </w14:solidFill>
          </w14:textFill>
        </w:rPr>
        <w:t>更换时</w:t>
      </w:r>
      <w:r>
        <w:rPr>
          <w:rFonts w:hint="eastAsia"/>
          <w:color w:val="000000" w:themeColor="text1"/>
          <w:lang w:eastAsia="zh-CN"/>
          <w14:textFill>
            <w14:solidFill>
              <w14:schemeClr w14:val="tx1"/>
            </w14:solidFill>
          </w14:textFill>
        </w:rPr>
        <w:t>由厂家回收；</w:t>
      </w:r>
      <w:r>
        <w:rPr>
          <w:rFonts w:hint="eastAsia"/>
          <w:color w:val="000000" w:themeColor="text1"/>
          <w:highlight w:val="none"/>
          <w14:textFill>
            <w14:solidFill>
              <w14:schemeClr w14:val="tx1"/>
            </w14:solidFill>
          </w14:textFill>
        </w:rPr>
        <w:t>废包装物</w:t>
      </w:r>
      <w:r>
        <w:rPr>
          <w:rFonts w:hint="eastAsia"/>
          <w:color w:val="000000" w:themeColor="text1"/>
          <w14:textFill>
            <w14:solidFill>
              <w14:schemeClr w14:val="tx1"/>
            </w14:solidFill>
          </w14:textFill>
        </w:rPr>
        <w:t>集中收集，外售废品收购站综合利用</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废过滤材料</w:t>
      </w:r>
      <w:r>
        <w:rPr>
          <w:rFonts w:hint="eastAsia"/>
          <w:color w:val="000000" w:themeColor="text1"/>
          <w:lang w:val="en-US" w:eastAsia="zh-CN"/>
          <w14:textFill>
            <w14:solidFill>
              <w14:schemeClr w14:val="tx1"/>
            </w14:solidFill>
          </w14:textFill>
        </w:rPr>
        <w:t>由</w:t>
      </w:r>
      <w:r>
        <w:rPr>
          <w:rFonts w:hint="eastAsia"/>
          <w:color w:val="000000" w:themeColor="text1"/>
          <w14:textFill>
            <w14:solidFill>
              <w14:schemeClr w14:val="tx1"/>
            </w14:solidFill>
          </w14:textFill>
        </w:rPr>
        <w:t>纯水设备公司</w:t>
      </w:r>
      <w:r>
        <w:rPr>
          <w:rFonts w:hint="eastAsia"/>
          <w:color w:val="000000" w:themeColor="text1"/>
          <w:lang w:val="en-US" w:eastAsia="zh-CN"/>
          <w14:textFill>
            <w14:solidFill>
              <w14:schemeClr w14:val="tx1"/>
            </w14:solidFill>
          </w14:textFill>
        </w:rPr>
        <w:t>定期更换时</w:t>
      </w:r>
      <w:r>
        <w:rPr>
          <w:rFonts w:hint="eastAsia"/>
          <w:color w:val="000000" w:themeColor="text1"/>
          <w14:textFill>
            <w14:solidFill>
              <w14:schemeClr w14:val="tx1"/>
            </w14:solidFill>
          </w14:textFill>
        </w:rPr>
        <w:t>回收处理</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废离子交换树脂由软水设备</w:t>
      </w:r>
      <w:r>
        <w:rPr>
          <w:rFonts w:hint="eastAsia"/>
          <w:color w:val="000000" w:themeColor="text1"/>
          <w:lang w:val="en-US" w:eastAsia="zh-CN"/>
          <w14:textFill>
            <w14:solidFill>
              <w14:schemeClr w14:val="tx1"/>
            </w14:solidFill>
          </w14:textFill>
        </w:rPr>
        <w:t>公司更换时</w:t>
      </w:r>
      <w:r>
        <w:rPr>
          <w:rFonts w:hint="eastAsia"/>
          <w:color w:val="000000" w:themeColor="text1"/>
          <w14:textFill>
            <w14:solidFill>
              <w14:schemeClr w14:val="tx1"/>
            </w14:solidFill>
          </w14:textFill>
        </w:rPr>
        <w:t>回收处理</w:t>
      </w:r>
      <w:r>
        <w:rPr>
          <w:rFonts w:hint="eastAsia"/>
          <w:color w:val="000000" w:themeColor="text1"/>
          <w:lang w:eastAsia="zh-CN"/>
          <w14:textFill>
            <w14:solidFill>
              <w14:schemeClr w14:val="tx1"/>
            </w14:solidFill>
          </w14:textFill>
        </w:rPr>
        <w:t>；</w:t>
      </w:r>
      <w:r>
        <w:rPr>
          <w:rFonts w:hint="default" w:ascii="Times New Roman" w:hAnsi="Times New Roman" w:eastAsia="宋体" w:cs="Times New Roman"/>
          <w:b w:val="0"/>
          <w:bCs w:val="0"/>
          <w:color w:val="000000"/>
          <w:kern w:val="0"/>
          <w:sz w:val="24"/>
          <w:szCs w:val="24"/>
          <w:lang w:val="en-US" w:eastAsia="zh-CN" w:bidi="ar"/>
        </w:rPr>
        <w:t>CO</w:t>
      </w:r>
      <w:r>
        <w:rPr>
          <w:rFonts w:hint="default" w:ascii="Times New Roman" w:hAnsi="Times New Roman" w:eastAsia="宋体" w:cs="Times New Roman"/>
          <w:b w:val="0"/>
          <w:bCs w:val="0"/>
          <w:color w:val="000000"/>
          <w:kern w:val="0"/>
          <w:sz w:val="15"/>
          <w:szCs w:val="15"/>
          <w:lang w:val="en-US" w:eastAsia="zh-CN" w:bidi="ar"/>
        </w:rPr>
        <w:t>2</w:t>
      </w:r>
      <w:r>
        <w:rPr>
          <w:rFonts w:hint="eastAsia" w:ascii="宋体" w:hAnsi="宋体" w:eastAsia="宋体" w:cs="宋体"/>
          <w:b w:val="0"/>
          <w:bCs w:val="0"/>
          <w:color w:val="000000"/>
          <w:kern w:val="0"/>
          <w:sz w:val="24"/>
          <w:szCs w:val="24"/>
          <w:lang w:val="en-US" w:eastAsia="zh-CN" w:bidi="ar"/>
        </w:rPr>
        <w:t>回收系统的</w:t>
      </w:r>
      <w:r>
        <w:rPr>
          <w:rFonts w:hint="eastAsia" w:ascii="宋体" w:hAnsi="宋体" w:eastAsia="宋体" w:cs="宋体"/>
          <w:color w:val="000000"/>
          <w:kern w:val="0"/>
          <w:sz w:val="24"/>
          <w:szCs w:val="24"/>
          <w:lang w:val="en-US" w:eastAsia="zh-CN" w:bidi="ar"/>
        </w:rPr>
        <w:t>废分子筛和废活性炭属于一般固废，</w:t>
      </w:r>
      <w:r>
        <w:rPr>
          <w:snapToGrid w:val="0"/>
          <w:color w:val="000000" w:themeColor="text1"/>
          <w:kern w:val="0"/>
          <w14:textFill>
            <w14:solidFill>
              <w14:schemeClr w14:val="tx1"/>
            </w14:solidFill>
          </w14:textFill>
        </w:rPr>
        <w:t>由生产厂家</w:t>
      </w:r>
      <w:r>
        <w:rPr>
          <w:rFonts w:hint="eastAsia"/>
          <w:snapToGrid w:val="0"/>
          <w:color w:val="000000" w:themeColor="text1"/>
          <w:kern w:val="0"/>
          <w:lang w:val="en-US" w:eastAsia="zh-CN"/>
          <w14:textFill>
            <w14:solidFill>
              <w14:schemeClr w14:val="tx1"/>
            </w14:solidFill>
          </w14:textFill>
        </w:rPr>
        <w:t>更换时</w:t>
      </w:r>
      <w:r>
        <w:rPr>
          <w:snapToGrid w:val="0"/>
          <w:color w:val="000000" w:themeColor="text1"/>
          <w:kern w:val="0"/>
          <w14:textFill>
            <w14:solidFill>
              <w14:schemeClr w14:val="tx1"/>
            </w14:solidFill>
          </w14:textFill>
        </w:rPr>
        <w:t>回收处理</w:t>
      </w:r>
      <w:r>
        <w:rPr>
          <w:rFonts w:hint="eastAsia" w:ascii="宋体" w:hAnsi="宋体" w:eastAsia="宋体" w:cs="宋体"/>
          <w:color w:val="000000"/>
          <w:kern w:val="0"/>
          <w:sz w:val="24"/>
          <w:szCs w:val="24"/>
          <w:lang w:val="en-US" w:eastAsia="zh-CN" w:bidi="ar"/>
        </w:rPr>
        <w:t>。</w:t>
      </w:r>
      <w:r>
        <w:rPr>
          <w:rFonts w:hint="eastAsia"/>
          <w:color w:val="000000" w:themeColor="text1"/>
          <w:lang w:val="en-US" w:eastAsia="zh-CN"/>
          <w14:textFill>
            <w14:solidFill>
              <w14:schemeClr w14:val="tx1"/>
            </w14:solidFill>
          </w14:textFill>
        </w:rPr>
        <w:t>废危化品包装材料、</w:t>
      </w:r>
      <w:r>
        <w:rPr>
          <w:rFonts w:hint="eastAsia"/>
          <w:color w:val="000000" w:themeColor="text1"/>
          <w14:textFill>
            <w14:solidFill>
              <w14:schemeClr w14:val="tx1"/>
            </w14:solidFill>
          </w14:textFill>
        </w:rPr>
        <w:t>化验室废液</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废机油、废机油桶、废含油抹布手套分类暂存于危险废物贮存点，定期委托有资质单位处置。</w:t>
      </w:r>
    </w:p>
    <w:p w14:paraId="199404BF">
      <w:pPr>
        <w:pStyle w:val="85"/>
        <w:adjustRightInd w:val="0"/>
        <w:snapToGrid w:val="0"/>
        <w:rPr>
          <w:color w:val="000000" w:themeColor="text1"/>
          <w14:textFill>
            <w14:solidFill>
              <w14:schemeClr w14:val="tx1"/>
            </w14:solidFill>
          </w14:textFill>
        </w:rPr>
      </w:pPr>
      <w:r>
        <w:rPr>
          <w:color w:val="000000" w:themeColor="text1"/>
          <w14:textFill>
            <w14:solidFill>
              <w14:schemeClr w14:val="tx1"/>
            </w14:solidFill>
          </w14:textFill>
        </w:rPr>
        <w:t>综上可知，本项目对所排放的污染物采取了污染控制措施，可做到污染物达标排放。</w:t>
      </w:r>
    </w:p>
    <w:p w14:paraId="029FD455">
      <w:pPr>
        <w:pStyle w:val="7"/>
        <w:rPr>
          <w:snapToGrid w:val="0"/>
          <w:color w:val="000000" w:themeColor="text1"/>
          <w14:textFill>
            <w14:solidFill>
              <w14:schemeClr w14:val="tx1"/>
            </w14:solidFill>
          </w14:textFill>
        </w:rPr>
      </w:pPr>
      <w:r>
        <w:rPr>
          <w:rFonts w:hint="eastAsia"/>
          <w:snapToGrid w:val="0"/>
          <w:color w:val="000000" w:themeColor="text1"/>
          <w14:textFill>
            <w14:solidFill>
              <w14:schemeClr w14:val="tx1"/>
            </w14:solidFill>
          </w14:textFill>
        </w:rPr>
        <w:t>9</w:t>
      </w:r>
      <w:r>
        <w:rPr>
          <w:snapToGrid w:val="0"/>
          <w:color w:val="000000" w:themeColor="text1"/>
          <w14:textFill>
            <w14:solidFill>
              <w14:schemeClr w14:val="tx1"/>
            </w14:solidFill>
          </w14:textFill>
        </w:rPr>
        <w:t>.1.6.5</w:t>
      </w:r>
      <w:r>
        <w:rPr>
          <w:rFonts w:hint="eastAsia"/>
          <w:snapToGrid w:val="0"/>
          <w:color w:val="000000" w:themeColor="text1"/>
          <w14:textFill>
            <w14:solidFill>
              <w14:schemeClr w14:val="tx1"/>
            </w14:solidFill>
          </w14:textFill>
        </w:rPr>
        <w:t>地下水污染防治</w:t>
      </w:r>
    </w:p>
    <w:p w14:paraId="64A799A3">
      <w:pPr>
        <w:pStyle w:val="85"/>
        <w:rPr>
          <w:snapToGrid w:val="0"/>
          <w:color w:val="000000" w:themeColor="text1"/>
          <w:kern w:val="0"/>
          <w:lang w:val="zh-CN"/>
          <w14:textFill>
            <w14:solidFill>
              <w14:schemeClr w14:val="tx1"/>
            </w14:solidFill>
          </w14:textFill>
        </w:rPr>
      </w:pPr>
      <w:r>
        <w:rPr>
          <w:rFonts w:hint="eastAsia"/>
          <w:snapToGrid w:val="0"/>
          <w:color w:val="000000" w:themeColor="text1"/>
          <w14:textFill>
            <w14:solidFill>
              <w14:schemeClr w14:val="tx1"/>
            </w14:solidFill>
          </w14:textFill>
        </w:rPr>
        <w:t>采取分区防渗措施，各防渗分区的防渗结构，应由专业设计单位根据相关要求进行设计，但不应低于环评提出的防渗级别和要求。本项目对地下水的主要污染途径为废水渗透，在认真采取以上措施的基础上，由于防渗层的保护作用，废水不会对地下水源造成影响。</w:t>
      </w:r>
      <w:r>
        <w:rPr>
          <w:rFonts w:hint="eastAsia"/>
          <w:snapToGrid w:val="0"/>
          <w:color w:val="000000" w:themeColor="text1"/>
          <w:kern w:val="0"/>
          <w:lang w:val="zh-CN"/>
          <w14:textFill>
            <w14:solidFill>
              <w14:schemeClr w14:val="tx1"/>
            </w14:solidFill>
          </w14:textFill>
        </w:rPr>
        <w:t>本项目认真落实分区防渗、检漏、加强环境管理、定期开展监测等措施，项目实施对地下水的影响是可以接受的。</w:t>
      </w:r>
    </w:p>
    <w:p w14:paraId="03628866">
      <w:pPr>
        <w:pStyle w:val="7"/>
        <w:rPr>
          <w:color w:val="000000" w:themeColor="text1"/>
          <w14:textFill>
            <w14:solidFill>
              <w14:schemeClr w14:val="tx1"/>
            </w14:solidFill>
          </w14:textFill>
        </w:rPr>
      </w:pPr>
      <w:r>
        <w:rPr>
          <w:color w:val="000000" w:themeColor="text1"/>
          <w14:textFill>
            <w14:solidFill>
              <w14:schemeClr w14:val="tx1"/>
            </w14:solidFill>
          </w14:textFill>
        </w:rPr>
        <w:t>9.1.6.</w:t>
      </w:r>
      <w:r>
        <w:rPr>
          <w:rFonts w:hint="eastAsia"/>
          <w:color w:val="000000" w:themeColor="text1"/>
          <w:lang w:val="en-US" w:eastAsia="zh-CN"/>
          <w14:textFill>
            <w14:solidFill>
              <w14:schemeClr w14:val="tx1"/>
            </w14:solidFill>
          </w14:textFill>
        </w:rPr>
        <w:t>6</w:t>
      </w:r>
      <w:r>
        <w:rPr>
          <w:rFonts w:hint="eastAsia"/>
          <w:color w:val="000000" w:themeColor="text1"/>
          <w14:textFill>
            <w14:solidFill>
              <w14:schemeClr w14:val="tx1"/>
            </w14:solidFill>
          </w14:textFill>
        </w:rPr>
        <w:t>风险防范措施</w:t>
      </w:r>
    </w:p>
    <w:p w14:paraId="2F23424C">
      <w:pPr>
        <w:pStyle w:val="85"/>
        <w:rPr>
          <w:color w:val="000000" w:themeColor="text1"/>
          <w14:textFill>
            <w14:solidFill>
              <w14:schemeClr w14:val="tx1"/>
            </w14:solidFill>
          </w14:textFill>
        </w:rPr>
      </w:pPr>
      <w:r>
        <w:rPr>
          <w:rFonts w:hint="eastAsia"/>
          <w:color w:val="000000" w:themeColor="text1"/>
          <w14:textFill>
            <w14:solidFill>
              <w14:schemeClr w14:val="tx1"/>
            </w14:solidFill>
          </w14:textFill>
        </w:rPr>
        <w:t>本项目严格按照国家的有关技术标准、规范进行设计和实施，综上，落实本报告提出的各项风险防范措施及完善、</w:t>
      </w:r>
      <w:r>
        <w:rPr>
          <w:rFonts w:hint="eastAsia"/>
          <w:color w:val="000000" w:themeColor="text1"/>
          <w:lang w:val="en-US" w:eastAsia="zh-CN"/>
          <w14:textFill>
            <w14:solidFill>
              <w14:schemeClr w14:val="tx1"/>
            </w14:solidFill>
          </w14:textFill>
        </w:rPr>
        <w:t>编制</w:t>
      </w:r>
      <w:r>
        <w:rPr>
          <w:rFonts w:hint="eastAsia"/>
          <w:color w:val="000000" w:themeColor="text1"/>
          <w14:textFill>
            <w14:solidFill>
              <w14:schemeClr w14:val="tx1"/>
            </w14:solidFill>
          </w14:textFill>
        </w:rPr>
        <w:t>本企业应急预案，项目所涉及的风险影响因素、风险危害程度与范围是可防控的。</w:t>
      </w:r>
    </w:p>
    <w:p w14:paraId="0028B05F">
      <w:pPr>
        <w:pStyle w:val="7"/>
        <w:rPr>
          <w:color w:val="000000" w:themeColor="text1"/>
          <w14:textFill>
            <w14:solidFill>
              <w14:schemeClr w14:val="tx1"/>
            </w14:solidFill>
          </w14:textFill>
        </w:rPr>
      </w:pPr>
      <w:r>
        <w:rPr>
          <w:rFonts w:hint="eastAsia"/>
          <w:color w:val="000000" w:themeColor="text1"/>
          <w14:textFill>
            <w14:solidFill>
              <w14:schemeClr w14:val="tx1"/>
            </w14:solidFill>
          </w14:textFill>
        </w:rPr>
        <w:t>9</w:t>
      </w:r>
      <w:r>
        <w:rPr>
          <w:color w:val="000000" w:themeColor="text1"/>
          <w14:textFill>
            <w14:solidFill>
              <w14:schemeClr w14:val="tx1"/>
            </w14:solidFill>
          </w14:textFill>
        </w:rPr>
        <w:t>.1.6.</w:t>
      </w:r>
      <w:r>
        <w:rPr>
          <w:rFonts w:hint="eastAsia"/>
          <w:color w:val="000000" w:themeColor="text1"/>
          <w:lang w:val="en-US" w:eastAsia="zh-CN"/>
          <w14:textFill>
            <w14:solidFill>
              <w14:schemeClr w14:val="tx1"/>
            </w14:solidFill>
          </w14:textFill>
        </w:rPr>
        <w:t>7</w:t>
      </w:r>
      <w:r>
        <w:rPr>
          <w:rFonts w:hint="eastAsia"/>
          <w:color w:val="000000" w:themeColor="text1"/>
          <w14:textFill>
            <w14:solidFill>
              <w14:schemeClr w14:val="tx1"/>
            </w14:solidFill>
          </w14:textFill>
        </w:rPr>
        <w:t>生态环境污染防治措施</w:t>
      </w:r>
    </w:p>
    <w:p w14:paraId="2F441B44">
      <w:pPr>
        <w:pStyle w:val="85"/>
        <w:rPr>
          <w:color w:val="000000" w:themeColor="text1"/>
          <w14:textFill>
            <w14:solidFill>
              <w14:schemeClr w14:val="tx1"/>
            </w14:solidFill>
          </w14:textFill>
        </w:rPr>
      </w:pPr>
      <w:r>
        <w:rPr>
          <w:rFonts w:cs="Times New Roman"/>
          <w:snapToGrid w:val="0"/>
          <w:color w:val="000000" w:themeColor="text1"/>
          <w:kern w:val="0"/>
          <w14:textFill>
            <w14:solidFill>
              <w14:schemeClr w14:val="tx1"/>
            </w14:solidFill>
          </w14:textFill>
        </w:rPr>
        <w:t>综合评价区生态环境现状及拟建项目对整体生态环境及主要生态因子的影响程度，本评价认为，在严格落实生态防护措施条件下，拟建项目对生态影响是可以接受的。</w:t>
      </w:r>
    </w:p>
    <w:p w14:paraId="3683CA09">
      <w:pPr>
        <w:pStyle w:val="6"/>
        <w:rPr>
          <w:snapToGrid w:val="0"/>
          <w:color w:val="000000" w:themeColor="text1"/>
          <w14:textFill>
            <w14:solidFill>
              <w14:schemeClr w14:val="tx1"/>
            </w14:solidFill>
          </w14:textFill>
        </w:rPr>
      </w:pPr>
      <w:bookmarkStart w:id="448" w:name="_Toc32387"/>
      <w:r>
        <w:rPr>
          <w:snapToGrid w:val="0"/>
          <w:color w:val="000000" w:themeColor="text1"/>
          <w14:textFill>
            <w14:solidFill>
              <w14:schemeClr w14:val="tx1"/>
            </w14:solidFill>
          </w14:textFill>
        </w:rPr>
        <w:t>9.1.7公众</w:t>
      </w:r>
      <w:r>
        <w:rPr>
          <w:rFonts w:hint="eastAsia"/>
          <w:snapToGrid w:val="0"/>
          <w:color w:val="000000" w:themeColor="text1"/>
          <w14:textFill>
            <w14:solidFill>
              <w14:schemeClr w14:val="tx1"/>
            </w14:solidFill>
          </w14:textFill>
        </w:rPr>
        <w:t>参与情况</w:t>
      </w:r>
      <w:bookmarkEnd w:id="448"/>
    </w:p>
    <w:p w14:paraId="69F0165C">
      <w:pPr>
        <w:pStyle w:val="85"/>
        <w:rPr>
          <w:rFonts w:cs="Times New Roman"/>
          <w:snapToGrid w:val="0"/>
          <w:color w:val="000000" w:themeColor="text1"/>
          <w14:textFill>
            <w14:solidFill>
              <w14:schemeClr w14:val="tx1"/>
            </w14:solidFill>
          </w14:textFill>
        </w:rPr>
      </w:pPr>
      <w:r>
        <w:rPr>
          <w:rFonts w:cs="Times New Roman"/>
          <w:snapToGrid w:val="0"/>
          <w:color w:val="000000" w:themeColor="text1"/>
          <w14:textFill>
            <w14:solidFill>
              <w14:schemeClr w14:val="tx1"/>
            </w14:solidFill>
          </w14:textFill>
        </w:rPr>
        <w:t>建设单位按要求通过网上公示</w:t>
      </w:r>
      <w:r>
        <w:rPr>
          <w:rFonts w:hint="eastAsia" w:cs="Times New Roman"/>
          <w:snapToGrid w:val="0"/>
          <w:color w:val="000000" w:themeColor="text1"/>
          <w14:textFill>
            <w14:solidFill>
              <w14:schemeClr w14:val="tx1"/>
            </w14:solidFill>
          </w14:textFill>
        </w:rPr>
        <w:t>、报纸公示、布告栏公示</w:t>
      </w:r>
      <w:r>
        <w:rPr>
          <w:rFonts w:cs="Times New Roman"/>
          <w:snapToGrid w:val="0"/>
          <w:color w:val="000000" w:themeColor="text1"/>
          <w14:textFill>
            <w14:solidFill>
              <w14:schemeClr w14:val="tx1"/>
            </w14:solidFill>
          </w14:textFill>
        </w:rPr>
        <w:t>的形式开展了公众参与，在公示过程中未收到反馈意见。</w:t>
      </w:r>
    </w:p>
    <w:p w14:paraId="7A03C5B6">
      <w:pPr>
        <w:pStyle w:val="85"/>
        <w:rPr>
          <w:rFonts w:cs="Times New Roman"/>
          <w:snapToGrid w:val="0"/>
          <w:color w:val="000000" w:themeColor="text1"/>
          <w14:textFill>
            <w14:solidFill>
              <w14:schemeClr w14:val="tx1"/>
            </w14:solidFill>
          </w14:textFill>
        </w:rPr>
      </w:pPr>
      <w:r>
        <w:rPr>
          <w:rFonts w:cs="Times New Roman"/>
          <w:snapToGrid w:val="0"/>
          <w:color w:val="000000" w:themeColor="text1"/>
          <w14:textFill>
            <w14:solidFill>
              <w14:schemeClr w14:val="tx1"/>
            </w14:solidFill>
          </w14:textFill>
        </w:rPr>
        <w:t>网络公示起到了应有的告知作用，让附近居民充分了解本项目的各项情况。选择了</w:t>
      </w:r>
      <w:r>
        <w:rPr>
          <w:rFonts w:hint="eastAsia" w:cs="Times New Roman"/>
          <w:snapToGrid w:val="0"/>
          <w:color w:val="000000" w:themeColor="text1"/>
          <w14:textFill>
            <w14:solidFill>
              <w14:schemeClr w14:val="tx1"/>
            </w14:solidFill>
          </w14:textFill>
        </w:rPr>
        <w:t>黑龙江新闻网及《黑龙江日报》</w:t>
      </w:r>
      <w:r>
        <w:rPr>
          <w:rFonts w:cs="Times New Roman"/>
          <w:snapToGrid w:val="0"/>
          <w:color w:val="000000" w:themeColor="text1"/>
          <w14:textFill>
            <w14:solidFill>
              <w14:schemeClr w14:val="tx1"/>
            </w14:solidFill>
          </w14:textFill>
        </w:rPr>
        <w:t>进行公示，布告栏公示选择距离场址较近的村屯，起到了网络和报纸传播较广，受众广泛的作用。</w:t>
      </w:r>
      <w:r>
        <w:rPr>
          <w:rFonts w:hint="eastAsia" w:cs="Times New Roman"/>
          <w:snapToGrid w:val="0"/>
          <w:color w:val="000000" w:themeColor="text1"/>
          <w14:textFill>
            <w14:solidFill>
              <w14:schemeClr w14:val="tx1"/>
            </w14:solidFill>
          </w14:textFill>
        </w:rPr>
        <w:t>在网上三次公示过程中、报纸公示期间及布告栏公示过程中没有接到任何人反映意见或建议的电话和邮件、传真等。</w:t>
      </w:r>
    </w:p>
    <w:p w14:paraId="1AC4A33C">
      <w:pPr>
        <w:pStyle w:val="85"/>
        <w:rPr>
          <w:rFonts w:cs="Times New Roman"/>
          <w:color w:val="000000" w:themeColor="text1"/>
          <w14:textFill>
            <w14:solidFill>
              <w14:schemeClr w14:val="tx1"/>
            </w14:solidFill>
          </w14:textFill>
        </w:rPr>
      </w:pPr>
      <w:r>
        <w:rPr>
          <w:rFonts w:cs="Times New Roman"/>
          <w:snapToGrid w:val="0"/>
          <w:color w:val="000000" w:themeColor="text1"/>
          <w14:textFill>
            <w14:solidFill>
              <w14:schemeClr w14:val="tx1"/>
            </w14:solidFill>
          </w14:textFill>
        </w:rPr>
        <w:t>从公众参与角度看，本项目建设是可行的。</w:t>
      </w:r>
    </w:p>
    <w:p w14:paraId="297DA2B0">
      <w:pPr>
        <w:pStyle w:val="6"/>
        <w:rPr>
          <w:snapToGrid w:val="0"/>
          <w:color w:val="000000" w:themeColor="text1"/>
          <w14:textFill>
            <w14:solidFill>
              <w14:schemeClr w14:val="tx1"/>
            </w14:solidFill>
          </w14:textFill>
        </w:rPr>
      </w:pPr>
      <w:bookmarkStart w:id="449" w:name="_Toc2208"/>
      <w:r>
        <w:rPr>
          <w:snapToGrid w:val="0"/>
          <w:color w:val="000000" w:themeColor="text1"/>
          <w14:textFill>
            <w14:solidFill>
              <w14:schemeClr w14:val="tx1"/>
            </w14:solidFill>
          </w14:textFill>
        </w:rPr>
        <w:t>9.1.8环境经济损益分析结论</w:t>
      </w:r>
      <w:bookmarkEnd w:id="449"/>
    </w:p>
    <w:p w14:paraId="53D703E4">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在落实本评价提出的各项污染防治措施的前提下，本项目的建设能够达到经济效益、社会效益和环境效益的统一，既为地方经济发展做出贡献，又使污染物排放量在环境容量容许的范围内降低到最低。因此本项目的建设从环境影响经济损益的角度分析是可行的。</w:t>
      </w:r>
    </w:p>
    <w:p w14:paraId="7ABD2661">
      <w:pPr>
        <w:pStyle w:val="6"/>
        <w:rPr>
          <w:snapToGrid w:val="0"/>
          <w:color w:val="000000" w:themeColor="text1"/>
          <w14:textFill>
            <w14:solidFill>
              <w14:schemeClr w14:val="tx1"/>
            </w14:solidFill>
          </w14:textFill>
        </w:rPr>
      </w:pPr>
      <w:bookmarkStart w:id="450" w:name="_Toc4236"/>
      <w:r>
        <w:rPr>
          <w:snapToGrid w:val="0"/>
          <w:color w:val="000000" w:themeColor="text1"/>
          <w14:textFill>
            <w14:solidFill>
              <w14:schemeClr w14:val="tx1"/>
            </w14:solidFill>
          </w14:textFill>
        </w:rPr>
        <w:t>9.1.9环境管理与监测</w:t>
      </w:r>
      <w:r>
        <w:rPr>
          <w:rFonts w:hint="eastAsia"/>
          <w:snapToGrid w:val="0"/>
          <w:color w:val="000000" w:themeColor="text1"/>
          <w14:textFill>
            <w14:solidFill>
              <w14:schemeClr w14:val="tx1"/>
            </w14:solidFill>
          </w14:textFill>
        </w:rPr>
        <w:t>计划</w:t>
      </w:r>
      <w:r>
        <w:rPr>
          <w:snapToGrid w:val="0"/>
          <w:color w:val="000000" w:themeColor="text1"/>
          <w14:textFill>
            <w14:solidFill>
              <w14:schemeClr w14:val="tx1"/>
            </w14:solidFill>
          </w14:textFill>
        </w:rPr>
        <w:t>结论</w:t>
      </w:r>
      <w:bookmarkEnd w:id="450"/>
    </w:p>
    <w:p w14:paraId="45764E4D">
      <w:pPr>
        <w:spacing w:line="500" w:lineRule="exact"/>
        <w:rPr>
          <w:snapToGrid w:val="0"/>
          <w:color w:val="000000" w:themeColor="text1"/>
          <w:kern w:val="0"/>
          <w14:textFill>
            <w14:solidFill>
              <w14:schemeClr w14:val="tx1"/>
            </w14:solidFill>
          </w14:textFill>
        </w:rPr>
      </w:pPr>
      <w:r>
        <w:rPr>
          <w:snapToGrid w:val="0"/>
          <w:color w:val="000000" w:themeColor="text1"/>
          <w:kern w:val="0"/>
          <w14:textFill>
            <w14:solidFill>
              <w14:schemeClr w14:val="tx1"/>
            </w14:solidFill>
          </w14:textFill>
        </w:rPr>
        <w:t>项目运营期通过加强建设和运营期间的环境管理与监控，建立健全安全生产管理制度，制订科学严谨的操作规程，通过职工操作技能培训，提高危险识辨、防护和保护能力，落实责任到人。同时加强厂内各类设备包括污染治理设施的日常运行管理和维护，对生产设备进行定期检测，对关键设备进行不定期探伤测试。增强岗位职责和环保、安全意识，保证生产设施和环保治理设施运行的可靠性、稳定性。</w:t>
      </w:r>
    </w:p>
    <w:p w14:paraId="66A6AB93">
      <w:pPr>
        <w:pStyle w:val="6"/>
        <w:rPr>
          <w:snapToGrid w:val="0"/>
          <w:color w:val="000000" w:themeColor="text1"/>
          <w14:textFill>
            <w14:solidFill>
              <w14:schemeClr w14:val="tx1"/>
            </w14:solidFill>
          </w14:textFill>
        </w:rPr>
      </w:pPr>
      <w:bookmarkStart w:id="451" w:name="_Toc4271"/>
      <w:r>
        <w:rPr>
          <w:snapToGrid w:val="0"/>
          <w:color w:val="000000" w:themeColor="text1"/>
          <w14:textFill>
            <w14:solidFill>
              <w14:schemeClr w14:val="tx1"/>
            </w14:solidFill>
          </w14:textFill>
        </w:rPr>
        <w:t>9.1.10综合结论</w:t>
      </w:r>
      <w:bookmarkEnd w:id="451"/>
    </w:p>
    <w:p w14:paraId="21F18A76">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本项目建设项目符合国家产业政策要求，在坚持“三同时”原则、采取相应的环保措施并严格执行各种污染物排放标准的情况下，可实现污染物稳定达标排放，通过加强环境管理和环境监测，杜绝事故发生，本项目建设可被周围环境所接受。</w:t>
      </w:r>
    </w:p>
    <w:p w14:paraId="5FD869F5">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因此，从环境保护角度分析，本项目具有可行性。</w:t>
      </w:r>
    </w:p>
    <w:p w14:paraId="0C65D624">
      <w:pPr>
        <w:pStyle w:val="5"/>
        <w:rPr>
          <w:snapToGrid w:val="0"/>
          <w:color w:val="000000" w:themeColor="text1"/>
          <w14:textFill>
            <w14:solidFill>
              <w14:schemeClr w14:val="tx1"/>
            </w14:solidFill>
          </w14:textFill>
        </w:rPr>
      </w:pPr>
      <w:bookmarkStart w:id="452" w:name="_Toc480447688"/>
      <w:bookmarkStart w:id="453" w:name="_Toc415146737"/>
      <w:bookmarkStart w:id="454" w:name="_Toc26752"/>
      <w:r>
        <w:rPr>
          <w:snapToGrid w:val="0"/>
          <w:color w:val="000000" w:themeColor="text1"/>
          <w14:textFill>
            <w14:solidFill>
              <w14:schemeClr w14:val="tx1"/>
            </w14:solidFill>
          </w14:textFill>
        </w:rPr>
        <w:t>9.2对策与建议</w:t>
      </w:r>
      <w:bookmarkEnd w:id="452"/>
      <w:bookmarkEnd w:id="453"/>
      <w:bookmarkEnd w:id="454"/>
    </w:p>
    <w:bookmarkEnd w:id="427"/>
    <w:bookmarkEnd w:id="428"/>
    <w:bookmarkEnd w:id="429"/>
    <w:bookmarkEnd w:id="430"/>
    <w:p w14:paraId="45C6A0B6">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关心并积极听取可能受项目环境影响的附近居民的反映，定期向项目管理者和当地环保部门汇报项目环境保护工作的情况。遵守有关环境法律、法规，树立良好的企业形象，实现经济效益与社会效益、环境效益相统一。</w:t>
      </w:r>
    </w:p>
    <w:p w14:paraId="70104D5E">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（1）在生产运营过程中严格按照设计要求进行，加强设备运行维护，保证废气处理</w:t>
      </w:r>
      <w:r>
        <w:rPr>
          <w:snapToGrid w:val="0"/>
          <w:color w:val="000000" w:themeColor="text1"/>
          <w:kern w:val="0"/>
          <w14:textFill>
            <w14:solidFill>
              <w14:schemeClr w14:val="tx1"/>
            </w14:solidFill>
          </w14:textFill>
        </w:rPr>
        <w:t>设备</w:t>
      </w:r>
      <w:r>
        <w:rPr>
          <w:rFonts w:hint="eastAsia"/>
          <w:snapToGrid w:val="0"/>
          <w:color w:val="000000" w:themeColor="text1"/>
          <w:kern w:val="0"/>
          <w14:textFill>
            <w14:solidFill>
              <w14:schemeClr w14:val="tx1"/>
            </w14:solidFill>
          </w14:textFill>
        </w:rPr>
        <w:t>性能保持在最佳状态，效果最好。</w:t>
      </w:r>
    </w:p>
    <w:p w14:paraId="3C74F487">
      <w:pPr>
        <w:spacing w:line="500" w:lineRule="exact"/>
        <w:rPr>
          <w:snapToGrid w:val="0"/>
          <w:color w:val="000000" w:themeColor="text1"/>
          <w:kern w:val="0"/>
          <w14:textFill>
            <w14:solidFill>
              <w14:schemeClr w14:val="tx1"/>
            </w14:solidFill>
          </w14:textFill>
        </w:rPr>
      </w:pPr>
      <w:r>
        <w:rPr>
          <w:rFonts w:hint="eastAsia"/>
          <w:snapToGrid w:val="0"/>
          <w:color w:val="000000" w:themeColor="text1"/>
          <w:kern w:val="0"/>
          <w14:textFill>
            <w14:solidFill>
              <w14:schemeClr w14:val="tx1"/>
            </w14:solidFill>
          </w14:textFill>
        </w:rPr>
        <w:t>（</w:t>
      </w:r>
      <w:r>
        <w:rPr>
          <w:snapToGrid w:val="0"/>
          <w:color w:val="000000" w:themeColor="text1"/>
          <w:kern w:val="0"/>
          <w14:textFill>
            <w14:solidFill>
              <w14:schemeClr w14:val="tx1"/>
            </w14:solidFill>
          </w14:textFill>
        </w:rPr>
        <w:t>2</w:t>
      </w:r>
      <w:r>
        <w:rPr>
          <w:rFonts w:hint="eastAsia"/>
          <w:snapToGrid w:val="0"/>
          <w:color w:val="000000" w:themeColor="text1"/>
          <w:kern w:val="0"/>
          <w14:textFill>
            <w14:solidFill>
              <w14:schemeClr w14:val="tx1"/>
            </w14:solidFill>
          </w14:textFill>
        </w:rPr>
        <w:t>）定时巡视、检查管道的密闭状况，雨、雪、大风天气，应加强对污水处理站的检查、巡视。</w:t>
      </w:r>
    </w:p>
    <w:p w14:paraId="3B524414">
      <w:pPr>
        <w:spacing w:line="500" w:lineRule="exact"/>
        <w:rPr>
          <w:snapToGrid w:val="0"/>
          <w:color w:val="000000" w:themeColor="text1"/>
          <w:kern w:val="0"/>
          <w:szCs w:val="24"/>
          <w14:textFill>
            <w14:solidFill>
              <w14:schemeClr w14:val="tx1"/>
            </w14:solidFill>
          </w14:textFill>
        </w:rPr>
      </w:pPr>
      <w:r>
        <w:rPr>
          <w:rFonts w:hint="eastAsia"/>
          <w:snapToGrid w:val="0"/>
          <w:color w:val="000000" w:themeColor="text1"/>
          <w:kern w:val="0"/>
          <w14:textFill>
            <w14:solidFill>
              <w14:schemeClr w14:val="tx1"/>
            </w14:solidFill>
          </w14:textFill>
        </w:rPr>
        <w:t>（3）建议企业在项目建设和建成运营过程中积极推行清洁生产审计和ISO14001环境管理体系认证，加强生产全过程控制，持续改进和优化生产工艺、技术装备，从源头减少排污，提高资源能源利用率，在此基础上，确保各类废物得到有效治理，减轻对环境的不良影响，实现可持续发展</w:t>
      </w:r>
      <w:r>
        <w:rPr>
          <w:rFonts w:hint="eastAsia"/>
          <w:snapToGrid w:val="0"/>
          <w:color w:val="000000" w:themeColor="text1"/>
          <w:kern w:val="0"/>
          <w:szCs w:val="24"/>
          <w14:textFill>
            <w14:solidFill>
              <w14:schemeClr w14:val="tx1"/>
            </w14:solidFill>
          </w14:textFill>
        </w:rPr>
        <w:t>。</w:t>
      </w:r>
    </w:p>
    <w:p w14:paraId="10000DF3">
      <w:pPr>
        <w:spacing w:line="500" w:lineRule="exact"/>
        <w:rPr>
          <w:snapToGrid w:val="0"/>
          <w:color w:val="000000" w:themeColor="text1"/>
          <w:kern w:val="0"/>
          <w:szCs w:val="2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4C0FA0AA">
      <w:pPr>
        <w:pStyle w:val="5"/>
        <w:rPr>
          <w:snapToGrid w:val="0"/>
          <w:color w:val="000000" w:themeColor="text1"/>
          <w14:textFill>
            <w14:solidFill>
              <w14:schemeClr w14:val="tx1"/>
            </w14:solidFill>
          </w14:textFill>
        </w:rPr>
      </w:pPr>
      <w:bookmarkStart w:id="455" w:name="_Toc14480"/>
      <w:bookmarkStart w:id="456" w:name="_Toc46227682"/>
      <w:r>
        <w:rPr>
          <w:rFonts w:hint="eastAsia"/>
          <w:snapToGrid w:val="0"/>
          <w:color w:val="000000" w:themeColor="text1"/>
          <w14:textFill>
            <w14:solidFill>
              <w14:schemeClr w14:val="tx1"/>
            </w14:solidFill>
          </w14:textFill>
        </w:rPr>
        <w:t>附件</w:t>
      </w:r>
      <w:bookmarkEnd w:id="455"/>
      <w:bookmarkEnd w:id="456"/>
    </w:p>
    <w:p w14:paraId="70BA20B7">
      <w:pPr>
        <w:pStyle w:val="6"/>
        <w:rPr>
          <w:color w:val="000000" w:themeColor="text1"/>
          <w14:textFill>
            <w14:solidFill>
              <w14:schemeClr w14:val="tx1"/>
            </w14:solidFill>
          </w14:textFill>
        </w:rPr>
      </w:pPr>
      <w:bookmarkStart w:id="457" w:name="_Toc24908"/>
      <w:r>
        <w:rPr>
          <w:rFonts w:hint="eastAsia"/>
          <w:color w:val="000000" w:themeColor="text1"/>
          <w14:textFill>
            <w14:solidFill>
              <w14:schemeClr w14:val="tx1"/>
            </w14:solidFill>
          </w14:textFill>
        </w:rPr>
        <w:t>附件1</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营业执照</w:t>
      </w:r>
      <w:bookmarkEnd w:id="457"/>
    </w:p>
    <w:p w14:paraId="37FD23BC">
      <w:pPr>
        <w:pStyle w:val="206"/>
        <w:rPr>
          <w:color w:val="000000" w:themeColor="text1"/>
          <w14:textFill>
            <w14:solidFill>
              <w14:schemeClr w14:val="tx1"/>
            </w14:solidFill>
          </w14:textFill>
        </w:rPr>
      </w:pPr>
      <w:r>
        <w:drawing>
          <wp:inline distT="0" distB="0" distL="114300" distR="114300">
            <wp:extent cx="7791450" cy="4419600"/>
            <wp:effectExtent l="0" t="0" r="0" b="0"/>
            <wp:docPr id="8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1"/>
                    <pic:cNvPicPr>
                      <a:picLocks noChangeAspect="1"/>
                    </pic:cNvPicPr>
                  </pic:nvPicPr>
                  <pic:blipFill>
                    <a:blip r:embed="rId128"/>
                    <a:stretch>
                      <a:fillRect/>
                    </a:stretch>
                  </pic:blipFill>
                  <pic:spPr>
                    <a:xfrm>
                      <a:off x="0" y="0"/>
                      <a:ext cx="7791450" cy="4419600"/>
                    </a:xfrm>
                    <a:prstGeom prst="rect">
                      <a:avLst/>
                    </a:prstGeom>
                    <a:noFill/>
                    <a:ln>
                      <a:noFill/>
                    </a:ln>
                  </pic:spPr>
                </pic:pic>
              </a:graphicData>
            </a:graphic>
          </wp:inline>
        </w:drawing>
      </w:r>
    </w:p>
    <w:p w14:paraId="6B6AFC06">
      <w:pPr>
        <w:pStyle w:val="206"/>
        <w:rPr>
          <w:color w:val="000000" w:themeColor="text1"/>
          <w14:textFill>
            <w14:solidFill>
              <w14:schemeClr w14:val="tx1"/>
            </w14:solidFill>
          </w14:textFill>
        </w:rPr>
      </w:pPr>
    </w:p>
    <w:p w14:paraId="1F260523">
      <w:pPr>
        <w:rPr>
          <w:color w:val="000000" w:themeColor="text1"/>
          <w14:textFill>
            <w14:solidFill>
              <w14:schemeClr w14:val="tx1"/>
            </w14:solidFill>
          </w14:textFill>
        </w:rPr>
        <w:sectPr>
          <w:headerReference r:id="rId21" w:type="first"/>
          <w:footerReference r:id="rId24" w:type="first"/>
          <w:headerReference r:id="rId19" w:type="default"/>
          <w:footerReference r:id="rId22" w:type="default"/>
          <w:headerReference r:id="rId20" w:type="even"/>
          <w:footerReference r:id="rId23" w:type="even"/>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pPr>
      <w:bookmarkStart w:id="458" w:name="_Toc46227684"/>
    </w:p>
    <w:p w14:paraId="109FD567">
      <w:pPr>
        <w:pStyle w:val="6"/>
        <w:rPr>
          <w:snapToGrid w:val="0"/>
          <w:color w:val="000000" w:themeColor="text1"/>
          <w14:textFill>
            <w14:solidFill>
              <w14:schemeClr w14:val="tx1"/>
            </w14:solidFill>
          </w14:textFill>
        </w:rPr>
      </w:pPr>
      <w:bookmarkStart w:id="459" w:name="_Toc32257"/>
      <w:r>
        <w:rPr>
          <w:rFonts w:hint="eastAsia"/>
          <w:snapToGrid w:val="0"/>
          <w:color w:val="000000" w:themeColor="text1"/>
          <w14:textFill>
            <w14:solidFill>
              <w14:schemeClr w14:val="tx1"/>
            </w14:solidFill>
          </w14:textFill>
        </w:rPr>
        <w:t>附件2</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立项备案表</w:t>
      </w:r>
      <w:bookmarkEnd w:id="459"/>
    </w:p>
    <w:p w14:paraId="5ECA810B">
      <w:pPr>
        <w:pStyle w:val="206"/>
        <w:rPr>
          <w:color w:val="000000" w:themeColor="text1"/>
          <w:lang w:val="en-US"/>
          <w14:textFill>
            <w14:solidFill>
              <w14:schemeClr w14:val="tx1"/>
            </w14:solidFill>
          </w14:textFill>
        </w:rPr>
      </w:pPr>
      <w:r>
        <w:drawing>
          <wp:inline distT="0" distB="0" distL="114300" distR="114300">
            <wp:extent cx="5275580" cy="6485890"/>
            <wp:effectExtent l="0" t="0" r="1270" b="10160"/>
            <wp:docPr id="8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3"/>
                    <pic:cNvPicPr>
                      <a:picLocks noChangeAspect="1"/>
                    </pic:cNvPicPr>
                  </pic:nvPicPr>
                  <pic:blipFill>
                    <a:blip r:embed="rId129"/>
                    <a:stretch>
                      <a:fillRect/>
                    </a:stretch>
                  </pic:blipFill>
                  <pic:spPr>
                    <a:xfrm>
                      <a:off x="0" y="0"/>
                      <a:ext cx="5275580" cy="6485890"/>
                    </a:xfrm>
                    <a:prstGeom prst="rect">
                      <a:avLst/>
                    </a:prstGeom>
                    <a:noFill/>
                    <a:ln>
                      <a:noFill/>
                    </a:ln>
                  </pic:spPr>
                </pic:pic>
              </a:graphicData>
            </a:graphic>
          </wp:inline>
        </w:drawing>
      </w:r>
    </w:p>
    <w:p w14:paraId="19C57EC8">
      <w:pPr>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bookmarkEnd w:id="458"/>
    <w:p w14:paraId="60E9DB61">
      <w:pPr>
        <w:pStyle w:val="6"/>
        <w:rPr>
          <w:snapToGrid w:val="0"/>
          <w:color w:val="000000" w:themeColor="text1"/>
          <w14:textFill>
            <w14:solidFill>
              <w14:schemeClr w14:val="tx1"/>
            </w14:solidFill>
          </w14:textFill>
        </w:rPr>
      </w:pPr>
      <w:bookmarkStart w:id="460" w:name="_Toc32276"/>
      <w:r>
        <w:rPr>
          <w:rFonts w:hint="eastAsia"/>
          <w:snapToGrid w:val="0"/>
          <w:color w:val="000000" w:themeColor="text1"/>
          <w14:textFill>
            <w14:solidFill>
              <w14:schemeClr w14:val="tx1"/>
            </w14:solidFill>
          </w14:textFill>
        </w:rPr>
        <w:t>附件</w:t>
      </w:r>
      <w:r>
        <w:rPr>
          <w:rFonts w:hint="eastAsia"/>
          <w:snapToGrid w:val="0"/>
          <w:color w:val="000000" w:themeColor="text1"/>
          <w:lang w:val="en-US" w:eastAsia="zh-CN"/>
          <w14:textFill>
            <w14:solidFill>
              <w14:schemeClr w14:val="tx1"/>
            </w14:solidFill>
          </w14:textFill>
        </w:rPr>
        <w:t>3</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生态环境分区管控分析报告</w:t>
      </w:r>
      <w:bookmarkEnd w:id="460"/>
    </w:p>
    <w:p w14:paraId="08D1D65F">
      <w:pPr>
        <w:pStyle w:val="206"/>
        <w:rPr>
          <w:color w:val="000000" w:themeColor="text1"/>
          <w:lang w:eastAsia="zh-CN"/>
          <w14:textFill>
            <w14:solidFill>
              <w14:schemeClr w14:val="tx1"/>
            </w14:solidFill>
          </w14:textFill>
        </w:rPr>
      </w:pPr>
      <w:r>
        <w:drawing>
          <wp:inline distT="0" distB="0" distL="114300" distR="114300">
            <wp:extent cx="5273675" cy="3735070"/>
            <wp:effectExtent l="0" t="0" r="3175" b="17780"/>
            <wp:docPr id="8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2"/>
                    <pic:cNvPicPr>
                      <a:picLocks noChangeAspect="1"/>
                    </pic:cNvPicPr>
                  </pic:nvPicPr>
                  <pic:blipFill>
                    <a:blip r:embed="rId130"/>
                    <a:stretch>
                      <a:fillRect/>
                    </a:stretch>
                  </pic:blipFill>
                  <pic:spPr>
                    <a:xfrm>
                      <a:off x="0" y="0"/>
                      <a:ext cx="5273675" cy="3735070"/>
                    </a:xfrm>
                    <a:prstGeom prst="rect">
                      <a:avLst/>
                    </a:prstGeom>
                    <a:noFill/>
                    <a:ln>
                      <a:noFill/>
                    </a:ln>
                  </pic:spPr>
                </pic:pic>
              </a:graphicData>
            </a:graphic>
          </wp:inline>
        </w:drawing>
      </w:r>
    </w:p>
    <w:p w14:paraId="7803343F">
      <w:pPr>
        <w:pStyle w:val="206"/>
        <w:rPr>
          <w:color w:val="000000" w:themeColor="text1"/>
          <w:lang w:eastAsia="zh-CN"/>
          <w14:textFill>
            <w14:solidFill>
              <w14:schemeClr w14:val="tx1"/>
            </w14:solidFill>
          </w14:textFill>
        </w:rPr>
      </w:pPr>
    </w:p>
    <w:p w14:paraId="2BA89C4F">
      <w:pPr>
        <w:pStyle w:val="206"/>
        <w:rPr>
          <w:color w:val="000000" w:themeColor="text1"/>
          <w:lang w:eastAsia="zh-CN"/>
          <w14:textFill>
            <w14:solidFill>
              <w14:schemeClr w14:val="tx1"/>
            </w14:solidFill>
          </w14:textFill>
        </w:rPr>
      </w:pPr>
      <w:r>
        <w:drawing>
          <wp:inline distT="0" distB="0" distL="114300" distR="114300">
            <wp:extent cx="5275580" cy="3723005"/>
            <wp:effectExtent l="0" t="0" r="1270" b="10795"/>
            <wp:docPr id="8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4"/>
                    <pic:cNvPicPr>
                      <a:picLocks noChangeAspect="1"/>
                    </pic:cNvPicPr>
                  </pic:nvPicPr>
                  <pic:blipFill>
                    <a:blip r:embed="rId131"/>
                    <a:stretch>
                      <a:fillRect/>
                    </a:stretch>
                  </pic:blipFill>
                  <pic:spPr>
                    <a:xfrm>
                      <a:off x="0" y="0"/>
                      <a:ext cx="5275580" cy="3723005"/>
                    </a:xfrm>
                    <a:prstGeom prst="rect">
                      <a:avLst/>
                    </a:prstGeom>
                    <a:noFill/>
                    <a:ln>
                      <a:noFill/>
                    </a:ln>
                  </pic:spPr>
                </pic:pic>
              </a:graphicData>
            </a:graphic>
          </wp:inline>
        </w:drawing>
      </w:r>
    </w:p>
    <w:p w14:paraId="430194BA">
      <w:pPr>
        <w:pStyle w:val="206"/>
        <w:rPr>
          <w:color w:val="000000" w:themeColor="text1"/>
          <w:lang w:eastAsia="zh-CN"/>
          <w14:textFill>
            <w14:solidFill>
              <w14:schemeClr w14:val="tx1"/>
            </w14:solidFill>
          </w14:textFill>
        </w:rPr>
      </w:pPr>
    </w:p>
    <w:p w14:paraId="392F1C2D">
      <w:pPr>
        <w:pStyle w:val="206"/>
        <w:rPr>
          <w:color w:val="000000" w:themeColor="text1"/>
          <w:lang w:eastAsia="zh-CN"/>
          <w14:textFill>
            <w14:solidFill>
              <w14:schemeClr w14:val="tx1"/>
            </w14:solidFill>
          </w14:textFill>
        </w:rPr>
      </w:pPr>
    </w:p>
    <w:p w14:paraId="6A9C406B">
      <w:pPr>
        <w:pStyle w:val="206"/>
        <w:rPr>
          <w:color w:val="000000" w:themeColor="text1"/>
          <w:lang w:eastAsia="zh-CN"/>
          <w14:textFill>
            <w14:solidFill>
              <w14:schemeClr w14:val="tx1"/>
            </w14:solidFill>
          </w14:textFill>
        </w:rPr>
      </w:pPr>
    </w:p>
    <w:p w14:paraId="124801F1">
      <w:pPr>
        <w:pStyle w:val="206"/>
        <w:rPr>
          <w:color w:val="000000" w:themeColor="text1"/>
          <w:lang w:eastAsia="zh-CN"/>
          <w14:textFill>
            <w14:solidFill>
              <w14:schemeClr w14:val="tx1"/>
            </w14:solidFill>
          </w14:textFill>
        </w:rPr>
      </w:pPr>
    </w:p>
    <w:p w14:paraId="7E7A042D">
      <w:pPr>
        <w:pStyle w:val="206"/>
        <w:rPr>
          <w:color w:val="000000" w:themeColor="text1"/>
          <w:lang w:eastAsia="zh-CN"/>
          <w14:textFill>
            <w14:solidFill>
              <w14:schemeClr w14:val="tx1"/>
            </w14:solidFill>
          </w14:textFill>
        </w:rPr>
      </w:pPr>
    </w:p>
    <w:p w14:paraId="3C6032B2">
      <w:pPr>
        <w:pStyle w:val="206"/>
        <w:rPr>
          <w:color w:val="000000" w:themeColor="text1"/>
          <w:lang w:eastAsia="zh-CN"/>
          <w14:textFill>
            <w14:solidFill>
              <w14:schemeClr w14:val="tx1"/>
            </w14:solidFill>
          </w14:textFill>
        </w:rPr>
      </w:pPr>
      <w:r>
        <w:drawing>
          <wp:inline distT="0" distB="0" distL="114300" distR="114300">
            <wp:extent cx="5271135" cy="3598545"/>
            <wp:effectExtent l="0" t="0" r="5715" b="1905"/>
            <wp:docPr id="9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5"/>
                    <pic:cNvPicPr>
                      <a:picLocks noChangeAspect="1"/>
                    </pic:cNvPicPr>
                  </pic:nvPicPr>
                  <pic:blipFill>
                    <a:blip r:embed="rId132"/>
                    <a:stretch>
                      <a:fillRect/>
                    </a:stretch>
                  </pic:blipFill>
                  <pic:spPr>
                    <a:xfrm>
                      <a:off x="0" y="0"/>
                      <a:ext cx="5271135" cy="3598545"/>
                    </a:xfrm>
                    <a:prstGeom prst="rect">
                      <a:avLst/>
                    </a:prstGeom>
                    <a:noFill/>
                    <a:ln>
                      <a:noFill/>
                    </a:ln>
                  </pic:spPr>
                </pic:pic>
              </a:graphicData>
            </a:graphic>
          </wp:inline>
        </w:drawing>
      </w:r>
    </w:p>
    <w:p w14:paraId="0123F657">
      <w:pPr>
        <w:pStyle w:val="206"/>
        <w:rPr>
          <w:color w:val="000000" w:themeColor="text1"/>
          <w:lang w:eastAsia="zh-CN"/>
          <w14:textFill>
            <w14:solidFill>
              <w14:schemeClr w14:val="tx1"/>
            </w14:solidFill>
          </w14:textFill>
        </w:rPr>
      </w:pPr>
      <w:r>
        <w:drawing>
          <wp:inline distT="0" distB="0" distL="114300" distR="114300">
            <wp:extent cx="5276850" cy="3721735"/>
            <wp:effectExtent l="0" t="0" r="0" b="12065"/>
            <wp:docPr id="9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6"/>
                    <pic:cNvPicPr>
                      <a:picLocks noChangeAspect="1"/>
                    </pic:cNvPicPr>
                  </pic:nvPicPr>
                  <pic:blipFill>
                    <a:blip r:embed="rId133"/>
                    <a:stretch>
                      <a:fillRect/>
                    </a:stretch>
                  </pic:blipFill>
                  <pic:spPr>
                    <a:xfrm>
                      <a:off x="0" y="0"/>
                      <a:ext cx="5276850" cy="3721735"/>
                    </a:xfrm>
                    <a:prstGeom prst="rect">
                      <a:avLst/>
                    </a:prstGeom>
                    <a:noFill/>
                    <a:ln>
                      <a:noFill/>
                    </a:ln>
                  </pic:spPr>
                </pic:pic>
              </a:graphicData>
            </a:graphic>
          </wp:inline>
        </w:drawing>
      </w:r>
    </w:p>
    <w:p w14:paraId="195DDD55">
      <w:pPr>
        <w:pStyle w:val="206"/>
        <w:rPr>
          <w:color w:val="000000" w:themeColor="text1"/>
          <w:lang w:eastAsia="zh-CN"/>
          <w14:textFill>
            <w14:solidFill>
              <w14:schemeClr w14:val="tx1"/>
            </w14:solidFill>
          </w14:textFill>
        </w:rPr>
      </w:pPr>
    </w:p>
    <w:p w14:paraId="536CCB2D">
      <w:pPr>
        <w:pStyle w:val="206"/>
        <w:rPr>
          <w:color w:val="000000" w:themeColor="text1"/>
          <w:lang w:eastAsia="zh-CN"/>
          <w14:textFill>
            <w14:solidFill>
              <w14:schemeClr w14:val="tx1"/>
            </w14:solidFill>
          </w14:textFill>
        </w:rPr>
      </w:pPr>
    </w:p>
    <w:p w14:paraId="42CD6854">
      <w:pPr>
        <w:pStyle w:val="206"/>
        <w:rPr>
          <w:color w:val="000000" w:themeColor="text1"/>
          <w:lang w:eastAsia="zh-CN"/>
          <w14:textFill>
            <w14:solidFill>
              <w14:schemeClr w14:val="tx1"/>
            </w14:solidFill>
          </w14:textFill>
        </w:rPr>
      </w:pPr>
    </w:p>
    <w:p w14:paraId="1119C2D4">
      <w:pPr>
        <w:pStyle w:val="206"/>
        <w:rPr>
          <w:color w:val="000000" w:themeColor="text1"/>
          <w:lang w:eastAsia="zh-CN"/>
          <w14:textFill>
            <w14:solidFill>
              <w14:schemeClr w14:val="tx1"/>
            </w14:solidFill>
          </w14:textFill>
        </w:rPr>
      </w:pPr>
    </w:p>
    <w:p w14:paraId="6E71E19B">
      <w:pPr>
        <w:pStyle w:val="206"/>
        <w:rPr>
          <w:color w:val="000000" w:themeColor="text1"/>
          <w:lang w:eastAsia="zh-CN"/>
          <w14:textFill>
            <w14:solidFill>
              <w14:schemeClr w14:val="tx1"/>
            </w14:solidFill>
          </w14:textFill>
        </w:rPr>
      </w:pPr>
    </w:p>
    <w:p w14:paraId="4D267839">
      <w:pPr>
        <w:pStyle w:val="206"/>
        <w:rPr>
          <w:color w:val="000000" w:themeColor="text1"/>
          <w:lang w:eastAsia="zh-CN"/>
          <w14:textFill>
            <w14:solidFill>
              <w14:schemeClr w14:val="tx1"/>
            </w14:solidFill>
          </w14:textFill>
        </w:rPr>
      </w:pPr>
    </w:p>
    <w:p w14:paraId="015F6BC9">
      <w:pPr>
        <w:pStyle w:val="206"/>
        <w:rPr>
          <w:color w:val="000000" w:themeColor="text1"/>
          <w:lang w:eastAsia="zh-CN"/>
          <w14:textFill>
            <w14:solidFill>
              <w14:schemeClr w14:val="tx1"/>
            </w14:solidFill>
          </w14:textFill>
        </w:rPr>
      </w:pPr>
    </w:p>
    <w:p w14:paraId="248004A5">
      <w:pPr>
        <w:pStyle w:val="206"/>
        <w:rPr>
          <w:color w:val="000000" w:themeColor="text1"/>
          <w:lang w:eastAsia="zh-CN"/>
          <w14:textFill>
            <w14:solidFill>
              <w14:schemeClr w14:val="tx1"/>
            </w14:solidFill>
          </w14:textFill>
        </w:rPr>
      </w:pPr>
    </w:p>
    <w:p w14:paraId="51056375">
      <w:pPr>
        <w:pStyle w:val="206"/>
        <w:rPr>
          <w:color w:val="000000" w:themeColor="text1"/>
          <w:lang w:eastAsia="zh-CN"/>
          <w14:textFill>
            <w14:solidFill>
              <w14:schemeClr w14:val="tx1"/>
            </w14:solidFill>
          </w14:textFill>
        </w:rPr>
      </w:pPr>
      <w:r>
        <w:drawing>
          <wp:inline distT="0" distB="0" distL="114300" distR="114300">
            <wp:extent cx="5277485" cy="3720465"/>
            <wp:effectExtent l="0" t="0" r="18415" b="13335"/>
            <wp:docPr id="9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57"/>
                    <pic:cNvPicPr>
                      <a:picLocks noChangeAspect="1"/>
                    </pic:cNvPicPr>
                  </pic:nvPicPr>
                  <pic:blipFill>
                    <a:blip r:embed="rId134"/>
                    <a:stretch>
                      <a:fillRect/>
                    </a:stretch>
                  </pic:blipFill>
                  <pic:spPr>
                    <a:xfrm>
                      <a:off x="0" y="0"/>
                      <a:ext cx="5277485" cy="3720465"/>
                    </a:xfrm>
                    <a:prstGeom prst="rect">
                      <a:avLst/>
                    </a:prstGeom>
                    <a:noFill/>
                    <a:ln>
                      <a:noFill/>
                    </a:ln>
                  </pic:spPr>
                </pic:pic>
              </a:graphicData>
            </a:graphic>
          </wp:inline>
        </w:drawing>
      </w:r>
    </w:p>
    <w:p w14:paraId="4494916A">
      <w:pPr>
        <w:pStyle w:val="206"/>
        <w:rPr>
          <w:color w:val="000000" w:themeColor="text1"/>
          <w:lang w:eastAsia="zh-CN"/>
          <w14:textFill>
            <w14:solidFill>
              <w14:schemeClr w14:val="tx1"/>
            </w14:solidFill>
          </w14:textFill>
        </w:rPr>
      </w:pPr>
    </w:p>
    <w:p w14:paraId="4B063808">
      <w:pPr>
        <w:pStyle w:val="206"/>
        <w:rPr>
          <w:color w:val="000000" w:themeColor="text1"/>
          <w:lang w:eastAsia="zh-CN"/>
          <w14:textFill>
            <w14:solidFill>
              <w14:schemeClr w14:val="tx1"/>
            </w14:solidFill>
          </w14:textFill>
        </w:rPr>
      </w:pPr>
      <w:r>
        <w:drawing>
          <wp:inline distT="0" distB="0" distL="114300" distR="114300">
            <wp:extent cx="5276215" cy="3690620"/>
            <wp:effectExtent l="0" t="0" r="635" b="5080"/>
            <wp:docPr id="9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8"/>
                    <pic:cNvPicPr>
                      <a:picLocks noChangeAspect="1"/>
                    </pic:cNvPicPr>
                  </pic:nvPicPr>
                  <pic:blipFill>
                    <a:blip r:embed="rId135"/>
                    <a:stretch>
                      <a:fillRect/>
                    </a:stretch>
                  </pic:blipFill>
                  <pic:spPr>
                    <a:xfrm>
                      <a:off x="0" y="0"/>
                      <a:ext cx="5276215" cy="3690620"/>
                    </a:xfrm>
                    <a:prstGeom prst="rect">
                      <a:avLst/>
                    </a:prstGeom>
                    <a:noFill/>
                    <a:ln>
                      <a:noFill/>
                    </a:ln>
                  </pic:spPr>
                </pic:pic>
              </a:graphicData>
            </a:graphic>
          </wp:inline>
        </w:drawing>
      </w:r>
    </w:p>
    <w:p w14:paraId="55A5D21B">
      <w:pPr>
        <w:pStyle w:val="206"/>
        <w:rPr>
          <w:color w:val="000000" w:themeColor="text1"/>
          <w:lang w:eastAsia="zh-CN"/>
          <w14:textFill>
            <w14:solidFill>
              <w14:schemeClr w14:val="tx1"/>
            </w14:solidFill>
          </w14:textFill>
        </w:rPr>
      </w:pPr>
      <w:r>
        <w:drawing>
          <wp:inline distT="0" distB="0" distL="114300" distR="114300">
            <wp:extent cx="5273675" cy="3801745"/>
            <wp:effectExtent l="0" t="0" r="3175" b="8255"/>
            <wp:docPr id="9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9"/>
                    <pic:cNvPicPr>
                      <a:picLocks noChangeAspect="1"/>
                    </pic:cNvPicPr>
                  </pic:nvPicPr>
                  <pic:blipFill>
                    <a:blip r:embed="rId136"/>
                    <a:stretch>
                      <a:fillRect/>
                    </a:stretch>
                  </pic:blipFill>
                  <pic:spPr>
                    <a:xfrm>
                      <a:off x="0" y="0"/>
                      <a:ext cx="5273675" cy="3801745"/>
                    </a:xfrm>
                    <a:prstGeom prst="rect">
                      <a:avLst/>
                    </a:prstGeom>
                    <a:noFill/>
                    <a:ln>
                      <a:noFill/>
                    </a:ln>
                  </pic:spPr>
                </pic:pic>
              </a:graphicData>
            </a:graphic>
          </wp:inline>
        </w:drawing>
      </w:r>
    </w:p>
    <w:p w14:paraId="44C03016">
      <w:pPr>
        <w:pStyle w:val="206"/>
        <w:rPr>
          <w:color w:val="000000" w:themeColor="text1"/>
          <w:lang w:eastAsia="zh-CN"/>
          <w14:textFill>
            <w14:solidFill>
              <w14:schemeClr w14:val="tx1"/>
            </w14:solidFill>
          </w14:textFill>
        </w:rPr>
      </w:pPr>
    </w:p>
    <w:p w14:paraId="01EA7D26">
      <w:pPr>
        <w:pStyle w:val="206"/>
        <w:rPr>
          <w:color w:val="000000" w:themeColor="text1"/>
          <w:lang w:eastAsia="zh-CN"/>
          <w14:textFill>
            <w14:solidFill>
              <w14:schemeClr w14:val="tx1"/>
            </w14:solidFill>
          </w14:textFill>
        </w:rPr>
      </w:pPr>
      <w:r>
        <w:drawing>
          <wp:inline distT="0" distB="0" distL="114300" distR="114300">
            <wp:extent cx="5276215" cy="3660140"/>
            <wp:effectExtent l="0" t="0" r="635" b="16510"/>
            <wp:docPr id="9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0"/>
                    <pic:cNvPicPr>
                      <a:picLocks noChangeAspect="1"/>
                    </pic:cNvPicPr>
                  </pic:nvPicPr>
                  <pic:blipFill>
                    <a:blip r:embed="rId137"/>
                    <a:stretch>
                      <a:fillRect/>
                    </a:stretch>
                  </pic:blipFill>
                  <pic:spPr>
                    <a:xfrm>
                      <a:off x="0" y="0"/>
                      <a:ext cx="5276215" cy="3660140"/>
                    </a:xfrm>
                    <a:prstGeom prst="rect">
                      <a:avLst/>
                    </a:prstGeom>
                    <a:noFill/>
                    <a:ln>
                      <a:noFill/>
                    </a:ln>
                  </pic:spPr>
                </pic:pic>
              </a:graphicData>
            </a:graphic>
          </wp:inline>
        </w:drawing>
      </w:r>
    </w:p>
    <w:p w14:paraId="2DD56647">
      <w:pPr>
        <w:pStyle w:val="206"/>
        <w:rPr>
          <w:color w:val="000000" w:themeColor="text1"/>
          <w:lang w:eastAsia="zh-CN"/>
          <w14:textFill>
            <w14:solidFill>
              <w14:schemeClr w14:val="tx1"/>
            </w14:solidFill>
          </w14:textFill>
        </w:rPr>
      </w:pPr>
    </w:p>
    <w:p w14:paraId="7D625A31">
      <w:pPr>
        <w:pStyle w:val="206"/>
        <w:rPr>
          <w:color w:val="000000" w:themeColor="text1"/>
          <w:lang w:eastAsia="zh-CN"/>
          <w14:textFill>
            <w14:solidFill>
              <w14:schemeClr w14:val="tx1"/>
            </w14:solidFill>
          </w14:textFill>
        </w:rPr>
      </w:pPr>
    </w:p>
    <w:p w14:paraId="6BF4811B">
      <w:pPr>
        <w:pStyle w:val="206"/>
        <w:rPr>
          <w:color w:val="000000" w:themeColor="text1"/>
          <w:lang w:eastAsia="zh-CN"/>
          <w14:textFill>
            <w14:solidFill>
              <w14:schemeClr w14:val="tx1"/>
            </w14:solidFill>
          </w14:textFill>
        </w:rPr>
      </w:pPr>
    </w:p>
    <w:p w14:paraId="45362C24">
      <w:pPr>
        <w:pStyle w:val="206"/>
        <w:rPr>
          <w:color w:val="000000" w:themeColor="text1"/>
          <w:lang w:eastAsia="zh-CN"/>
          <w14:textFill>
            <w14:solidFill>
              <w14:schemeClr w14:val="tx1"/>
            </w14:solidFill>
          </w14:textFill>
        </w:rPr>
      </w:pPr>
    </w:p>
    <w:p w14:paraId="1E4EBCB5">
      <w:pPr>
        <w:pStyle w:val="206"/>
        <w:rPr>
          <w:color w:val="000000" w:themeColor="text1"/>
          <w:lang w:eastAsia="zh-CN"/>
          <w14:textFill>
            <w14:solidFill>
              <w14:schemeClr w14:val="tx1"/>
            </w14:solidFill>
          </w14:textFill>
        </w:rPr>
      </w:pPr>
    </w:p>
    <w:p w14:paraId="6CA8411D">
      <w:pPr>
        <w:pStyle w:val="206"/>
        <w:rPr>
          <w:color w:val="000000" w:themeColor="text1"/>
          <w:lang w:eastAsia="zh-CN"/>
          <w14:textFill>
            <w14:solidFill>
              <w14:schemeClr w14:val="tx1"/>
            </w14:solidFill>
          </w14:textFill>
        </w:rPr>
      </w:pPr>
    </w:p>
    <w:p w14:paraId="312E1B8A">
      <w:pPr>
        <w:pStyle w:val="206"/>
        <w:rPr>
          <w:color w:val="000000" w:themeColor="text1"/>
          <w:lang w:eastAsia="zh-CN"/>
          <w14:textFill>
            <w14:solidFill>
              <w14:schemeClr w14:val="tx1"/>
            </w14:solidFill>
          </w14:textFill>
        </w:rPr>
      </w:pPr>
      <w:r>
        <w:drawing>
          <wp:inline distT="0" distB="0" distL="114300" distR="114300">
            <wp:extent cx="5273675" cy="3679825"/>
            <wp:effectExtent l="0" t="0" r="3175" b="15875"/>
            <wp:docPr id="9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1"/>
                    <pic:cNvPicPr>
                      <a:picLocks noChangeAspect="1"/>
                    </pic:cNvPicPr>
                  </pic:nvPicPr>
                  <pic:blipFill>
                    <a:blip r:embed="rId138"/>
                    <a:stretch>
                      <a:fillRect/>
                    </a:stretch>
                  </pic:blipFill>
                  <pic:spPr>
                    <a:xfrm>
                      <a:off x="0" y="0"/>
                      <a:ext cx="5273675" cy="3679825"/>
                    </a:xfrm>
                    <a:prstGeom prst="rect">
                      <a:avLst/>
                    </a:prstGeom>
                    <a:noFill/>
                    <a:ln>
                      <a:noFill/>
                    </a:ln>
                  </pic:spPr>
                </pic:pic>
              </a:graphicData>
            </a:graphic>
          </wp:inline>
        </w:drawing>
      </w:r>
    </w:p>
    <w:p w14:paraId="17224785">
      <w:pPr>
        <w:pStyle w:val="206"/>
        <w:rPr>
          <w:color w:val="000000" w:themeColor="text1"/>
          <w:lang w:eastAsia="zh-CN"/>
          <w14:textFill>
            <w14:solidFill>
              <w14:schemeClr w14:val="tx1"/>
            </w14:solidFill>
          </w14:textFill>
        </w:rPr>
      </w:pPr>
    </w:p>
    <w:p w14:paraId="7B99B061">
      <w:pPr>
        <w:pStyle w:val="206"/>
        <w:rPr>
          <w:color w:val="000000" w:themeColor="text1"/>
          <w:lang w:eastAsia="zh-CN"/>
          <w14:textFill>
            <w14:solidFill>
              <w14:schemeClr w14:val="tx1"/>
            </w14:solidFill>
          </w14:textFill>
        </w:rPr>
      </w:pPr>
      <w:r>
        <w:drawing>
          <wp:inline distT="0" distB="0" distL="114300" distR="114300">
            <wp:extent cx="5269865" cy="3428365"/>
            <wp:effectExtent l="0" t="0" r="6985" b="635"/>
            <wp:docPr id="9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2"/>
                    <pic:cNvPicPr>
                      <a:picLocks noChangeAspect="1"/>
                    </pic:cNvPicPr>
                  </pic:nvPicPr>
                  <pic:blipFill>
                    <a:blip r:embed="rId139"/>
                    <a:stretch>
                      <a:fillRect/>
                    </a:stretch>
                  </pic:blipFill>
                  <pic:spPr>
                    <a:xfrm>
                      <a:off x="0" y="0"/>
                      <a:ext cx="5269865" cy="3428365"/>
                    </a:xfrm>
                    <a:prstGeom prst="rect">
                      <a:avLst/>
                    </a:prstGeom>
                    <a:noFill/>
                    <a:ln>
                      <a:noFill/>
                    </a:ln>
                  </pic:spPr>
                </pic:pic>
              </a:graphicData>
            </a:graphic>
          </wp:inline>
        </w:drawing>
      </w:r>
    </w:p>
    <w:p w14:paraId="59991A83">
      <w:pPr>
        <w:pStyle w:val="206"/>
        <w:rPr>
          <w:color w:val="000000" w:themeColor="text1"/>
          <w:lang w:eastAsia="zh-CN"/>
          <w14:textFill>
            <w14:solidFill>
              <w14:schemeClr w14:val="tx1"/>
            </w14:solidFill>
          </w14:textFill>
        </w:rPr>
      </w:pPr>
    </w:p>
    <w:p w14:paraId="1E1CCEBD">
      <w:pPr>
        <w:pStyle w:val="206"/>
        <w:rPr>
          <w:color w:val="000000" w:themeColor="text1"/>
          <w:lang w:eastAsia="zh-CN"/>
          <w14:textFill>
            <w14:solidFill>
              <w14:schemeClr w14:val="tx1"/>
            </w14:solidFill>
          </w14:textFill>
        </w:rPr>
      </w:pPr>
    </w:p>
    <w:p w14:paraId="6FE1018E">
      <w:pPr>
        <w:pStyle w:val="206"/>
        <w:rPr>
          <w:color w:val="000000" w:themeColor="text1"/>
          <w:lang w:eastAsia="zh-CN"/>
          <w14:textFill>
            <w14:solidFill>
              <w14:schemeClr w14:val="tx1"/>
            </w14:solidFill>
          </w14:textFill>
        </w:rPr>
      </w:pPr>
    </w:p>
    <w:p w14:paraId="38ABDAF7">
      <w:pPr>
        <w:pStyle w:val="206"/>
        <w:rPr>
          <w:color w:val="000000" w:themeColor="text1"/>
          <w:lang w:eastAsia="zh-CN"/>
          <w14:textFill>
            <w14:solidFill>
              <w14:schemeClr w14:val="tx1"/>
            </w14:solidFill>
          </w14:textFill>
        </w:rPr>
      </w:pPr>
    </w:p>
    <w:p w14:paraId="5CD067AD">
      <w:pPr>
        <w:pStyle w:val="206"/>
        <w:rPr>
          <w:color w:val="000000" w:themeColor="text1"/>
          <w:lang w:eastAsia="zh-CN"/>
          <w14:textFill>
            <w14:solidFill>
              <w14:schemeClr w14:val="tx1"/>
            </w14:solidFill>
          </w14:textFill>
        </w:rPr>
      </w:pPr>
    </w:p>
    <w:p w14:paraId="438235B1">
      <w:pPr>
        <w:pStyle w:val="206"/>
        <w:rPr>
          <w:color w:val="000000" w:themeColor="text1"/>
          <w:lang w:eastAsia="zh-CN"/>
          <w14:textFill>
            <w14:solidFill>
              <w14:schemeClr w14:val="tx1"/>
            </w14:solidFill>
          </w14:textFill>
        </w:rPr>
      </w:pPr>
    </w:p>
    <w:p w14:paraId="69C0EDC3">
      <w:pPr>
        <w:pStyle w:val="206"/>
        <w:rPr>
          <w:color w:val="000000" w:themeColor="text1"/>
          <w:lang w:eastAsia="zh-CN"/>
          <w14:textFill>
            <w14:solidFill>
              <w14:schemeClr w14:val="tx1"/>
            </w14:solidFill>
          </w14:textFill>
        </w:rPr>
      </w:pPr>
    </w:p>
    <w:p w14:paraId="07527101">
      <w:pPr>
        <w:pStyle w:val="206"/>
        <w:rPr>
          <w:color w:val="000000" w:themeColor="text1"/>
          <w:lang w:eastAsia="zh-CN"/>
          <w14:textFill>
            <w14:solidFill>
              <w14:schemeClr w14:val="tx1"/>
            </w14:solidFill>
          </w14:textFill>
        </w:rPr>
      </w:pPr>
    </w:p>
    <w:p w14:paraId="3DCE256A">
      <w:pPr>
        <w:pStyle w:val="206"/>
        <w:rPr>
          <w:color w:val="000000" w:themeColor="text1"/>
          <w:lang w:eastAsia="zh-CN"/>
          <w14:textFill>
            <w14:solidFill>
              <w14:schemeClr w14:val="tx1"/>
            </w14:solidFill>
          </w14:textFill>
        </w:rPr>
      </w:pPr>
      <w:r>
        <w:drawing>
          <wp:inline distT="0" distB="0" distL="114300" distR="114300">
            <wp:extent cx="5275580" cy="3733800"/>
            <wp:effectExtent l="0" t="0" r="1270" b="0"/>
            <wp:docPr id="9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3"/>
                    <pic:cNvPicPr>
                      <a:picLocks noChangeAspect="1"/>
                    </pic:cNvPicPr>
                  </pic:nvPicPr>
                  <pic:blipFill>
                    <a:blip r:embed="rId140"/>
                    <a:stretch>
                      <a:fillRect/>
                    </a:stretch>
                  </pic:blipFill>
                  <pic:spPr>
                    <a:xfrm>
                      <a:off x="0" y="0"/>
                      <a:ext cx="5275580" cy="3733800"/>
                    </a:xfrm>
                    <a:prstGeom prst="rect">
                      <a:avLst/>
                    </a:prstGeom>
                    <a:noFill/>
                    <a:ln>
                      <a:noFill/>
                    </a:ln>
                  </pic:spPr>
                </pic:pic>
              </a:graphicData>
            </a:graphic>
          </wp:inline>
        </w:drawing>
      </w:r>
    </w:p>
    <w:p w14:paraId="3983541C">
      <w:pPr>
        <w:pStyle w:val="206"/>
        <w:rPr>
          <w:color w:val="000000" w:themeColor="text1"/>
          <w:lang w:eastAsia="zh-CN"/>
          <w14:textFill>
            <w14:solidFill>
              <w14:schemeClr w14:val="tx1"/>
            </w14:solidFill>
          </w14:textFill>
        </w:rPr>
      </w:pPr>
    </w:p>
    <w:p w14:paraId="38E01D5F">
      <w:pPr>
        <w:pStyle w:val="206"/>
        <w:rPr>
          <w:color w:val="000000" w:themeColor="text1"/>
          <w:lang w:eastAsia="zh-CN"/>
          <w14:textFill>
            <w14:solidFill>
              <w14:schemeClr w14:val="tx1"/>
            </w14:solidFill>
          </w14:textFill>
        </w:rPr>
      </w:pPr>
      <w:r>
        <w:drawing>
          <wp:inline distT="0" distB="0" distL="114300" distR="114300">
            <wp:extent cx="5276215" cy="3668395"/>
            <wp:effectExtent l="0" t="0" r="635" b="8255"/>
            <wp:docPr id="9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4"/>
                    <pic:cNvPicPr>
                      <a:picLocks noChangeAspect="1"/>
                    </pic:cNvPicPr>
                  </pic:nvPicPr>
                  <pic:blipFill>
                    <a:blip r:embed="rId141"/>
                    <a:stretch>
                      <a:fillRect/>
                    </a:stretch>
                  </pic:blipFill>
                  <pic:spPr>
                    <a:xfrm>
                      <a:off x="0" y="0"/>
                      <a:ext cx="5276215" cy="3668395"/>
                    </a:xfrm>
                    <a:prstGeom prst="rect">
                      <a:avLst/>
                    </a:prstGeom>
                    <a:noFill/>
                    <a:ln>
                      <a:noFill/>
                    </a:ln>
                  </pic:spPr>
                </pic:pic>
              </a:graphicData>
            </a:graphic>
          </wp:inline>
        </w:drawing>
      </w:r>
    </w:p>
    <w:p w14:paraId="58714C49">
      <w:pPr>
        <w:pStyle w:val="206"/>
        <w:rPr>
          <w:color w:val="000000" w:themeColor="text1"/>
          <w:lang w:eastAsia="zh-CN"/>
          <w14:textFill>
            <w14:solidFill>
              <w14:schemeClr w14:val="tx1"/>
            </w14:solidFill>
          </w14:textFill>
        </w:rPr>
      </w:pPr>
    </w:p>
    <w:p w14:paraId="323258A8">
      <w:pPr>
        <w:pStyle w:val="206"/>
        <w:rPr>
          <w:color w:val="000000" w:themeColor="text1"/>
          <w:lang w:eastAsia="zh-CN"/>
          <w14:textFill>
            <w14:solidFill>
              <w14:schemeClr w14:val="tx1"/>
            </w14:solidFill>
          </w14:textFill>
        </w:rPr>
      </w:pPr>
    </w:p>
    <w:p w14:paraId="3A45B6B7">
      <w:pPr>
        <w:pStyle w:val="206"/>
        <w:rPr>
          <w:color w:val="000000" w:themeColor="text1"/>
          <w:lang w:eastAsia="zh-CN"/>
          <w14:textFill>
            <w14:solidFill>
              <w14:schemeClr w14:val="tx1"/>
            </w14:solidFill>
          </w14:textFill>
        </w:rPr>
      </w:pPr>
    </w:p>
    <w:p w14:paraId="1043A40B">
      <w:pPr>
        <w:pStyle w:val="206"/>
        <w:rPr>
          <w:color w:val="000000" w:themeColor="text1"/>
          <w:lang w:eastAsia="zh-CN"/>
          <w14:textFill>
            <w14:solidFill>
              <w14:schemeClr w14:val="tx1"/>
            </w14:solidFill>
          </w14:textFill>
        </w:rPr>
      </w:pPr>
    </w:p>
    <w:p w14:paraId="1005121E">
      <w:pPr>
        <w:pStyle w:val="206"/>
        <w:rPr>
          <w:color w:val="000000" w:themeColor="text1"/>
          <w:lang w:eastAsia="zh-CN"/>
          <w14:textFill>
            <w14:solidFill>
              <w14:schemeClr w14:val="tx1"/>
            </w14:solidFill>
          </w14:textFill>
        </w:rPr>
      </w:pPr>
    </w:p>
    <w:p w14:paraId="691D94C3">
      <w:pPr>
        <w:pStyle w:val="206"/>
        <w:rPr>
          <w:color w:val="000000" w:themeColor="text1"/>
          <w:lang w:eastAsia="zh-CN"/>
          <w14:textFill>
            <w14:solidFill>
              <w14:schemeClr w14:val="tx1"/>
            </w14:solidFill>
          </w14:textFill>
        </w:rPr>
      </w:pPr>
    </w:p>
    <w:p w14:paraId="3485C0F7">
      <w:pPr>
        <w:pStyle w:val="206"/>
        <w:rPr>
          <w:color w:val="000000" w:themeColor="text1"/>
          <w:lang w:eastAsia="zh-CN"/>
          <w14:textFill>
            <w14:solidFill>
              <w14:schemeClr w14:val="tx1"/>
            </w14:solidFill>
          </w14:textFill>
        </w:rPr>
      </w:pPr>
    </w:p>
    <w:p w14:paraId="05BDDC74">
      <w:pPr>
        <w:pStyle w:val="206"/>
        <w:rPr>
          <w:color w:val="000000" w:themeColor="text1"/>
          <w:lang w:eastAsia="zh-CN"/>
          <w14:textFill>
            <w14:solidFill>
              <w14:schemeClr w14:val="tx1"/>
            </w14:solidFill>
          </w14:textFill>
        </w:rPr>
      </w:pPr>
      <w:r>
        <w:drawing>
          <wp:inline distT="0" distB="0" distL="114300" distR="114300">
            <wp:extent cx="5269865" cy="3537585"/>
            <wp:effectExtent l="0" t="0" r="6985" b="5715"/>
            <wp:docPr id="10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5"/>
                    <pic:cNvPicPr>
                      <a:picLocks noChangeAspect="1"/>
                    </pic:cNvPicPr>
                  </pic:nvPicPr>
                  <pic:blipFill>
                    <a:blip r:embed="rId142"/>
                    <a:stretch>
                      <a:fillRect/>
                    </a:stretch>
                  </pic:blipFill>
                  <pic:spPr>
                    <a:xfrm>
                      <a:off x="0" y="0"/>
                      <a:ext cx="5269865" cy="3537585"/>
                    </a:xfrm>
                    <a:prstGeom prst="rect">
                      <a:avLst/>
                    </a:prstGeom>
                    <a:noFill/>
                    <a:ln>
                      <a:noFill/>
                    </a:ln>
                  </pic:spPr>
                </pic:pic>
              </a:graphicData>
            </a:graphic>
          </wp:inline>
        </w:drawing>
      </w:r>
    </w:p>
    <w:p w14:paraId="3E6D06CB">
      <w:pPr>
        <w:pStyle w:val="206"/>
        <w:rPr>
          <w:color w:val="000000" w:themeColor="text1"/>
          <w:lang w:eastAsia="zh-CN"/>
          <w14:textFill>
            <w14:solidFill>
              <w14:schemeClr w14:val="tx1"/>
            </w14:solidFill>
          </w14:textFill>
        </w:rPr>
      </w:pPr>
    </w:p>
    <w:p w14:paraId="41A8C284">
      <w:pPr>
        <w:pStyle w:val="206"/>
        <w:rPr>
          <w:color w:val="000000" w:themeColor="text1"/>
          <w:lang w:eastAsia="zh-CN"/>
          <w14:textFill>
            <w14:solidFill>
              <w14:schemeClr w14:val="tx1"/>
            </w14:solidFill>
          </w14:textFill>
        </w:rPr>
      </w:pPr>
    </w:p>
    <w:p w14:paraId="30F46EBB">
      <w:pPr>
        <w:pStyle w:val="206"/>
        <w:rPr>
          <w:color w:val="000000" w:themeColor="text1"/>
          <w:lang w:eastAsia="zh-CN"/>
          <w14:textFill>
            <w14:solidFill>
              <w14:schemeClr w14:val="tx1"/>
            </w14:solidFill>
          </w14:textFill>
        </w:rPr>
      </w:pPr>
    </w:p>
    <w:p w14:paraId="4450D26A">
      <w:pPr>
        <w:pStyle w:val="206"/>
        <w:rPr>
          <w:color w:val="000000" w:themeColor="text1"/>
          <w:lang w:eastAsia="zh-CN"/>
          <w14:textFill>
            <w14:solidFill>
              <w14:schemeClr w14:val="tx1"/>
            </w14:solidFill>
          </w14:textFill>
        </w:rPr>
      </w:pPr>
    </w:p>
    <w:p w14:paraId="1210282F">
      <w:pPr>
        <w:pStyle w:val="206"/>
        <w:rPr>
          <w:color w:val="000000" w:themeColor="text1"/>
          <w:lang w:eastAsia="zh-CN"/>
          <w14:textFill>
            <w14:solidFill>
              <w14:schemeClr w14:val="tx1"/>
            </w14:solidFill>
          </w14:textFill>
        </w:rPr>
      </w:pPr>
    </w:p>
    <w:p w14:paraId="2C88DEFC">
      <w:pPr>
        <w:pStyle w:val="206"/>
        <w:outlineLvl w:val="3"/>
        <w:rPr>
          <w:color w:val="000000" w:themeColor="text1"/>
          <w:lang w:eastAsia="zh-CN"/>
          <w14:textFill>
            <w14:solidFill>
              <w14:schemeClr w14:val="tx1"/>
            </w14:solidFill>
          </w14:textFill>
        </w:rPr>
        <w:sectPr>
          <w:headerReference r:id="rId25" w:type="default"/>
          <w:footerReference r:id="rId26" w:type="default"/>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26E7662F">
      <w:pPr>
        <w:pStyle w:val="6"/>
        <w:rPr>
          <w:snapToGrid w:val="0"/>
          <w:color w:val="000000" w:themeColor="text1"/>
          <w14:textFill>
            <w14:solidFill>
              <w14:schemeClr w14:val="tx1"/>
            </w14:solidFill>
          </w14:textFill>
        </w:rPr>
      </w:pPr>
      <w:bookmarkStart w:id="461" w:name="_Toc27252"/>
      <w:r>
        <w:rPr>
          <w:rFonts w:hint="eastAsia"/>
          <w:snapToGrid w:val="0"/>
          <w:color w:val="000000" w:themeColor="text1"/>
          <w14:textFill>
            <w14:solidFill>
              <w14:schemeClr w14:val="tx1"/>
            </w14:solidFill>
          </w14:textFill>
        </w:rPr>
        <w:t>附件</w:t>
      </w:r>
      <w:r>
        <w:rPr>
          <w:rFonts w:hint="eastAsia"/>
          <w:snapToGrid w:val="0"/>
          <w:color w:val="000000" w:themeColor="text1"/>
          <w:lang w:val="en-US" w:eastAsia="zh-CN"/>
          <w14:textFill>
            <w14:solidFill>
              <w14:schemeClr w14:val="tx1"/>
            </w14:solidFill>
          </w14:textFill>
        </w:rPr>
        <w:t>4</w:t>
      </w:r>
      <w:r>
        <w:rPr>
          <w:snapToGrid w:val="0"/>
          <w:color w:val="000000" w:themeColor="text1"/>
          <w14:textFill>
            <w14:solidFill>
              <w14:schemeClr w14:val="tx1"/>
            </w14:solidFill>
          </w14:textFill>
        </w:rPr>
        <w:t xml:space="preserve"> </w:t>
      </w:r>
      <w:r>
        <w:rPr>
          <w:rFonts w:hint="eastAsia"/>
          <w:snapToGrid w:val="0"/>
          <w:color w:val="000000" w:themeColor="text1"/>
          <w14:textFill>
            <w14:solidFill>
              <w14:schemeClr w14:val="tx1"/>
            </w14:solidFill>
          </w14:textFill>
        </w:rPr>
        <w:t>土地手续</w:t>
      </w:r>
      <w:bookmarkEnd w:id="461"/>
    </w:p>
    <w:p w14:paraId="46EBC6BC">
      <w:pPr>
        <w:pStyle w:val="206"/>
      </w:pPr>
      <w:r>
        <w:drawing>
          <wp:inline distT="0" distB="0" distL="114300" distR="114300">
            <wp:extent cx="5275580" cy="7099300"/>
            <wp:effectExtent l="0" t="0" r="1270" b="6350"/>
            <wp:docPr id="10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66"/>
                    <pic:cNvPicPr>
                      <a:picLocks noChangeAspect="1"/>
                    </pic:cNvPicPr>
                  </pic:nvPicPr>
                  <pic:blipFill>
                    <a:blip r:embed="rId143"/>
                    <a:stretch>
                      <a:fillRect/>
                    </a:stretch>
                  </pic:blipFill>
                  <pic:spPr>
                    <a:xfrm>
                      <a:off x="0" y="0"/>
                      <a:ext cx="5275580" cy="7099300"/>
                    </a:xfrm>
                    <a:prstGeom prst="rect">
                      <a:avLst/>
                    </a:prstGeom>
                    <a:noFill/>
                    <a:ln>
                      <a:noFill/>
                    </a:ln>
                  </pic:spPr>
                </pic:pic>
              </a:graphicData>
            </a:graphic>
          </wp:inline>
        </w:drawing>
      </w:r>
    </w:p>
    <w:p w14:paraId="1076B5D1">
      <w:pPr>
        <w:pStyle w:val="206"/>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3881FE87">
      <w:pPr>
        <w:pStyle w:val="206"/>
        <w:rPr>
          <w:color w:val="000000" w:themeColor="text1"/>
          <w14:textFill>
            <w14:solidFill>
              <w14:schemeClr w14:val="tx1"/>
            </w14:solidFill>
          </w14:textFill>
        </w:rPr>
      </w:pPr>
      <w:r>
        <w:drawing>
          <wp:inline distT="0" distB="0" distL="114300" distR="114300">
            <wp:extent cx="5210175" cy="7629525"/>
            <wp:effectExtent l="0" t="0" r="9525" b="9525"/>
            <wp:docPr id="10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7"/>
                    <pic:cNvPicPr>
                      <a:picLocks noChangeAspect="1"/>
                    </pic:cNvPicPr>
                  </pic:nvPicPr>
                  <pic:blipFill>
                    <a:blip r:embed="rId144"/>
                    <a:stretch>
                      <a:fillRect/>
                    </a:stretch>
                  </pic:blipFill>
                  <pic:spPr>
                    <a:xfrm>
                      <a:off x="0" y="0"/>
                      <a:ext cx="5210175" cy="7629525"/>
                    </a:xfrm>
                    <a:prstGeom prst="rect">
                      <a:avLst/>
                    </a:prstGeom>
                    <a:noFill/>
                    <a:ln>
                      <a:noFill/>
                    </a:ln>
                  </pic:spPr>
                </pic:pic>
              </a:graphicData>
            </a:graphic>
          </wp:inline>
        </w:drawing>
      </w:r>
    </w:p>
    <w:p w14:paraId="7C3BFA19">
      <w:pPr>
        <w:pStyle w:val="206"/>
        <w:rPr>
          <w:color w:val="000000" w:themeColor="text1"/>
          <w14:textFill>
            <w14:solidFill>
              <w14:schemeClr w14:val="tx1"/>
            </w14:solidFill>
          </w14:textFill>
        </w:rPr>
      </w:pPr>
    </w:p>
    <w:p w14:paraId="4E3941B9">
      <w:pPr>
        <w:pStyle w:val="206"/>
        <w:rPr>
          <w:color w:val="000000" w:themeColor="text1"/>
          <w14:textFill>
            <w14:solidFill>
              <w14:schemeClr w14:val="tx1"/>
            </w14:solidFill>
          </w14:textFill>
        </w:rPr>
      </w:pPr>
    </w:p>
    <w:p w14:paraId="358F363D">
      <w:pPr>
        <w:pStyle w:val="206"/>
        <w:rPr>
          <w:color w:val="000000" w:themeColor="text1"/>
          <w14:textFill>
            <w14:solidFill>
              <w14:schemeClr w14:val="tx1"/>
            </w14:solidFill>
          </w14:textFill>
        </w:rPr>
      </w:pPr>
    </w:p>
    <w:p w14:paraId="71622AD6">
      <w:pPr>
        <w:pStyle w:val="206"/>
        <w:rPr>
          <w:color w:val="000000" w:themeColor="text1"/>
          <w14:textFill>
            <w14:solidFill>
              <w14:schemeClr w14:val="tx1"/>
            </w14:solidFill>
          </w14:textFill>
        </w:rPr>
      </w:pPr>
    </w:p>
    <w:p w14:paraId="3C5E4D33">
      <w:pPr>
        <w:pStyle w:val="206"/>
        <w:rPr>
          <w:color w:val="000000" w:themeColor="text1"/>
          <w14:textFill>
            <w14:solidFill>
              <w14:schemeClr w14:val="tx1"/>
            </w14:solidFill>
          </w14:textFill>
        </w:rPr>
      </w:pPr>
    </w:p>
    <w:p w14:paraId="71077702">
      <w:pPr>
        <w:pStyle w:val="206"/>
        <w:rPr>
          <w:color w:val="000000" w:themeColor="text1"/>
          <w14:textFill>
            <w14:solidFill>
              <w14:schemeClr w14:val="tx1"/>
            </w14:solidFill>
          </w14:textFill>
        </w:rPr>
      </w:pPr>
    </w:p>
    <w:p w14:paraId="50FD14C3">
      <w:pPr>
        <w:pStyle w:val="206"/>
        <w:rPr>
          <w:color w:val="000000" w:themeColor="text1"/>
          <w14:textFill>
            <w14:solidFill>
              <w14:schemeClr w14:val="tx1"/>
            </w14:solidFill>
          </w14:textFill>
        </w:rPr>
      </w:pPr>
      <w:r>
        <w:drawing>
          <wp:inline distT="0" distB="0" distL="114300" distR="114300">
            <wp:extent cx="5248275" cy="7353300"/>
            <wp:effectExtent l="0" t="0" r="9525" b="0"/>
            <wp:docPr id="10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68"/>
                    <pic:cNvPicPr>
                      <a:picLocks noChangeAspect="1"/>
                    </pic:cNvPicPr>
                  </pic:nvPicPr>
                  <pic:blipFill>
                    <a:blip r:embed="rId145"/>
                    <a:stretch>
                      <a:fillRect/>
                    </a:stretch>
                  </pic:blipFill>
                  <pic:spPr>
                    <a:xfrm>
                      <a:off x="0" y="0"/>
                      <a:ext cx="5248275" cy="7353300"/>
                    </a:xfrm>
                    <a:prstGeom prst="rect">
                      <a:avLst/>
                    </a:prstGeom>
                    <a:noFill/>
                    <a:ln>
                      <a:noFill/>
                    </a:ln>
                  </pic:spPr>
                </pic:pic>
              </a:graphicData>
            </a:graphic>
          </wp:inline>
        </w:drawing>
      </w:r>
    </w:p>
    <w:p w14:paraId="1E88A34D">
      <w:pPr>
        <w:pStyle w:val="206"/>
        <w:rPr>
          <w:color w:val="000000" w:themeColor="text1"/>
          <w14:textFill>
            <w14:solidFill>
              <w14:schemeClr w14:val="tx1"/>
            </w14:solidFill>
          </w14:textFill>
        </w:rPr>
      </w:pPr>
    </w:p>
    <w:p w14:paraId="29648848">
      <w:pPr>
        <w:pStyle w:val="206"/>
        <w:rPr>
          <w:color w:val="000000" w:themeColor="text1"/>
          <w14:textFill>
            <w14:solidFill>
              <w14:schemeClr w14:val="tx1"/>
            </w14:solidFill>
          </w14:textFill>
        </w:rPr>
      </w:pPr>
    </w:p>
    <w:p w14:paraId="483D0C28">
      <w:pPr>
        <w:pStyle w:val="206"/>
        <w:rPr>
          <w:color w:val="000000" w:themeColor="text1"/>
          <w14:textFill>
            <w14:solidFill>
              <w14:schemeClr w14:val="tx1"/>
            </w14:solidFill>
          </w14:textFill>
        </w:rPr>
      </w:pPr>
    </w:p>
    <w:p w14:paraId="0500A894">
      <w:pPr>
        <w:pStyle w:val="206"/>
        <w:rPr>
          <w:color w:val="000000" w:themeColor="text1"/>
          <w14:textFill>
            <w14:solidFill>
              <w14:schemeClr w14:val="tx1"/>
            </w14:solidFill>
          </w14:textFill>
        </w:rPr>
      </w:pPr>
    </w:p>
    <w:p w14:paraId="659EFDC2">
      <w:pPr>
        <w:pStyle w:val="206"/>
        <w:rPr>
          <w:color w:val="000000" w:themeColor="text1"/>
          <w14:textFill>
            <w14:solidFill>
              <w14:schemeClr w14:val="tx1"/>
            </w14:solidFill>
          </w14:textFill>
        </w:rPr>
      </w:pPr>
    </w:p>
    <w:p w14:paraId="01B518ED">
      <w:pPr>
        <w:pStyle w:val="206"/>
        <w:rPr>
          <w:color w:val="000000" w:themeColor="text1"/>
          <w14:textFill>
            <w14:solidFill>
              <w14:schemeClr w14:val="tx1"/>
            </w14:solidFill>
          </w14:textFill>
        </w:rPr>
      </w:pPr>
    </w:p>
    <w:p w14:paraId="3C642D6F">
      <w:pPr>
        <w:pStyle w:val="206"/>
        <w:rPr>
          <w:color w:val="000000" w:themeColor="text1"/>
          <w14:textFill>
            <w14:solidFill>
              <w14:schemeClr w14:val="tx1"/>
            </w14:solidFill>
          </w14:textFill>
        </w:rPr>
      </w:pPr>
    </w:p>
    <w:p w14:paraId="5A1211D6">
      <w:pPr>
        <w:pStyle w:val="206"/>
        <w:rPr>
          <w:color w:val="000000" w:themeColor="text1"/>
          <w14:textFill>
            <w14:solidFill>
              <w14:schemeClr w14:val="tx1"/>
            </w14:solidFill>
          </w14:textFill>
        </w:rPr>
      </w:pPr>
    </w:p>
    <w:p w14:paraId="5E55C701">
      <w:pPr>
        <w:pStyle w:val="206"/>
        <w:rPr>
          <w:color w:val="000000" w:themeColor="text1"/>
          <w14:textFill>
            <w14:solidFill>
              <w14:schemeClr w14:val="tx1"/>
            </w14:solidFill>
          </w14:textFill>
        </w:rPr>
      </w:pPr>
      <w:r>
        <w:drawing>
          <wp:inline distT="0" distB="0" distL="114300" distR="114300">
            <wp:extent cx="5257800" cy="7362825"/>
            <wp:effectExtent l="0" t="0" r="0" b="9525"/>
            <wp:docPr id="10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9"/>
                    <pic:cNvPicPr>
                      <a:picLocks noChangeAspect="1"/>
                    </pic:cNvPicPr>
                  </pic:nvPicPr>
                  <pic:blipFill>
                    <a:blip r:embed="rId146"/>
                    <a:stretch>
                      <a:fillRect/>
                    </a:stretch>
                  </pic:blipFill>
                  <pic:spPr>
                    <a:xfrm>
                      <a:off x="0" y="0"/>
                      <a:ext cx="5257800" cy="7362825"/>
                    </a:xfrm>
                    <a:prstGeom prst="rect">
                      <a:avLst/>
                    </a:prstGeom>
                    <a:noFill/>
                    <a:ln>
                      <a:noFill/>
                    </a:ln>
                  </pic:spPr>
                </pic:pic>
              </a:graphicData>
            </a:graphic>
          </wp:inline>
        </w:drawing>
      </w:r>
    </w:p>
    <w:p w14:paraId="07824BAB">
      <w:pPr>
        <w:pStyle w:val="206"/>
        <w:rPr>
          <w:color w:val="000000" w:themeColor="text1"/>
          <w14:textFill>
            <w14:solidFill>
              <w14:schemeClr w14:val="tx1"/>
            </w14:solidFill>
          </w14:textFill>
        </w:rPr>
      </w:pPr>
    </w:p>
    <w:p w14:paraId="6F4C9D76">
      <w:pPr>
        <w:pStyle w:val="206"/>
        <w:rPr>
          <w:color w:val="000000" w:themeColor="text1"/>
          <w14:textFill>
            <w14:solidFill>
              <w14:schemeClr w14:val="tx1"/>
            </w14:solidFill>
          </w14:textFill>
        </w:rPr>
      </w:pPr>
    </w:p>
    <w:p w14:paraId="7542C515">
      <w:pPr>
        <w:pStyle w:val="206"/>
        <w:rPr>
          <w:color w:val="000000" w:themeColor="text1"/>
          <w14:textFill>
            <w14:solidFill>
              <w14:schemeClr w14:val="tx1"/>
            </w14:solidFill>
          </w14:textFill>
        </w:rPr>
      </w:pPr>
    </w:p>
    <w:p w14:paraId="710676FF">
      <w:pPr>
        <w:pStyle w:val="206"/>
        <w:rPr>
          <w:color w:val="000000" w:themeColor="text1"/>
          <w14:textFill>
            <w14:solidFill>
              <w14:schemeClr w14:val="tx1"/>
            </w14:solidFill>
          </w14:textFill>
        </w:rPr>
      </w:pPr>
    </w:p>
    <w:p w14:paraId="016EE87D">
      <w:pPr>
        <w:pStyle w:val="206"/>
        <w:rPr>
          <w:color w:val="000000" w:themeColor="text1"/>
          <w14:textFill>
            <w14:solidFill>
              <w14:schemeClr w14:val="tx1"/>
            </w14:solidFill>
          </w14:textFill>
        </w:rPr>
      </w:pPr>
    </w:p>
    <w:p w14:paraId="1564EC53">
      <w:pPr>
        <w:pStyle w:val="206"/>
        <w:rPr>
          <w:color w:val="000000" w:themeColor="text1"/>
          <w14:textFill>
            <w14:solidFill>
              <w14:schemeClr w14:val="tx1"/>
            </w14:solidFill>
          </w14:textFill>
        </w:rPr>
      </w:pPr>
    </w:p>
    <w:p w14:paraId="459E35BC">
      <w:pPr>
        <w:pStyle w:val="206"/>
        <w:rPr>
          <w:color w:val="000000" w:themeColor="text1"/>
          <w14:textFill>
            <w14:solidFill>
              <w14:schemeClr w14:val="tx1"/>
            </w14:solidFill>
          </w14:textFill>
        </w:rPr>
      </w:pPr>
    </w:p>
    <w:p w14:paraId="1358E503">
      <w:pPr>
        <w:pStyle w:val="206"/>
        <w:rPr>
          <w:color w:val="000000" w:themeColor="text1"/>
          <w14:textFill>
            <w14:solidFill>
              <w14:schemeClr w14:val="tx1"/>
            </w14:solidFill>
          </w14:textFill>
        </w:rPr>
      </w:pPr>
    </w:p>
    <w:p w14:paraId="169959C7">
      <w:pPr>
        <w:pStyle w:val="206"/>
        <w:rPr>
          <w:color w:val="000000" w:themeColor="text1"/>
          <w14:textFill>
            <w14:solidFill>
              <w14:schemeClr w14:val="tx1"/>
            </w14:solidFill>
          </w14:textFill>
        </w:rPr>
      </w:pPr>
      <w:r>
        <w:drawing>
          <wp:inline distT="0" distB="0" distL="114300" distR="114300">
            <wp:extent cx="5276850" cy="7428865"/>
            <wp:effectExtent l="0" t="0" r="0" b="635"/>
            <wp:docPr id="10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0"/>
                    <pic:cNvPicPr>
                      <a:picLocks noChangeAspect="1"/>
                    </pic:cNvPicPr>
                  </pic:nvPicPr>
                  <pic:blipFill>
                    <a:blip r:embed="rId147"/>
                    <a:stretch>
                      <a:fillRect/>
                    </a:stretch>
                  </pic:blipFill>
                  <pic:spPr>
                    <a:xfrm>
                      <a:off x="0" y="0"/>
                      <a:ext cx="5276850" cy="7428865"/>
                    </a:xfrm>
                    <a:prstGeom prst="rect">
                      <a:avLst/>
                    </a:prstGeom>
                    <a:noFill/>
                    <a:ln>
                      <a:noFill/>
                    </a:ln>
                  </pic:spPr>
                </pic:pic>
              </a:graphicData>
            </a:graphic>
          </wp:inline>
        </w:drawing>
      </w:r>
    </w:p>
    <w:p w14:paraId="1A7DD3F9">
      <w:pPr>
        <w:pStyle w:val="206"/>
        <w:rPr>
          <w:color w:val="000000" w:themeColor="text1"/>
          <w14:textFill>
            <w14:solidFill>
              <w14:schemeClr w14:val="tx1"/>
            </w14:solidFill>
          </w14:textFill>
        </w:rPr>
      </w:pPr>
    </w:p>
    <w:p w14:paraId="74494ECB">
      <w:pPr>
        <w:pStyle w:val="206"/>
        <w:rPr>
          <w:color w:val="000000" w:themeColor="text1"/>
          <w14:textFill>
            <w14:solidFill>
              <w14:schemeClr w14:val="tx1"/>
            </w14:solidFill>
          </w14:textFill>
        </w:rPr>
      </w:pPr>
    </w:p>
    <w:p w14:paraId="1426BBB4">
      <w:pPr>
        <w:pStyle w:val="206"/>
        <w:rPr>
          <w:color w:val="000000" w:themeColor="text1"/>
          <w14:textFill>
            <w14:solidFill>
              <w14:schemeClr w14:val="tx1"/>
            </w14:solidFill>
          </w14:textFill>
        </w:rPr>
      </w:pPr>
    </w:p>
    <w:p w14:paraId="67B831EA">
      <w:pPr>
        <w:pStyle w:val="206"/>
        <w:rPr>
          <w:color w:val="000000" w:themeColor="text1"/>
          <w14:textFill>
            <w14:solidFill>
              <w14:schemeClr w14:val="tx1"/>
            </w14:solidFill>
          </w14:textFill>
        </w:rPr>
      </w:pPr>
    </w:p>
    <w:p w14:paraId="42F74952">
      <w:pPr>
        <w:pStyle w:val="206"/>
        <w:rPr>
          <w:color w:val="000000" w:themeColor="text1"/>
          <w14:textFill>
            <w14:solidFill>
              <w14:schemeClr w14:val="tx1"/>
            </w14:solidFill>
          </w14:textFill>
        </w:rPr>
      </w:pPr>
    </w:p>
    <w:p w14:paraId="1F107475">
      <w:pPr>
        <w:pStyle w:val="206"/>
        <w:rPr>
          <w:color w:val="000000" w:themeColor="text1"/>
          <w14:textFill>
            <w14:solidFill>
              <w14:schemeClr w14:val="tx1"/>
            </w14:solidFill>
          </w14:textFill>
        </w:rPr>
      </w:pPr>
    </w:p>
    <w:p w14:paraId="0F766122">
      <w:pPr>
        <w:pStyle w:val="206"/>
        <w:rPr>
          <w:color w:val="000000" w:themeColor="text1"/>
          <w14:textFill>
            <w14:solidFill>
              <w14:schemeClr w14:val="tx1"/>
            </w14:solidFill>
          </w14:textFill>
        </w:rPr>
      </w:pPr>
    </w:p>
    <w:p w14:paraId="4905F143">
      <w:pPr>
        <w:pStyle w:val="206"/>
        <w:rPr>
          <w:color w:val="000000" w:themeColor="text1"/>
          <w14:textFill>
            <w14:solidFill>
              <w14:schemeClr w14:val="tx1"/>
            </w14:solidFill>
          </w14:textFill>
        </w:rPr>
      </w:pPr>
    </w:p>
    <w:p w14:paraId="3B0F94B7">
      <w:pPr>
        <w:pStyle w:val="206"/>
        <w:rPr>
          <w:color w:val="000000" w:themeColor="text1"/>
          <w14:textFill>
            <w14:solidFill>
              <w14:schemeClr w14:val="tx1"/>
            </w14:solidFill>
          </w14:textFill>
        </w:rPr>
      </w:pPr>
      <w:r>
        <w:drawing>
          <wp:inline distT="0" distB="0" distL="114300" distR="114300">
            <wp:extent cx="5277485" cy="7197725"/>
            <wp:effectExtent l="0" t="0" r="18415" b="3175"/>
            <wp:docPr id="10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71"/>
                    <pic:cNvPicPr>
                      <a:picLocks noChangeAspect="1"/>
                    </pic:cNvPicPr>
                  </pic:nvPicPr>
                  <pic:blipFill>
                    <a:blip r:embed="rId148"/>
                    <a:stretch>
                      <a:fillRect/>
                    </a:stretch>
                  </pic:blipFill>
                  <pic:spPr>
                    <a:xfrm>
                      <a:off x="0" y="0"/>
                      <a:ext cx="5277485" cy="7197725"/>
                    </a:xfrm>
                    <a:prstGeom prst="rect">
                      <a:avLst/>
                    </a:prstGeom>
                    <a:noFill/>
                    <a:ln>
                      <a:noFill/>
                    </a:ln>
                  </pic:spPr>
                </pic:pic>
              </a:graphicData>
            </a:graphic>
          </wp:inline>
        </w:drawing>
      </w:r>
    </w:p>
    <w:p w14:paraId="2BEC9287">
      <w:pPr>
        <w:pStyle w:val="206"/>
        <w:rPr>
          <w:color w:val="000000" w:themeColor="text1"/>
          <w14:textFill>
            <w14:solidFill>
              <w14:schemeClr w14:val="tx1"/>
            </w14:solidFill>
          </w14:textFill>
        </w:rPr>
      </w:pPr>
    </w:p>
    <w:p w14:paraId="6609FF9F">
      <w:pPr>
        <w:pStyle w:val="206"/>
        <w:rPr>
          <w:color w:val="000000" w:themeColor="text1"/>
          <w14:textFill>
            <w14:solidFill>
              <w14:schemeClr w14:val="tx1"/>
            </w14:solidFill>
          </w14:textFill>
        </w:rPr>
      </w:pPr>
    </w:p>
    <w:p w14:paraId="3C3DFFB9">
      <w:pPr>
        <w:pStyle w:val="206"/>
        <w:rPr>
          <w:color w:val="000000" w:themeColor="text1"/>
          <w14:textFill>
            <w14:solidFill>
              <w14:schemeClr w14:val="tx1"/>
            </w14:solidFill>
          </w14:textFill>
        </w:rPr>
      </w:pPr>
    </w:p>
    <w:p w14:paraId="7632A73E">
      <w:pPr>
        <w:pStyle w:val="206"/>
        <w:rPr>
          <w:color w:val="000000" w:themeColor="text1"/>
          <w14:textFill>
            <w14:solidFill>
              <w14:schemeClr w14:val="tx1"/>
            </w14:solidFill>
          </w14:textFill>
        </w:rPr>
      </w:pPr>
    </w:p>
    <w:p w14:paraId="67FFCC08">
      <w:pPr>
        <w:pStyle w:val="206"/>
        <w:rPr>
          <w:color w:val="000000" w:themeColor="text1"/>
          <w14:textFill>
            <w14:solidFill>
              <w14:schemeClr w14:val="tx1"/>
            </w14:solidFill>
          </w14:textFill>
        </w:rPr>
      </w:pPr>
    </w:p>
    <w:p w14:paraId="709F8E1C">
      <w:pPr>
        <w:pStyle w:val="206"/>
        <w:rPr>
          <w:color w:val="000000" w:themeColor="text1"/>
          <w14:textFill>
            <w14:solidFill>
              <w14:schemeClr w14:val="tx1"/>
            </w14:solidFill>
          </w14:textFill>
        </w:rPr>
      </w:pPr>
    </w:p>
    <w:p w14:paraId="2E994F97">
      <w:pPr>
        <w:pStyle w:val="206"/>
        <w:rPr>
          <w:color w:val="000000" w:themeColor="text1"/>
          <w14:textFill>
            <w14:solidFill>
              <w14:schemeClr w14:val="tx1"/>
            </w14:solidFill>
          </w14:textFill>
        </w:rPr>
      </w:pPr>
    </w:p>
    <w:p w14:paraId="6873C52B">
      <w:pPr>
        <w:pStyle w:val="206"/>
        <w:rPr>
          <w:color w:val="000000" w:themeColor="text1"/>
          <w14:textFill>
            <w14:solidFill>
              <w14:schemeClr w14:val="tx1"/>
            </w14:solidFill>
          </w14:textFill>
        </w:rPr>
      </w:pPr>
    </w:p>
    <w:p w14:paraId="3D6F4842">
      <w:pPr>
        <w:pStyle w:val="206"/>
        <w:jc w:val="both"/>
        <w:rPr>
          <w:color w:val="000000" w:themeColor="text1"/>
          <w14:textFill>
            <w14:solidFill>
              <w14:schemeClr w14:val="tx1"/>
            </w14:solidFill>
          </w14:textFill>
        </w:rPr>
      </w:pPr>
    </w:p>
    <w:p w14:paraId="05776D1B">
      <w:pPr>
        <w:tabs>
          <w:tab w:val="left" w:pos="1200"/>
        </w:tabs>
        <w:ind w:firstLine="0" w:firstLineChars="0"/>
        <w:jc w:val="center"/>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3FB4DB90">
      <w:pPr>
        <w:pStyle w:val="6"/>
        <w:rPr>
          <w:rFonts w:cs="Times New Roman"/>
          <w:color w:val="000000" w:themeColor="text1"/>
          <w14:textFill>
            <w14:solidFill>
              <w14:schemeClr w14:val="tx1"/>
            </w14:solidFill>
          </w14:textFill>
        </w:rPr>
      </w:pPr>
      <w:bookmarkStart w:id="462" w:name="_Toc20983"/>
      <w:r>
        <w:rPr>
          <w:rFonts w:cs="Times New Roman"/>
          <w:color w:val="000000" w:themeColor="text1"/>
          <w14:textFill>
            <w14:solidFill>
              <w14:schemeClr w14:val="tx1"/>
            </w14:solidFill>
          </w14:textFill>
        </w:rPr>
        <w:t>附件</w:t>
      </w:r>
      <w:r>
        <w:rPr>
          <w:rFonts w:hint="eastAsia" w:cs="Times New Roman"/>
          <w:color w:val="000000" w:themeColor="text1"/>
          <w:lang w:val="en-US" w:eastAsia="zh-CN"/>
          <w14:textFill>
            <w14:solidFill>
              <w14:schemeClr w14:val="tx1"/>
            </w14:solidFill>
          </w14:textFill>
        </w:rPr>
        <w:t>5</w:t>
      </w:r>
      <w:r>
        <w:rPr>
          <w:rFonts w:cs="Times New Roman"/>
          <w:color w:val="000000" w:themeColor="text1"/>
          <w14:textFill>
            <w14:solidFill>
              <w14:schemeClr w14:val="tx1"/>
            </w14:solidFill>
          </w14:textFill>
        </w:rPr>
        <w:t xml:space="preserve"> </w:t>
      </w:r>
      <w:r>
        <w:rPr>
          <w:rFonts w:hint="eastAsia" w:cs="Times New Roman"/>
          <w:color w:val="000000" w:themeColor="text1"/>
          <w14:textFill>
            <w14:solidFill>
              <w14:schemeClr w14:val="tx1"/>
            </w14:solidFill>
          </w14:textFill>
        </w:rPr>
        <w:t>现状监测报告</w:t>
      </w:r>
      <w:bookmarkEnd w:id="462"/>
    </w:p>
    <w:p w14:paraId="6B7F6AEC">
      <w:pPr>
        <w:pStyle w:val="143"/>
        <w:rPr>
          <w:color w:val="000000" w:themeColor="text1"/>
          <w14:textFill>
            <w14:solidFill>
              <w14:schemeClr w14:val="tx1"/>
            </w14:solidFill>
          </w14:textFill>
        </w:rPr>
      </w:pPr>
      <w:r>
        <w:drawing>
          <wp:inline distT="0" distB="0" distL="114300" distR="114300">
            <wp:extent cx="5278120" cy="7206615"/>
            <wp:effectExtent l="0" t="0" r="17780" b="13335"/>
            <wp:docPr id="15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44"/>
                    <pic:cNvPicPr>
                      <a:picLocks noChangeAspect="1"/>
                    </pic:cNvPicPr>
                  </pic:nvPicPr>
                  <pic:blipFill>
                    <a:blip r:embed="rId149"/>
                    <a:stretch>
                      <a:fillRect/>
                    </a:stretch>
                  </pic:blipFill>
                  <pic:spPr>
                    <a:xfrm>
                      <a:off x="0" y="0"/>
                      <a:ext cx="5278120" cy="7206615"/>
                    </a:xfrm>
                    <a:prstGeom prst="rect">
                      <a:avLst/>
                    </a:prstGeom>
                    <a:noFill/>
                    <a:ln>
                      <a:noFill/>
                    </a:ln>
                  </pic:spPr>
                </pic:pic>
              </a:graphicData>
            </a:graphic>
          </wp:inline>
        </w:drawing>
      </w:r>
    </w:p>
    <w:p w14:paraId="0BC654B3">
      <w:pPr>
        <w:pStyle w:val="143"/>
        <w:rPr>
          <w:color w:val="000000" w:themeColor="text1"/>
          <w14:textFill>
            <w14:solidFill>
              <w14:schemeClr w14:val="tx1"/>
            </w14:solidFill>
          </w14:textFill>
        </w:rPr>
      </w:pPr>
    </w:p>
    <w:p w14:paraId="54885BCE">
      <w:pPr>
        <w:pStyle w:val="143"/>
        <w:rPr>
          <w:color w:val="000000" w:themeColor="text1"/>
          <w14:textFill>
            <w14:solidFill>
              <w14:schemeClr w14:val="tx1"/>
            </w14:solidFill>
          </w14:textFill>
        </w:rPr>
      </w:pPr>
    </w:p>
    <w:p w14:paraId="695469F6">
      <w:pPr>
        <w:pStyle w:val="143"/>
        <w:rPr>
          <w:color w:val="000000" w:themeColor="text1"/>
          <w14:textFill>
            <w14:solidFill>
              <w14:schemeClr w14:val="tx1"/>
            </w14:solidFill>
          </w14:textFill>
        </w:rPr>
      </w:pPr>
    </w:p>
    <w:p w14:paraId="3D91BB74">
      <w:pPr>
        <w:pStyle w:val="143"/>
        <w:rPr>
          <w:color w:val="000000" w:themeColor="text1"/>
          <w14:textFill>
            <w14:solidFill>
              <w14:schemeClr w14:val="tx1"/>
            </w14:solidFill>
          </w14:textFill>
        </w:rPr>
      </w:pPr>
    </w:p>
    <w:p w14:paraId="66C3A156">
      <w:pPr>
        <w:pStyle w:val="143"/>
        <w:rPr>
          <w:color w:val="000000" w:themeColor="text1"/>
          <w14:textFill>
            <w14:solidFill>
              <w14:schemeClr w14:val="tx1"/>
            </w14:solidFill>
          </w14:textFill>
        </w:rPr>
      </w:pPr>
    </w:p>
    <w:p w14:paraId="4366AD8D">
      <w:pPr>
        <w:pStyle w:val="143"/>
        <w:rPr>
          <w:color w:val="000000" w:themeColor="text1"/>
          <w14:textFill>
            <w14:solidFill>
              <w14:schemeClr w14:val="tx1"/>
            </w14:solidFill>
          </w14:textFill>
        </w:rPr>
      </w:pPr>
    </w:p>
    <w:p w14:paraId="3C4EFDE6">
      <w:pPr>
        <w:pStyle w:val="143"/>
        <w:rPr>
          <w:color w:val="000000" w:themeColor="text1"/>
          <w14:textFill>
            <w14:solidFill>
              <w14:schemeClr w14:val="tx1"/>
            </w14:solidFill>
          </w14:textFill>
        </w:rPr>
      </w:pPr>
    </w:p>
    <w:p w14:paraId="714FC7E0">
      <w:pPr>
        <w:pStyle w:val="143"/>
        <w:rPr>
          <w:color w:val="000000" w:themeColor="text1"/>
          <w14:textFill>
            <w14:solidFill>
              <w14:schemeClr w14:val="tx1"/>
            </w14:solidFill>
          </w14:textFill>
        </w:rPr>
      </w:pPr>
    </w:p>
    <w:p w14:paraId="6B8C1F2D">
      <w:pPr>
        <w:pStyle w:val="143"/>
        <w:rPr>
          <w:color w:val="000000" w:themeColor="text1"/>
          <w14:textFill>
            <w14:solidFill>
              <w14:schemeClr w14:val="tx1"/>
            </w14:solidFill>
          </w14:textFill>
        </w:rPr>
      </w:pPr>
      <w:r>
        <w:drawing>
          <wp:inline distT="0" distB="0" distL="114300" distR="114300">
            <wp:extent cx="5274945" cy="7141845"/>
            <wp:effectExtent l="0" t="0" r="1905" b="1905"/>
            <wp:docPr id="15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45"/>
                    <pic:cNvPicPr>
                      <a:picLocks noChangeAspect="1"/>
                    </pic:cNvPicPr>
                  </pic:nvPicPr>
                  <pic:blipFill>
                    <a:blip r:embed="rId150"/>
                    <a:stretch>
                      <a:fillRect/>
                    </a:stretch>
                  </pic:blipFill>
                  <pic:spPr>
                    <a:xfrm>
                      <a:off x="0" y="0"/>
                      <a:ext cx="5274945" cy="7141845"/>
                    </a:xfrm>
                    <a:prstGeom prst="rect">
                      <a:avLst/>
                    </a:prstGeom>
                    <a:noFill/>
                    <a:ln>
                      <a:noFill/>
                    </a:ln>
                  </pic:spPr>
                </pic:pic>
              </a:graphicData>
            </a:graphic>
          </wp:inline>
        </w:drawing>
      </w:r>
    </w:p>
    <w:p w14:paraId="7D9BEF00">
      <w:pPr>
        <w:pStyle w:val="143"/>
        <w:rPr>
          <w:color w:val="000000" w:themeColor="text1"/>
          <w14:textFill>
            <w14:solidFill>
              <w14:schemeClr w14:val="tx1"/>
            </w14:solidFill>
          </w14:textFill>
        </w:rPr>
      </w:pPr>
    </w:p>
    <w:p w14:paraId="15F68776">
      <w:pPr>
        <w:pStyle w:val="143"/>
        <w:rPr>
          <w:color w:val="000000" w:themeColor="text1"/>
          <w14:textFill>
            <w14:solidFill>
              <w14:schemeClr w14:val="tx1"/>
            </w14:solidFill>
          </w14:textFill>
        </w:rPr>
      </w:pPr>
    </w:p>
    <w:p w14:paraId="02B9046C">
      <w:pPr>
        <w:pStyle w:val="143"/>
        <w:rPr>
          <w:color w:val="000000" w:themeColor="text1"/>
          <w14:textFill>
            <w14:solidFill>
              <w14:schemeClr w14:val="tx1"/>
            </w14:solidFill>
          </w14:textFill>
        </w:rPr>
      </w:pPr>
    </w:p>
    <w:p w14:paraId="548A7B2B">
      <w:pPr>
        <w:pStyle w:val="143"/>
        <w:rPr>
          <w:color w:val="000000" w:themeColor="text1"/>
          <w14:textFill>
            <w14:solidFill>
              <w14:schemeClr w14:val="tx1"/>
            </w14:solidFill>
          </w14:textFill>
        </w:rPr>
      </w:pPr>
    </w:p>
    <w:p w14:paraId="1DD17D32">
      <w:pPr>
        <w:pStyle w:val="143"/>
        <w:rPr>
          <w:color w:val="000000" w:themeColor="text1"/>
          <w14:textFill>
            <w14:solidFill>
              <w14:schemeClr w14:val="tx1"/>
            </w14:solidFill>
          </w14:textFill>
        </w:rPr>
      </w:pPr>
    </w:p>
    <w:p w14:paraId="53634674">
      <w:pPr>
        <w:pStyle w:val="143"/>
        <w:rPr>
          <w:color w:val="000000" w:themeColor="text1"/>
          <w14:textFill>
            <w14:solidFill>
              <w14:schemeClr w14:val="tx1"/>
            </w14:solidFill>
          </w14:textFill>
        </w:rPr>
      </w:pPr>
    </w:p>
    <w:p w14:paraId="16A3A882">
      <w:pPr>
        <w:pStyle w:val="143"/>
        <w:rPr>
          <w:color w:val="000000" w:themeColor="text1"/>
          <w14:textFill>
            <w14:solidFill>
              <w14:schemeClr w14:val="tx1"/>
            </w14:solidFill>
          </w14:textFill>
        </w:rPr>
      </w:pPr>
    </w:p>
    <w:p w14:paraId="69523D52">
      <w:pPr>
        <w:pStyle w:val="143"/>
        <w:rPr>
          <w:color w:val="000000" w:themeColor="text1"/>
          <w14:textFill>
            <w14:solidFill>
              <w14:schemeClr w14:val="tx1"/>
            </w14:solidFill>
          </w14:textFill>
        </w:rPr>
      </w:pPr>
    </w:p>
    <w:p w14:paraId="0A8BD3A3">
      <w:pPr>
        <w:pStyle w:val="143"/>
        <w:rPr>
          <w:color w:val="000000" w:themeColor="text1"/>
          <w14:textFill>
            <w14:solidFill>
              <w14:schemeClr w14:val="tx1"/>
            </w14:solidFill>
          </w14:textFill>
        </w:rPr>
      </w:pPr>
    </w:p>
    <w:p w14:paraId="05E3CA43">
      <w:pPr>
        <w:pStyle w:val="143"/>
        <w:rPr>
          <w:color w:val="000000" w:themeColor="text1"/>
          <w14:textFill>
            <w14:solidFill>
              <w14:schemeClr w14:val="tx1"/>
            </w14:solidFill>
          </w14:textFill>
        </w:rPr>
      </w:pPr>
    </w:p>
    <w:p w14:paraId="3F99324E">
      <w:pPr>
        <w:pStyle w:val="143"/>
        <w:rPr>
          <w:color w:val="000000" w:themeColor="text1"/>
          <w14:textFill>
            <w14:solidFill>
              <w14:schemeClr w14:val="tx1"/>
            </w14:solidFill>
          </w14:textFill>
        </w:rPr>
      </w:pPr>
    </w:p>
    <w:p w14:paraId="24B90110">
      <w:pPr>
        <w:pStyle w:val="143"/>
        <w:rPr>
          <w:color w:val="000000" w:themeColor="text1"/>
          <w14:textFill>
            <w14:solidFill>
              <w14:schemeClr w14:val="tx1"/>
            </w14:solidFill>
          </w14:textFill>
        </w:rPr>
      </w:pPr>
      <w:r>
        <w:drawing>
          <wp:inline distT="0" distB="0" distL="114300" distR="114300">
            <wp:extent cx="5273675" cy="7207885"/>
            <wp:effectExtent l="0" t="0" r="3175" b="12065"/>
            <wp:docPr id="16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46"/>
                    <pic:cNvPicPr>
                      <a:picLocks noChangeAspect="1"/>
                    </pic:cNvPicPr>
                  </pic:nvPicPr>
                  <pic:blipFill>
                    <a:blip r:embed="rId151"/>
                    <a:stretch>
                      <a:fillRect/>
                    </a:stretch>
                  </pic:blipFill>
                  <pic:spPr>
                    <a:xfrm>
                      <a:off x="0" y="0"/>
                      <a:ext cx="5273675" cy="7207885"/>
                    </a:xfrm>
                    <a:prstGeom prst="rect">
                      <a:avLst/>
                    </a:prstGeom>
                    <a:noFill/>
                    <a:ln>
                      <a:noFill/>
                    </a:ln>
                  </pic:spPr>
                </pic:pic>
              </a:graphicData>
            </a:graphic>
          </wp:inline>
        </w:drawing>
      </w:r>
    </w:p>
    <w:p w14:paraId="5627488C">
      <w:pPr>
        <w:pStyle w:val="143"/>
        <w:rPr>
          <w:color w:val="000000" w:themeColor="text1"/>
          <w14:textFill>
            <w14:solidFill>
              <w14:schemeClr w14:val="tx1"/>
            </w14:solidFill>
          </w14:textFill>
        </w:rPr>
      </w:pPr>
    </w:p>
    <w:p w14:paraId="310C1BEA">
      <w:pPr>
        <w:pStyle w:val="143"/>
        <w:rPr>
          <w:color w:val="000000" w:themeColor="text1"/>
          <w14:textFill>
            <w14:solidFill>
              <w14:schemeClr w14:val="tx1"/>
            </w14:solidFill>
          </w14:textFill>
        </w:rPr>
      </w:pPr>
    </w:p>
    <w:p w14:paraId="729984E1">
      <w:pPr>
        <w:pStyle w:val="143"/>
        <w:rPr>
          <w:color w:val="000000" w:themeColor="text1"/>
          <w14:textFill>
            <w14:solidFill>
              <w14:schemeClr w14:val="tx1"/>
            </w14:solidFill>
          </w14:textFill>
        </w:rPr>
      </w:pPr>
    </w:p>
    <w:p w14:paraId="1658366D">
      <w:pPr>
        <w:pStyle w:val="143"/>
        <w:rPr>
          <w:color w:val="000000" w:themeColor="text1"/>
          <w14:textFill>
            <w14:solidFill>
              <w14:schemeClr w14:val="tx1"/>
            </w14:solidFill>
          </w14:textFill>
        </w:rPr>
      </w:pPr>
    </w:p>
    <w:p w14:paraId="642AF22E">
      <w:pPr>
        <w:pStyle w:val="143"/>
        <w:rPr>
          <w:color w:val="000000" w:themeColor="text1"/>
          <w14:textFill>
            <w14:solidFill>
              <w14:schemeClr w14:val="tx1"/>
            </w14:solidFill>
          </w14:textFill>
        </w:rPr>
      </w:pPr>
    </w:p>
    <w:p w14:paraId="21E6BE30">
      <w:pPr>
        <w:pStyle w:val="143"/>
        <w:rPr>
          <w:color w:val="000000" w:themeColor="text1"/>
          <w14:textFill>
            <w14:solidFill>
              <w14:schemeClr w14:val="tx1"/>
            </w14:solidFill>
          </w14:textFill>
        </w:rPr>
      </w:pPr>
    </w:p>
    <w:p w14:paraId="4732CD33">
      <w:pPr>
        <w:pStyle w:val="143"/>
        <w:rPr>
          <w:color w:val="000000" w:themeColor="text1"/>
          <w14:textFill>
            <w14:solidFill>
              <w14:schemeClr w14:val="tx1"/>
            </w14:solidFill>
          </w14:textFill>
        </w:rPr>
      </w:pPr>
    </w:p>
    <w:p w14:paraId="377CFAB0">
      <w:pPr>
        <w:pStyle w:val="143"/>
        <w:rPr>
          <w:color w:val="000000" w:themeColor="text1"/>
          <w14:textFill>
            <w14:solidFill>
              <w14:schemeClr w14:val="tx1"/>
            </w14:solidFill>
          </w14:textFill>
        </w:rPr>
      </w:pPr>
    </w:p>
    <w:p w14:paraId="027DC2D7">
      <w:pPr>
        <w:pStyle w:val="143"/>
        <w:rPr>
          <w:color w:val="000000" w:themeColor="text1"/>
          <w14:textFill>
            <w14:solidFill>
              <w14:schemeClr w14:val="tx1"/>
            </w14:solidFill>
          </w14:textFill>
        </w:rPr>
      </w:pPr>
    </w:p>
    <w:p w14:paraId="05160FA7">
      <w:pPr>
        <w:pStyle w:val="143"/>
        <w:rPr>
          <w:color w:val="000000" w:themeColor="text1"/>
          <w14:textFill>
            <w14:solidFill>
              <w14:schemeClr w14:val="tx1"/>
            </w14:solidFill>
          </w14:textFill>
        </w:rPr>
      </w:pPr>
    </w:p>
    <w:p w14:paraId="0C9D961B">
      <w:pPr>
        <w:pStyle w:val="143"/>
        <w:rPr>
          <w:color w:val="000000" w:themeColor="text1"/>
          <w14:textFill>
            <w14:solidFill>
              <w14:schemeClr w14:val="tx1"/>
            </w14:solidFill>
          </w14:textFill>
        </w:rPr>
      </w:pPr>
      <w:r>
        <w:drawing>
          <wp:inline distT="0" distB="0" distL="114300" distR="114300">
            <wp:extent cx="5278120" cy="7248525"/>
            <wp:effectExtent l="0" t="0" r="17780" b="9525"/>
            <wp:docPr id="16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47"/>
                    <pic:cNvPicPr>
                      <a:picLocks noChangeAspect="1"/>
                    </pic:cNvPicPr>
                  </pic:nvPicPr>
                  <pic:blipFill>
                    <a:blip r:embed="rId152"/>
                    <a:stretch>
                      <a:fillRect/>
                    </a:stretch>
                  </pic:blipFill>
                  <pic:spPr>
                    <a:xfrm>
                      <a:off x="0" y="0"/>
                      <a:ext cx="5278120" cy="7248525"/>
                    </a:xfrm>
                    <a:prstGeom prst="rect">
                      <a:avLst/>
                    </a:prstGeom>
                    <a:noFill/>
                    <a:ln>
                      <a:noFill/>
                    </a:ln>
                  </pic:spPr>
                </pic:pic>
              </a:graphicData>
            </a:graphic>
          </wp:inline>
        </w:drawing>
      </w:r>
    </w:p>
    <w:p w14:paraId="5B4FBE26">
      <w:pPr>
        <w:pStyle w:val="143"/>
        <w:rPr>
          <w:color w:val="000000" w:themeColor="text1"/>
          <w14:textFill>
            <w14:solidFill>
              <w14:schemeClr w14:val="tx1"/>
            </w14:solidFill>
          </w14:textFill>
        </w:rPr>
      </w:pPr>
    </w:p>
    <w:p w14:paraId="1E3DF9D0">
      <w:pPr>
        <w:pStyle w:val="143"/>
        <w:rPr>
          <w:color w:val="000000" w:themeColor="text1"/>
          <w14:textFill>
            <w14:solidFill>
              <w14:schemeClr w14:val="tx1"/>
            </w14:solidFill>
          </w14:textFill>
        </w:rPr>
      </w:pPr>
    </w:p>
    <w:p w14:paraId="06AF9091">
      <w:pPr>
        <w:pStyle w:val="143"/>
        <w:rPr>
          <w:color w:val="000000" w:themeColor="text1"/>
          <w14:textFill>
            <w14:solidFill>
              <w14:schemeClr w14:val="tx1"/>
            </w14:solidFill>
          </w14:textFill>
        </w:rPr>
      </w:pPr>
    </w:p>
    <w:p w14:paraId="086D3336">
      <w:pPr>
        <w:pStyle w:val="143"/>
        <w:rPr>
          <w:color w:val="000000" w:themeColor="text1"/>
          <w14:textFill>
            <w14:solidFill>
              <w14:schemeClr w14:val="tx1"/>
            </w14:solidFill>
          </w14:textFill>
        </w:rPr>
      </w:pPr>
    </w:p>
    <w:p w14:paraId="41DF98CE">
      <w:pPr>
        <w:pStyle w:val="143"/>
        <w:rPr>
          <w:color w:val="000000" w:themeColor="text1"/>
          <w14:textFill>
            <w14:solidFill>
              <w14:schemeClr w14:val="tx1"/>
            </w14:solidFill>
          </w14:textFill>
        </w:rPr>
      </w:pPr>
    </w:p>
    <w:p w14:paraId="132A0334">
      <w:pPr>
        <w:pStyle w:val="143"/>
        <w:rPr>
          <w:color w:val="000000" w:themeColor="text1"/>
          <w14:textFill>
            <w14:solidFill>
              <w14:schemeClr w14:val="tx1"/>
            </w14:solidFill>
          </w14:textFill>
        </w:rPr>
      </w:pPr>
    </w:p>
    <w:p w14:paraId="0FB6AB7F">
      <w:pPr>
        <w:pStyle w:val="143"/>
        <w:rPr>
          <w:color w:val="000000" w:themeColor="text1"/>
          <w14:textFill>
            <w14:solidFill>
              <w14:schemeClr w14:val="tx1"/>
            </w14:solidFill>
          </w14:textFill>
        </w:rPr>
      </w:pPr>
    </w:p>
    <w:p w14:paraId="123742EF">
      <w:pPr>
        <w:pStyle w:val="143"/>
        <w:rPr>
          <w:color w:val="000000" w:themeColor="text1"/>
          <w14:textFill>
            <w14:solidFill>
              <w14:schemeClr w14:val="tx1"/>
            </w14:solidFill>
          </w14:textFill>
        </w:rPr>
      </w:pPr>
    </w:p>
    <w:p w14:paraId="4F0A90D5">
      <w:pPr>
        <w:pStyle w:val="143"/>
        <w:rPr>
          <w:color w:val="000000" w:themeColor="text1"/>
          <w14:textFill>
            <w14:solidFill>
              <w14:schemeClr w14:val="tx1"/>
            </w14:solidFill>
          </w14:textFill>
        </w:rPr>
      </w:pPr>
    </w:p>
    <w:p w14:paraId="0DDDAB57">
      <w:pPr>
        <w:pStyle w:val="143"/>
        <w:rPr>
          <w:color w:val="000000" w:themeColor="text1"/>
          <w14:textFill>
            <w14:solidFill>
              <w14:schemeClr w14:val="tx1"/>
            </w14:solidFill>
          </w14:textFill>
        </w:rPr>
      </w:pPr>
    </w:p>
    <w:p w14:paraId="32055237">
      <w:pPr>
        <w:pStyle w:val="143"/>
        <w:rPr>
          <w:color w:val="000000" w:themeColor="text1"/>
          <w14:textFill>
            <w14:solidFill>
              <w14:schemeClr w14:val="tx1"/>
            </w14:solidFill>
          </w14:textFill>
        </w:rPr>
      </w:pPr>
      <w:r>
        <w:drawing>
          <wp:inline distT="0" distB="0" distL="114300" distR="114300">
            <wp:extent cx="5273040" cy="7175500"/>
            <wp:effectExtent l="0" t="0" r="3810" b="6350"/>
            <wp:docPr id="16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48"/>
                    <pic:cNvPicPr>
                      <a:picLocks noChangeAspect="1"/>
                    </pic:cNvPicPr>
                  </pic:nvPicPr>
                  <pic:blipFill>
                    <a:blip r:embed="rId153"/>
                    <a:stretch>
                      <a:fillRect/>
                    </a:stretch>
                  </pic:blipFill>
                  <pic:spPr>
                    <a:xfrm>
                      <a:off x="0" y="0"/>
                      <a:ext cx="5273040" cy="7175500"/>
                    </a:xfrm>
                    <a:prstGeom prst="rect">
                      <a:avLst/>
                    </a:prstGeom>
                    <a:noFill/>
                    <a:ln>
                      <a:noFill/>
                    </a:ln>
                  </pic:spPr>
                </pic:pic>
              </a:graphicData>
            </a:graphic>
          </wp:inline>
        </w:drawing>
      </w:r>
    </w:p>
    <w:p w14:paraId="1AF598C3">
      <w:pPr>
        <w:pStyle w:val="143"/>
        <w:rPr>
          <w:color w:val="000000" w:themeColor="text1"/>
          <w14:textFill>
            <w14:solidFill>
              <w14:schemeClr w14:val="tx1"/>
            </w14:solidFill>
          </w14:textFill>
        </w:rPr>
      </w:pPr>
    </w:p>
    <w:p w14:paraId="3EB92831">
      <w:pPr>
        <w:pStyle w:val="143"/>
        <w:rPr>
          <w:color w:val="000000" w:themeColor="text1"/>
          <w14:textFill>
            <w14:solidFill>
              <w14:schemeClr w14:val="tx1"/>
            </w14:solidFill>
          </w14:textFill>
        </w:rPr>
      </w:pPr>
    </w:p>
    <w:p w14:paraId="6BD32B7F">
      <w:pPr>
        <w:pStyle w:val="143"/>
        <w:rPr>
          <w:color w:val="000000" w:themeColor="text1"/>
          <w14:textFill>
            <w14:solidFill>
              <w14:schemeClr w14:val="tx1"/>
            </w14:solidFill>
          </w14:textFill>
        </w:rPr>
      </w:pPr>
    </w:p>
    <w:p w14:paraId="6AE3F30E">
      <w:pPr>
        <w:pStyle w:val="143"/>
        <w:rPr>
          <w:color w:val="000000" w:themeColor="text1"/>
          <w14:textFill>
            <w14:solidFill>
              <w14:schemeClr w14:val="tx1"/>
            </w14:solidFill>
          </w14:textFill>
        </w:rPr>
      </w:pPr>
    </w:p>
    <w:p w14:paraId="07318208">
      <w:pPr>
        <w:pStyle w:val="143"/>
        <w:rPr>
          <w:color w:val="000000" w:themeColor="text1"/>
          <w14:textFill>
            <w14:solidFill>
              <w14:schemeClr w14:val="tx1"/>
            </w14:solidFill>
          </w14:textFill>
        </w:rPr>
      </w:pPr>
    </w:p>
    <w:p w14:paraId="476ACC30">
      <w:pPr>
        <w:pStyle w:val="143"/>
        <w:rPr>
          <w:color w:val="000000" w:themeColor="text1"/>
          <w14:textFill>
            <w14:solidFill>
              <w14:schemeClr w14:val="tx1"/>
            </w14:solidFill>
          </w14:textFill>
        </w:rPr>
      </w:pPr>
    </w:p>
    <w:p w14:paraId="481A5EA7">
      <w:pPr>
        <w:pStyle w:val="143"/>
        <w:rPr>
          <w:color w:val="000000" w:themeColor="text1"/>
          <w14:textFill>
            <w14:solidFill>
              <w14:schemeClr w14:val="tx1"/>
            </w14:solidFill>
          </w14:textFill>
        </w:rPr>
      </w:pPr>
    </w:p>
    <w:p w14:paraId="51FA8824">
      <w:pPr>
        <w:pStyle w:val="143"/>
        <w:rPr>
          <w:color w:val="000000" w:themeColor="text1"/>
          <w14:textFill>
            <w14:solidFill>
              <w14:schemeClr w14:val="tx1"/>
            </w14:solidFill>
          </w14:textFill>
        </w:rPr>
      </w:pPr>
    </w:p>
    <w:p w14:paraId="5CBFC91C">
      <w:pPr>
        <w:pStyle w:val="143"/>
        <w:rPr>
          <w:color w:val="000000" w:themeColor="text1"/>
          <w14:textFill>
            <w14:solidFill>
              <w14:schemeClr w14:val="tx1"/>
            </w14:solidFill>
          </w14:textFill>
        </w:rPr>
      </w:pPr>
    </w:p>
    <w:p w14:paraId="6D485C20">
      <w:pPr>
        <w:pStyle w:val="143"/>
        <w:rPr>
          <w:color w:val="000000" w:themeColor="text1"/>
          <w14:textFill>
            <w14:solidFill>
              <w14:schemeClr w14:val="tx1"/>
            </w14:solidFill>
          </w14:textFill>
        </w:rPr>
      </w:pPr>
    </w:p>
    <w:p w14:paraId="4E530A00">
      <w:pPr>
        <w:pStyle w:val="143"/>
        <w:rPr>
          <w:color w:val="000000" w:themeColor="text1"/>
          <w14:textFill>
            <w14:solidFill>
              <w14:schemeClr w14:val="tx1"/>
            </w14:solidFill>
          </w14:textFill>
        </w:rPr>
      </w:pPr>
      <w:r>
        <w:drawing>
          <wp:inline distT="0" distB="0" distL="114300" distR="114300">
            <wp:extent cx="5276850" cy="7240905"/>
            <wp:effectExtent l="0" t="0" r="0" b="17145"/>
            <wp:docPr id="16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49"/>
                    <pic:cNvPicPr>
                      <a:picLocks noChangeAspect="1"/>
                    </pic:cNvPicPr>
                  </pic:nvPicPr>
                  <pic:blipFill>
                    <a:blip r:embed="rId154"/>
                    <a:stretch>
                      <a:fillRect/>
                    </a:stretch>
                  </pic:blipFill>
                  <pic:spPr>
                    <a:xfrm>
                      <a:off x="0" y="0"/>
                      <a:ext cx="5276850" cy="7240905"/>
                    </a:xfrm>
                    <a:prstGeom prst="rect">
                      <a:avLst/>
                    </a:prstGeom>
                    <a:noFill/>
                    <a:ln>
                      <a:noFill/>
                    </a:ln>
                  </pic:spPr>
                </pic:pic>
              </a:graphicData>
            </a:graphic>
          </wp:inline>
        </w:drawing>
      </w:r>
    </w:p>
    <w:p w14:paraId="3B87EAFA">
      <w:pPr>
        <w:pStyle w:val="143"/>
        <w:rPr>
          <w:color w:val="000000" w:themeColor="text1"/>
          <w14:textFill>
            <w14:solidFill>
              <w14:schemeClr w14:val="tx1"/>
            </w14:solidFill>
          </w14:textFill>
        </w:rPr>
      </w:pPr>
    </w:p>
    <w:p w14:paraId="08EA99BC">
      <w:pPr>
        <w:pStyle w:val="143"/>
        <w:rPr>
          <w:color w:val="000000" w:themeColor="text1"/>
          <w14:textFill>
            <w14:solidFill>
              <w14:schemeClr w14:val="tx1"/>
            </w14:solidFill>
          </w14:textFill>
        </w:rPr>
      </w:pPr>
    </w:p>
    <w:p w14:paraId="35FC733C">
      <w:pPr>
        <w:pStyle w:val="143"/>
        <w:rPr>
          <w:color w:val="000000" w:themeColor="text1"/>
          <w14:textFill>
            <w14:solidFill>
              <w14:schemeClr w14:val="tx1"/>
            </w14:solidFill>
          </w14:textFill>
        </w:rPr>
      </w:pPr>
    </w:p>
    <w:p w14:paraId="0B964EC6">
      <w:pPr>
        <w:pStyle w:val="143"/>
        <w:rPr>
          <w:color w:val="000000" w:themeColor="text1"/>
          <w14:textFill>
            <w14:solidFill>
              <w14:schemeClr w14:val="tx1"/>
            </w14:solidFill>
          </w14:textFill>
        </w:rPr>
      </w:pPr>
    </w:p>
    <w:p w14:paraId="2D3F4098">
      <w:pPr>
        <w:pStyle w:val="143"/>
        <w:rPr>
          <w:color w:val="000000" w:themeColor="text1"/>
          <w14:textFill>
            <w14:solidFill>
              <w14:schemeClr w14:val="tx1"/>
            </w14:solidFill>
          </w14:textFill>
        </w:rPr>
      </w:pPr>
    </w:p>
    <w:p w14:paraId="172BB005">
      <w:pPr>
        <w:pStyle w:val="143"/>
        <w:rPr>
          <w:color w:val="000000" w:themeColor="text1"/>
          <w14:textFill>
            <w14:solidFill>
              <w14:schemeClr w14:val="tx1"/>
            </w14:solidFill>
          </w14:textFill>
        </w:rPr>
      </w:pPr>
    </w:p>
    <w:p w14:paraId="5215A640">
      <w:pPr>
        <w:pStyle w:val="143"/>
        <w:rPr>
          <w:color w:val="000000" w:themeColor="text1"/>
          <w14:textFill>
            <w14:solidFill>
              <w14:schemeClr w14:val="tx1"/>
            </w14:solidFill>
          </w14:textFill>
        </w:rPr>
      </w:pPr>
    </w:p>
    <w:p w14:paraId="58A63022">
      <w:pPr>
        <w:pStyle w:val="143"/>
        <w:rPr>
          <w:color w:val="000000" w:themeColor="text1"/>
          <w14:textFill>
            <w14:solidFill>
              <w14:schemeClr w14:val="tx1"/>
            </w14:solidFill>
          </w14:textFill>
        </w:rPr>
      </w:pPr>
    </w:p>
    <w:p w14:paraId="4830CDE9">
      <w:pPr>
        <w:pStyle w:val="143"/>
        <w:rPr>
          <w:color w:val="000000" w:themeColor="text1"/>
          <w14:textFill>
            <w14:solidFill>
              <w14:schemeClr w14:val="tx1"/>
            </w14:solidFill>
          </w14:textFill>
        </w:rPr>
      </w:pPr>
    </w:p>
    <w:p w14:paraId="1ED56FEA">
      <w:pPr>
        <w:pStyle w:val="143"/>
        <w:rPr>
          <w:color w:val="000000" w:themeColor="text1"/>
          <w14:textFill>
            <w14:solidFill>
              <w14:schemeClr w14:val="tx1"/>
            </w14:solidFill>
          </w14:textFill>
        </w:rPr>
      </w:pPr>
    </w:p>
    <w:p w14:paraId="080543C1">
      <w:pPr>
        <w:pStyle w:val="143"/>
        <w:rPr>
          <w:color w:val="000000" w:themeColor="text1"/>
          <w14:textFill>
            <w14:solidFill>
              <w14:schemeClr w14:val="tx1"/>
            </w14:solidFill>
          </w14:textFill>
        </w:rPr>
      </w:pPr>
      <w:r>
        <w:drawing>
          <wp:inline distT="0" distB="0" distL="114300" distR="114300">
            <wp:extent cx="5278120" cy="7232015"/>
            <wp:effectExtent l="0" t="0" r="17780" b="6985"/>
            <wp:docPr id="16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50"/>
                    <pic:cNvPicPr>
                      <a:picLocks noChangeAspect="1"/>
                    </pic:cNvPicPr>
                  </pic:nvPicPr>
                  <pic:blipFill>
                    <a:blip r:embed="rId155"/>
                    <a:stretch>
                      <a:fillRect/>
                    </a:stretch>
                  </pic:blipFill>
                  <pic:spPr>
                    <a:xfrm>
                      <a:off x="0" y="0"/>
                      <a:ext cx="5278120" cy="7232015"/>
                    </a:xfrm>
                    <a:prstGeom prst="rect">
                      <a:avLst/>
                    </a:prstGeom>
                    <a:noFill/>
                    <a:ln>
                      <a:noFill/>
                    </a:ln>
                  </pic:spPr>
                </pic:pic>
              </a:graphicData>
            </a:graphic>
          </wp:inline>
        </w:drawing>
      </w:r>
    </w:p>
    <w:p w14:paraId="4C30A234">
      <w:pPr>
        <w:pStyle w:val="143"/>
        <w:rPr>
          <w:color w:val="000000" w:themeColor="text1"/>
          <w14:textFill>
            <w14:solidFill>
              <w14:schemeClr w14:val="tx1"/>
            </w14:solidFill>
          </w14:textFill>
        </w:rPr>
      </w:pPr>
    </w:p>
    <w:p w14:paraId="050038D1">
      <w:pPr>
        <w:pStyle w:val="143"/>
        <w:rPr>
          <w:color w:val="000000" w:themeColor="text1"/>
          <w14:textFill>
            <w14:solidFill>
              <w14:schemeClr w14:val="tx1"/>
            </w14:solidFill>
          </w14:textFill>
        </w:rPr>
      </w:pPr>
    </w:p>
    <w:p w14:paraId="33AB54E4">
      <w:pPr>
        <w:pStyle w:val="143"/>
        <w:rPr>
          <w:color w:val="000000" w:themeColor="text1"/>
          <w14:textFill>
            <w14:solidFill>
              <w14:schemeClr w14:val="tx1"/>
            </w14:solidFill>
          </w14:textFill>
        </w:rPr>
      </w:pPr>
    </w:p>
    <w:p w14:paraId="34C72DE5">
      <w:pPr>
        <w:pStyle w:val="143"/>
        <w:rPr>
          <w:color w:val="000000" w:themeColor="text1"/>
          <w14:textFill>
            <w14:solidFill>
              <w14:schemeClr w14:val="tx1"/>
            </w14:solidFill>
          </w14:textFill>
        </w:rPr>
      </w:pPr>
    </w:p>
    <w:p w14:paraId="5D5ADA08">
      <w:pPr>
        <w:pStyle w:val="143"/>
        <w:rPr>
          <w:color w:val="000000" w:themeColor="text1"/>
          <w14:textFill>
            <w14:solidFill>
              <w14:schemeClr w14:val="tx1"/>
            </w14:solidFill>
          </w14:textFill>
        </w:rPr>
      </w:pPr>
    </w:p>
    <w:p w14:paraId="57DC34A9">
      <w:pPr>
        <w:pStyle w:val="143"/>
        <w:rPr>
          <w:color w:val="000000" w:themeColor="text1"/>
          <w14:textFill>
            <w14:solidFill>
              <w14:schemeClr w14:val="tx1"/>
            </w14:solidFill>
          </w14:textFill>
        </w:rPr>
      </w:pPr>
    </w:p>
    <w:p w14:paraId="23510CAD">
      <w:pPr>
        <w:pStyle w:val="143"/>
        <w:rPr>
          <w:color w:val="000000" w:themeColor="text1"/>
          <w14:textFill>
            <w14:solidFill>
              <w14:schemeClr w14:val="tx1"/>
            </w14:solidFill>
          </w14:textFill>
        </w:rPr>
      </w:pPr>
    </w:p>
    <w:p w14:paraId="2E96C411">
      <w:pPr>
        <w:pStyle w:val="143"/>
        <w:rPr>
          <w:color w:val="000000" w:themeColor="text1"/>
          <w14:textFill>
            <w14:solidFill>
              <w14:schemeClr w14:val="tx1"/>
            </w14:solidFill>
          </w14:textFill>
        </w:rPr>
      </w:pPr>
    </w:p>
    <w:p w14:paraId="62B30783">
      <w:pPr>
        <w:pStyle w:val="143"/>
        <w:rPr>
          <w:color w:val="000000" w:themeColor="text1"/>
          <w14:textFill>
            <w14:solidFill>
              <w14:schemeClr w14:val="tx1"/>
            </w14:solidFill>
          </w14:textFill>
        </w:rPr>
      </w:pPr>
    </w:p>
    <w:p w14:paraId="652CA0C0">
      <w:pPr>
        <w:pStyle w:val="143"/>
        <w:rPr>
          <w:color w:val="000000" w:themeColor="text1"/>
          <w14:textFill>
            <w14:solidFill>
              <w14:schemeClr w14:val="tx1"/>
            </w14:solidFill>
          </w14:textFill>
        </w:rPr>
      </w:pPr>
    </w:p>
    <w:p w14:paraId="02C60DD9">
      <w:pPr>
        <w:pStyle w:val="143"/>
        <w:rPr>
          <w:color w:val="000000" w:themeColor="text1"/>
          <w14:textFill>
            <w14:solidFill>
              <w14:schemeClr w14:val="tx1"/>
            </w14:solidFill>
          </w14:textFill>
        </w:rPr>
      </w:pPr>
      <w:r>
        <w:drawing>
          <wp:inline distT="0" distB="0" distL="114300" distR="114300">
            <wp:extent cx="5278120" cy="7232015"/>
            <wp:effectExtent l="0" t="0" r="17780" b="6985"/>
            <wp:docPr id="16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51"/>
                    <pic:cNvPicPr>
                      <a:picLocks noChangeAspect="1"/>
                    </pic:cNvPicPr>
                  </pic:nvPicPr>
                  <pic:blipFill>
                    <a:blip r:embed="rId156"/>
                    <a:stretch>
                      <a:fillRect/>
                    </a:stretch>
                  </pic:blipFill>
                  <pic:spPr>
                    <a:xfrm>
                      <a:off x="0" y="0"/>
                      <a:ext cx="5278120" cy="7232015"/>
                    </a:xfrm>
                    <a:prstGeom prst="rect">
                      <a:avLst/>
                    </a:prstGeom>
                    <a:noFill/>
                    <a:ln>
                      <a:noFill/>
                    </a:ln>
                  </pic:spPr>
                </pic:pic>
              </a:graphicData>
            </a:graphic>
          </wp:inline>
        </w:drawing>
      </w:r>
    </w:p>
    <w:p w14:paraId="1D0D71FA">
      <w:pPr>
        <w:pStyle w:val="143"/>
        <w:rPr>
          <w:color w:val="000000" w:themeColor="text1"/>
          <w14:textFill>
            <w14:solidFill>
              <w14:schemeClr w14:val="tx1"/>
            </w14:solidFill>
          </w14:textFill>
        </w:rPr>
      </w:pPr>
    </w:p>
    <w:p w14:paraId="11E4A96A">
      <w:pPr>
        <w:pStyle w:val="143"/>
        <w:rPr>
          <w:color w:val="000000" w:themeColor="text1"/>
          <w14:textFill>
            <w14:solidFill>
              <w14:schemeClr w14:val="tx1"/>
            </w14:solidFill>
          </w14:textFill>
        </w:rPr>
      </w:pPr>
    </w:p>
    <w:p w14:paraId="52EDA17D">
      <w:pPr>
        <w:pStyle w:val="143"/>
        <w:rPr>
          <w:color w:val="000000" w:themeColor="text1"/>
          <w14:textFill>
            <w14:solidFill>
              <w14:schemeClr w14:val="tx1"/>
            </w14:solidFill>
          </w14:textFill>
        </w:rPr>
      </w:pPr>
    </w:p>
    <w:p w14:paraId="2D7F39F4">
      <w:pPr>
        <w:pStyle w:val="143"/>
        <w:rPr>
          <w:color w:val="000000" w:themeColor="text1"/>
          <w14:textFill>
            <w14:solidFill>
              <w14:schemeClr w14:val="tx1"/>
            </w14:solidFill>
          </w14:textFill>
        </w:rPr>
      </w:pPr>
    </w:p>
    <w:p w14:paraId="47864C87">
      <w:pPr>
        <w:pStyle w:val="143"/>
        <w:rPr>
          <w:color w:val="000000" w:themeColor="text1"/>
          <w14:textFill>
            <w14:solidFill>
              <w14:schemeClr w14:val="tx1"/>
            </w14:solidFill>
          </w14:textFill>
        </w:rPr>
      </w:pPr>
    </w:p>
    <w:p w14:paraId="489C6588">
      <w:pPr>
        <w:pStyle w:val="143"/>
        <w:rPr>
          <w:color w:val="000000" w:themeColor="text1"/>
          <w14:textFill>
            <w14:solidFill>
              <w14:schemeClr w14:val="tx1"/>
            </w14:solidFill>
          </w14:textFill>
        </w:rPr>
      </w:pPr>
    </w:p>
    <w:p w14:paraId="335E4C0C">
      <w:pPr>
        <w:pStyle w:val="143"/>
        <w:rPr>
          <w:color w:val="000000" w:themeColor="text1"/>
          <w14:textFill>
            <w14:solidFill>
              <w14:schemeClr w14:val="tx1"/>
            </w14:solidFill>
          </w14:textFill>
        </w:rPr>
      </w:pPr>
    </w:p>
    <w:p w14:paraId="7600260A">
      <w:pPr>
        <w:pStyle w:val="143"/>
        <w:rPr>
          <w:color w:val="000000" w:themeColor="text1"/>
          <w14:textFill>
            <w14:solidFill>
              <w14:schemeClr w14:val="tx1"/>
            </w14:solidFill>
          </w14:textFill>
        </w:rPr>
      </w:pPr>
    </w:p>
    <w:p w14:paraId="13DFAD87">
      <w:pPr>
        <w:pStyle w:val="143"/>
        <w:rPr>
          <w:color w:val="000000" w:themeColor="text1"/>
          <w14:textFill>
            <w14:solidFill>
              <w14:schemeClr w14:val="tx1"/>
            </w14:solidFill>
          </w14:textFill>
        </w:rPr>
      </w:pPr>
    </w:p>
    <w:p w14:paraId="4FACC9AB">
      <w:pPr>
        <w:pStyle w:val="143"/>
        <w:rPr>
          <w:color w:val="000000" w:themeColor="text1"/>
          <w14:textFill>
            <w14:solidFill>
              <w14:schemeClr w14:val="tx1"/>
            </w14:solidFill>
          </w14:textFill>
        </w:rPr>
      </w:pPr>
    </w:p>
    <w:p w14:paraId="3C7C05AC">
      <w:pPr>
        <w:pStyle w:val="143"/>
        <w:rPr>
          <w:color w:val="000000" w:themeColor="text1"/>
          <w14:textFill>
            <w14:solidFill>
              <w14:schemeClr w14:val="tx1"/>
            </w14:solidFill>
          </w14:textFill>
        </w:rPr>
      </w:pPr>
      <w:r>
        <w:drawing>
          <wp:inline distT="0" distB="0" distL="114300" distR="114300">
            <wp:extent cx="5275580" cy="7265035"/>
            <wp:effectExtent l="0" t="0" r="1270" b="12065"/>
            <wp:docPr id="16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52"/>
                    <pic:cNvPicPr>
                      <a:picLocks noChangeAspect="1"/>
                    </pic:cNvPicPr>
                  </pic:nvPicPr>
                  <pic:blipFill>
                    <a:blip r:embed="rId157"/>
                    <a:stretch>
                      <a:fillRect/>
                    </a:stretch>
                  </pic:blipFill>
                  <pic:spPr>
                    <a:xfrm>
                      <a:off x="0" y="0"/>
                      <a:ext cx="5275580" cy="7265035"/>
                    </a:xfrm>
                    <a:prstGeom prst="rect">
                      <a:avLst/>
                    </a:prstGeom>
                    <a:noFill/>
                    <a:ln>
                      <a:noFill/>
                    </a:ln>
                  </pic:spPr>
                </pic:pic>
              </a:graphicData>
            </a:graphic>
          </wp:inline>
        </w:drawing>
      </w:r>
    </w:p>
    <w:p w14:paraId="43689BA4">
      <w:pPr>
        <w:pStyle w:val="143"/>
        <w:rPr>
          <w:color w:val="000000" w:themeColor="text1"/>
          <w14:textFill>
            <w14:solidFill>
              <w14:schemeClr w14:val="tx1"/>
            </w14:solidFill>
          </w14:textFill>
        </w:rPr>
      </w:pPr>
    </w:p>
    <w:p w14:paraId="595C11C9">
      <w:pPr>
        <w:pStyle w:val="143"/>
        <w:rPr>
          <w:color w:val="000000" w:themeColor="text1"/>
          <w14:textFill>
            <w14:solidFill>
              <w14:schemeClr w14:val="tx1"/>
            </w14:solidFill>
          </w14:textFill>
        </w:rPr>
      </w:pPr>
    </w:p>
    <w:p w14:paraId="2E1A7027">
      <w:pPr>
        <w:pStyle w:val="143"/>
        <w:rPr>
          <w:color w:val="000000" w:themeColor="text1"/>
          <w14:textFill>
            <w14:solidFill>
              <w14:schemeClr w14:val="tx1"/>
            </w14:solidFill>
          </w14:textFill>
        </w:rPr>
      </w:pPr>
    </w:p>
    <w:p w14:paraId="5D1539D2">
      <w:pPr>
        <w:pStyle w:val="143"/>
        <w:rPr>
          <w:color w:val="000000" w:themeColor="text1"/>
          <w14:textFill>
            <w14:solidFill>
              <w14:schemeClr w14:val="tx1"/>
            </w14:solidFill>
          </w14:textFill>
        </w:rPr>
      </w:pPr>
    </w:p>
    <w:p w14:paraId="6C8D7226">
      <w:pPr>
        <w:pStyle w:val="143"/>
        <w:rPr>
          <w:color w:val="000000" w:themeColor="text1"/>
          <w14:textFill>
            <w14:solidFill>
              <w14:schemeClr w14:val="tx1"/>
            </w14:solidFill>
          </w14:textFill>
        </w:rPr>
      </w:pPr>
    </w:p>
    <w:p w14:paraId="39408236">
      <w:pPr>
        <w:pStyle w:val="143"/>
        <w:rPr>
          <w:color w:val="000000" w:themeColor="text1"/>
          <w14:textFill>
            <w14:solidFill>
              <w14:schemeClr w14:val="tx1"/>
            </w14:solidFill>
          </w14:textFill>
        </w:rPr>
      </w:pPr>
    </w:p>
    <w:p w14:paraId="0BB1C5C7">
      <w:pPr>
        <w:pStyle w:val="143"/>
        <w:rPr>
          <w:color w:val="000000" w:themeColor="text1"/>
          <w14:textFill>
            <w14:solidFill>
              <w14:schemeClr w14:val="tx1"/>
            </w14:solidFill>
          </w14:textFill>
        </w:rPr>
      </w:pPr>
    </w:p>
    <w:p w14:paraId="52F17429">
      <w:pPr>
        <w:pStyle w:val="143"/>
        <w:rPr>
          <w:color w:val="000000" w:themeColor="text1"/>
          <w14:textFill>
            <w14:solidFill>
              <w14:schemeClr w14:val="tx1"/>
            </w14:solidFill>
          </w14:textFill>
        </w:rPr>
      </w:pPr>
    </w:p>
    <w:p w14:paraId="5A44EDC4">
      <w:pPr>
        <w:pStyle w:val="143"/>
        <w:rPr>
          <w:color w:val="000000" w:themeColor="text1"/>
          <w14:textFill>
            <w14:solidFill>
              <w14:schemeClr w14:val="tx1"/>
            </w14:solidFill>
          </w14:textFill>
        </w:rPr>
      </w:pPr>
    </w:p>
    <w:p w14:paraId="7E1AADFF">
      <w:pPr>
        <w:pStyle w:val="143"/>
        <w:rPr>
          <w:color w:val="000000" w:themeColor="text1"/>
          <w14:textFill>
            <w14:solidFill>
              <w14:schemeClr w14:val="tx1"/>
            </w14:solidFill>
          </w14:textFill>
        </w:rPr>
      </w:pPr>
    </w:p>
    <w:p w14:paraId="7EAF7DA1">
      <w:pPr>
        <w:pStyle w:val="143"/>
        <w:rPr>
          <w:color w:val="000000" w:themeColor="text1"/>
          <w14:textFill>
            <w14:solidFill>
              <w14:schemeClr w14:val="tx1"/>
            </w14:solidFill>
          </w14:textFill>
        </w:rPr>
      </w:pPr>
      <w:r>
        <w:drawing>
          <wp:inline distT="0" distB="0" distL="114300" distR="114300">
            <wp:extent cx="5273675" cy="7157085"/>
            <wp:effectExtent l="0" t="0" r="3175" b="5715"/>
            <wp:docPr id="16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53"/>
                    <pic:cNvPicPr>
                      <a:picLocks noChangeAspect="1"/>
                    </pic:cNvPicPr>
                  </pic:nvPicPr>
                  <pic:blipFill>
                    <a:blip r:embed="rId158"/>
                    <a:stretch>
                      <a:fillRect/>
                    </a:stretch>
                  </pic:blipFill>
                  <pic:spPr>
                    <a:xfrm>
                      <a:off x="0" y="0"/>
                      <a:ext cx="5273675" cy="7157085"/>
                    </a:xfrm>
                    <a:prstGeom prst="rect">
                      <a:avLst/>
                    </a:prstGeom>
                    <a:noFill/>
                    <a:ln>
                      <a:noFill/>
                    </a:ln>
                  </pic:spPr>
                </pic:pic>
              </a:graphicData>
            </a:graphic>
          </wp:inline>
        </w:drawing>
      </w:r>
    </w:p>
    <w:p w14:paraId="477E0C51">
      <w:pPr>
        <w:pStyle w:val="143"/>
        <w:rPr>
          <w:color w:val="000000" w:themeColor="text1"/>
          <w14:textFill>
            <w14:solidFill>
              <w14:schemeClr w14:val="tx1"/>
            </w14:solidFill>
          </w14:textFill>
        </w:rPr>
      </w:pPr>
    </w:p>
    <w:p w14:paraId="204DA62B">
      <w:pPr>
        <w:pStyle w:val="143"/>
        <w:rPr>
          <w:color w:val="000000" w:themeColor="text1"/>
          <w14:textFill>
            <w14:solidFill>
              <w14:schemeClr w14:val="tx1"/>
            </w14:solidFill>
          </w14:textFill>
        </w:rPr>
      </w:pPr>
    </w:p>
    <w:p w14:paraId="339A9E5E">
      <w:pPr>
        <w:pStyle w:val="143"/>
        <w:rPr>
          <w:color w:val="000000" w:themeColor="text1"/>
          <w14:textFill>
            <w14:solidFill>
              <w14:schemeClr w14:val="tx1"/>
            </w14:solidFill>
          </w14:textFill>
        </w:rPr>
      </w:pPr>
    </w:p>
    <w:p w14:paraId="18F1CDDA">
      <w:pPr>
        <w:pStyle w:val="143"/>
        <w:rPr>
          <w:color w:val="000000" w:themeColor="text1"/>
          <w14:textFill>
            <w14:solidFill>
              <w14:schemeClr w14:val="tx1"/>
            </w14:solidFill>
          </w14:textFill>
        </w:rPr>
      </w:pPr>
    </w:p>
    <w:p w14:paraId="6390D39F">
      <w:pPr>
        <w:pStyle w:val="143"/>
        <w:rPr>
          <w:color w:val="000000" w:themeColor="text1"/>
          <w14:textFill>
            <w14:solidFill>
              <w14:schemeClr w14:val="tx1"/>
            </w14:solidFill>
          </w14:textFill>
        </w:rPr>
      </w:pPr>
    </w:p>
    <w:p w14:paraId="292A1007">
      <w:pPr>
        <w:pStyle w:val="143"/>
        <w:rPr>
          <w:color w:val="000000" w:themeColor="text1"/>
          <w14:textFill>
            <w14:solidFill>
              <w14:schemeClr w14:val="tx1"/>
            </w14:solidFill>
          </w14:textFill>
        </w:rPr>
      </w:pPr>
    </w:p>
    <w:p w14:paraId="5D015250">
      <w:pPr>
        <w:pStyle w:val="143"/>
        <w:rPr>
          <w:color w:val="000000" w:themeColor="text1"/>
          <w14:textFill>
            <w14:solidFill>
              <w14:schemeClr w14:val="tx1"/>
            </w14:solidFill>
          </w14:textFill>
        </w:rPr>
      </w:pPr>
    </w:p>
    <w:p w14:paraId="588D012B">
      <w:pPr>
        <w:pStyle w:val="143"/>
        <w:rPr>
          <w:color w:val="000000" w:themeColor="text1"/>
          <w14:textFill>
            <w14:solidFill>
              <w14:schemeClr w14:val="tx1"/>
            </w14:solidFill>
          </w14:textFill>
        </w:rPr>
      </w:pPr>
    </w:p>
    <w:p w14:paraId="021A5C9F">
      <w:pPr>
        <w:pStyle w:val="143"/>
        <w:rPr>
          <w:color w:val="000000" w:themeColor="text1"/>
          <w14:textFill>
            <w14:solidFill>
              <w14:schemeClr w14:val="tx1"/>
            </w14:solidFill>
          </w14:textFill>
        </w:rPr>
      </w:pPr>
    </w:p>
    <w:p w14:paraId="29A5E6C4">
      <w:pPr>
        <w:pStyle w:val="143"/>
        <w:rPr>
          <w:color w:val="000000" w:themeColor="text1"/>
          <w14:textFill>
            <w14:solidFill>
              <w14:schemeClr w14:val="tx1"/>
            </w14:solidFill>
          </w14:textFill>
        </w:rPr>
      </w:pPr>
    </w:p>
    <w:p w14:paraId="2787A5BB">
      <w:pPr>
        <w:pStyle w:val="143"/>
        <w:rPr>
          <w:color w:val="000000" w:themeColor="text1"/>
          <w14:textFill>
            <w14:solidFill>
              <w14:schemeClr w14:val="tx1"/>
            </w14:solidFill>
          </w14:textFill>
        </w:rPr>
      </w:pPr>
    </w:p>
    <w:p w14:paraId="14A303CB">
      <w:pPr>
        <w:pStyle w:val="143"/>
        <w:rPr>
          <w:color w:val="000000" w:themeColor="text1"/>
          <w14:textFill>
            <w14:solidFill>
              <w14:schemeClr w14:val="tx1"/>
            </w14:solidFill>
          </w14:textFill>
        </w:rPr>
      </w:pPr>
      <w:r>
        <w:drawing>
          <wp:inline distT="0" distB="0" distL="114300" distR="114300">
            <wp:extent cx="5272405" cy="6990715"/>
            <wp:effectExtent l="0" t="0" r="4445" b="635"/>
            <wp:docPr id="16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54"/>
                    <pic:cNvPicPr>
                      <a:picLocks noChangeAspect="1"/>
                    </pic:cNvPicPr>
                  </pic:nvPicPr>
                  <pic:blipFill>
                    <a:blip r:embed="rId159"/>
                    <a:stretch>
                      <a:fillRect/>
                    </a:stretch>
                  </pic:blipFill>
                  <pic:spPr>
                    <a:xfrm>
                      <a:off x="0" y="0"/>
                      <a:ext cx="5272405" cy="6990715"/>
                    </a:xfrm>
                    <a:prstGeom prst="rect">
                      <a:avLst/>
                    </a:prstGeom>
                    <a:noFill/>
                    <a:ln>
                      <a:noFill/>
                    </a:ln>
                  </pic:spPr>
                </pic:pic>
              </a:graphicData>
            </a:graphic>
          </wp:inline>
        </w:drawing>
      </w:r>
    </w:p>
    <w:p w14:paraId="19927A65">
      <w:pPr>
        <w:pStyle w:val="143"/>
        <w:rPr>
          <w:color w:val="000000" w:themeColor="text1"/>
          <w14:textFill>
            <w14:solidFill>
              <w14:schemeClr w14:val="tx1"/>
            </w14:solidFill>
          </w14:textFill>
        </w:rPr>
      </w:pPr>
    </w:p>
    <w:p w14:paraId="19AACB8B">
      <w:pPr>
        <w:pStyle w:val="143"/>
        <w:rPr>
          <w:color w:val="000000" w:themeColor="text1"/>
          <w14:textFill>
            <w14:solidFill>
              <w14:schemeClr w14:val="tx1"/>
            </w14:solidFill>
          </w14:textFill>
        </w:rPr>
      </w:pPr>
    </w:p>
    <w:p w14:paraId="4A6E4AF7">
      <w:pPr>
        <w:pStyle w:val="143"/>
        <w:rPr>
          <w:color w:val="000000" w:themeColor="text1"/>
          <w14:textFill>
            <w14:solidFill>
              <w14:schemeClr w14:val="tx1"/>
            </w14:solidFill>
          </w14:textFill>
        </w:rPr>
      </w:pPr>
    </w:p>
    <w:p w14:paraId="1235CE68">
      <w:pPr>
        <w:tabs>
          <w:tab w:val="left" w:pos="1200"/>
        </w:tabs>
        <w:ind w:firstLine="0" w:firstLineChars="0"/>
        <w:jc w:val="center"/>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6DAAA0B5">
      <w:pPr>
        <w:pStyle w:val="6"/>
        <w:rPr>
          <w:rFonts w:cs="Times New Roman"/>
          <w:color w:val="000000" w:themeColor="text1"/>
          <w14:textFill>
            <w14:solidFill>
              <w14:schemeClr w14:val="tx1"/>
            </w14:solidFill>
          </w14:textFill>
        </w:rPr>
      </w:pPr>
      <w:bookmarkStart w:id="463" w:name="_Toc32313"/>
      <w:r>
        <w:rPr>
          <w:rFonts w:hint="eastAsia" w:cs="Times New Roman"/>
          <w:color w:val="000000" w:themeColor="text1"/>
          <w14:textFill>
            <w14:solidFill>
              <w14:schemeClr w14:val="tx1"/>
            </w14:solidFill>
          </w14:textFill>
        </w:rPr>
        <w:t>附件</w:t>
      </w:r>
      <w:r>
        <w:rPr>
          <w:rFonts w:hint="eastAsia" w:cs="Times New Roman"/>
          <w:color w:val="000000" w:themeColor="text1"/>
          <w:lang w:val="en-US" w:eastAsia="zh-CN"/>
          <w14:textFill>
            <w14:solidFill>
              <w14:schemeClr w14:val="tx1"/>
            </w14:solidFill>
          </w14:textFill>
        </w:rPr>
        <w:t>6</w:t>
      </w:r>
      <w:r>
        <w:rPr>
          <w:rFonts w:cs="Times New Roman"/>
          <w:color w:val="000000" w:themeColor="text1"/>
          <w14:textFill>
            <w14:solidFill>
              <w14:schemeClr w14:val="tx1"/>
            </w14:solidFill>
          </w14:textFill>
        </w:rPr>
        <w:t xml:space="preserve"> </w:t>
      </w:r>
      <w:r>
        <w:rPr>
          <w:rFonts w:hint="eastAsia" w:cs="Times New Roman"/>
          <w:color w:val="000000" w:themeColor="text1"/>
          <w14:textFill>
            <w14:solidFill>
              <w14:schemeClr w14:val="tx1"/>
            </w14:solidFill>
          </w14:textFill>
        </w:rPr>
        <w:t>关于《黑龙江绥芬河综合保税区总体规划（2021-2035年）环境影响报告书》的审查意见</w:t>
      </w:r>
      <w:bookmarkEnd w:id="463"/>
    </w:p>
    <w:p w14:paraId="45E44247">
      <w:pPr>
        <w:pStyle w:val="143"/>
        <w:rPr>
          <w:color w:val="000000" w:themeColor="text1"/>
          <w14:textFill>
            <w14:solidFill>
              <w14:schemeClr w14:val="tx1"/>
            </w14:solidFill>
          </w14:textFill>
        </w:rPr>
      </w:pPr>
      <w:r>
        <w:drawing>
          <wp:inline distT="0" distB="0" distL="114300" distR="114300">
            <wp:extent cx="5274945" cy="7124700"/>
            <wp:effectExtent l="0" t="0" r="1905" b="0"/>
            <wp:docPr id="10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2"/>
                    <pic:cNvPicPr>
                      <a:picLocks noChangeAspect="1"/>
                    </pic:cNvPicPr>
                  </pic:nvPicPr>
                  <pic:blipFill>
                    <a:blip r:embed="rId160"/>
                    <a:stretch>
                      <a:fillRect/>
                    </a:stretch>
                  </pic:blipFill>
                  <pic:spPr>
                    <a:xfrm>
                      <a:off x="0" y="0"/>
                      <a:ext cx="5274945" cy="7124700"/>
                    </a:xfrm>
                    <a:prstGeom prst="rect">
                      <a:avLst/>
                    </a:prstGeom>
                    <a:noFill/>
                    <a:ln>
                      <a:noFill/>
                    </a:ln>
                  </pic:spPr>
                </pic:pic>
              </a:graphicData>
            </a:graphic>
          </wp:inline>
        </w:drawing>
      </w:r>
    </w:p>
    <w:p w14:paraId="2A7A8256">
      <w:pPr>
        <w:pStyle w:val="143"/>
        <w:rPr>
          <w:color w:val="000000" w:themeColor="text1"/>
          <w:lang w:val="en-US"/>
          <w14:textFill>
            <w14:solidFill>
              <w14:schemeClr w14:val="tx1"/>
            </w14:solidFill>
          </w14:textFill>
        </w:rPr>
      </w:pPr>
    </w:p>
    <w:p w14:paraId="4F61CC0B">
      <w:pPr>
        <w:pStyle w:val="143"/>
        <w:rPr>
          <w:color w:val="000000" w:themeColor="text1"/>
          <w14:textFill>
            <w14:solidFill>
              <w14:schemeClr w14:val="tx1"/>
            </w14:solidFill>
          </w14:textFill>
        </w:rPr>
      </w:pPr>
    </w:p>
    <w:p w14:paraId="50CA3CC2">
      <w:pPr>
        <w:pStyle w:val="143"/>
        <w:rPr>
          <w:color w:val="000000" w:themeColor="text1"/>
          <w14:textFill>
            <w14:solidFill>
              <w14:schemeClr w14:val="tx1"/>
            </w14:solidFill>
          </w14:textFill>
        </w:rPr>
      </w:pPr>
    </w:p>
    <w:p w14:paraId="36CF264D">
      <w:pPr>
        <w:pStyle w:val="143"/>
        <w:rPr>
          <w:color w:val="000000" w:themeColor="text1"/>
          <w14:textFill>
            <w14:solidFill>
              <w14:schemeClr w14:val="tx1"/>
            </w14:solidFill>
          </w14:textFill>
        </w:rPr>
      </w:pPr>
    </w:p>
    <w:p w14:paraId="44BDC893">
      <w:pPr>
        <w:pStyle w:val="143"/>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73C8EA8F">
      <w:pPr>
        <w:pStyle w:val="143"/>
        <w:rPr>
          <w:color w:val="000000" w:themeColor="text1"/>
          <w14:textFill>
            <w14:solidFill>
              <w14:schemeClr w14:val="tx1"/>
            </w14:solidFill>
          </w14:textFill>
        </w:rPr>
      </w:pPr>
      <w:r>
        <w:drawing>
          <wp:inline distT="0" distB="0" distL="114300" distR="114300">
            <wp:extent cx="5278120" cy="7447280"/>
            <wp:effectExtent l="0" t="0" r="17780" b="1270"/>
            <wp:docPr id="10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3"/>
                    <pic:cNvPicPr>
                      <a:picLocks noChangeAspect="1"/>
                    </pic:cNvPicPr>
                  </pic:nvPicPr>
                  <pic:blipFill>
                    <a:blip r:embed="rId161"/>
                    <a:stretch>
                      <a:fillRect/>
                    </a:stretch>
                  </pic:blipFill>
                  <pic:spPr>
                    <a:xfrm>
                      <a:off x="0" y="0"/>
                      <a:ext cx="5278120" cy="7447280"/>
                    </a:xfrm>
                    <a:prstGeom prst="rect">
                      <a:avLst/>
                    </a:prstGeom>
                    <a:noFill/>
                    <a:ln>
                      <a:noFill/>
                    </a:ln>
                  </pic:spPr>
                </pic:pic>
              </a:graphicData>
            </a:graphic>
          </wp:inline>
        </w:drawing>
      </w:r>
    </w:p>
    <w:p w14:paraId="4A81C0F8">
      <w:pPr>
        <w:pStyle w:val="143"/>
        <w:rPr>
          <w:color w:val="000000" w:themeColor="text1"/>
          <w14:textFill>
            <w14:solidFill>
              <w14:schemeClr w14:val="tx1"/>
            </w14:solidFill>
          </w14:textFill>
        </w:rPr>
      </w:pPr>
    </w:p>
    <w:p w14:paraId="48FE91EA">
      <w:pPr>
        <w:pStyle w:val="143"/>
        <w:rPr>
          <w:color w:val="000000" w:themeColor="text1"/>
          <w14:textFill>
            <w14:solidFill>
              <w14:schemeClr w14:val="tx1"/>
            </w14:solidFill>
          </w14:textFill>
        </w:rPr>
      </w:pPr>
    </w:p>
    <w:p w14:paraId="1208D670">
      <w:pPr>
        <w:pStyle w:val="143"/>
        <w:rPr>
          <w:color w:val="000000" w:themeColor="text1"/>
          <w14:textFill>
            <w14:solidFill>
              <w14:schemeClr w14:val="tx1"/>
            </w14:solidFill>
          </w14:textFill>
        </w:rPr>
      </w:pPr>
    </w:p>
    <w:p w14:paraId="1D15F39D">
      <w:pPr>
        <w:pStyle w:val="143"/>
        <w:rPr>
          <w:color w:val="000000" w:themeColor="text1"/>
          <w14:textFill>
            <w14:solidFill>
              <w14:schemeClr w14:val="tx1"/>
            </w14:solidFill>
          </w14:textFill>
        </w:rPr>
      </w:pPr>
    </w:p>
    <w:p w14:paraId="5D5B85A2">
      <w:pPr>
        <w:pStyle w:val="143"/>
        <w:rPr>
          <w:color w:val="000000" w:themeColor="text1"/>
          <w14:textFill>
            <w14:solidFill>
              <w14:schemeClr w14:val="tx1"/>
            </w14:solidFill>
          </w14:textFill>
        </w:rPr>
      </w:pPr>
    </w:p>
    <w:p w14:paraId="3D656EB0">
      <w:pPr>
        <w:pStyle w:val="143"/>
        <w:rPr>
          <w:color w:val="000000" w:themeColor="text1"/>
          <w14:textFill>
            <w14:solidFill>
              <w14:schemeClr w14:val="tx1"/>
            </w14:solidFill>
          </w14:textFill>
        </w:rPr>
      </w:pPr>
    </w:p>
    <w:p w14:paraId="5BC641B8">
      <w:pPr>
        <w:pStyle w:val="143"/>
        <w:rPr>
          <w:color w:val="000000" w:themeColor="text1"/>
          <w14:textFill>
            <w14:solidFill>
              <w14:schemeClr w14:val="tx1"/>
            </w14:solidFill>
          </w14:textFill>
        </w:rPr>
      </w:pPr>
    </w:p>
    <w:p w14:paraId="5C2826B0">
      <w:pPr>
        <w:pStyle w:val="143"/>
        <w:rPr>
          <w:color w:val="000000" w:themeColor="text1"/>
          <w14:textFill>
            <w14:solidFill>
              <w14:schemeClr w14:val="tx1"/>
            </w14:solidFill>
          </w14:textFill>
        </w:rPr>
      </w:pPr>
    </w:p>
    <w:p w14:paraId="4A5CE49F">
      <w:pPr>
        <w:pStyle w:val="143"/>
        <w:rPr>
          <w:color w:val="000000" w:themeColor="text1"/>
          <w14:textFill>
            <w14:solidFill>
              <w14:schemeClr w14:val="tx1"/>
            </w14:solidFill>
          </w14:textFill>
        </w:rPr>
      </w:pPr>
    </w:p>
    <w:p w14:paraId="2DF81775">
      <w:pPr>
        <w:pStyle w:val="143"/>
        <w:rPr>
          <w:color w:val="000000" w:themeColor="text1"/>
          <w14:textFill>
            <w14:solidFill>
              <w14:schemeClr w14:val="tx1"/>
            </w14:solidFill>
          </w14:textFill>
        </w:rPr>
      </w:pPr>
      <w:r>
        <w:drawing>
          <wp:inline distT="0" distB="0" distL="114300" distR="114300">
            <wp:extent cx="5274945" cy="7606030"/>
            <wp:effectExtent l="0" t="0" r="1905" b="13970"/>
            <wp:docPr id="10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74"/>
                    <pic:cNvPicPr>
                      <a:picLocks noChangeAspect="1"/>
                    </pic:cNvPicPr>
                  </pic:nvPicPr>
                  <pic:blipFill>
                    <a:blip r:embed="rId162"/>
                    <a:stretch>
                      <a:fillRect/>
                    </a:stretch>
                  </pic:blipFill>
                  <pic:spPr>
                    <a:xfrm>
                      <a:off x="0" y="0"/>
                      <a:ext cx="5274945" cy="7606030"/>
                    </a:xfrm>
                    <a:prstGeom prst="rect">
                      <a:avLst/>
                    </a:prstGeom>
                    <a:noFill/>
                    <a:ln>
                      <a:noFill/>
                    </a:ln>
                  </pic:spPr>
                </pic:pic>
              </a:graphicData>
            </a:graphic>
          </wp:inline>
        </w:drawing>
      </w:r>
    </w:p>
    <w:p w14:paraId="632C0950">
      <w:pPr>
        <w:pStyle w:val="143"/>
        <w:rPr>
          <w:color w:val="000000" w:themeColor="text1"/>
          <w14:textFill>
            <w14:solidFill>
              <w14:schemeClr w14:val="tx1"/>
            </w14:solidFill>
          </w14:textFill>
        </w:rPr>
      </w:pPr>
    </w:p>
    <w:p w14:paraId="12AEA445">
      <w:pPr>
        <w:pStyle w:val="143"/>
        <w:rPr>
          <w:color w:val="000000" w:themeColor="text1"/>
          <w14:textFill>
            <w14:solidFill>
              <w14:schemeClr w14:val="tx1"/>
            </w14:solidFill>
          </w14:textFill>
        </w:rPr>
      </w:pPr>
    </w:p>
    <w:p w14:paraId="059ECE0B">
      <w:pPr>
        <w:pStyle w:val="143"/>
        <w:rPr>
          <w:color w:val="000000" w:themeColor="text1"/>
          <w14:textFill>
            <w14:solidFill>
              <w14:schemeClr w14:val="tx1"/>
            </w14:solidFill>
          </w14:textFill>
        </w:rPr>
      </w:pPr>
    </w:p>
    <w:p w14:paraId="6C2A63B5">
      <w:pPr>
        <w:pStyle w:val="143"/>
        <w:rPr>
          <w:color w:val="000000" w:themeColor="text1"/>
          <w14:textFill>
            <w14:solidFill>
              <w14:schemeClr w14:val="tx1"/>
            </w14:solidFill>
          </w14:textFill>
        </w:rPr>
      </w:pPr>
    </w:p>
    <w:p w14:paraId="0E430A76">
      <w:pPr>
        <w:pStyle w:val="143"/>
        <w:rPr>
          <w:color w:val="000000" w:themeColor="text1"/>
          <w14:textFill>
            <w14:solidFill>
              <w14:schemeClr w14:val="tx1"/>
            </w14:solidFill>
          </w14:textFill>
        </w:rPr>
      </w:pPr>
    </w:p>
    <w:p w14:paraId="2E3D7344">
      <w:pPr>
        <w:pStyle w:val="143"/>
        <w:rPr>
          <w:color w:val="000000" w:themeColor="text1"/>
          <w14:textFill>
            <w14:solidFill>
              <w14:schemeClr w14:val="tx1"/>
            </w14:solidFill>
          </w14:textFill>
        </w:rPr>
      </w:pPr>
    </w:p>
    <w:p w14:paraId="441983A7">
      <w:pPr>
        <w:pStyle w:val="143"/>
        <w:rPr>
          <w:color w:val="000000" w:themeColor="text1"/>
          <w14:textFill>
            <w14:solidFill>
              <w14:schemeClr w14:val="tx1"/>
            </w14:solidFill>
          </w14:textFill>
        </w:rPr>
      </w:pPr>
    </w:p>
    <w:p w14:paraId="4CD83A32">
      <w:pPr>
        <w:pStyle w:val="143"/>
        <w:rPr>
          <w:color w:val="000000" w:themeColor="text1"/>
          <w14:textFill>
            <w14:solidFill>
              <w14:schemeClr w14:val="tx1"/>
            </w14:solidFill>
          </w14:textFill>
        </w:rPr>
      </w:pPr>
    </w:p>
    <w:p w14:paraId="75321BDF">
      <w:pPr>
        <w:pStyle w:val="143"/>
        <w:rPr>
          <w:color w:val="000000" w:themeColor="text1"/>
          <w14:textFill>
            <w14:solidFill>
              <w14:schemeClr w14:val="tx1"/>
            </w14:solidFill>
          </w14:textFill>
        </w:rPr>
      </w:pPr>
      <w:r>
        <w:drawing>
          <wp:inline distT="0" distB="0" distL="114300" distR="114300">
            <wp:extent cx="5274945" cy="7259955"/>
            <wp:effectExtent l="0" t="0" r="1905" b="17145"/>
            <wp:docPr id="11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5"/>
                    <pic:cNvPicPr>
                      <a:picLocks noChangeAspect="1"/>
                    </pic:cNvPicPr>
                  </pic:nvPicPr>
                  <pic:blipFill>
                    <a:blip r:embed="rId163"/>
                    <a:stretch>
                      <a:fillRect/>
                    </a:stretch>
                  </pic:blipFill>
                  <pic:spPr>
                    <a:xfrm>
                      <a:off x="0" y="0"/>
                      <a:ext cx="5274945" cy="7259955"/>
                    </a:xfrm>
                    <a:prstGeom prst="rect">
                      <a:avLst/>
                    </a:prstGeom>
                    <a:noFill/>
                    <a:ln>
                      <a:noFill/>
                    </a:ln>
                  </pic:spPr>
                </pic:pic>
              </a:graphicData>
            </a:graphic>
          </wp:inline>
        </w:drawing>
      </w:r>
    </w:p>
    <w:p w14:paraId="4CF7E900">
      <w:pPr>
        <w:pStyle w:val="143"/>
        <w:rPr>
          <w:color w:val="000000" w:themeColor="text1"/>
          <w14:textFill>
            <w14:solidFill>
              <w14:schemeClr w14:val="tx1"/>
            </w14:solidFill>
          </w14:textFill>
        </w:rPr>
      </w:pPr>
    </w:p>
    <w:p w14:paraId="7A686568">
      <w:pPr>
        <w:pStyle w:val="143"/>
        <w:rPr>
          <w:color w:val="000000" w:themeColor="text1"/>
          <w14:textFill>
            <w14:solidFill>
              <w14:schemeClr w14:val="tx1"/>
            </w14:solidFill>
          </w14:textFill>
        </w:rPr>
      </w:pPr>
    </w:p>
    <w:p w14:paraId="3E232561">
      <w:pPr>
        <w:pStyle w:val="143"/>
        <w:rPr>
          <w:color w:val="000000" w:themeColor="text1"/>
          <w14:textFill>
            <w14:solidFill>
              <w14:schemeClr w14:val="tx1"/>
            </w14:solidFill>
          </w14:textFill>
        </w:rPr>
      </w:pPr>
    </w:p>
    <w:p w14:paraId="5BA59646">
      <w:pPr>
        <w:pStyle w:val="143"/>
        <w:rPr>
          <w:color w:val="000000" w:themeColor="text1"/>
          <w14:textFill>
            <w14:solidFill>
              <w14:schemeClr w14:val="tx1"/>
            </w14:solidFill>
          </w14:textFill>
        </w:rPr>
      </w:pPr>
    </w:p>
    <w:p w14:paraId="0B83EF00">
      <w:pPr>
        <w:pStyle w:val="143"/>
        <w:rPr>
          <w:color w:val="000000" w:themeColor="text1"/>
          <w14:textFill>
            <w14:solidFill>
              <w14:schemeClr w14:val="tx1"/>
            </w14:solidFill>
          </w14:textFill>
        </w:rPr>
      </w:pPr>
    </w:p>
    <w:p w14:paraId="34836464">
      <w:pPr>
        <w:pStyle w:val="143"/>
        <w:rPr>
          <w:color w:val="000000" w:themeColor="text1"/>
          <w14:textFill>
            <w14:solidFill>
              <w14:schemeClr w14:val="tx1"/>
            </w14:solidFill>
          </w14:textFill>
        </w:rPr>
      </w:pPr>
    </w:p>
    <w:p w14:paraId="081D9F07">
      <w:pPr>
        <w:pStyle w:val="143"/>
        <w:rPr>
          <w:color w:val="000000" w:themeColor="text1"/>
          <w14:textFill>
            <w14:solidFill>
              <w14:schemeClr w14:val="tx1"/>
            </w14:solidFill>
          </w14:textFill>
        </w:rPr>
      </w:pPr>
    </w:p>
    <w:p w14:paraId="356C1F73">
      <w:pPr>
        <w:pStyle w:val="143"/>
        <w:rPr>
          <w:color w:val="000000" w:themeColor="text1"/>
          <w14:textFill>
            <w14:solidFill>
              <w14:schemeClr w14:val="tx1"/>
            </w14:solidFill>
          </w14:textFill>
        </w:rPr>
      </w:pPr>
    </w:p>
    <w:p w14:paraId="2E34C291">
      <w:pPr>
        <w:pStyle w:val="143"/>
        <w:rPr>
          <w:color w:val="000000" w:themeColor="text1"/>
          <w14:textFill>
            <w14:solidFill>
              <w14:schemeClr w14:val="tx1"/>
            </w14:solidFill>
          </w14:textFill>
        </w:rPr>
      </w:pPr>
    </w:p>
    <w:p w14:paraId="1FC08734">
      <w:pPr>
        <w:pStyle w:val="143"/>
        <w:rPr>
          <w:color w:val="000000" w:themeColor="text1"/>
          <w14:textFill>
            <w14:solidFill>
              <w14:schemeClr w14:val="tx1"/>
            </w14:solidFill>
          </w14:textFill>
        </w:rPr>
      </w:pPr>
    </w:p>
    <w:p w14:paraId="43B060C8">
      <w:pPr>
        <w:pStyle w:val="143"/>
        <w:rPr>
          <w:color w:val="000000" w:themeColor="text1"/>
          <w14:textFill>
            <w14:solidFill>
              <w14:schemeClr w14:val="tx1"/>
            </w14:solidFill>
          </w14:textFill>
        </w:rPr>
      </w:pPr>
      <w:r>
        <w:drawing>
          <wp:inline distT="0" distB="0" distL="114300" distR="114300">
            <wp:extent cx="5278120" cy="7284085"/>
            <wp:effectExtent l="0" t="0" r="17780" b="12065"/>
            <wp:docPr id="11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6"/>
                    <pic:cNvPicPr>
                      <a:picLocks noChangeAspect="1"/>
                    </pic:cNvPicPr>
                  </pic:nvPicPr>
                  <pic:blipFill>
                    <a:blip r:embed="rId164"/>
                    <a:stretch>
                      <a:fillRect/>
                    </a:stretch>
                  </pic:blipFill>
                  <pic:spPr>
                    <a:xfrm>
                      <a:off x="0" y="0"/>
                      <a:ext cx="5278120" cy="7284085"/>
                    </a:xfrm>
                    <a:prstGeom prst="rect">
                      <a:avLst/>
                    </a:prstGeom>
                    <a:noFill/>
                    <a:ln>
                      <a:noFill/>
                    </a:ln>
                  </pic:spPr>
                </pic:pic>
              </a:graphicData>
            </a:graphic>
          </wp:inline>
        </w:drawing>
      </w:r>
    </w:p>
    <w:p w14:paraId="0546FA03">
      <w:pPr>
        <w:pStyle w:val="143"/>
        <w:rPr>
          <w:color w:val="000000" w:themeColor="text1"/>
          <w14:textFill>
            <w14:solidFill>
              <w14:schemeClr w14:val="tx1"/>
            </w14:solidFill>
          </w14:textFill>
        </w:rPr>
      </w:pPr>
    </w:p>
    <w:p w14:paraId="51D6443E">
      <w:pPr>
        <w:pStyle w:val="143"/>
        <w:rPr>
          <w:color w:val="000000" w:themeColor="text1"/>
          <w14:textFill>
            <w14:solidFill>
              <w14:schemeClr w14:val="tx1"/>
            </w14:solidFill>
          </w14:textFill>
        </w:rPr>
      </w:pPr>
    </w:p>
    <w:p w14:paraId="620A7DE6">
      <w:pPr>
        <w:pStyle w:val="143"/>
        <w:rPr>
          <w:color w:val="000000" w:themeColor="text1"/>
          <w14:textFill>
            <w14:solidFill>
              <w14:schemeClr w14:val="tx1"/>
            </w14:solidFill>
          </w14:textFill>
        </w:rPr>
      </w:pPr>
    </w:p>
    <w:p w14:paraId="380F2FBB">
      <w:pPr>
        <w:pStyle w:val="143"/>
        <w:rPr>
          <w:color w:val="000000" w:themeColor="text1"/>
          <w14:textFill>
            <w14:solidFill>
              <w14:schemeClr w14:val="tx1"/>
            </w14:solidFill>
          </w14:textFill>
        </w:rPr>
      </w:pPr>
    </w:p>
    <w:p w14:paraId="6ABFD5D1">
      <w:pPr>
        <w:pStyle w:val="143"/>
        <w:rPr>
          <w:color w:val="000000" w:themeColor="text1"/>
          <w14:textFill>
            <w14:solidFill>
              <w14:schemeClr w14:val="tx1"/>
            </w14:solidFill>
          </w14:textFill>
        </w:rPr>
      </w:pPr>
    </w:p>
    <w:p w14:paraId="126FDC2B">
      <w:pPr>
        <w:pStyle w:val="143"/>
        <w:rPr>
          <w:color w:val="000000" w:themeColor="text1"/>
          <w14:textFill>
            <w14:solidFill>
              <w14:schemeClr w14:val="tx1"/>
            </w14:solidFill>
          </w14:textFill>
        </w:rPr>
      </w:pPr>
    </w:p>
    <w:p w14:paraId="6EF8124C">
      <w:pPr>
        <w:pStyle w:val="143"/>
        <w:rPr>
          <w:color w:val="000000" w:themeColor="text1"/>
          <w14:textFill>
            <w14:solidFill>
              <w14:schemeClr w14:val="tx1"/>
            </w14:solidFill>
          </w14:textFill>
        </w:rPr>
      </w:pPr>
    </w:p>
    <w:p w14:paraId="5CCFA55A">
      <w:pPr>
        <w:pStyle w:val="143"/>
        <w:rPr>
          <w:color w:val="000000" w:themeColor="text1"/>
          <w14:textFill>
            <w14:solidFill>
              <w14:schemeClr w14:val="tx1"/>
            </w14:solidFill>
          </w14:textFill>
        </w:rPr>
      </w:pPr>
    </w:p>
    <w:p w14:paraId="54E02F66">
      <w:pPr>
        <w:pStyle w:val="143"/>
        <w:rPr>
          <w:color w:val="000000" w:themeColor="text1"/>
          <w14:textFill>
            <w14:solidFill>
              <w14:schemeClr w14:val="tx1"/>
            </w14:solidFill>
          </w14:textFill>
        </w:rPr>
      </w:pPr>
    </w:p>
    <w:p w14:paraId="79A8E155">
      <w:pPr>
        <w:pStyle w:val="143"/>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2C918216">
      <w:pPr>
        <w:pStyle w:val="143"/>
      </w:pPr>
      <w:r>
        <w:drawing>
          <wp:inline distT="0" distB="0" distL="114300" distR="114300">
            <wp:extent cx="5273040" cy="7316470"/>
            <wp:effectExtent l="0" t="0" r="3810" b="17780"/>
            <wp:docPr id="11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7"/>
                    <pic:cNvPicPr>
                      <a:picLocks noChangeAspect="1"/>
                    </pic:cNvPicPr>
                  </pic:nvPicPr>
                  <pic:blipFill>
                    <a:blip r:embed="rId165"/>
                    <a:stretch>
                      <a:fillRect/>
                    </a:stretch>
                  </pic:blipFill>
                  <pic:spPr>
                    <a:xfrm>
                      <a:off x="0" y="0"/>
                      <a:ext cx="5273040" cy="7316470"/>
                    </a:xfrm>
                    <a:prstGeom prst="rect">
                      <a:avLst/>
                    </a:prstGeom>
                    <a:noFill/>
                    <a:ln>
                      <a:noFill/>
                    </a:ln>
                  </pic:spPr>
                </pic:pic>
              </a:graphicData>
            </a:graphic>
          </wp:inline>
        </w:drawing>
      </w:r>
    </w:p>
    <w:p w14:paraId="6B851AFA">
      <w:pPr>
        <w:pStyle w:val="143"/>
      </w:pPr>
    </w:p>
    <w:p w14:paraId="3531C9D3">
      <w:pPr>
        <w:pStyle w:val="143"/>
      </w:pPr>
    </w:p>
    <w:p w14:paraId="024B116F">
      <w:pPr>
        <w:pStyle w:val="143"/>
      </w:pPr>
    </w:p>
    <w:p w14:paraId="094743E9">
      <w:pPr>
        <w:pStyle w:val="143"/>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7965B91D">
      <w:pPr>
        <w:pStyle w:val="5"/>
        <w:rPr>
          <w:snapToGrid w:val="0"/>
          <w:color w:val="000000" w:themeColor="text1"/>
          <w14:textFill>
            <w14:solidFill>
              <w14:schemeClr w14:val="tx1"/>
            </w14:solidFill>
          </w14:textFill>
        </w:rPr>
      </w:pPr>
      <w:bookmarkStart w:id="464" w:name="_Toc46227689"/>
      <w:bookmarkStart w:id="465" w:name="_Toc22281"/>
      <w:r>
        <w:rPr>
          <w:rFonts w:hint="eastAsia"/>
          <w:snapToGrid w:val="0"/>
          <w:color w:val="000000" w:themeColor="text1"/>
          <w14:textFill>
            <w14:solidFill>
              <w14:schemeClr w14:val="tx1"/>
            </w14:solidFill>
          </w14:textFill>
        </w:rPr>
        <w:t>附表</w:t>
      </w:r>
      <w:bookmarkEnd w:id="464"/>
      <w:bookmarkEnd w:id="465"/>
    </w:p>
    <w:p w14:paraId="4E7B8F03">
      <w:pPr>
        <w:pStyle w:val="6"/>
        <w:rPr>
          <w:rFonts w:cs="Times New Roman"/>
          <w:color w:val="000000" w:themeColor="text1"/>
          <w14:textFill>
            <w14:solidFill>
              <w14:schemeClr w14:val="tx1"/>
            </w14:solidFill>
          </w14:textFill>
        </w:rPr>
      </w:pPr>
      <w:bookmarkStart w:id="466" w:name="_Toc536542206"/>
      <w:bookmarkStart w:id="467" w:name="_Toc9862591"/>
      <w:bookmarkStart w:id="468" w:name="_Toc10106429"/>
      <w:bookmarkStart w:id="469" w:name="_Toc6758319"/>
      <w:bookmarkStart w:id="470" w:name="_Toc25095"/>
      <w:bookmarkStart w:id="471" w:name="_Toc46227690"/>
      <w:r>
        <w:rPr>
          <w:rFonts w:cs="Times New Roman"/>
          <w:color w:val="000000" w:themeColor="text1"/>
          <w14:textFill>
            <w14:solidFill>
              <w14:schemeClr w14:val="tx1"/>
            </w14:solidFill>
          </w14:textFill>
        </w:rPr>
        <w:t>附</w:t>
      </w:r>
      <w:r>
        <w:rPr>
          <w:rFonts w:hint="eastAsia" w:cs="Times New Roman"/>
          <w:color w:val="000000" w:themeColor="text1"/>
          <w14:textFill>
            <w14:solidFill>
              <w14:schemeClr w14:val="tx1"/>
            </w14:solidFill>
          </w14:textFill>
        </w:rPr>
        <w:t>表1</w:t>
      </w:r>
      <w:r>
        <w:rPr>
          <w:rFonts w:cs="Times New Roman"/>
          <w:color w:val="000000" w:themeColor="text1"/>
          <w14:textFill>
            <w14:solidFill>
              <w14:schemeClr w14:val="tx1"/>
            </w14:solidFill>
          </w14:textFill>
        </w:rPr>
        <w:t>建设项目大气环境影响评价自查表</w:t>
      </w:r>
      <w:bookmarkEnd w:id="466"/>
      <w:bookmarkEnd w:id="467"/>
      <w:bookmarkEnd w:id="468"/>
      <w:bookmarkEnd w:id="469"/>
      <w:bookmarkEnd w:id="470"/>
      <w:bookmarkEnd w:id="471"/>
    </w:p>
    <w:tbl>
      <w:tblPr>
        <w:tblStyle w:val="49"/>
        <w:tblW w:w="525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147"/>
        <w:gridCol w:w="1019"/>
        <w:gridCol w:w="248"/>
        <w:gridCol w:w="580"/>
        <w:gridCol w:w="124"/>
        <w:gridCol w:w="286"/>
        <w:gridCol w:w="313"/>
        <w:gridCol w:w="269"/>
        <w:gridCol w:w="125"/>
        <w:gridCol w:w="387"/>
        <w:gridCol w:w="646"/>
        <w:gridCol w:w="428"/>
        <w:gridCol w:w="189"/>
        <w:gridCol w:w="135"/>
        <w:gridCol w:w="379"/>
        <w:gridCol w:w="202"/>
        <w:gridCol w:w="605"/>
        <w:gridCol w:w="613"/>
      </w:tblGrid>
      <w:tr w14:paraId="4C2AFB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2131" w:type="dxa"/>
            <w:gridSpan w:val="2"/>
            <w:vAlign w:val="center"/>
          </w:tcPr>
          <w:p w14:paraId="752A3B21">
            <w:pPr>
              <w:spacing w:line="240" w:lineRule="auto"/>
              <w:ind w:firstLine="0" w:firstLineChars="0"/>
              <w:jc w:val="center"/>
              <w:rPr>
                <w:rFonts w:eastAsia="仿宋_GB2312"/>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工作内容</w:t>
            </w:r>
          </w:p>
        </w:tc>
        <w:tc>
          <w:tcPr>
            <w:tcW w:w="6397" w:type="dxa"/>
            <w:gridSpan w:val="17"/>
            <w:vAlign w:val="center"/>
          </w:tcPr>
          <w:p w14:paraId="702B6768">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自查项目</w:t>
            </w:r>
          </w:p>
        </w:tc>
      </w:tr>
      <w:tr w14:paraId="76A219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restart"/>
            <w:vAlign w:val="center"/>
          </w:tcPr>
          <w:p w14:paraId="280E1E17">
            <w:pPr>
              <w:spacing w:line="240" w:lineRule="auto"/>
              <w:ind w:firstLine="0" w:firstLineChars="0"/>
              <w:jc w:val="center"/>
              <w:rPr>
                <w:rFonts w:eastAsia="仿宋_GB2312"/>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评价等级与范围</w:t>
            </w:r>
          </w:p>
        </w:tc>
        <w:tc>
          <w:tcPr>
            <w:tcW w:w="1121" w:type="dxa"/>
            <w:vAlign w:val="center"/>
          </w:tcPr>
          <w:p w14:paraId="40A51E0A">
            <w:pPr>
              <w:spacing w:line="240" w:lineRule="auto"/>
              <w:ind w:firstLine="0" w:firstLineChars="0"/>
              <w:jc w:val="center"/>
              <w:rPr>
                <w:rFonts w:eastAsia="仿宋_GB2312"/>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评价等级</w:t>
            </w:r>
          </w:p>
        </w:tc>
        <w:tc>
          <w:tcPr>
            <w:tcW w:w="2511" w:type="dxa"/>
            <w:gridSpan w:val="6"/>
            <w:vAlign w:val="center"/>
          </w:tcPr>
          <w:p w14:paraId="197E3CA1">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一级□</w:t>
            </w:r>
          </w:p>
        </w:tc>
        <w:tc>
          <w:tcPr>
            <w:tcW w:w="1394" w:type="dxa"/>
            <w:gridSpan w:val="4"/>
            <w:vAlign w:val="center"/>
          </w:tcPr>
          <w:p w14:paraId="1AE89B8C">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二级√</w:t>
            </w:r>
          </w:p>
        </w:tc>
        <w:tc>
          <w:tcPr>
            <w:tcW w:w="2492" w:type="dxa"/>
            <w:gridSpan w:val="7"/>
            <w:vAlign w:val="center"/>
          </w:tcPr>
          <w:p w14:paraId="68A40008">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三级□</w:t>
            </w:r>
          </w:p>
        </w:tc>
      </w:tr>
      <w:tr w14:paraId="1066A8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43AFD776">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4BE9A5A7">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评价范围</w:t>
            </w:r>
          </w:p>
        </w:tc>
        <w:tc>
          <w:tcPr>
            <w:tcW w:w="2511" w:type="dxa"/>
            <w:gridSpan w:val="6"/>
            <w:vAlign w:val="center"/>
          </w:tcPr>
          <w:p w14:paraId="5D84E51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边长=50km□</w:t>
            </w:r>
          </w:p>
        </w:tc>
        <w:tc>
          <w:tcPr>
            <w:tcW w:w="1394" w:type="dxa"/>
            <w:gridSpan w:val="4"/>
            <w:vAlign w:val="center"/>
          </w:tcPr>
          <w:p w14:paraId="4E547825">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边长=5~50km□</w:t>
            </w:r>
          </w:p>
        </w:tc>
        <w:tc>
          <w:tcPr>
            <w:tcW w:w="2492" w:type="dxa"/>
            <w:gridSpan w:val="7"/>
            <w:vAlign w:val="center"/>
          </w:tcPr>
          <w:p w14:paraId="1991FB69">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边长=5km√</w:t>
            </w:r>
          </w:p>
        </w:tc>
      </w:tr>
      <w:tr w14:paraId="578B49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restart"/>
            <w:vAlign w:val="center"/>
          </w:tcPr>
          <w:p w14:paraId="4D4A3B23">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评价因子</w:t>
            </w:r>
          </w:p>
        </w:tc>
        <w:tc>
          <w:tcPr>
            <w:tcW w:w="1121" w:type="dxa"/>
            <w:vAlign w:val="center"/>
          </w:tcPr>
          <w:p w14:paraId="33CB98F0">
            <w:pPr>
              <w:spacing w:line="240" w:lineRule="auto"/>
              <w:ind w:firstLine="0" w:firstLineChars="0"/>
              <w:jc w:val="center"/>
              <w:rPr>
                <w:snapToGrid w:val="0"/>
                <w:color w:val="000000" w:themeColor="text1"/>
                <w:sz w:val="18"/>
                <w:szCs w:val="18"/>
                <w:vertAlign w:val="subscript"/>
                <w14:textFill>
                  <w14:solidFill>
                    <w14:schemeClr w14:val="tx1"/>
                  </w14:solidFill>
                </w14:textFill>
              </w:rPr>
            </w:pPr>
            <w:r>
              <w:rPr>
                <w:snapToGrid w:val="0"/>
                <w:color w:val="000000" w:themeColor="text1"/>
                <w:sz w:val="18"/>
                <w:szCs w:val="18"/>
                <w14:textFill>
                  <w14:solidFill>
                    <w14:schemeClr w14:val="tx1"/>
                  </w14:solidFill>
                </w14:textFill>
              </w:rPr>
              <w:t>SO</w:t>
            </w:r>
            <w:r>
              <w:rPr>
                <w:snapToGrid w:val="0"/>
                <w:color w:val="000000" w:themeColor="text1"/>
                <w:sz w:val="18"/>
                <w:szCs w:val="18"/>
                <w:vertAlign w:val="subscript"/>
                <w14:textFill>
                  <w14:solidFill>
                    <w14:schemeClr w14:val="tx1"/>
                  </w14:solidFill>
                </w14:textFill>
              </w:rPr>
              <w:t>2</w:t>
            </w:r>
            <w:r>
              <w:rPr>
                <w:snapToGrid w:val="0"/>
                <w:color w:val="000000" w:themeColor="text1"/>
                <w:sz w:val="18"/>
                <w:szCs w:val="18"/>
                <w14:textFill>
                  <w14:solidFill>
                    <w14:schemeClr w14:val="tx1"/>
                  </w14:solidFill>
                </w14:textFill>
              </w:rPr>
              <w:t>+NOx</w:t>
            </w:r>
          </w:p>
        </w:tc>
        <w:tc>
          <w:tcPr>
            <w:tcW w:w="2511" w:type="dxa"/>
            <w:gridSpan w:val="6"/>
            <w:vAlign w:val="center"/>
          </w:tcPr>
          <w:p w14:paraId="24B70642">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≥2000t/a□</w:t>
            </w:r>
          </w:p>
        </w:tc>
        <w:tc>
          <w:tcPr>
            <w:tcW w:w="1394" w:type="dxa"/>
            <w:gridSpan w:val="4"/>
            <w:vAlign w:val="center"/>
          </w:tcPr>
          <w:p w14:paraId="1C77C801">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500~2000t/a□</w:t>
            </w:r>
          </w:p>
        </w:tc>
        <w:tc>
          <w:tcPr>
            <w:tcW w:w="2492" w:type="dxa"/>
            <w:gridSpan w:val="7"/>
            <w:vAlign w:val="center"/>
          </w:tcPr>
          <w:p w14:paraId="3A40806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＜500t/a√</w:t>
            </w:r>
          </w:p>
        </w:tc>
      </w:tr>
      <w:tr w14:paraId="4A4A30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15855DC3">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386AC8F3">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评价因子</w:t>
            </w:r>
          </w:p>
        </w:tc>
        <w:tc>
          <w:tcPr>
            <w:tcW w:w="3905" w:type="dxa"/>
            <w:gridSpan w:val="10"/>
            <w:vAlign w:val="center"/>
          </w:tcPr>
          <w:p w14:paraId="73ABD436">
            <w:pPr>
              <w:spacing w:line="240" w:lineRule="auto"/>
              <w:ind w:firstLine="0" w:firstLineChars="0"/>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基本污染物（SO</w:t>
            </w:r>
            <w:r>
              <w:rPr>
                <w:snapToGrid w:val="0"/>
                <w:color w:val="000000" w:themeColor="text1"/>
                <w:sz w:val="18"/>
                <w:szCs w:val="18"/>
                <w:vertAlign w:val="subscript"/>
                <w14:textFill>
                  <w14:solidFill>
                    <w14:schemeClr w14:val="tx1"/>
                  </w14:solidFill>
                </w14:textFill>
              </w:rPr>
              <w:t>2</w:t>
            </w:r>
            <w:r>
              <w:rPr>
                <w:snapToGrid w:val="0"/>
                <w:color w:val="000000" w:themeColor="text1"/>
                <w:sz w:val="18"/>
                <w:szCs w:val="18"/>
                <w14:textFill>
                  <w14:solidFill>
                    <w14:schemeClr w14:val="tx1"/>
                  </w14:solidFill>
                </w14:textFill>
              </w:rPr>
              <w:t>、NO</w:t>
            </w:r>
            <w:r>
              <w:rPr>
                <w:snapToGrid w:val="0"/>
                <w:color w:val="000000" w:themeColor="text1"/>
                <w:sz w:val="18"/>
                <w:szCs w:val="18"/>
                <w:vertAlign w:val="subscript"/>
                <w14:textFill>
                  <w14:solidFill>
                    <w14:schemeClr w14:val="tx1"/>
                  </w14:solidFill>
                </w14:textFill>
              </w:rPr>
              <w:t>2</w:t>
            </w:r>
            <w:r>
              <w:rPr>
                <w:snapToGrid w:val="0"/>
                <w:color w:val="000000" w:themeColor="text1"/>
                <w:sz w:val="18"/>
                <w:szCs w:val="18"/>
                <w14:textFill>
                  <w14:solidFill>
                    <w14:schemeClr w14:val="tx1"/>
                  </w14:solidFill>
                </w14:textFill>
              </w:rPr>
              <w:t>、PM</w:t>
            </w:r>
            <w:r>
              <w:rPr>
                <w:snapToGrid w:val="0"/>
                <w:color w:val="000000" w:themeColor="text1"/>
                <w:sz w:val="18"/>
                <w:szCs w:val="18"/>
                <w:vertAlign w:val="subscript"/>
                <w14:textFill>
                  <w14:solidFill>
                    <w14:schemeClr w14:val="tx1"/>
                  </w14:solidFill>
                </w14:textFill>
              </w:rPr>
              <w:t>10</w:t>
            </w:r>
            <w:r>
              <w:rPr>
                <w:snapToGrid w:val="0"/>
                <w:color w:val="000000" w:themeColor="text1"/>
                <w:sz w:val="18"/>
                <w:szCs w:val="18"/>
                <w14:textFill>
                  <w14:solidFill>
                    <w14:schemeClr w14:val="tx1"/>
                  </w14:solidFill>
                </w14:textFill>
              </w:rPr>
              <w:t>、PM</w:t>
            </w:r>
            <w:r>
              <w:rPr>
                <w:snapToGrid w:val="0"/>
                <w:color w:val="000000" w:themeColor="text1"/>
                <w:sz w:val="18"/>
                <w:szCs w:val="18"/>
                <w:vertAlign w:val="subscript"/>
                <w14:textFill>
                  <w14:solidFill>
                    <w14:schemeClr w14:val="tx1"/>
                  </w14:solidFill>
                </w14:textFill>
              </w:rPr>
              <w:t>2.5</w:t>
            </w:r>
            <w:r>
              <w:rPr>
                <w:snapToGrid w:val="0"/>
                <w:color w:val="000000" w:themeColor="text1"/>
                <w:sz w:val="18"/>
                <w:szCs w:val="18"/>
                <w14:textFill>
                  <w14:solidFill>
                    <w14:schemeClr w14:val="tx1"/>
                  </w14:solidFill>
                </w14:textFill>
              </w:rPr>
              <w:t>、O</w:t>
            </w:r>
            <w:r>
              <w:rPr>
                <w:snapToGrid w:val="0"/>
                <w:color w:val="000000" w:themeColor="text1"/>
                <w:sz w:val="18"/>
                <w:szCs w:val="18"/>
                <w:vertAlign w:val="subscript"/>
                <w14:textFill>
                  <w14:solidFill>
                    <w14:schemeClr w14:val="tx1"/>
                  </w14:solidFill>
                </w14:textFill>
              </w:rPr>
              <w:t>3</w:t>
            </w:r>
            <w:r>
              <w:rPr>
                <w:snapToGrid w:val="0"/>
                <w:color w:val="000000" w:themeColor="text1"/>
                <w:sz w:val="18"/>
                <w:szCs w:val="18"/>
                <w14:textFill>
                  <w14:solidFill>
                    <w14:schemeClr w14:val="tx1"/>
                  </w14:solidFill>
                </w14:textFill>
              </w:rPr>
              <w:t>、CO）</w:t>
            </w:r>
          </w:p>
          <w:p w14:paraId="21F915D4">
            <w:pPr>
              <w:spacing w:line="240" w:lineRule="auto"/>
              <w:ind w:firstLine="0" w:firstLineChars="0"/>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其他污染物（</w:t>
            </w:r>
            <w:r>
              <w:rPr>
                <w:rFonts w:hint="eastAsia"/>
                <w:snapToGrid w:val="0"/>
                <w:color w:val="000000" w:themeColor="text1"/>
                <w:sz w:val="18"/>
                <w:szCs w:val="18"/>
                <w14:textFill>
                  <w14:solidFill>
                    <w14:schemeClr w14:val="tx1"/>
                  </w14:solidFill>
                </w14:textFill>
              </w:rPr>
              <w:t>T</w:t>
            </w:r>
            <w:r>
              <w:rPr>
                <w:snapToGrid w:val="0"/>
                <w:color w:val="000000" w:themeColor="text1"/>
                <w:sz w:val="18"/>
                <w:szCs w:val="18"/>
                <w14:textFill>
                  <w14:solidFill>
                    <w14:schemeClr w14:val="tx1"/>
                  </w14:solidFill>
                </w14:textFill>
              </w:rPr>
              <w:t>SP</w:t>
            </w:r>
            <w:r>
              <w:rPr>
                <w:rFonts w:hint="eastAsia"/>
                <w:snapToGrid w:val="0"/>
                <w:color w:val="000000" w:themeColor="text1"/>
                <w:sz w:val="18"/>
                <w:szCs w:val="18"/>
                <w14:textFill>
                  <w14:solidFill>
                    <w14:schemeClr w14:val="tx1"/>
                  </w14:solidFill>
                </w14:textFill>
              </w:rPr>
              <w:t>、H</w:t>
            </w:r>
            <w:r>
              <w:rPr>
                <w:snapToGrid w:val="0"/>
                <w:color w:val="000000" w:themeColor="text1"/>
                <w:sz w:val="18"/>
                <w:szCs w:val="18"/>
                <w:vertAlign w:val="subscript"/>
                <w14:textFill>
                  <w14:solidFill>
                    <w14:schemeClr w14:val="tx1"/>
                  </w14:solidFill>
                </w14:textFill>
              </w:rPr>
              <w:t>2</w:t>
            </w:r>
            <w:r>
              <w:rPr>
                <w:snapToGrid w:val="0"/>
                <w:color w:val="000000" w:themeColor="text1"/>
                <w:sz w:val="18"/>
                <w:szCs w:val="18"/>
                <w14:textFill>
                  <w14:solidFill>
                    <w14:schemeClr w14:val="tx1"/>
                  </w14:solidFill>
                </w14:textFill>
              </w:rPr>
              <w:t>S</w:t>
            </w:r>
            <w:r>
              <w:rPr>
                <w:rFonts w:hint="eastAsia"/>
                <w:snapToGrid w:val="0"/>
                <w:color w:val="000000" w:themeColor="text1"/>
                <w:sz w:val="18"/>
                <w:szCs w:val="18"/>
                <w14:textFill>
                  <w14:solidFill>
                    <w14:schemeClr w14:val="tx1"/>
                  </w14:solidFill>
                </w14:textFill>
              </w:rPr>
              <w:t>、N</w:t>
            </w:r>
            <w:r>
              <w:rPr>
                <w:snapToGrid w:val="0"/>
                <w:color w:val="000000" w:themeColor="text1"/>
                <w:sz w:val="18"/>
                <w:szCs w:val="18"/>
                <w14:textFill>
                  <w14:solidFill>
                    <w14:schemeClr w14:val="tx1"/>
                  </w14:solidFill>
                </w14:textFill>
              </w:rPr>
              <w:t>H</w:t>
            </w:r>
            <w:r>
              <w:rPr>
                <w:snapToGrid w:val="0"/>
                <w:color w:val="000000" w:themeColor="text1"/>
                <w:sz w:val="18"/>
                <w:szCs w:val="18"/>
                <w:vertAlign w:val="subscript"/>
                <w14:textFill>
                  <w14:solidFill>
                    <w14:schemeClr w14:val="tx1"/>
                  </w14:solidFill>
                </w14:textFill>
              </w:rPr>
              <w:t>3</w:t>
            </w:r>
            <w:r>
              <w:rPr>
                <w:snapToGrid w:val="0"/>
                <w:color w:val="000000" w:themeColor="text1"/>
                <w:sz w:val="18"/>
                <w:szCs w:val="18"/>
                <w14:textFill>
                  <w14:solidFill>
                    <w14:schemeClr w14:val="tx1"/>
                  </w14:solidFill>
                </w14:textFill>
              </w:rPr>
              <w:t>）</w:t>
            </w:r>
          </w:p>
        </w:tc>
        <w:tc>
          <w:tcPr>
            <w:tcW w:w="2492" w:type="dxa"/>
            <w:gridSpan w:val="7"/>
            <w:vAlign w:val="center"/>
          </w:tcPr>
          <w:p w14:paraId="6BC72361">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包括二次PM</w:t>
            </w:r>
            <w:r>
              <w:rPr>
                <w:snapToGrid w:val="0"/>
                <w:color w:val="000000" w:themeColor="text1"/>
                <w:sz w:val="18"/>
                <w:szCs w:val="18"/>
                <w:vertAlign w:val="subscript"/>
                <w14:textFill>
                  <w14:solidFill>
                    <w14:schemeClr w14:val="tx1"/>
                  </w14:solidFill>
                </w14:textFill>
              </w:rPr>
              <w:t>2.5</w:t>
            </w:r>
            <w:r>
              <w:rPr>
                <w:snapToGrid w:val="0"/>
                <w:color w:val="000000" w:themeColor="text1"/>
                <w:sz w:val="18"/>
                <w:szCs w:val="18"/>
                <w14:textFill>
                  <w14:solidFill>
                    <w14:schemeClr w14:val="tx1"/>
                  </w14:solidFill>
                </w14:textFill>
              </w:rPr>
              <w:t>□</w:t>
            </w:r>
          </w:p>
          <w:p w14:paraId="51A5376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不包括PM</w:t>
            </w:r>
            <w:r>
              <w:rPr>
                <w:snapToGrid w:val="0"/>
                <w:color w:val="000000" w:themeColor="text1"/>
                <w:sz w:val="18"/>
                <w:szCs w:val="18"/>
                <w:vertAlign w:val="subscript"/>
                <w14:textFill>
                  <w14:solidFill>
                    <w14:schemeClr w14:val="tx1"/>
                  </w14:solidFill>
                </w14:textFill>
              </w:rPr>
              <w:t>2.5</w:t>
            </w:r>
            <w:r>
              <w:rPr>
                <w:snapToGrid w:val="0"/>
                <w:color w:val="000000" w:themeColor="text1"/>
                <w:sz w:val="18"/>
                <w:szCs w:val="18"/>
                <w14:textFill>
                  <w14:solidFill>
                    <w14:schemeClr w14:val="tx1"/>
                  </w14:solidFill>
                </w14:textFill>
              </w:rPr>
              <w:t>√</w:t>
            </w:r>
          </w:p>
        </w:tc>
      </w:tr>
      <w:tr w14:paraId="5DD75F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Align w:val="center"/>
          </w:tcPr>
          <w:p w14:paraId="1B344592">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评价标准</w:t>
            </w:r>
          </w:p>
        </w:tc>
        <w:tc>
          <w:tcPr>
            <w:tcW w:w="1121" w:type="dxa"/>
            <w:vAlign w:val="center"/>
          </w:tcPr>
          <w:p w14:paraId="3F5DB10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评价标准</w:t>
            </w:r>
          </w:p>
        </w:tc>
        <w:tc>
          <w:tcPr>
            <w:tcW w:w="2511" w:type="dxa"/>
            <w:gridSpan w:val="6"/>
            <w:vAlign w:val="center"/>
          </w:tcPr>
          <w:p w14:paraId="085E36B6">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国家标准√</w:t>
            </w:r>
          </w:p>
        </w:tc>
        <w:tc>
          <w:tcPr>
            <w:tcW w:w="1394" w:type="dxa"/>
            <w:gridSpan w:val="4"/>
            <w:vAlign w:val="center"/>
          </w:tcPr>
          <w:p w14:paraId="2165A8A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地方标准□</w:t>
            </w:r>
          </w:p>
        </w:tc>
        <w:tc>
          <w:tcPr>
            <w:tcW w:w="1302" w:type="dxa"/>
            <w:gridSpan w:val="5"/>
            <w:vAlign w:val="center"/>
          </w:tcPr>
          <w:p w14:paraId="5404D667">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附录D√</w:t>
            </w:r>
          </w:p>
        </w:tc>
        <w:tc>
          <w:tcPr>
            <w:tcW w:w="1190" w:type="dxa"/>
            <w:gridSpan w:val="2"/>
            <w:vAlign w:val="center"/>
          </w:tcPr>
          <w:p w14:paraId="58A21A4A">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其他标准□</w:t>
            </w:r>
          </w:p>
        </w:tc>
      </w:tr>
      <w:tr w14:paraId="4E2D9D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restart"/>
            <w:vAlign w:val="center"/>
          </w:tcPr>
          <w:p w14:paraId="2A8309ED">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现状评价</w:t>
            </w:r>
          </w:p>
        </w:tc>
        <w:tc>
          <w:tcPr>
            <w:tcW w:w="1121" w:type="dxa"/>
            <w:vAlign w:val="center"/>
          </w:tcPr>
          <w:p w14:paraId="00208365">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评价功能区</w:t>
            </w:r>
          </w:p>
        </w:tc>
        <w:tc>
          <w:tcPr>
            <w:tcW w:w="1805" w:type="dxa"/>
            <w:gridSpan w:val="3"/>
            <w:vAlign w:val="center"/>
          </w:tcPr>
          <w:p w14:paraId="7A5D794D">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一类区□</w:t>
            </w:r>
          </w:p>
        </w:tc>
        <w:tc>
          <w:tcPr>
            <w:tcW w:w="2100" w:type="dxa"/>
            <w:gridSpan w:val="7"/>
            <w:vAlign w:val="center"/>
          </w:tcPr>
          <w:p w14:paraId="6F038757">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二类区√</w:t>
            </w:r>
          </w:p>
        </w:tc>
        <w:tc>
          <w:tcPr>
            <w:tcW w:w="2492" w:type="dxa"/>
            <w:gridSpan w:val="7"/>
            <w:vAlign w:val="center"/>
          </w:tcPr>
          <w:p w14:paraId="756C134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一类和二类区□</w:t>
            </w:r>
          </w:p>
        </w:tc>
      </w:tr>
      <w:tr w14:paraId="07552A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47015089">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187B615A">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评价基准年</w:t>
            </w:r>
          </w:p>
        </w:tc>
        <w:tc>
          <w:tcPr>
            <w:tcW w:w="6397" w:type="dxa"/>
            <w:gridSpan w:val="17"/>
            <w:vAlign w:val="center"/>
          </w:tcPr>
          <w:p w14:paraId="50527B68">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（202</w:t>
            </w:r>
            <w:r>
              <w:rPr>
                <w:rFonts w:hint="eastAsia"/>
                <w:snapToGrid w:val="0"/>
                <w:color w:val="000000" w:themeColor="text1"/>
                <w:sz w:val="18"/>
                <w:szCs w:val="18"/>
                <w:lang w:val="en-US" w:eastAsia="zh-CN"/>
                <w14:textFill>
                  <w14:solidFill>
                    <w14:schemeClr w14:val="tx1"/>
                  </w14:solidFill>
                </w14:textFill>
              </w:rPr>
              <w:t>5</w:t>
            </w:r>
            <w:r>
              <w:rPr>
                <w:snapToGrid w:val="0"/>
                <w:color w:val="000000" w:themeColor="text1"/>
                <w:sz w:val="18"/>
                <w:szCs w:val="18"/>
                <w14:textFill>
                  <w14:solidFill>
                    <w14:schemeClr w14:val="tx1"/>
                  </w14:solidFill>
                </w14:textFill>
              </w:rPr>
              <w:t>）年</w:t>
            </w:r>
          </w:p>
        </w:tc>
      </w:tr>
      <w:tr w14:paraId="38060D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010" w:type="dxa"/>
            <w:vMerge w:val="continue"/>
            <w:vAlign w:val="center"/>
          </w:tcPr>
          <w:p w14:paraId="693C57A5">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4AFB43FC">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环境空气质量现状调查数据来源</w:t>
            </w:r>
          </w:p>
        </w:tc>
        <w:tc>
          <w:tcPr>
            <w:tcW w:w="1805" w:type="dxa"/>
            <w:gridSpan w:val="3"/>
            <w:vAlign w:val="center"/>
          </w:tcPr>
          <w:p w14:paraId="246BFBB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长期例行监测数据□</w:t>
            </w:r>
          </w:p>
        </w:tc>
        <w:tc>
          <w:tcPr>
            <w:tcW w:w="3402" w:type="dxa"/>
            <w:gridSpan w:val="12"/>
            <w:vAlign w:val="center"/>
          </w:tcPr>
          <w:p w14:paraId="5DA4FEF6">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主管部门发布的数据√</w:t>
            </w:r>
          </w:p>
        </w:tc>
        <w:tc>
          <w:tcPr>
            <w:tcW w:w="1190" w:type="dxa"/>
            <w:gridSpan w:val="2"/>
            <w:vAlign w:val="center"/>
          </w:tcPr>
          <w:p w14:paraId="1DD60EE4">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现状补充监测√</w:t>
            </w:r>
          </w:p>
        </w:tc>
      </w:tr>
      <w:tr w14:paraId="331DF6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5B3D1AAF">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5235857D">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现状评价</w:t>
            </w:r>
          </w:p>
        </w:tc>
        <w:tc>
          <w:tcPr>
            <w:tcW w:w="4323" w:type="dxa"/>
            <w:gridSpan w:val="11"/>
            <w:vAlign w:val="center"/>
          </w:tcPr>
          <w:p w14:paraId="6A4EE50C">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达标区√</w:t>
            </w:r>
          </w:p>
        </w:tc>
        <w:tc>
          <w:tcPr>
            <w:tcW w:w="2074" w:type="dxa"/>
            <w:gridSpan w:val="6"/>
            <w:vAlign w:val="center"/>
          </w:tcPr>
          <w:p w14:paraId="6FB5F8FD">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不达标区□</w:t>
            </w:r>
          </w:p>
        </w:tc>
      </w:tr>
      <w:tr w14:paraId="2C9B8B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Align w:val="center"/>
          </w:tcPr>
          <w:p w14:paraId="1F94B7AF">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污染源调查</w:t>
            </w:r>
          </w:p>
        </w:tc>
        <w:tc>
          <w:tcPr>
            <w:tcW w:w="1121" w:type="dxa"/>
            <w:vAlign w:val="center"/>
          </w:tcPr>
          <w:p w14:paraId="275772E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调查内容</w:t>
            </w:r>
          </w:p>
        </w:tc>
        <w:tc>
          <w:tcPr>
            <w:tcW w:w="2511" w:type="dxa"/>
            <w:gridSpan w:val="6"/>
            <w:vAlign w:val="center"/>
          </w:tcPr>
          <w:p w14:paraId="60E059A4">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本项目正常排放√</w:t>
            </w:r>
          </w:p>
          <w:p w14:paraId="19DBD23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本项目非正常排放源√</w:t>
            </w:r>
          </w:p>
          <w:p w14:paraId="211CD942">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现有污染源</w:t>
            </w:r>
          </w:p>
        </w:tc>
        <w:tc>
          <w:tcPr>
            <w:tcW w:w="1394" w:type="dxa"/>
            <w:gridSpan w:val="4"/>
            <w:vAlign w:val="center"/>
          </w:tcPr>
          <w:p w14:paraId="6AC778D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拟替代的污染源□</w:t>
            </w:r>
          </w:p>
        </w:tc>
        <w:tc>
          <w:tcPr>
            <w:tcW w:w="1893" w:type="dxa"/>
            <w:gridSpan w:val="6"/>
            <w:vAlign w:val="center"/>
          </w:tcPr>
          <w:p w14:paraId="0172BA7A">
            <w:pPr>
              <w:spacing w:line="240" w:lineRule="auto"/>
              <w:ind w:firstLine="0" w:firstLineChars="0"/>
              <w:jc w:val="center"/>
              <w:rPr>
                <w:rFonts w:hint="eastAsia" w:eastAsia="宋体"/>
                <w:snapToGrid w:val="0"/>
                <w:color w:val="000000" w:themeColor="text1"/>
                <w:sz w:val="18"/>
                <w:szCs w:val="18"/>
                <w:lang w:eastAsia="zh-CN"/>
                <w14:textFill>
                  <w14:solidFill>
                    <w14:schemeClr w14:val="tx1"/>
                  </w14:solidFill>
                </w14:textFill>
              </w:rPr>
            </w:pPr>
            <w:r>
              <w:rPr>
                <w:snapToGrid w:val="0"/>
                <w:color w:val="000000" w:themeColor="text1"/>
                <w:sz w:val="18"/>
                <w:szCs w:val="18"/>
                <w14:textFill>
                  <w14:solidFill>
                    <w14:schemeClr w14:val="tx1"/>
                  </w14:solidFill>
                </w14:textFill>
              </w:rPr>
              <w:t>其他在建、拟建项目污染源</w:t>
            </w:r>
            <w:r>
              <w:rPr>
                <w:rFonts w:hint="eastAsia"/>
                <w:snapToGrid w:val="0"/>
                <w:color w:val="000000" w:themeColor="text1"/>
                <w:sz w:val="18"/>
                <w:szCs w:val="18"/>
                <w:lang w:eastAsia="zh-CN"/>
                <w14:textFill>
                  <w14:solidFill>
                    <w14:schemeClr w14:val="tx1"/>
                  </w14:solidFill>
                </w14:textFill>
              </w:rPr>
              <w:t>☑</w:t>
            </w:r>
          </w:p>
        </w:tc>
        <w:tc>
          <w:tcPr>
            <w:tcW w:w="599" w:type="dxa"/>
            <w:vAlign w:val="center"/>
          </w:tcPr>
          <w:p w14:paraId="296897FD">
            <w:pPr>
              <w:spacing w:line="240" w:lineRule="auto"/>
              <w:ind w:firstLine="0" w:firstLineChars="0"/>
              <w:jc w:val="center"/>
              <w:rPr>
                <w:rFonts w:hint="eastAsia" w:eastAsia="宋体"/>
                <w:snapToGrid w:val="0"/>
                <w:color w:val="000000" w:themeColor="text1"/>
                <w:sz w:val="18"/>
                <w:szCs w:val="18"/>
                <w:lang w:eastAsia="zh-CN"/>
                <w14:textFill>
                  <w14:solidFill>
                    <w14:schemeClr w14:val="tx1"/>
                  </w14:solidFill>
                </w14:textFill>
              </w:rPr>
            </w:pPr>
            <w:r>
              <w:rPr>
                <w:snapToGrid w:val="0"/>
                <w:color w:val="000000" w:themeColor="text1"/>
                <w:sz w:val="18"/>
                <w:szCs w:val="18"/>
                <w14:textFill>
                  <w14:solidFill>
                    <w14:schemeClr w14:val="tx1"/>
                  </w14:solidFill>
                </w14:textFill>
              </w:rPr>
              <w:t>区域污染源</w:t>
            </w:r>
            <w:r>
              <w:rPr>
                <w:rFonts w:hint="eastAsia"/>
                <w:snapToGrid w:val="0"/>
                <w:color w:val="000000" w:themeColor="text1"/>
                <w:sz w:val="18"/>
                <w:szCs w:val="18"/>
                <w:lang w:eastAsia="zh-CN"/>
                <w14:textFill>
                  <w14:solidFill>
                    <w14:schemeClr w14:val="tx1"/>
                  </w14:solidFill>
                </w14:textFill>
              </w:rPr>
              <w:t>☑</w:t>
            </w:r>
          </w:p>
        </w:tc>
      </w:tr>
      <w:tr w14:paraId="45940D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restart"/>
            <w:vAlign w:val="center"/>
          </w:tcPr>
          <w:p w14:paraId="6637CAAD">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大气环境影响预测与评价</w:t>
            </w:r>
          </w:p>
        </w:tc>
        <w:tc>
          <w:tcPr>
            <w:tcW w:w="1121" w:type="dxa"/>
            <w:vAlign w:val="center"/>
          </w:tcPr>
          <w:p w14:paraId="0567385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预测模型</w:t>
            </w:r>
          </w:p>
        </w:tc>
        <w:tc>
          <w:tcPr>
            <w:tcW w:w="1238" w:type="dxa"/>
            <w:gridSpan w:val="2"/>
            <w:vAlign w:val="center"/>
          </w:tcPr>
          <w:p w14:paraId="63E80E9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AERMOD□</w:t>
            </w:r>
          </w:p>
        </w:tc>
        <w:tc>
          <w:tcPr>
            <w:tcW w:w="688" w:type="dxa"/>
            <w:gridSpan w:val="2"/>
            <w:vAlign w:val="center"/>
          </w:tcPr>
          <w:p w14:paraId="58853D54">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ADMS□</w:t>
            </w:r>
          </w:p>
        </w:tc>
        <w:tc>
          <w:tcPr>
            <w:tcW w:w="970" w:type="dxa"/>
            <w:gridSpan w:val="4"/>
            <w:vAlign w:val="center"/>
          </w:tcPr>
          <w:p w14:paraId="0A8EA45F">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AUSTAL2000□</w:t>
            </w:r>
          </w:p>
        </w:tc>
        <w:tc>
          <w:tcPr>
            <w:tcW w:w="1009" w:type="dxa"/>
            <w:gridSpan w:val="2"/>
            <w:vAlign w:val="center"/>
          </w:tcPr>
          <w:p w14:paraId="1D4496B9">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ENMSS/AEDT□</w:t>
            </w:r>
          </w:p>
        </w:tc>
        <w:tc>
          <w:tcPr>
            <w:tcW w:w="1105" w:type="dxa"/>
            <w:gridSpan w:val="4"/>
            <w:vAlign w:val="center"/>
          </w:tcPr>
          <w:p w14:paraId="6B56F24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CALPUFF□</w:t>
            </w:r>
          </w:p>
        </w:tc>
        <w:tc>
          <w:tcPr>
            <w:tcW w:w="788" w:type="dxa"/>
            <w:gridSpan w:val="2"/>
            <w:vAlign w:val="center"/>
          </w:tcPr>
          <w:p w14:paraId="0198603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网格模型□</w:t>
            </w:r>
          </w:p>
        </w:tc>
        <w:tc>
          <w:tcPr>
            <w:tcW w:w="599" w:type="dxa"/>
            <w:vAlign w:val="center"/>
          </w:tcPr>
          <w:p w14:paraId="4DAECA4F">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其他□</w:t>
            </w:r>
          </w:p>
        </w:tc>
      </w:tr>
      <w:tr w14:paraId="789129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5BD1BE31">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187A3EFC">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预测范围</w:t>
            </w:r>
          </w:p>
        </w:tc>
        <w:tc>
          <w:tcPr>
            <w:tcW w:w="2511" w:type="dxa"/>
            <w:gridSpan w:val="6"/>
            <w:vAlign w:val="center"/>
          </w:tcPr>
          <w:p w14:paraId="24CF1394">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边长=50km□</w:t>
            </w:r>
          </w:p>
        </w:tc>
        <w:tc>
          <w:tcPr>
            <w:tcW w:w="1394" w:type="dxa"/>
            <w:gridSpan w:val="4"/>
            <w:vAlign w:val="center"/>
          </w:tcPr>
          <w:p w14:paraId="372ED9ED">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边长=5~50km□</w:t>
            </w:r>
          </w:p>
        </w:tc>
        <w:tc>
          <w:tcPr>
            <w:tcW w:w="2492" w:type="dxa"/>
            <w:gridSpan w:val="7"/>
            <w:vAlign w:val="center"/>
          </w:tcPr>
          <w:p w14:paraId="1B6B25AD">
            <w:pPr>
              <w:spacing w:line="240" w:lineRule="auto"/>
              <w:ind w:firstLine="0" w:firstLineChars="0"/>
              <w:jc w:val="center"/>
              <w:rPr>
                <w:rFonts w:hint="eastAsia" w:eastAsia="宋体"/>
                <w:snapToGrid w:val="0"/>
                <w:color w:val="000000" w:themeColor="text1"/>
                <w:sz w:val="18"/>
                <w:szCs w:val="18"/>
                <w:lang w:eastAsia="zh-CN"/>
                <w14:textFill>
                  <w14:solidFill>
                    <w14:schemeClr w14:val="tx1"/>
                  </w14:solidFill>
                </w14:textFill>
              </w:rPr>
            </w:pPr>
            <w:r>
              <w:rPr>
                <w:snapToGrid w:val="0"/>
                <w:color w:val="000000" w:themeColor="text1"/>
                <w:sz w:val="18"/>
                <w:szCs w:val="18"/>
                <w14:textFill>
                  <w14:solidFill>
                    <w14:schemeClr w14:val="tx1"/>
                  </w14:solidFill>
                </w14:textFill>
              </w:rPr>
              <w:t>边长=5km</w:t>
            </w:r>
            <w:r>
              <w:rPr>
                <w:rFonts w:hint="eastAsia"/>
                <w:snapToGrid w:val="0"/>
                <w:color w:val="000000" w:themeColor="text1"/>
                <w:sz w:val="18"/>
                <w:szCs w:val="18"/>
                <w:lang w:eastAsia="zh-CN"/>
                <w14:textFill>
                  <w14:solidFill>
                    <w14:schemeClr w14:val="tx1"/>
                  </w14:solidFill>
                </w14:textFill>
              </w:rPr>
              <w:t>☑</w:t>
            </w:r>
          </w:p>
        </w:tc>
      </w:tr>
      <w:tr w14:paraId="7E4B90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73FB84A9">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131D4667">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预测因子</w:t>
            </w:r>
          </w:p>
        </w:tc>
        <w:tc>
          <w:tcPr>
            <w:tcW w:w="3905" w:type="dxa"/>
            <w:gridSpan w:val="10"/>
            <w:vAlign w:val="center"/>
          </w:tcPr>
          <w:p w14:paraId="65228C65">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预测因子（       ）</w:t>
            </w:r>
          </w:p>
        </w:tc>
        <w:tc>
          <w:tcPr>
            <w:tcW w:w="2492" w:type="dxa"/>
            <w:gridSpan w:val="7"/>
            <w:vAlign w:val="center"/>
          </w:tcPr>
          <w:p w14:paraId="7970FA9F">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包括二次PM</w:t>
            </w:r>
            <w:r>
              <w:rPr>
                <w:snapToGrid w:val="0"/>
                <w:color w:val="000000" w:themeColor="text1"/>
                <w:sz w:val="18"/>
                <w:szCs w:val="18"/>
                <w:vertAlign w:val="subscript"/>
                <w14:textFill>
                  <w14:solidFill>
                    <w14:schemeClr w14:val="tx1"/>
                  </w14:solidFill>
                </w14:textFill>
              </w:rPr>
              <w:t>2.5</w:t>
            </w:r>
            <w:r>
              <w:rPr>
                <w:snapToGrid w:val="0"/>
                <w:color w:val="000000" w:themeColor="text1"/>
                <w:sz w:val="18"/>
                <w:szCs w:val="18"/>
                <w14:textFill>
                  <w14:solidFill>
                    <w14:schemeClr w14:val="tx1"/>
                  </w14:solidFill>
                </w14:textFill>
              </w:rPr>
              <w:t>□不包括PM</w:t>
            </w:r>
            <w:r>
              <w:rPr>
                <w:snapToGrid w:val="0"/>
                <w:color w:val="000000" w:themeColor="text1"/>
                <w:sz w:val="18"/>
                <w:szCs w:val="18"/>
                <w:vertAlign w:val="subscript"/>
                <w14:textFill>
                  <w14:solidFill>
                    <w14:schemeClr w14:val="tx1"/>
                  </w14:solidFill>
                </w14:textFill>
              </w:rPr>
              <w:t>2.5</w:t>
            </w:r>
            <w:r>
              <w:rPr>
                <w:snapToGrid w:val="0"/>
                <w:color w:val="000000" w:themeColor="text1"/>
                <w:sz w:val="18"/>
                <w:szCs w:val="18"/>
                <w14:textFill>
                  <w14:solidFill>
                    <w14:schemeClr w14:val="tx1"/>
                  </w14:solidFill>
                </w14:textFill>
              </w:rPr>
              <w:t>□</w:t>
            </w:r>
          </w:p>
        </w:tc>
      </w:tr>
      <w:tr w14:paraId="623D5B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33E92BFC">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13492277">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正常排放短期浓度贡献值</w:t>
            </w:r>
          </w:p>
        </w:tc>
        <w:tc>
          <w:tcPr>
            <w:tcW w:w="3905" w:type="dxa"/>
            <w:gridSpan w:val="10"/>
            <w:vAlign w:val="center"/>
          </w:tcPr>
          <w:p w14:paraId="77BBE061">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本项目</w:t>
            </w:r>
            <w:r>
              <w:rPr>
                <w:snapToGrid w:val="0"/>
                <w:color w:val="000000" w:themeColor="text1"/>
                <w:sz w:val="18"/>
                <w:szCs w:val="18"/>
                <w14:textFill>
                  <w14:solidFill>
                    <w14:schemeClr w14:val="tx1"/>
                  </w14:solidFill>
                </w14:textFill>
              </w:rPr>
              <w:t>最大占标率≤100%□</w:t>
            </w:r>
          </w:p>
        </w:tc>
        <w:tc>
          <w:tcPr>
            <w:tcW w:w="2492" w:type="dxa"/>
            <w:gridSpan w:val="7"/>
            <w:vAlign w:val="center"/>
          </w:tcPr>
          <w:p w14:paraId="7D9BEF6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本项目</w:t>
            </w:r>
            <w:r>
              <w:rPr>
                <w:snapToGrid w:val="0"/>
                <w:color w:val="000000" w:themeColor="text1"/>
                <w:sz w:val="18"/>
                <w:szCs w:val="18"/>
                <w14:textFill>
                  <w14:solidFill>
                    <w14:schemeClr w14:val="tx1"/>
                  </w14:solidFill>
                </w14:textFill>
              </w:rPr>
              <w:t>最大占标率＞100%□</w:t>
            </w:r>
          </w:p>
        </w:tc>
      </w:tr>
      <w:tr w14:paraId="4EA53F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66EA3ACB">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Merge w:val="restart"/>
            <w:vAlign w:val="center"/>
          </w:tcPr>
          <w:p w14:paraId="42DE6CCA">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正常排放年均浓度贡献值</w:t>
            </w:r>
          </w:p>
        </w:tc>
        <w:tc>
          <w:tcPr>
            <w:tcW w:w="996" w:type="dxa"/>
            <w:vAlign w:val="center"/>
          </w:tcPr>
          <w:p w14:paraId="6A00629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一类区</w:t>
            </w:r>
          </w:p>
        </w:tc>
        <w:tc>
          <w:tcPr>
            <w:tcW w:w="1515" w:type="dxa"/>
            <w:gridSpan w:val="5"/>
            <w:vAlign w:val="center"/>
          </w:tcPr>
          <w:p w14:paraId="2BD21EB5">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本项目</w:t>
            </w:r>
            <w:r>
              <w:rPr>
                <w:snapToGrid w:val="0"/>
                <w:color w:val="000000" w:themeColor="text1"/>
                <w:sz w:val="18"/>
                <w:szCs w:val="18"/>
                <w14:textFill>
                  <w14:solidFill>
                    <w14:schemeClr w14:val="tx1"/>
                  </w14:solidFill>
                </w14:textFill>
              </w:rPr>
              <w:t>最大占标率≤10%□</w:t>
            </w:r>
          </w:p>
        </w:tc>
        <w:tc>
          <w:tcPr>
            <w:tcW w:w="3886" w:type="dxa"/>
            <w:gridSpan w:val="11"/>
            <w:vAlign w:val="center"/>
          </w:tcPr>
          <w:p w14:paraId="36F0CAEA">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本项目</w:t>
            </w:r>
            <w:r>
              <w:rPr>
                <w:snapToGrid w:val="0"/>
                <w:color w:val="000000" w:themeColor="text1"/>
                <w:sz w:val="18"/>
                <w:szCs w:val="18"/>
                <w14:textFill>
                  <w14:solidFill>
                    <w14:schemeClr w14:val="tx1"/>
                  </w14:solidFill>
                </w14:textFill>
              </w:rPr>
              <w:t>最大占标率＞10%□</w:t>
            </w:r>
          </w:p>
        </w:tc>
      </w:tr>
      <w:tr w14:paraId="561267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34852965">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Merge w:val="continue"/>
            <w:vAlign w:val="center"/>
          </w:tcPr>
          <w:p w14:paraId="7391E19A">
            <w:pPr>
              <w:spacing w:line="240" w:lineRule="auto"/>
              <w:ind w:firstLine="0" w:firstLineChars="0"/>
              <w:jc w:val="center"/>
              <w:rPr>
                <w:snapToGrid w:val="0"/>
                <w:color w:val="000000" w:themeColor="text1"/>
                <w:sz w:val="18"/>
                <w:szCs w:val="18"/>
                <w14:textFill>
                  <w14:solidFill>
                    <w14:schemeClr w14:val="tx1"/>
                  </w14:solidFill>
                </w14:textFill>
              </w:rPr>
            </w:pPr>
          </w:p>
        </w:tc>
        <w:tc>
          <w:tcPr>
            <w:tcW w:w="996" w:type="dxa"/>
            <w:vAlign w:val="center"/>
          </w:tcPr>
          <w:p w14:paraId="3E88CFF3">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二类区</w:t>
            </w:r>
          </w:p>
        </w:tc>
        <w:tc>
          <w:tcPr>
            <w:tcW w:w="1515" w:type="dxa"/>
            <w:gridSpan w:val="5"/>
            <w:vAlign w:val="center"/>
          </w:tcPr>
          <w:p w14:paraId="219E729F">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本项目</w:t>
            </w:r>
            <w:r>
              <w:rPr>
                <w:snapToGrid w:val="0"/>
                <w:color w:val="000000" w:themeColor="text1"/>
                <w:sz w:val="18"/>
                <w:szCs w:val="18"/>
                <w14:textFill>
                  <w14:solidFill>
                    <w14:schemeClr w14:val="tx1"/>
                  </w14:solidFill>
                </w14:textFill>
              </w:rPr>
              <w:t>最大占标率≤30%□</w:t>
            </w:r>
          </w:p>
        </w:tc>
        <w:tc>
          <w:tcPr>
            <w:tcW w:w="3886" w:type="dxa"/>
            <w:gridSpan w:val="11"/>
            <w:vAlign w:val="center"/>
          </w:tcPr>
          <w:p w14:paraId="56A01354">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本项目</w:t>
            </w:r>
            <w:r>
              <w:rPr>
                <w:snapToGrid w:val="0"/>
                <w:color w:val="000000" w:themeColor="text1"/>
                <w:sz w:val="18"/>
                <w:szCs w:val="18"/>
                <w14:textFill>
                  <w14:solidFill>
                    <w14:schemeClr w14:val="tx1"/>
                  </w14:solidFill>
                </w14:textFill>
              </w:rPr>
              <w:t>最大占标率＞30%□</w:t>
            </w:r>
          </w:p>
        </w:tc>
      </w:tr>
      <w:tr w14:paraId="1CE002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1B2C3306">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09AE260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非正常排放1h浓度贡献值</w:t>
            </w:r>
          </w:p>
        </w:tc>
        <w:tc>
          <w:tcPr>
            <w:tcW w:w="2205" w:type="dxa"/>
            <w:gridSpan w:val="5"/>
            <w:vAlign w:val="center"/>
          </w:tcPr>
          <w:p w14:paraId="78F69563">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非正常持续时长（）h</w:t>
            </w:r>
          </w:p>
        </w:tc>
        <w:tc>
          <w:tcPr>
            <w:tcW w:w="2303" w:type="dxa"/>
            <w:gridSpan w:val="7"/>
            <w:vAlign w:val="center"/>
          </w:tcPr>
          <w:p w14:paraId="26CE00E9">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非正常</w:t>
            </w:r>
            <w:r>
              <w:rPr>
                <w:snapToGrid w:val="0"/>
                <w:color w:val="000000" w:themeColor="text1"/>
                <w:sz w:val="18"/>
                <w:szCs w:val="18"/>
                <w14:textFill>
                  <w14:solidFill>
                    <w14:schemeClr w14:val="tx1"/>
                  </w14:solidFill>
                </w14:textFill>
              </w:rPr>
              <w:t>占标率≤100%□</w:t>
            </w:r>
          </w:p>
        </w:tc>
        <w:tc>
          <w:tcPr>
            <w:tcW w:w="1889" w:type="dxa"/>
            <w:gridSpan w:val="5"/>
            <w:vAlign w:val="center"/>
          </w:tcPr>
          <w:p w14:paraId="4805AD8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非正常</w:t>
            </w:r>
            <w:r>
              <w:rPr>
                <w:snapToGrid w:val="0"/>
                <w:color w:val="000000" w:themeColor="text1"/>
                <w:sz w:val="18"/>
                <w:szCs w:val="18"/>
                <w14:textFill>
                  <w14:solidFill>
                    <w14:schemeClr w14:val="tx1"/>
                  </w14:solidFill>
                </w14:textFill>
              </w:rPr>
              <w:t>占标率＞100%□</w:t>
            </w:r>
          </w:p>
        </w:tc>
      </w:tr>
      <w:tr w14:paraId="29A649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58C4CBB0">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10C713F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保证率日平均浓度和年平均跌价值</w:t>
            </w:r>
          </w:p>
        </w:tc>
        <w:tc>
          <w:tcPr>
            <w:tcW w:w="3274" w:type="dxa"/>
            <w:gridSpan w:val="9"/>
            <w:vAlign w:val="center"/>
          </w:tcPr>
          <w:p w14:paraId="40562D05">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叠加</w:t>
            </w:r>
            <w:r>
              <w:rPr>
                <w:snapToGrid w:val="0"/>
                <w:color w:val="000000" w:themeColor="text1"/>
                <w:sz w:val="18"/>
                <w:szCs w:val="18"/>
                <w14:textFill>
                  <w14:solidFill>
                    <w14:schemeClr w14:val="tx1"/>
                  </w14:solidFill>
                </w14:textFill>
              </w:rPr>
              <w:t>达标□</w:t>
            </w:r>
          </w:p>
        </w:tc>
        <w:tc>
          <w:tcPr>
            <w:tcW w:w="3123" w:type="dxa"/>
            <w:gridSpan w:val="8"/>
            <w:vAlign w:val="center"/>
          </w:tcPr>
          <w:p w14:paraId="4509F26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C</w:t>
            </w:r>
            <w:r>
              <w:rPr>
                <w:snapToGrid w:val="0"/>
                <w:color w:val="000000" w:themeColor="text1"/>
                <w:sz w:val="18"/>
                <w:szCs w:val="18"/>
                <w:vertAlign w:val="subscript"/>
                <w14:textFill>
                  <w14:solidFill>
                    <w14:schemeClr w14:val="tx1"/>
                  </w14:solidFill>
                </w14:textFill>
              </w:rPr>
              <w:t>叠加</w:t>
            </w:r>
            <w:r>
              <w:rPr>
                <w:snapToGrid w:val="0"/>
                <w:color w:val="000000" w:themeColor="text1"/>
                <w:sz w:val="18"/>
                <w:szCs w:val="18"/>
                <w14:textFill>
                  <w14:solidFill>
                    <w14:schemeClr w14:val="tx1"/>
                  </w14:solidFill>
                </w14:textFill>
              </w:rPr>
              <w:t>不达标□</w:t>
            </w:r>
          </w:p>
        </w:tc>
      </w:tr>
      <w:tr w14:paraId="6D4464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6B4EDD1B">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4B854846">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区域环境质量的正太变化情况</w:t>
            </w:r>
          </w:p>
        </w:tc>
        <w:tc>
          <w:tcPr>
            <w:tcW w:w="3274" w:type="dxa"/>
            <w:gridSpan w:val="9"/>
            <w:vAlign w:val="center"/>
          </w:tcPr>
          <w:p w14:paraId="53327BD2">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K≤-20%</w:t>
            </w:r>
          </w:p>
        </w:tc>
        <w:tc>
          <w:tcPr>
            <w:tcW w:w="3123" w:type="dxa"/>
            <w:gridSpan w:val="8"/>
            <w:vAlign w:val="center"/>
          </w:tcPr>
          <w:p w14:paraId="52C511B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K＞-20%</w:t>
            </w:r>
          </w:p>
        </w:tc>
      </w:tr>
      <w:tr w14:paraId="260E7A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restart"/>
            <w:vAlign w:val="center"/>
          </w:tcPr>
          <w:p w14:paraId="73C0369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环境监测计划</w:t>
            </w:r>
          </w:p>
        </w:tc>
        <w:tc>
          <w:tcPr>
            <w:tcW w:w="1121" w:type="dxa"/>
            <w:vAlign w:val="center"/>
          </w:tcPr>
          <w:p w14:paraId="2FFC4635">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污染源监测</w:t>
            </w:r>
          </w:p>
        </w:tc>
        <w:tc>
          <w:tcPr>
            <w:tcW w:w="2205" w:type="dxa"/>
            <w:gridSpan w:val="5"/>
            <w:vAlign w:val="center"/>
          </w:tcPr>
          <w:p w14:paraId="7C1E2E00">
            <w:pPr>
              <w:spacing w:line="240" w:lineRule="auto"/>
              <w:ind w:firstLine="0" w:firstLineChars="0"/>
              <w:rPr>
                <w:rFonts w:cs="Times New Roman"/>
                <w:snapToGrid w:val="0"/>
                <w:color w:val="000000" w:themeColor="text1"/>
                <w:sz w:val="18"/>
                <w:szCs w:val="18"/>
                <w14:textFill>
                  <w14:solidFill>
                    <w14:schemeClr w14:val="tx1"/>
                  </w14:solidFill>
                </w14:textFill>
              </w:rPr>
            </w:pPr>
            <w:r>
              <w:rPr>
                <w:rFonts w:cs="Times New Roman"/>
                <w:snapToGrid w:val="0"/>
                <w:color w:val="000000" w:themeColor="text1"/>
                <w:sz w:val="18"/>
                <w:szCs w:val="18"/>
                <w14:textFill>
                  <w14:solidFill>
                    <w14:schemeClr w14:val="tx1"/>
                  </w14:solidFill>
                </w14:textFill>
              </w:rPr>
              <w:t>监测因子：（</w:t>
            </w:r>
            <w:r>
              <w:rPr>
                <w:rFonts w:hint="eastAsia"/>
                <w:snapToGrid w:val="0"/>
                <w:color w:val="000000" w:themeColor="text1"/>
                <w:sz w:val="18"/>
                <w:szCs w:val="18"/>
                <w14:textFill>
                  <w14:solidFill>
                    <w14:schemeClr w14:val="tx1"/>
                  </w14:solidFill>
                </w14:textFill>
              </w:rPr>
              <w:t>颗粒物、臭气浓度、</w:t>
            </w:r>
            <w:r>
              <w:rPr>
                <w:rFonts w:cs="Times New Roman"/>
                <w:snapToGrid w:val="0"/>
                <w:color w:val="000000" w:themeColor="text1"/>
                <w:sz w:val="18"/>
                <w:szCs w:val="18"/>
                <w14:textFill>
                  <w14:solidFill>
                    <w14:schemeClr w14:val="tx1"/>
                  </w14:solidFill>
                </w14:textFill>
              </w:rPr>
              <w:t>H</w:t>
            </w:r>
            <w:r>
              <w:rPr>
                <w:rFonts w:cs="Times New Roman"/>
                <w:snapToGrid w:val="0"/>
                <w:color w:val="000000" w:themeColor="text1"/>
                <w:sz w:val="18"/>
                <w:szCs w:val="18"/>
                <w:vertAlign w:val="subscript"/>
                <w14:textFill>
                  <w14:solidFill>
                    <w14:schemeClr w14:val="tx1"/>
                  </w14:solidFill>
                </w14:textFill>
              </w:rPr>
              <w:t>2</w:t>
            </w:r>
            <w:r>
              <w:rPr>
                <w:rFonts w:cs="Times New Roman"/>
                <w:snapToGrid w:val="0"/>
                <w:color w:val="000000" w:themeColor="text1"/>
                <w:sz w:val="18"/>
                <w:szCs w:val="18"/>
                <w14:textFill>
                  <w14:solidFill>
                    <w14:schemeClr w14:val="tx1"/>
                  </w14:solidFill>
                </w14:textFill>
              </w:rPr>
              <w:t>S、NH</w:t>
            </w:r>
            <w:r>
              <w:rPr>
                <w:rFonts w:cs="Times New Roman"/>
                <w:snapToGrid w:val="0"/>
                <w:color w:val="000000" w:themeColor="text1"/>
                <w:sz w:val="18"/>
                <w:szCs w:val="18"/>
                <w:vertAlign w:val="subscript"/>
                <w14:textFill>
                  <w14:solidFill>
                    <w14:schemeClr w14:val="tx1"/>
                  </w14:solidFill>
                </w14:textFill>
              </w:rPr>
              <w:t>3</w:t>
            </w:r>
            <w:r>
              <w:rPr>
                <w:rFonts w:cs="Times New Roman"/>
                <w:snapToGrid w:val="0"/>
                <w:color w:val="000000" w:themeColor="text1"/>
                <w:sz w:val="18"/>
                <w:szCs w:val="18"/>
                <w14:textFill>
                  <w14:solidFill>
                    <w14:schemeClr w14:val="tx1"/>
                  </w14:solidFill>
                </w14:textFill>
              </w:rPr>
              <w:t>）</w:t>
            </w:r>
          </w:p>
        </w:tc>
        <w:tc>
          <w:tcPr>
            <w:tcW w:w="2303" w:type="dxa"/>
            <w:gridSpan w:val="7"/>
            <w:vAlign w:val="center"/>
          </w:tcPr>
          <w:p w14:paraId="2CD7B288">
            <w:pPr>
              <w:spacing w:line="240" w:lineRule="auto"/>
              <w:ind w:firstLine="0" w:firstLineChars="0"/>
              <w:rPr>
                <w:rFonts w:cs="Times New Roman"/>
                <w:snapToGrid w:val="0"/>
                <w:color w:val="000000" w:themeColor="text1"/>
                <w:sz w:val="18"/>
                <w:szCs w:val="18"/>
                <w14:textFill>
                  <w14:solidFill>
                    <w14:schemeClr w14:val="tx1"/>
                  </w14:solidFill>
                </w14:textFill>
              </w:rPr>
            </w:pPr>
            <w:r>
              <w:rPr>
                <w:rFonts w:cs="Times New Roman"/>
                <w:snapToGrid w:val="0"/>
                <w:color w:val="000000" w:themeColor="text1"/>
                <w:sz w:val="18"/>
                <w:szCs w:val="18"/>
                <w14:textFill>
                  <w14:solidFill>
                    <w14:schemeClr w14:val="tx1"/>
                  </w14:solidFill>
                </w14:textFill>
              </w:rPr>
              <w:t>有组织废气监测（</w:t>
            </w:r>
            <w:r>
              <w:rPr>
                <w:rFonts w:hint="eastAsia" w:cs="Times New Roman"/>
                <w:snapToGrid w:val="0"/>
                <w:color w:val="000000" w:themeColor="text1"/>
                <w:sz w:val="18"/>
                <w:szCs w:val="18"/>
                <w:lang w:val="en-US" w:eastAsia="zh-CN"/>
                <w14:textFill>
                  <w14:solidFill>
                    <w14:schemeClr w14:val="tx1"/>
                  </w14:solidFill>
                </w14:textFill>
              </w:rPr>
              <w:t>颗粒物</w:t>
            </w:r>
            <w:r>
              <w:rPr>
                <w:rFonts w:hint="eastAsia" w:cs="Times New Roman"/>
                <w:snapToGrid w:val="0"/>
                <w:color w:val="000000" w:themeColor="text1"/>
                <w:sz w:val="18"/>
                <w:szCs w:val="18"/>
                <w14:textFill>
                  <w14:solidFill>
                    <w14:schemeClr w14:val="tx1"/>
                  </w14:solidFill>
                </w14:textFill>
              </w:rPr>
              <w:t>、S</w:t>
            </w:r>
            <w:r>
              <w:rPr>
                <w:rFonts w:cs="Times New Roman"/>
                <w:snapToGrid w:val="0"/>
                <w:color w:val="000000" w:themeColor="text1"/>
                <w:sz w:val="18"/>
                <w:szCs w:val="18"/>
                <w14:textFill>
                  <w14:solidFill>
                    <w14:schemeClr w14:val="tx1"/>
                  </w14:solidFill>
                </w14:textFill>
              </w:rPr>
              <w:t>O</w:t>
            </w:r>
            <w:r>
              <w:rPr>
                <w:rFonts w:cs="Times New Roman"/>
                <w:snapToGrid w:val="0"/>
                <w:color w:val="000000" w:themeColor="text1"/>
                <w:sz w:val="18"/>
                <w:szCs w:val="18"/>
                <w:vertAlign w:val="subscript"/>
                <w14:textFill>
                  <w14:solidFill>
                    <w14:schemeClr w14:val="tx1"/>
                  </w14:solidFill>
                </w14:textFill>
              </w:rPr>
              <w:t>2</w:t>
            </w:r>
            <w:r>
              <w:rPr>
                <w:rFonts w:hint="eastAsia" w:cs="Times New Roman"/>
                <w:snapToGrid w:val="0"/>
                <w:color w:val="000000" w:themeColor="text1"/>
                <w:sz w:val="18"/>
                <w:szCs w:val="18"/>
                <w14:textFill>
                  <w14:solidFill>
                    <w14:schemeClr w14:val="tx1"/>
                  </w14:solidFill>
                </w14:textFill>
              </w:rPr>
              <w:t>、N</w:t>
            </w:r>
            <w:r>
              <w:rPr>
                <w:rFonts w:cs="Times New Roman"/>
                <w:snapToGrid w:val="0"/>
                <w:color w:val="000000" w:themeColor="text1"/>
                <w:sz w:val="18"/>
                <w:szCs w:val="18"/>
                <w14:textFill>
                  <w14:solidFill>
                    <w14:schemeClr w14:val="tx1"/>
                  </w14:solidFill>
                </w14:textFill>
              </w:rPr>
              <w:t>O</w:t>
            </w:r>
            <w:r>
              <w:rPr>
                <w:rFonts w:cs="Times New Roman"/>
                <w:snapToGrid w:val="0"/>
                <w:color w:val="000000" w:themeColor="text1"/>
                <w:sz w:val="18"/>
                <w:szCs w:val="18"/>
                <w:vertAlign w:val="subscript"/>
                <w14:textFill>
                  <w14:solidFill>
                    <w14:schemeClr w14:val="tx1"/>
                  </w14:solidFill>
                </w14:textFill>
              </w:rPr>
              <w:t>X</w:t>
            </w:r>
            <w:r>
              <w:rPr>
                <w:rFonts w:hint="eastAsia" w:cs="Times New Roman"/>
                <w:snapToGrid w:val="0"/>
                <w:color w:val="000000" w:themeColor="text1"/>
                <w:sz w:val="18"/>
                <w:szCs w:val="18"/>
                <w14:textFill>
                  <w14:solidFill>
                    <w14:schemeClr w14:val="tx1"/>
                  </w14:solidFill>
                </w14:textFill>
              </w:rPr>
              <w:t>、烟气黑度、</w:t>
            </w:r>
            <w:r>
              <w:rPr>
                <w:rFonts w:cs="Times New Roman"/>
                <w:snapToGrid w:val="0"/>
                <w:color w:val="000000" w:themeColor="text1"/>
                <w:sz w:val="18"/>
                <w:szCs w:val="18"/>
                <w14:textFill>
                  <w14:solidFill>
                    <w14:schemeClr w14:val="tx1"/>
                  </w14:solidFill>
                </w14:textFill>
              </w:rPr>
              <w:t>H</w:t>
            </w:r>
            <w:r>
              <w:rPr>
                <w:rFonts w:cs="Times New Roman"/>
                <w:snapToGrid w:val="0"/>
                <w:color w:val="000000" w:themeColor="text1"/>
                <w:sz w:val="18"/>
                <w:szCs w:val="18"/>
                <w:vertAlign w:val="subscript"/>
                <w14:textFill>
                  <w14:solidFill>
                    <w14:schemeClr w14:val="tx1"/>
                  </w14:solidFill>
                </w14:textFill>
              </w:rPr>
              <w:t>2</w:t>
            </w:r>
            <w:r>
              <w:rPr>
                <w:rFonts w:cs="Times New Roman"/>
                <w:snapToGrid w:val="0"/>
                <w:color w:val="000000" w:themeColor="text1"/>
                <w:sz w:val="18"/>
                <w:szCs w:val="18"/>
                <w14:textFill>
                  <w14:solidFill>
                    <w14:schemeClr w14:val="tx1"/>
                  </w14:solidFill>
                </w14:textFill>
              </w:rPr>
              <w:t>S、NH</w:t>
            </w:r>
            <w:r>
              <w:rPr>
                <w:rFonts w:cs="Times New Roman"/>
                <w:snapToGrid w:val="0"/>
                <w:color w:val="000000" w:themeColor="text1"/>
                <w:sz w:val="18"/>
                <w:szCs w:val="18"/>
                <w:vertAlign w:val="subscript"/>
                <w14:textFill>
                  <w14:solidFill>
                    <w14:schemeClr w14:val="tx1"/>
                  </w14:solidFill>
                </w14:textFill>
              </w:rPr>
              <w:t>3</w:t>
            </w:r>
            <w:r>
              <w:rPr>
                <w:rFonts w:hint="eastAsia" w:cs="Times New Roman"/>
                <w:snapToGrid w:val="0"/>
                <w:color w:val="000000" w:themeColor="text1"/>
                <w:sz w:val="18"/>
                <w:szCs w:val="18"/>
                <w14:textFill>
                  <w14:solidFill>
                    <w14:schemeClr w14:val="tx1"/>
                  </w14:solidFill>
                </w14:textFill>
              </w:rPr>
              <w:t>、臭气浓度</w:t>
            </w:r>
            <w:r>
              <w:rPr>
                <w:rFonts w:cs="Times New Roman"/>
                <w:snapToGrid w:val="0"/>
                <w:color w:val="000000" w:themeColor="text1"/>
                <w:sz w:val="18"/>
                <w:szCs w:val="18"/>
                <w14:textFill>
                  <w14:solidFill>
                    <w14:schemeClr w14:val="tx1"/>
                  </w14:solidFill>
                </w14:textFill>
              </w:rPr>
              <w:t>）无组织废气监测</w:t>
            </w:r>
            <w:r>
              <w:rPr>
                <w:rFonts w:hint="eastAsia" w:cs="Times New Roman"/>
                <w:snapToGrid w:val="0"/>
                <w:color w:val="000000" w:themeColor="text1"/>
                <w:sz w:val="18"/>
                <w:szCs w:val="18"/>
                <w14:textFill>
                  <w14:solidFill>
                    <w14:schemeClr w14:val="tx1"/>
                  </w14:solidFill>
                </w14:textFill>
              </w:rPr>
              <w:t>（</w:t>
            </w:r>
            <w:r>
              <w:rPr>
                <w:rFonts w:cs="Times New Roman"/>
                <w:snapToGrid w:val="0"/>
                <w:color w:val="000000" w:themeColor="text1"/>
                <w:sz w:val="18"/>
                <w:szCs w:val="18"/>
                <w14:textFill>
                  <w14:solidFill>
                    <w14:schemeClr w14:val="tx1"/>
                  </w14:solidFill>
                </w14:textFill>
              </w:rPr>
              <w:t>H</w:t>
            </w:r>
            <w:r>
              <w:rPr>
                <w:rFonts w:cs="Times New Roman"/>
                <w:snapToGrid w:val="0"/>
                <w:color w:val="000000" w:themeColor="text1"/>
                <w:sz w:val="18"/>
                <w:szCs w:val="18"/>
                <w:vertAlign w:val="subscript"/>
                <w14:textFill>
                  <w14:solidFill>
                    <w14:schemeClr w14:val="tx1"/>
                  </w14:solidFill>
                </w14:textFill>
              </w:rPr>
              <w:t>2</w:t>
            </w:r>
            <w:r>
              <w:rPr>
                <w:rFonts w:cs="Times New Roman"/>
                <w:snapToGrid w:val="0"/>
                <w:color w:val="000000" w:themeColor="text1"/>
                <w:sz w:val="18"/>
                <w:szCs w:val="18"/>
                <w14:textFill>
                  <w14:solidFill>
                    <w14:schemeClr w14:val="tx1"/>
                  </w14:solidFill>
                </w14:textFill>
              </w:rPr>
              <w:t>S、NH</w:t>
            </w:r>
            <w:r>
              <w:rPr>
                <w:rFonts w:cs="Times New Roman"/>
                <w:snapToGrid w:val="0"/>
                <w:color w:val="000000" w:themeColor="text1"/>
                <w:sz w:val="18"/>
                <w:szCs w:val="18"/>
                <w:vertAlign w:val="subscript"/>
                <w14:textFill>
                  <w14:solidFill>
                    <w14:schemeClr w14:val="tx1"/>
                  </w14:solidFill>
                </w14:textFill>
              </w:rPr>
              <w:t>3</w:t>
            </w:r>
            <w:r>
              <w:rPr>
                <w:rFonts w:hint="eastAsia" w:cs="Times New Roman"/>
                <w:snapToGrid w:val="0"/>
                <w:color w:val="000000" w:themeColor="text1"/>
                <w:sz w:val="18"/>
                <w:szCs w:val="18"/>
                <w14:textFill>
                  <w14:solidFill>
                    <w14:schemeClr w14:val="tx1"/>
                  </w14:solidFill>
                </w14:textFill>
              </w:rPr>
              <w:t>、颗粒物、S</w:t>
            </w:r>
            <w:r>
              <w:rPr>
                <w:rFonts w:cs="Times New Roman"/>
                <w:snapToGrid w:val="0"/>
                <w:color w:val="000000" w:themeColor="text1"/>
                <w:sz w:val="18"/>
                <w:szCs w:val="18"/>
                <w14:textFill>
                  <w14:solidFill>
                    <w14:schemeClr w14:val="tx1"/>
                  </w14:solidFill>
                </w14:textFill>
              </w:rPr>
              <w:t>O</w:t>
            </w:r>
            <w:r>
              <w:rPr>
                <w:rFonts w:cs="Times New Roman"/>
                <w:snapToGrid w:val="0"/>
                <w:color w:val="000000" w:themeColor="text1"/>
                <w:sz w:val="18"/>
                <w:szCs w:val="18"/>
                <w:vertAlign w:val="subscript"/>
                <w14:textFill>
                  <w14:solidFill>
                    <w14:schemeClr w14:val="tx1"/>
                  </w14:solidFill>
                </w14:textFill>
              </w:rPr>
              <w:t>2</w:t>
            </w:r>
            <w:r>
              <w:rPr>
                <w:rFonts w:hint="eastAsia" w:cs="Times New Roman"/>
                <w:snapToGrid w:val="0"/>
                <w:color w:val="000000" w:themeColor="text1"/>
                <w:sz w:val="18"/>
                <w:szCs w:val="18"/>
                <w14:textFill>
                  <w14:solidFill>
                    <w14:schemeClr w14:val="tx1"/>
                  </w14:solidFill>
                </w14:textFill>
              </w:rPr>
              <w:t>、N</w:t>
            </w:r>
            <w:r>
              <w:rPr>
                <w:rFonts w:cs="Times New Roman"/>
                <w:snapToGrid w:val="0"/>
                <w:color w:val="000000" w:themeColor="text1"/>
                <w:sz w:val="18"/>
                <w:szCs w:val="18"/>
                <w14:textFill>
                  <w14:solidFill>
                    <w14:schemeClr w14:val="tx1"/>
                  </w14:solidFill>
                </w14:textFill>
              </w:rPr>
              <w:t>O</w:t>
            </w:r>
            <w:r>
              <w:rPr>
                <w:rFonts w:cs="Times New Roman"/>
                <w:snapToGrid w:val="0"/>
                <w:color w:val="000000" w:themeColor="text1"/>
                <w:sz w:val="18"/>
                <w:szCs w:val="18"/>
                <w:vertAlign w:val="subscript"/>
                <w14:textFill>
                  <w14:solidFill>
                    <w14:schemeClr w14:val="tx1"/>
                  </w14:solidFill>
                </w14:textFill>
              </w:rPr>
              <w:t>X</w:t>
            </w:r>
            <w:r>
              <w:rPr>
                <w:rFonts w:hint="eastAsia" w:cs="Times New Roman"/>
                <w:snapToGrid w:val="0"/>
                <w:color w:val="000000" w:themeColor="text1"/>
                <w:sz w:val="18"/>
                <w:szCs w:val="18"/>
                <w14:textFill>
                  <w14:solidFill>
                    <w14:schemeClr w14:val="tx1"/>
                  </w14:solidFill>
                </w14:textFill>
              </w:rPr>
              <w:t>、臭气浓度</w:t>
            </w:r>
            <w:r>
              <w:rPr>
                <w:rFonts w:cs="Times New Roman"/>
                <w:snapToGrid w:val="0"/>
                <w:color w:val="000000" w:themeColor="text1"/>
                <w:sz w:val="18"/>
                <w:szCs w:val="18"/>
                <w14:textFill>
                  <w14:solidFill>
                    <w14:schemeClr w14:val="tx1"/>
                  </w14:solidFill>
                </w14:textFill>
              </w:rPr>
              <w:t>）</w:t>
            </w:r>
          </w:p>
        </w:tc>
        <w:tc>
          <w:tcPr>
            <w:tcW w:w="1889" w:type="dxa"/>
            <w:gridSpan w:val="5"/>
            <w:vAlign w:val="center"/>
          </w:tcPr>
          <w:p w14:paraId="69E8E10C">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无监测□</w:t>
            </w:r>
          </w:p>
        </w:tc>
      </w:tr>
      <w:tr w14:paraId="33DB98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1489E477">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090E627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环境质量监测</w:t>
            </w:r>
          </w:p>
        </w:tc>
        <w:tc>
          <w:tcPr>
            <w:tcW w:w="2205" w:type="dxa"/>
            <w:gridSpan w:val="5"/>
            <w:vAlign w:val="center"/>
          </w:tcPr>
          <w:p w14:paraId="07E4B379">
            <w:pPr>
              <w:spacing w:line="240" w:lineRule="auto"/>
              <w:ind w:firstLine="0" w:firstLineChars="0"/>
              <w:jc w:val="center"/>
              <w:rPr>
                <w:rFonts w:cs="Times New Roman"/>
                <w:snapToGrid w:val="0"/>
                <w:color w:val="000000" w:themeColor="text1"/>
                <w:sz w:val="18"/>
                <w:szCs w:val="18"/>
                <w14:textFill>
                  <w14:solidFill>
                    <w14:schemeClr w14:val="tx1"/>
                  </w14:solidFill>
                </w14:textFill>
              </w:rPr>
            </w:pPr>
            <w:r>
              <w:rPr>
                <w:rFonts w:cs="Times New Roman"/>
                <w:snapToGrid w:val="0"/>
                <w:color w:val="000000" w:themeColor="text1"/>
                <w:sz w:val="18"/>
                <w:szCs w:val="18"/>
                <w14:textFill>
                  <w14:solidFill>
                    <w14:schemeClr w14:val="tx1"/>
                  </w14:solidFill>
                </w14:textFill>
              </w:rPr>
              <w:t>监测因子：（ ）</w:t>
            </w:r>
          </w:p>
        </w:tc>
        <w:tc>
          <w:tcPr>
            <w:tcW w:w="2303" w:type="dxa"/>
            <w:gridSpan w:val="7"/>
            <w:vAlign w:val="center"/>
          </w:tcPr>
          <w:p w14:paraId="6BC5D191">
            <w:pPr>
              <w:spacing w:line="240" w:lineRule="auto"/>
              <w:ind w:firstLine="0" w:firstLineChars="0"/>
              <w:jc w:val="center"/>
              <w:rPr>
                <w:rFonts w:cs="Times New Roman"/>
                <w:snapToGrid w:val="0"/>
                <w:color w:val="000000" w:themeColor="text1"/>
                <w:sz w:val="18"/>
                <w:szCs w:val="18"/>
                <w14:textFill>
                  <w14:solidFill>
                    <w14:schemeClr w14:val="tx1"/>
                  </w14:solidFill>
                </w14:textFill>
              </w:rPr>
            </w:pPr>
            <w:r>
              <w:rPr>
                <w:rFonts w:cs="Times New Roman"/>
                <w:snapToGrid w:val="0"/>
                <w:color w:val="000000" w:themeColor="text1"/>
                <w:sz w:val="18"/>
                <w:szCs w:val="18"/>
                <w14:textFill>
                  <w14:solidFill>
                    <w14:schemeClr w14:val="tx1"/>
                  </w14:solidFill>
                </w14:textFill>
              </w:rPr>
              <w:t>监测点位（</w:t>
            </w:r>
            <w:r>
              <w:rPr>
                <w:rFonts w:hint="eastAsia" w:cs="Times New Roman"/>
                <w:snapToGrid w:val="0"/>
                <w:color w:val="000000" w:themeColor="text1"/>
                <w:sz w:val="18"/>
                <w:szCs w:val="18"/>
                <w14:textFill>
                  <w14:solidFill>
                    <w14:schemeClr w14:val="tx1"/>
                  </w14:solidFill>
                </w14:textFill>
              </w:rPr>
              <w:t xml:space="preserve"> </w:t>
            </w:r>
            <w:r>
              <w:rPr>
                <w:rFonts w:cs="Times New Roman"/>
                <w:snapToGrid w:val="0"/>
                <w:color w:val="000000" w:themeColor="text1"/>
                <w:sz w:val="18"/>
                <w:szCs w:val="18"/>
                <w14:textFill>
                  <w14:solidFill>
                    <w14:schemeClr w14:val="tx1"/>
                  </w14:solidFill>
                </w14:textFill>
              </w:rPr>
              <w:t>）</w:t>
            </w:r>
          </w:p>
        </w:tc>
        <w:tc>
          <w:tcPr>
            <w:tcW w:w="1889" w:type="dxa"/>
            <w:gridSpan w:val="5"/>
            <w:vAlign w:val="center"/>
          </w:tcPr>
          <w:p w14:paraId="1F0592C0">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无监测√</w:t>
            </w:r>
          </w:p>
        </w:tc>
      </w:tr>
      <w:tr w14:paraId="0336D4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restart"/>
            <w:vAlign w:val="center"/>
          </w:tcPr>
          <w:p w14:paraId="0A87B43E">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评价结论</w:t>
            </w:r>
          </w:p>
        </w:tc>
        <w:tc>
          <w:tcPr>
            <w:tcW w:w="1121" w:type="dxa"/>
            <w:vAlign w:val="center"/>
          </w:tcPr>
          <w:p w14:paraId="131A5BB5">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环境影响</w:t>
            </w:r>
          </w:p>
        </w:tc>
        <w:tc>
          <w:tcPr>
            <w:tcW w:w="3274" w:type="dxa"/>
            <w:gridSpan w:val="9"/>
            <w:vAlign w:val="center"/>
          </w:tcPr>
          <w:p w14:paraId="753CF688">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可以接受√</w:t>
            </w:r>
          </w:p>
        </w:tc>
        <w:tc>
          <w:tcPr>
            <w:tcW w:w="3123" w:type="dxa"/>
            <w:gridSpan w:val="8"/>
            <w:vAlign w:val="center"/>
          </w:tcPr>
          <w:p w14:paraId="3ECAC00F">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不可以接受□</w:t>
            </w:r>
          </w:p>
        </w:tc>
      </w:tr>
      <w:tr w14:paraId="7846C9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69888592">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357924C2">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大气环境防护距离</w:t>
            </w:r>
          </w:p>
        </w:tc>
        <w:tc>
          <w:tcPr>
            <w:tcW w:w="6397" w:type="dxa"/>
            <w:gridSpan w:val="17"/>
            <w:vAlign w:val="center"/>
          </w:tcPr>
          <w:p w14:paraId="0383F47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距（）厂界最远（）m</w:t>
            </w:r>
          </w:p>
        </w:tc>
      </w:tr>
      <w:tr w14:paraId="2E8CBE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Merge w:val="continue"/>
            <w:vAlign w:val="center"/>
          </w:tcPr>
          <w:p w14:paraId="4EAE3EBF">
            <w:pPr>
              <w:spacing w:line="240" w:lineRule="auto"/>
              <w:ind w:firstLine="0" w:firstLineChars="0"/>
              <w:jc w:val="center"/>
              <w:rPr>
                <w:snapToGrid w:val="0"/>
                <w:color w:val="000000" w:themeColor="text1"/>
                <w:sz w:val="18"/>
                <w:szCs w:val="18"/>
                <w14:textFill>
                  <w14:solidFill>
                    <w14:schemeClr w14:val="tx1"/>
                  </w14:solidFill>
                </w14:textFill>
              </w:rPr>
            </w:pPr>
          </w:p>
        </w:tc>
        <w:tc>
          <w:tcPr>
            <w:tcW w:w="1121" w:type="dxa"/>
            <w:vAlign w:val="center"/>
          </w:tcPr>
          <w:p w14:paraId="0DAA0539">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污染源年排放量</w:t>
            </w:r>
          </w:p>
        </w:tc>
        <w:tc>
          <w:tcPr>
            <w:tcW w:w="1238" w:type="dxa"/>
            <w:gridSpan w:val="2"/>
            <w:vAlign w:val="center"/>
          </w:tcPr>
          <w:p w14:paraId="4E971B65">
            <w:pPr>
              <w:spacing w:line="240" w:lineRule="auto"/>
              <w:ind w:firstLine="0" w:firstLineChars="0"/>
              <w:jc w:val="center"/>
              <w:rPr>
                <w:snapToGrid w:val="0"/>
                <w:color w:val="000000" w:themeColor="text1"/>
                <w:sz w:val="18"/>
                <w:szCs w:val="18"/>
                <w:vertAlign w:val="subscript"/>
                <w14:textFill>
                  <w14:solidFill>
                    <w14:schemeClr w14:val="tx1"/>
                  </w14:solidFill>
                </w14:textFill>
              </w:rPr>
            </w:pPr>
            <w:r>
              <w:rPr>
                <w:snapToGrid w:val="0"/>
                <w:color w:val="000000" w:themeColor="text1"/>
                <w:sz w:val="18"/>
                <w:szCs w:val="18"/>
                <w14:textFill>
                  <w14:solidFill>
                    <w14:schemeClr w14:val="tx1"/>
                  </w14:solidFill>
                </w14:textFill>
              </w:rPr>
              <w:t>SO</w:t>
            </w:r>
            <w:r>
              <w:rPr>
                <w:snapToGrid w:val="0"/>
                <w:color w:val="000000" w:themeColor="text1"/>
                <w:sz w:val="18"/>
                <w:szCs w:val="18"/>
                <w:vertAlign w:val="subscript"/>
                <w14:textFill>
                  <w14:solidFill>
                    <w14:schemeClr w14:val="tx1"/>
                  </w14:solidFill>
                </w14:textFill>
              </w:rPr>
              <w:t>2</w:t>
            </w:r>
            <w:r>
              <w:rPr>
                <w:snapToGrid w:val="0"/>
                <w:color w:val="000000" w:themeColor="text1"/>
                <w:sz w:val="18"/>
                <w:szCs w:val="18"/>
                <w14:textFill>
                  <w14:solidFill>
                    <w14:schemeClr w14:val="tx1"/>
                  </w14:solidFill>
                </w14:textFill>
              </w:rPr>
              <w:t>（</w:t>
            </w:r>
            <w:r>
              <w:rPr>
                <w:rFonts w:hint="eastAsia"/>
                <w:snapToGrid w:val="0"/>
                <w:color w:val="000000" w:themeColor="text1"/>
                <w:sz w:val="18"/>
                <w:szCs w:val="18"/>
                <w:lang w:val="en-US" w:eastAsia="zh-CN"/>
                <w14:textFill>
                  <w14:solidFill>
                    <w14:schemeClr w14:val="tx1"/>
                  </w14:solidFill>
                </w14:textFill>
              </w:rPr>
              <w:t>1.5412</w:t>
            </w:r>
            <w:r>
              <w:rPr>
                <w:snapToGrid w:val="0"/>
                <w:color w:val="000000" w:themeColor="text1"/>
                <w:sz w:val="18"/>
                <w:szCs w:val="18"/>
                <w14:textFill>
                  <w14:solidFill>
                    <w14:schemeClr w14:val="tx1"/>
                  </w14:solidFill>
                </w14:textFill>
              </w:rPr>
              <w:t>）t/a</w:t>
            </w:r>
          </w:p>
        </w:tc>
        <w:tc>
          <w:tcPr>
            <w:tcW w:w="1536" w:type="dxa"/>
            <w:gridSpan w:val="5"/>
            <w:vAlign w:val="center"/>
          </w:tcPr>
          <w:p w14:paraId="1602DAAB">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NO</w:t>
            </w:r>
            <w:r>
              <w:rPr>
                <w:snapToGrid w:val="0"/>
                <w:color w:val="000000" w:themeColor="text1"/>
                <w:sz w:val="18"/>
                <w:szCs w:val="18"/>
                <w:vertAlign w:val="subscript"/>
                <w14:textFill>
                  <w14:solidFill>
                    <w14:schemeClr w14:val="tx1"/>
                  </w14:solidFill>
                </w14:textFill>
              </w:rPr>
              <w:t>X</w:t>
            </w:r>
            <w:r>
              <w:rPr>
                <w:snapToGrid w:val="0"/>
                <w:color w:val="000000" w:themeColor="text1"/>
                <w:sz w:val="18"/>
                <w:szCs w:val="18"/>
                <w14:textFill>
                  <w14:solidFill>
                    <w14:schemeClr w14:val="tx1"/>
                  </w14:solidFill>
                </w14:textFill>
              </w:rPr>
              <w:t>（</w:t>
            </w:r>
            <w:r>
              <w:rPr>
                <w:rFonts w:hint="eastAsia"/>
                <w:snapToGrid w:val="0"/>
                <w:color w:val="000000" w:themeColor="text1"/>
                <w:sz w:val="18"/>
                <w:szCs w:val="18"/>
                <w:lang w:val="en-US" w:eastAsia="zh-CN"/>
                <w14:textFill>
                  <w14:solidFill>
                    <w14:schemeClr w14:val="tx1"/>
                  </w14:solidFill>
                </w14:textFill>
              </w:rPr>
              <w:t>9.9782</w:t>
            </w:r>
            <w:r>
              <w:rPr>
                <w:snapToGrid w:val="0"/>
                <w:color w:val="000000" w:themeColor="text1"/>
                <w:sz w:val="18"/>
                <w:szCs w:val="18"/>
                <w14:textFill>
                  <w14:solidFill>
                    <w14:schemeClr w14:val="tx1"/>
                  </w14:solidFill>
                </w14:textFill>
              </w:rPr>
              <w:t>）t/a</w:t>
            </w:r>
          </w:p>
        </w:tc>
        <w:tc>
          <w:tcPr>
            <w:tcW w:w="1866" w:type="dxa"/>
            <w:gridSpan w:val="6"/>
            <w:vAlign w:val="center"/>
          </w:tcPr>
          <w:p w14:paraId="068B97F5">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颗粒物（</w:t>
            </w:r>
            <w:r>
              <w:rPr>
                <w:rFonts w:hint="eastAsia"/>
                <w:snapToGrid w:val="0"/>
                <w:color w:val="000000" w:themeColor="text1"/>
                <w:sz w:val="18"/>
                <w:szCs w:val="18"/>
                <w:lang w:val="en-US" w:eastAsia="zh-CN"/>
                <w14:textFill>
                  <w14:solidFill>
                    <w14:schemeClr w14:val="tx1"/>
                  </w14:solidFill>
                </w14:textFill>
              </w:rPr>
              <w:t>1.0578</w:t>
            </w:r>
            <w:r>
              <w:rPr>
                <w:snapToGrid w:val="0"/>
                <w:color w:val="000000" w:themeColor="text1"/>
                <w:sz w:val="18"/>
                <w:szCs w:val="18"/>
                <w14:textFill>
                  <w14:solidFill>
                    <w14:schemeClr w14:val="tx1"/>
                  </w14:solidFill>
                </w14:textFill>
              </w:rPr>
              <w:t>）t/a</w:t>
            </w:r>
          </w:p>
        </w:tc>
        <w:tc>
          <w:tcPr>
            <w:tcW w:w="1757" w:type="dxa"/>
            <w:gridSpan w:val="4"/>
            <w:vAlign w:val="center"/>
          </w:tcPr>
          <w:p w14:paraId="34515092">
            <w:pPr>
              <w:spacing w:line="240" w:lineRule="auto"/>
              <w:ind w:firstLine="0" w:firstLineChars="0"/>
              <w:jc w:val="center"/>
              <w:rPr>
                <w:snapToGrid w:val="0"/>
                <w:color w:val="000000" w:themeColor="text1"/>
                <w:sz w:val="18"/>
                <w:szCs w:val="18"/>
                <w:vertAlign w:val="subscript"/>
                <w14:textFill>
                  <w14:solidFill>
                    <w14:schemeClr w14:val="tx1"/>
                  </w14:solidFill>
                </w14:textFill>
              </w:rPr>
            </w:pPr>
            <w:r>
              <w:rPr>
                <w:snapToGrid w:val="0"/>
                <w:color w:val="000000" w:themeColor="text1"/>
                <w:sz w:val="18"/>
                <w:szCs w:val="18"/>
                <w14:textFill>
                  <w14:solidFill>
                    <w14:schemeClr w14:val="tx1"/>
                  </w14:solidFill>
                </w14:textFill>
              </w:rPr>
              <w:t>VOC</w:t>
            </w:r>
            <w:r>
              <w:rPr>
                <w:snapToGrid w:val="0"/>
                <w:color w:val="000000" w:themeColor="text1"/>
                <w:sz w:val="18"/>
                <w:szCs w:val="18"/>
                <w:vertAlign w:val="subscript"/>
                <w14:textFill>
                  <w14:solidFill>
                    <w14:schemeClr w14:val="tx1"/>
                  </w14:solidFill>
                </w14:textFill>
              </w:rPr>
              <w:t>s</w:t>
            </w:r>
            <w:r>
              <w:rPr>
                <w:snapToGrid w:val="0"/>
                <w:color w:val="000000" w:themeColor="text1"/>
                <w:sz w:val="18"/>
                <w:szCs w:val="18"/>
                <w14:textFill>
                  <w14:solidFill>
                    <w14:schemeClr w14:val="tx1"/>
                  </w14:solidFill>
                </w14:textFill>
              </w:rPr>
              <w:t>（ ）t/a</w:t>
            </w:r>
          </w:p>
        </w:tc>
      </w:tr>
      <w:tr w14:paraId="4A8B0D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28" w:type="dxa"/>
            <w:gridSpan w:val="19"/>
            <w:vAlign w:val="center"/>
          </w:tcPr>
          <w:p w14:paraId="686A2144">
            <w:pPr>
              <w:spacing w:line="240" w:lineRule="auto"/>
              <w:ind w:firstLine="0" w:firstLineChars="0"/>
              <w:jc w:val="center"/>
              <w:rPr>
                <w:snapToGrid w:val="0"/>
                <w:color w:val="000000" w:themeColor="text1"/>
                <w:sz w:val="18"/>
                <w:szCs w:val="18"/>
                <w14:textFill>
                  <w14:solidFill>
                    <w14:schemeClr w14:val="tx1"/>
                  </w14:solidFill>
                </w14:textFill>
              </w:rPr>
            </w:pPr>
            <w:r>
              <w:rPr>
                <w:snapToGrid w:val="0"/>
                <w:color w:val="000000" w:themeColor="text1"/>
                <w:sz w:val="18"/>
                <w:szCs w:val="18"/>
                <w14:textFill>
                  <w14:solidFill>
                    <w14:schemeClr w14:val="tx1"/>
                  </w14:solidFill>
                </w14:textFill>
              </w:rPr>
              <w:t>注：“□”为勾选项，填“√”；“（  ）”为内容填写项</w:t>
            </w:r>
          </w:p>
        </w:tc>
      </w:tr>
    </w:tbl>
    <w:p w14:paraId="1E8B38ED">
      <w:pPr>
        <w:pStyle w:val="206"/>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bookmarkStart w:id="472" w:name="_Toc10106430"/>
      <w:bookmarkStart w:id="473" w:name="_Toc6758320"/>
      <w:bookmarkStart w:id="474" w:name="_Toc9862592"/>
    </w:p>
    <w:p w14:paraId="4B584A07">
      <w:pPr>
        <w:pStyle w:val="6"/>
        <w:rPr>
          <w:rFonts w:cs="Times New Roman"/>
          <w:color w:val="000000" w:themeColor="text1"/>
          <w14:textFill>
            <w14:solidFill>
              <w14:schemeClr w14:val="tx1"/>
            </w14:solidFill>
          </w14:textFill>
        </w:rPr>
      </w:pPr>
      <w:bookmarkStart w:id="475" w:name="_Toc13871"/>
      <w:bookmarkStart w:id="476" w:name="_Toc46227691"/>
      <w:r>
        <w:rPr>
          <w:rFonts w:cs="Times New Roman"/>
          <w:color w:val="000000" w:themeColor="text1"/>
          <w14:textFill>
            <w14:solidFill>
              <w14:schemeClr w14:val="tx1"/>
            </w14:solidFill>
          </w14:textFill>
        </w:rPr>
        <w:t>附</w:t>
      </w:r>
      <w:r>
        <w:rPr>
          <w:rFonts w:hint="eastAsia" w:cs="Times New Roman"/>
          <w:color w:val="000000" w:themeColor="text1"/>
          <w14:textFill>
            <w14:solidFill>
              <w14:schemeClr w14:val="tx1"/>
            </w14:solidFill>
          </w14:textFill>
        </w:rPr>
        <w:t>表2</w:t>
      </w:r>
      <w:r>
        <w:rPr>
          <w:rFonts w:cs="Times New Roman"/>
          <w:color w:val="000000" w:themeColor="text1"/>
          <w14:textFill>
            <w14:solidFill>
              <w14:schemeClr w14:val="tx1"/>
            </w14:solidFill>
          </w14:textFill>
        </w:rPr>
        <w:t>建设项目地表水环境影响评价自查表</w:t>
      </w:r>
      <w:bookmarkEnd w:id="472"/>
      <w:bookmarkEnd w:id="473"/>
      <w:bookmarkEnd w:id="474"/>
      <w:bookmarkEnd w:id="475"/>
      <w:bookmarkEnd w:id="476"/>
    </w:p>
    <w:tbl>
      <w:tblPr>
        <w:tblStyle w:val="49"/>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4"/>
        <w:gridCol w:w="1561"/>
        <w:gridCol w:w="1193"/>
        <w:gridCol w:w="354"/>
        <w:gridCol w:w="386"/>
        <w:gridCol w:w="611"/>
        <w:gridCol w:w="634"/>
        <w:gridCol w:w="640"/>
        <w:gridCol w:w="225"/>
        <w:gridCol w:w="301"/>
        <w:gridCol w:w="827"/>
        <w:gridCol w:w="484"/>
        <w:gridCol w:w="868"/>
      </w:tblGrid>
      <w:tr w14:paraId="0A3F18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 w:hRule="atLeast"/>
          <w:tblHeader/>
          <w:jc w:val="center"/>
        </w:trPr>
        <w:tc>
          <w:tcPr>
            <w:tcW w:w="2003" w:type="dxa"/>
            <w:gridSpan w:val="2"/>
            <w:tcBorders>
              <w:top w:val="single" w:color="auto" w:sz="12" w:space="0"/>
              <w:left w:val="nil"/>
            </w:tcBorders>
            <w:noWrap/>
            <w:vAlign w:val="center"/>
          </w:tcPr>
          <w:p w14:paraId="151CD81F">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工作内容</w:t>
            </w:r>
          </w:p>
        </w:tc>
        <w:tc>
          <w:tcPr>
            <w:tcW w:w="6525" w:type="dxa"/>
            <w:gridSpan w:val="11"/>
            <w:tcBorders>
              <w:top w:val="single" w:color="auto" w:sz="12" w:space="0"/>
              <w:right w:val="nil"/>
            </w:tcBorders>
            <w:noWrap/>
            <w:vAlign w:val="center"/>
          </w:tcPr>
          <w:p w14:paraId="0E9BCE1E">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自查项目</w:t>
            </w:r>
          </w:p>
        </w:tc>
      </w:tr>
      <w:tr w14:paraId="4861D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restart"/>
            <w:tcBorders>
              <w:left w:val="nil"/>
            </w:tcBorders>
            <w:noWrap/>
            <w:textDirection w:val="tbRlV"/>
            <w:vAlign w:val="center"/>
          </w:tcPr>
          <w:p w14:paraId="31A98019">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影响识别</w:t>
            </w:r>
          </w:p>
        </w:tc>
        <w:tc>
          <w:tcPr>
            <w:tcW w:w="1563" w:type="dxa"/>
            <w:vAlign w:val="center"/>
          </w:tcPr>
          <w:p w14:paraId="4EA40032">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影响类型</w:t>
            </w:r>
          </w:p>
        </w:tc>
        <w:tc>
          <w:tcPr>
            <w:tcW w:w="6525" w:type="dxa"/>
            <w:gridSpan w:val="11"/>
            <w:tcBorders>
              <w:right w:val="nil"/>
            </w:tcBorders>
            <w:noWrap/>
            <w:vAlign w:val="center"/>
          </w:tcPr>
          <w:p w14:paraId="04A85216">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xml:space="preserve">水污染影响型 </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；水文要素影响型 □</w:t>
            </w:r>
          </w:p>
        </w:tc>
      </w:tr>
      <w:tr w14:paraId="07F864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 w:hRule="atLeast"/>
          <w:jc w:val="center"/>
        </w:trPr>
        <w:tc>
          <w:tcPr>
            <w:tcW w:w="440" w:type="dxa"/>
            <w:vMerge w:val="continue"/>
            <w:tcBorders>
              <w:left w:val="nil"/>
            </w:tcBorders>
            <w:vAlign w:val="center"/>
          </w:tcPr>
          <w:p w14:paraId="6CFEB54B">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027DFB9B">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水环境保护目标</w:t>
            </w:r>
          </w:p>
        </w:tc>
        <w:tc>
          <w:tcPr>
            <w:tcW w:w="6525" w:type="dxa"/>
            <w:gridSpan w:val="11"/>
            <w:tcBorders>
              <w:right w:val="nil"/>
            </w:tcBorders>
            <w:vAlign w:val="center"/>
          </w:tcPr>
          <w:p w14:paraId="362A1870">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饮用水</w:t>
            </w:r>
            <w:bookmarkStart w:id="505" w:name="_GoBack"/>
            <w:r>
              <w:rPr>
                <w:color w:val="000000" w:themeColor="text1"/>
                <w:kern w:val="0"/>
                <w:sz w:val="18"/>
                <w:szCs w:val="18"/>
                <w14:textFill>
                  <w14:solidFill>
                    <w14:schemeClr w14:val="tx1"/>
                  </w14:solidFill>
                </w14:textFill>
              </w:rPr>
              <w:t>水源</w:t>
            </w:r>
            <w:bookmarkEnd w:id="505"/>
            <w:r>
              <w:rPr>
                <w:color w:val="000000" w:themeColor="text1"/>
                <w:kern w:val="0"/>
                <w:sz w:val="18"/>
                <w:szCs w:val="18"/>
                <w14:textFill>
                  <w14:solidFill>
                    <w14:schemeClr w14:val="tx1"/>
                  </w14:solidFill>
                </w14:textFill>
              </w:rPr>
              <w:t>保护区 □；饮用水取水口 □；涉水的自然保护区 □；重要湿地 □；重点保护与珍稀水生生物的栖息地 □；重要水生生物的自然产卵场及索饵场、越冬场和洄游通道、天然渔场等渔业水体 □；涉水的风景名胜区 □；其他□</w:t>
            </w:r>
          </w:p>
        </w:tc>
      </w:tr>
      <w:tr w14:paraId="5DEEE5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 w:hRule="atLeast"/>
          <w:jc w:val="center"/>
        </w:trPr>
        <w:tc>
          <w:tcPr>
            <w:tcW w:w="440" w:type="dxa"/>
            <w:vMerge w:val="continue"/>
            <w:tcBorders>
              <w:left w:val="nil"/>
            </w:tcBorders>
            <w:vAlign w:val="center"/>
          </w:tcPr>
          <w:p w14:paraId="5F28A508">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restart"/>
            <w:vAlign w:val="center"/>
          </w:tcPr>
          <w:p w14:paraId="35502010">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影响途径</w:t>
            </w:r>
          </w:p>
        </w:tc>
        <w:tc>
          <w:tcPr>
            <w:tcW w:w="3180" w:type="dxa"/>
            <w:gridSpan w:val="5"/>
            <w:vAlign w:val="center"/>
          </w:tcPr>
          <w:p w14:paraId="5DEADED3">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水污染影响型</w:t>
            </w:r>
          </w:p>
        </w:tc>
        <w:tc>
          <w:tcPr>
            <w:tcW w:w="3345" w:type="dxa"/>
            <w:gridSpan w:val="6"/>
            <w:tcBorders>
              <w:right w:val="nil"/>
            </w:tcBorders>
            <w:vAlign w:val="center"/>
          </w:tcPr>
          <w:p w14:paraId="16733CC4">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水文要素影响型</w:t>
            </w:r>
          </w:p>
        </w:tc>
      </w:tr>
      <w:tr w14:paraId="620F80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30DB9FA2">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7487D5FA">
            <w:pPr>
              <w:spacing w:line="240" w:lineRule="auto"/>
              <w:ind w:firstLine="0" w:firstLineChars="0"/>
              <w:jc w:val="center"/>
              <w:rPr>
                <w:color w:val="000000" w:themeColor="text1"/>
                <w:kern w:val="0"/>
                <w:sz w:val="18"/>
                <w:szCs w:val="18"/>
                <w14:textFill>
                  <w14:solidFill>
                    <w14:schemeClr w14:val="tx1"/>
                  </w14:solidFill>
                </w14:textFill>
              </w:rPr>
            </w:pPr>
          </w:p>
        </w:tc>
        <w:tc>
          <w:tcPr>
            <w:tcW w:w="3180" w:type="dxa"/>
            <w:gridSpan w:val="5"/>
            <w:vAlign w:val="center"/>
          </w:tcPr>
          <w:p w14:paraId="1A28C6A4">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xml:space="preserve">直接排放 □；间接排放 </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；其他□</w:t>
            </w:r>
          </w:p>
        </w:tc>
        <w:tc>
          <w:tcPr>
            <w:tcW w:w="3345" w:type="dxa"/>
            <w:gridSpan w:val="6"/>
            <w:tcBorders>
              <w:right w:val="nil"/>
            </w:tcBorders>
            <w:vAlign w:val="center"/>
          </w:tcPr>
          <w:p w14:paraId="29594DEF">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水温 □；径流 □；水域面积 □</w:t>
            </w:r>
          </w:p>
        </w:tc>
      </w:tr>
      <w:tr w14:paraId="07D6A9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07CDDE92">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7FE03830">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影响因子</w:t>
            </w:r>
          </w:p>
        </w:tc>
        <w:tc>
          <w:tcPr>
            <w:tcW w:w="3180" w:type="dxa"/>
            <w:gridSpan w:val="5"/>
            <w:vAlign w:val="center"/>
          </w:tcPr>
          <w:p w14:paraId="57D88FA2">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xml:space="preserve">持久性污染物 √；有毒有害污染物 □；非持久性污染物 </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；pH值 √；热污染 □；富营养化 □；其他</w:t>
            </w:r>
            <w:r>
              <w:rPr>
                <w:snapToGrid w:val="0"/>
                <w:color w:val="000000" w:themeColor="text1"/>
                <w:sz w:val="18"/>
                <w:szCs w:val="18"/>
                <w14:textFill>
                  <w14:solidFill>
                    <w14:schemeClr w14:val="tx1"/>
                  </w14:solidFill>
                </w14:textFill>
              </w:rPr>
              <w:t>√</w:t>
            </w:r>
          </w:p>
        </w:tc>
        <w:tc>
          <w:tcPr>
            <w:tcW w:w="3345" w:type="dxa"/>
            <w:gridSpan w:val="6"/>
            <w:tcBorders>
              <w:right w:val="nil"/>
            </w:tcBorders>
            <w:vAlign w:val="center"/>
          </w:tcPr>
          <w:p w14:paraId="2A0B1FFB">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水温 □；水位（水深） □；流速 □；流量 □；其他 □</w:t>
            </w:r>
          </w:p>
        </w:tc>
      </w:tr>
      <w:tr w14:paraId="20E408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003" w:type="dxa"/>
            <w:gridSpan w:val="2"/>
            <w:vMerge w:val="restart"/>
            <w:tcBorders>
              <w:left w:val="nil"/>
            </w:tcBorders>
            <w:noWrap/>
            <w:vAlign w:val="center"/>
          </w:tcPr>
          <w:p w14:paraId="513B85EA">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评价等级</w:t>
            </w:r>
          </w:p>
        </w:tc>
        <w:tc>
          <w:tcPr>
            <w:tcW w:w="3180" w:type="dxa"/>
            <w:gridSpan w:val="5"/>
            <w:noWrap/>
            <w:vAlign w:val="center"/>
          </w:tcPr>
          <w:p w14:paraId="738D474F">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水污染影响型</w:t>
            </w:r>
          </w:p>
        </w:tc>
        <w:tc>
          <w:tcPr>
            <w:tcW w:w="3345" w:type="dxa"/>
            <w:gridSpan w:val="6"/>
            <w:tcBorders>
              <w:right w:val="nil"/>
            </w:tcBorders>
            <w:vAlign w:val="center"/>
          </w:tcPr>
          <w:p w14:paraId="0DF591B8">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水文要素影响型</w:t>
            </w:r>
          </w:p>
        </w:tc>
      </w:tr>
      <w:tr w14:paraId="4F02DF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 w:hRule="atLeast"/>
          <w:jc w:val="center"/>
        </w:trPr>
        <w:tc>
          <w:tcPr>
            <w:tcW w:w="2003" w:type="dxa"/>
            <w:gridSpan w:val="2"/>
            <w:vMerge w:val="continue"/>
            <w:tcBorders>
              <w:left w:val="nil"/>
            </w:tcBorders>
            <w:noWrap/>
            <w:vAlign w:val="center"/>
          </w:tcPr>
          <w:p w14:paraId="672ABDBB">
            <w:pPr>
              <w:spacing w:line="240" w:lineRule="auto"/>
              <w:ind w:firstLine="0" w:firstLineChars="0"/>
              <w:jc w:val="center"/>
              <w:rPr>
                <w:color w:val="000000" w:themeColor="text1"/>
                <w:kern w:val="0"/>
                <w:sz w:val="18"/>
                <w:szCs w:val="18"/>
                <w14:textFill>
                  <w14:solidFill>
                    <w14:schemeClr w14:val="tx1"/>
                  </w14:solidFill>
                </w14:textFill>
              </w:rPr>
            </w:pPr>
          </w:p>
        </w:tc>
        <w:tc>
          <w:tcPr>
            <w:tcW w:w="3180" w:type="dxa"/>
            <w:gridSpan w:val="5"/>
            <w:noWrap/>
            <w:vAlign w:val="center"/>
          </w:tcPr>
          <w:p w14:paraId="6DBD9B34">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一级□；二级□；三级A □；三级B</w:t>
            </w:r>
            <w:r>
              <w:rPr>
                <w:snapToGrid w:val="0"/>
                <w:color w:val="000000" w:themeColor="text1"/>
                <w:sz w:val="18"/>
                <w:szCs w:val="18"/>
                <w14:textFill>
                  <w14:solidFill>
                    <w14:schemeClr w14:val="tx1"/>
                  </w14:solidFill>
                </w14:textFill>
              </w:rPr>
              <w:t>√</w:t>
            </w:r>
          </w:p>
        </w:tc>
        <w:tc>
          <w:tcPr>
            <w:tcW w:w="3345" w:type="dxa"/>
            <w:gridSpan w:val="6"/>
            <w:tcBorders>
              <w:right w:val="nil"/>
            </w:tcBorders>
            <w:vAlign w:val="center"/>
          </w:tcPr>
          <w:p w14:paraId="1DF805CA">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一级□；二级□；三级□</w:t>
            </w:r>
          </w:p>
        </w:tc>
      </w:tr>
      <w:tr w14:paraId="11C1AA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restart"/>
            <w:tcBorders>
              <w:left w:val="nil"/>
            </w:tcBorders>
            <w:noWrap/>
            <w:textDirection w:val="tbRlV"/>
            <w:vAlign w:val="center"/>
          </w:tcPr>
          <w:p w14:paraId="3C42A959">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现状调查</w:t>
            </w:r>
          </w:p>
        </w:tc>
        <w:tc>
          <w:tcPr>
            <w:tcW w:w="1563" w:type="dxa"/>
            <w:vMerge w:val="restart"/>
            <w:vAlign w:val="center"/>
          </w:tcPr>
          <w:p w14:paraId="6467971E">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区域污染源</w:t>
            </w:r>
          </w:p>
        </w:tc>
        <w:tc>
          <w:tcPr>
            <w:tcW w:w="3180" w:type="dxa"/>
            <w:gridSpan w:val="5"/>
            <w:noWrap/>
            <w:vAlign w:val="center"/>
          </w:tcPr>
          <w:p w14:paraId="751D474A">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调查项目</w:t>
            </w:r>
          </w:p>
        </w:tc>
        <w:tc>
          <w:tcPr>
            <w:tcW w:w="3345" w:type="dxa"/>
            <w:gridSpan w:val="6"/>
            <w:tcBorders>
              <w:right w:val="nil"/>
            </w:tcBorders>
            <w:noWrap/>
            <w:vAlign w:val="center"/>
          </w:tcPr>
          <w:p w14:paraId="7F44E993">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数据来源</w:t>
            </w:r>
          </w:p>
        </w:tc>
      </w:tr>
      <w:tr w14:paraId="32F612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4" w:hRule="atLeast"/>
          <w:jc w:val="center"/>
        </w:trPr>
        <w:tc>
          <w:tcPr>
            <w:tcW w:w="440" w:type="dxa"/>
            <w:vMerge w:val="continue"/>
            <w:tcBorders>
              <w:left w:val="nil"/>
            </w:tcBorders>
            <w:vAlign w:val="center"/>
          </w:tcPr>
          <w:p w14:paraId="4DC28B29">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3B617412">
            <w:pPr>
              <w:spacing w:line="240" w:lineRule="auto"/>
              <w:ind w:firstLine="0" w:firstLineChars="0"/>
              <w:jc w:val="left"/>
              <w:rPr>
                <w:color w:val="000000" w:themeColor="text1"/>
                <w:kern w:val="0"/>
                <w:sz w:val="18"/>
                <w:szCs w:val="18"/>
                <w14:textFill>
                  <w14:solidFill>
                    <w14:schemeClr w14:val="tx1"/>
                  </w14:solidFill>
                </w14:textFill>
              </w:rPr>
            </w:pPr>
          </w:p>
        </w:tc>
        <w:tc>
          <w:tcPr>
            <w:tcW w:w="1548" w:type="dxa"/>
            <w:gridSpan w:val="2"/>
            <w:vAlign w:val="center"/>
          </w:tcPr>
          <w:p w14:paraId="24AE97A7">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已建 □；在建 □；拟建 □；其他 □</w:t>
            </w:r>
          </w:p>
        </w:tc>
        <w:tc>
          <w:tcPr>
            <w:tcW w:w="1632" w:type="dxa"/>
            <w:gridSpan w:val="3"/>
            <w:vAlign w:val="center"/>
          </w:tcPr>
          <w:p w14:paraId="58FCB596">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拟替代的污染源 □</w:t>
            </w:r>
          </w:p>
        </w:tc>
        <w:tc>
          <w:tcPr>
            <w:tcW w:w="3345" w:type="dxa"/>
            <w:gridSpan w:val="6"/>
            <w:tcBorders>
              <w:right w:val="nil"/>
            </w:tcBorders>
            <w:vAlign w:val="center"/>
          </w:tcPr>
          <w:p w14:paraId="71CF261D">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排污许可证 □；环评 □；环保验收 □；既有实测 □；现场监测 □；入河排放口数据 □；其他 □</w:t>
            </w:r>
          </w:p>
        </w:tc>
      </w:tr>
      <w:tr w14:paraId="1AF3FE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2533B546">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restart"/>
            <w:vAlign w:val="center"/>
          </w:tcPr>
          <w:p w14:paraId="4BBDFB6C">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受影响水体水环境质量</w:t>
            </w:r>
          </w:p>
        </w:tc>
        <w:tc>
          <w:tcPr>
            <w:tcW w:w="3180" w:type="dxa"/>
            <w:gridSpan w:val="5"/>
            <w:noWrap/>
            <w:vAlign w:val="center"/>
          </w:tcPr>
          <w:p w14:paraId="52633287">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调查时期</w:t>
            </w:r>
          </w:p>
        </w:tc>
        <w:tc>
          <w:tcPr>
            <w:tcW w:w="3345" w:type="dxa"/>
            <w:gridSpan w:val="6"/>
            <w:tcBorders>
              <w:right w:val="nil"/>
            </w:tcBorders>
            <w:noWrap/>
            <w:vAlign w:val="center"/>
          </w:tcPr>
          <w:p w14:paraId="42964C25">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数据来源</w:t>
            </w:r>
          </w:p>
        </w:tc>
      </w:tr>
      <w:tr w14:paraId="1C59A7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02" w:hRule="atLeast"/>
          <w:jc w:val="center"/>
        </w:trPr>
        <w:tc>
          <w:tcPr>
            <w:tcW w:w="440" w:type="dxa"/>
            <w:vMerge w:val="continue"/>
            <w:tcBorders>
              <w:left w:val="nil"/>
            </w:tcBorders>
            <w:vAlign w:val="center"/>
          </w:tcPr>
          <w:p w14:paraId="1D85FCF8">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384679E8">
            <w:pPr>
              <w:spacing w:line="240" w:lineRule="auto"/>
              <w:ind w:firstLine="0" w:firstLineChars="0"/>
              <w:jc w:val="center"/>
              <w:rPr>
                <w:color w:val="000000" w:themeColor="text1"/>
                <w:kern w:val="0"/>
                <w:sz w:val="18"/>
                <w:szCs w:val="18"/>
                <w14:textFill>
                  <w14:solidFill>
                    <w14:schemeClr w14:val="tx1"/>
                  </w14:solidFill>
                </w14:textFill>
              </w:rPr>
            </w:pPr>
          </w:p>
        </w:tc>
        <w:tc>
          <w:tcPr>
            <w:tcW w:w="3180" w:type="dxa"/>
            <w:gridSpan w:val="5"/>
            <w:vAlign w:val="center"/>
          </w:tcPr>
          <w:p w14:paraId="02BF7B86">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丰水期</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；平水期</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；枯水期</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；冰封期</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春季</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；夏季</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；秋季</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；冬季</w:t>
            </w:r>
            <w:r>
              <w:rPr>
                <w:snapToGrid w:val="0"/>
                <w:color w:val="000000" w:themeColor="text1"/>
                <w:sz w:val="18"/>
                <w:szCs w:val="18"/>
                <w14:textFill>
                  <w14:solidFill>
                    <w14:schemeClr w14:val="tx1"/>
                  </w14:solidFill>
                </w14:textFill>
              </w:rPr>
              <w:t>√</w:t>
            </w:r>
          </w:p>
        </w:tc>
        <w:tc>
          <w:tcPr>
            <w:tcW w:w="3345" w:type="dxa"/>
            <w:gridSpan w:val="6"/>
            <w:tcBorders>
              <w:right w:val="nil"/>
            </w:tcBorders>
            <w:noWrap/>
            <w:vAlign w:val="center"/>
          </w:tcPr>
          <w:p w14:paraId="06F266AD">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生态环境保护主管部门</w:t>
            </w:r>
            <w:r>
              <w:rPr>
                <w:snapToGrid w:val="0"/>
                <w:color w:val="000000" w:themeColor="text1"/>
                <w:sz w:val="18"/>
                <w:szCs w:val="18"/>
                <w14:textFill>
                  <w14:solidFill>
                    <w14:schemeClr w14:val="tx1"/>
                  </w14:solidFill>
                </w14:textFill>
              </w:rPr>
              <w:t xml:space="preserve">√ </w:t>
            </w:r>
            <w:r>
              <w:rPr>
                <w:color w:val="000000" w:themeColor="text1"/>
                <w:kern w:val="0"/>
                <w:sz w:val="18"/>
                <w:szCs w:val="18"/>
                <w14:textFill>
                  <w14:solidFill>
                    <w14:schemeClr w14:val="tx1"/>
                  </w14:solidFill>
                </w14:textFill>
              </w:rPr>
              <w:t>补充监测 □；其他 □</w:t>
            </w:r>
          </w:p>
        </w:tc>
      </w:tr>
      <w:tr w14:paraId="7A8627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3681BA54">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29D5FF19">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区域水资源开发利用状况</w:t>
            </w:r>
          </w:p>
        </w:tc>
        <w:tc>
          <w:tcPr>
            <w:tcW w:w="6525" w:type="dxa"/>
            <w:gridSpan w:val="11"/>
            <w:tcBorders>
              <w:right w:val="nil"/>
            </w:tcBorders>
            <w:noWrap/>
            <w:vAlign w:val="center"/>
          </w:tcPr>
          <w:p w14:paraId="11A82452">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未开发 □；开发量40%以下 □；开发量40%以上 □</w:t>
            </w:r>
          </w:p>
        </w:tc>
      </w:tr>
      <w:tr w14:paraId="5B9CE9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0798899E">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restart"/>
            <w:vAlign w:val="center"/>
          </w:tcPr>
          <w:p w14:paraId="01E4177E">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水文情势调查</w:t>
            </w:r>
          </w:p>
        </w:tc>
        <w:tc>
          <w:tcPr>
            <w:tcW w:w="3180" w:type="dxa"/>
            <w:gridSpan w:val="5"/>
            <w:noWrap/>
            <w:vAlign w:val="center"/>
          </w:tcPr>
          <w:p w14:paraId="2665ECE1">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调查时期</w:t>
            </w:r>
          </w:p>
        </w:tc>
        <w:tc>
          <w:tcPr>
            <w:tcW w:w="3345" w:type="dxa"/>
            <w:gridSpan w:val="6"/>
            <w:tcBorders>
              <w:right w:val="nil"/>
            </w:tcBorders>
            <w:noWrap/>
            <w:vAlign w:val="center"/>
          </w:tcPr>
          <w:p w14:paraId="2F3D3EBF">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数据来源</w:t>
            </w:r>
          </w:p>
        </w:tc>
      </w:tr>
      <w:tr w14:paraId="765179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02" w:hRule="atLeast"/>
          <w:jc w:val="center"/>
        </w:trPr>
        <w:tc>
          <w:tcPr>
            <w:tcW w:w="440" w:type="dxa"/>
            <w:vMerge w:val="continue"/>
            <w:tcBorders>
              <w:left w:val="nil"/>
            </w:tcBorders>
            <w:vAlign w:val="center"/>
          </w:tcPr>
          <w:p w14:paraId="2DA54C06">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396253C7">
            <w:pPr>
              <w:spacing w:line="240" w:lineRule="auto"/>
              <w:ind w:firstLine="0" w:firstLineChars="0"/>
              <w:jc w:val="center"/>
              <w:rPr>
                <w:color w:val="000000" w:themeColor="text1"/>
                <w:kern w:val="0"/>
                <w:sz w:val="18"/>
                <w:szCs w:val="18"/>
                <w14:textFill>
                  <w14:solidFill>
                    <w14:schemeClr w14:val="tx1"/>
                  </w14:solidFill>
                </w14:textFill>
              </w:rPr>
            </w:pPr>
          </w:p>
        </w:tc>
        <w:tc>
          <w:tcPr>
            <w:tcW w:w="3180" w:type="dxa"/>
            <w:gridSpan w:val="5"/>
            <w:vAlign w:val="center"/>
          </w:tcPr>
          <w:p w14:paraId="0C34CBB8">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丰水期 □；平水期 □；枯水期 □；冰封期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春季 □；夏季 □；秋季 □；冬季 □</w:t>
            </w:r>
          </w:p>
        </w:tc>
        <w:tc>
          <w:tcPr>
            <w:tcW w:w="3345" w:type="dxa"/>
            <w:gridSpan w:val="6"/>
            <w:tcBorders>
              <w:right w:val="nil"/>
            </w:tcBorders>
            <w:noWrap/>
            <w:vAlign w:val="center"/>
          </w:tcPr>
          <w:p w14:paraId="6077FDD3">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水行政主管部门 □；补充监测 □；其他 □</w:t>
            </w:r>
          </w:p>
        </w:tc>
      </w:tr>
      <w:tr w14:paraId="4CEE3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 w:hRule="atLeast"/>
          <w:jc w:val="center"/>
        </w:trPr>
        <w:tc>
          <w:tcPr>
            <w:tcW w:w="440" w:type="dxa"/>
            <w:vMerge w:val="continue"/>
            <w:tcBorders>
              <w:left w:val="nil"/>
            </w:tcBorders>
            <w:vAlign w:val="center"/>
          </w:tcPr>
          <w:p w14:paraId="2EAAE731">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restart"/>
            <w:vAlign w:val="center"/>
          </w:tcPr>
          <w:p w14:paraId="6D7411FF">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补充监测</w:t>
            </w:r>
          </w:p>
        </w:tc>
        <w:tc>
          <w:tcPr>
            <w:tcW w:w="3180" w:type="dxa"/>
            <w:gridSpan w:val="5"/>
            <w:vAlign w:val="center"/>
          </w:tcPr>
          <w:p w14:paraId="18E3639E">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监测时期</w:t>
            </w:r>
          </w:p>
        </w:tc>
        <w:tc>
          <w:tcPr>
            <w:tcW w:w="1162" w:type="dxa"/>
            <w:gridSpan w:val="3"/>
            <w:noWrap/>
            <w:vAlign w:val="center"/>
          </w:tcPr>
          <w:p w14:paraId="6671612A">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监测因子</w:t>
            </w:r>
          </w:p>
        </w:tc>
        <w:tc>
          <w:tcPr>
            <w:tcW w:w="2183" w:type="dxa"/>
            <w:gridSpan w:val="3"/>
            <w:tcBorders>
              <w:right w:val="nil"/>
            </w:tcBorders>
            <w:noWrap/>
            <w:vAlign w:val="center"/>
          </w:tcPr>
          <w:p w14:paraId="26A96E03">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监测断面或点位</w:t>
            </w:r>
          </w:p>
        </w:tc>
      </w:tr>
      <w:tr w14:paraId="53E42B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02" w:hRule="atLeast"/>
          <w:jc w:val="center"/>
        </w:trPr>
        <w:tc>
          <w:tcPr>
            <w:tcW w:w="440" w:type="dxa"/>
            <w:vMerge w:val="continue"/>
            <w:tcBorders>
              <w:left w:val="nil"/>
            </w:tcBorders>
            <w:vAlign w:val="center"/>
          </w:tcPr>
          <w:p w14:paraId="69A1CC1E">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7F207E53">
            <w:pPr>
              <w:spacing w:line="240" w:lineRule="auto"/>
              <w:ind w:firstLine="0" w:firstLineChars="0"/>
              <w:jc w:val="center"/>
              <w:rPr>
                <w:color w:val="000000" w:themeColor="text1"/>
                <w:kern w:val="0"/>
                <w:sz w:val="18"/>
                <w:szCs w:val="18"/>
                <w14:textFill>
                  <w14:solidFill>
                    <w14:schemeClr w14:val="tx1"/>
                  </w14:solidFill>
                </w14:textFill>
              </w:rPr>
            </w:pPr>
          </w:p>
        </w:tc>
        <w:tc>
          <w:tcPr>
            <w:tcW w:w="3180" w:type="dxa"/>
            <w:gridSpan w:val="5"/>
            <w:vAlign w:val="center"/>
          </w:tcPr>
          <w:p w14:paraId="1C9B37C8">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丰水期 □；平水期 □；枯水期 □；冰封期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春季 □；夏季 □；秋季 □；冬季 □</w:t>
            </w:r>
          </w:p>
        </w:tc>
        <w:tc>
          <w:tcPr>
            <w:tcW w:w="1162" w:type="dxa"/>
            <w:gridSpan w:val="3"/>
            <w:noWrap/>
            <w:vAlign w:val="center"/>
          </w:tcPr>
          <w:p w14:paraId="09B7B06D">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c>
          <w:tcPr>
            <w:tcW w:w="2183" w:type="dxa"/>
            <w:gridSpan w:val="3"/>
            <w:tcBorders>
              <w:right w:val="nil"/>
            </w:tcBorders>
            <w:noWrap/>
            <w:vAlign w:val="center"/>
          </w:tcPr>
          <w:p w14:paraId="66F804FC">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监测断面或点位个数（   ）个</w:t>
            </w:r>
          </w:p>
        </w:tc>
      </w:tr>
      <w:tr w14:paraId="6147ED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restart"/>
            <w:tcBorders>
              <w:left w:val="nil"/>
            </w:tcBorders>
            <w:noWrap/>
            <w:textDirection w:val="tbRlV"/>
            <w:vAlign w:val="center"/>
          </w:tcPr>
          <w:p w14:paraId="7352E868">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现状评价</w:t>
            </w:r>
          </w:p>
        </w:tc>
        <w:tc>
          <w:tcPr>
            <w:tcW w:w="1563" w:type="dxa"/>
            <w:vAlign w:val="center"/>
          </w:tcPr>
          <w:p w14:paraId="4EAAC136">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评价范围</w:t>
            </w:r>
          </w:p>
        </w:tc>
        <w:tc>
          <w:tcPr>
            <w:tcW w:w="6525" w:type="dxa"/>
            <w:gridSpan w:val="11"/>
            <w:tcBorders>
              <w:right w:val="nil"/>
            </w:tcBorders>
            <w:noWrap/>
            <w:vAlign w:val="center"/>
          </w:tcPr>
          <w:p w14:paraId="07C30FF5">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河流：长度（  ）km；湖库、河口及近岸海域：面积（   ）km</w:t>
            </w:r>
            <w:r>
              <w:rPr>
                <w:color w:val="000000" w:themeColor="text1"/>
                <w:kern w:val="0"/>
                <w:sz w:val="18"/>
                <w:szCs w:val="18"/>
                <w:vertAlign w:val="superscript"/>
                <w14:textFill>
                  <w14:solidFill>
                    <w14:schemeClr w14:val="tx1"/>
                  </w14:solidFill>
                </w14:textFill>
              </w:rPr>
              <w:t>2</w:t>
            </w:r>
          </w:p>
        </w:tc>
      </w:tr>
      <w:tr w14:paraId="7C117D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1F728D8D">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08AD2FF2">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评价因子</w:t>
            </w:r>
          </w:p>
        </w:tc>
        <w:tc>
          <w:tcPr>
            <w:tcW w:w="6525" w:type="dxa"/>
            <w:gridSpan w:val="11"/>
            <w:tcBorders>
              <w:right w:val="nil"/>
            </w:tcBorders>
            <w:noWrap/>
            <w:vAlign w:val="center"/>
          </w:tcPr>
          <w:p w14:paraId="77150298">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（pH值</w:t>
            </w:r>
            <w:r>
              <w:rPr>
                <w:rFonts w:hint="eastAsia"/>
                <w:color w:val="000000" w:themeColor="text1"/>
                <w:kern w:val="0"/>
                <w:sz w:val="18"/>
                <w:szCs w:val="18"/>
                <w14:textFill>
                  <w14:solidFill>
                    <w14:schemeClr w14:val="tx1"/>
                  </w14:solidFill>
                </w14:textFill>
              </w:rPr>
              <w:t>、溶解氧、高锰酸钾指数</w:t>
            </w:r>
            <w:r>
              <w:rPr>
                <w:color w:val="000000" w:themeColor="text1"/>
                <w:kern w:val="0"/>
                <w:sz w:val="18"/>
                <w:szCs w:val="18"/>
                <w14:textFill>
                  <w14:solidFill>
                    <w14:schemeClr w14:val="tx1"/>
                  </w14:solidFill>
                </w14:textFill>
              </w:rPr>
              <w:t>COD、BOD</w:t>
            </w:r>
            <w:r>
              <w:rPr>
                <w:color w:val="000000" w:themeColor="text1"/>
                <w:kern w:val="0"/>
                <w:sz w:val="18"/>
                <w:szCs w:val="18"/>
                <w:vertAlign w:val="subscript"/>
                <w14:textFill>
                  <w14:solidFill>
                    <w14:schemeClr w14:val="tx1"/>
                  </w14:solidFill>
                </w14:textFill>
              </w:rPr>
              <w:t>5</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氨氮</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石油类</w:t>
            </w:r>
            <w:r>
              <w:rPr>
                <w:rFonts w:hint="eastAsia"/>
                <w:color w:val="000000" w:themeColor="text1"/>
                <w:kern w:val="0"/>
                <w:sz w:val="18"/>
                <w:szCs w:val="18"/>
                <w14:textFill>
                  <w14:solidFill>
                    <w14:schemeClr w14:val="tx1"/>
                  </w14:solidFill>
                </w14:textFill>
              </w:rPr>
              <w:t>、总磷、氟化物</w:t>
            </w:r>
            <w:r>
              <w:rPr>
                <w:color w:val="000000" w:themeColor="text1"/>
                <w:kern w:val="0"/>
                <w:sz w:val="18"/>
                <w:szCs w:val="18"/>
                <w14:textFill>
                  <w14:solidFill>
                    <w14:schemeClr w14:val="tx1"/>
                  </w14:solidFill>
                </w14:textFill>
              </w:rPr>
              <w:t>）</w:t>
            </w:r>
          </w:p>
        </w:tc>
      </w:tr>
      <w:tr w14:paraId="6F6079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460684E9">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0325BA49">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评价标准</w:t>
            </w:r>
          </w:p>
        </w:tc>
        <w:tc>
          <w:tcPr>
            <w:tcW w:w="6525" w:type="dxa"/>
            <w:gridSpan w:val="11"/>
            <w:tcBorders>
              <w:right w:val="nil"/>
            </w:tcBorders>
            <w:noWrap/>
            <w:vAlign w:val="center"/>
          </w:tcPr>
          <w:p w14:paraId="59683B9D">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河流、湖库、河口：Ⅰ类 □；Ⅱ类 □；Ⅲ类□；Ⅳ类</w:t>
            </w:r>
            <w:r>
              <w:rPr>
                <w:rFonts w:hint="eastAsia"/>
                <w:color w:val="000000" w:themeColor="text1"/>
                <w:kern w:val="0"/>
                <w:sz w:val="18"/>
                <w:szCs w:val="18"/>
                <w:lang w:eastAsia="zh-CN"/>
                <w14:textFill>
                  <w14:solidFill>
                    <w14:schemeClr w14:val="tx1"/>
                  </w14:solidFill>
                </w14:textFill>
              </w:rPr>
              <w:t>☑</w:t>
            </w:r>
            <w:r>
              <w:rPr>
                <w:color w:val="000000" w:themeColor="text1"/>
                <w:kern w:val="0"/>
                <w:sz w:val="18"/>
                <w:szCs w:val="18"/>
                <w14:textFill>
                  <w14:solidFill>
                    <w14:schemeClr w14:val="tx1"/>
                  </w14:solidFill>
                </w14:textFill>
              </w:rPr>
              <w:t>；Ⅴ类 □</w:t>
            </w:r>
          </w:p>
          <w:p w14:paraId="0EC3DF9D">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近岸海域：第一类 □；第二类 □；第三类 □；第四类 □</w:t>
            </w:r>
          </w:p>
          <w:p w14:paraId="0B6651E5">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规划年评价标准（</w:t>
            </w:r>
            <w:r>
              <w:rPr>
                <w:rFonts w:hint="eastAsia"/>
                <w:color w:val="000000" w:themeColor="text1"/>
                <w:kern w:val="0"/>
                <w:sz w:val="18"/>
                <w:szCs w:val="18"/>
                <w:lang w:val="en-US" w:eastAsia="zh-CN"/>
                <w14:textFill>
                  <w14:solidFill>
                    <w14:schemeClr w14:val="tx1"/>
                  </w14:solidFill>
                </w14:textFill>
              </w:rPr>
              <w:t>IV</w:t>
            </w:r>
            <w:r>
              <w:rPr>
                <w:color w:val="000000" w:themeColor="text1"/>
                <w:kern w:val="0"/>
                <w:sz w:val="18"/>
                <w:szCs w:val="18"/>
                <w14:textFill>
                  <w14:solidFill>
                    <w14:schemeClr w14:val="tx1"/>
                  </w14:solidFill>
                </w14:textFill>
              </w:rPr>
              <w:t>类）</w:t>
            </w:r>
          </w:p>
        </w:tc>
      </w:tr>
      <w:tr w14:paraId="6D269B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1" w:hRule="atLeast"/>
          <w:jc w:val="center"/>
        </w:trPr>
        <w:tc>
          <w:tcPr>
            <w:tcW w:w="440" w:type="dxa"/>
            <w:vMerge w:val="continue"/>
            <w:tcBorders>
              <w:left w:val="nil"/>
            </w:tcBorders>
            <w:vAlign w:val="center"/>
          </w:tcPr>
          <w:p w14:paraId="631211FD">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4748FE63">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评价时期</w:t>
            </w:r>
          </w:p>
        </w:tc>
        <w:tc>
          <w:tcPr>
            <w:tcW w:w="6525" w:type="dxa"/>
            <w:gridSpan w:val="11"/>
            <w:tcBorders>
              <w:right w:val="nil"/>
            </w:tcBorders>
            <w:vAlign w:val="center"/>
          </w:tcPr>
          <w:p w14:paraId="202713DD">
            <w:pPr>
              <w:spacing w:line="240" w:lineRule="auto"/>
              <w:ind w:firstLine="0" w:firstLineChars="0"/>
              <w:jc w:val="left"/>
              <w:rPr>
                <w:snapToGrid w:val="0"/>
                <w:color w:val="000000" w:themeColor="text1"/>
                <w:sz w:val="18"/>
                <w:szCs w:val="18"/>
                <w14:textFill>
                  <w14:solidFill>
                    <w14:schemeClr w14:val="tx1"/>
                  </w14:solidFill>
                </w14:textFill>
              </w:rPr>
            </w:pPr>
            <w:r>
              <w:rPr>
                <w:color w:val="000000" w:themeColor="text1"/>
                <w:kern w:val="0"/>
                <w:sz w:val="18"/>
                <w:szCs w:val="18"/>
                <w14:textFill>
                  <w14:solidFill>
                    <w14:schemeClr w14:val="tx1"/>
                  </w14:solidFill>
                </w14:textFill>
              </w:rPr>
              <w:t>丰水期</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；平水期</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；枯水期</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；冰封期</w:t>
            </w:r>
            <w:r>
              <w:rPr>
                <w:snapToGrid w:val="0"/>
                <w:color w:val="000000" w:themeColor="text1"/>
                <w:sz w:val="18"/>
                <w:szCs w:val="18"/>
                <w14:textFill>
                  <w14:solidFill>
                    <w14:schemeClr w14:val="tx1"/>
                  </w14:solidFill>
                </w14:textFill>
              </w:rPr>
              <w:t>√</w:t>
            </w:r>
          </w:p>
          <w:p w14:paraId="5653EFE2">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春季</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 xml:space="preserve">；夏季 </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；秋季</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；冬季</w:t>
            </w:r>
            <w:r>
              <w:rPr>
                <w:snapToGrid w:val="0"/>
                <w:color w:val="000000" w:themeColor="text1"/>
                <w:sz w:val="18"/>
                <w:szCs w:val="18"/>
                <w14:textFill>
                  <w14:solidFill>
                    <w14:schemeClr w14:val="tx1"/>
                  </w14:solidFill>
                </w14:textFill>
              </w:rPr>
              <w:t>√</w:t>
            </w:r>
          </w:p>
        </w:tc>
      </w:tr>
      <w:tr w14:paraId="252553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04" w:hRule="atLeast"/>
          <w:jc w:val="center"/>
        </w:trPr>
        <w:tc>
          <w:tcPr>
            <w:tcW w:w="440" w:type="dxa"/>
            <w:vMerge w:val="continue"/>
            <w:tcBorders>
              <w:left w:val="nil"/>
            </w:tcBorders>
            <w:vAlign w:val="center"/>
          </w:tcPr>
          <w:p w14:paraId="7D30F440">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5A1738C1">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评价结论</w:t>
            </w:r>
          </w:p>
        </w:tc>
        <w:tc>
          <w:tcPr>
            <w:tcW w:w="5659" w:type="dxa"/>
            <w:gridSpan w:val="10"/>
            <w:vAlign w:val="center"/>
          </w:tcPr>
          <w:p w14:paraId="66A79CDC">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xml:space="preserve">水环境功能区或水功能区、近岸海域环境功能区水质达标状况：达标 </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；不达标□</w:t>
            </w:r>
          </w:p>
          <w:p w14:paraId="07B45354">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水环境控制单元或断面水质达标状况 □：达标</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；不达标□</w:t>
            </w:r>
          </w:p>
          <w:p w14:paraId="5D3CE3E6">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水环境保护目标质量状况 □：达标 □；不达标 □</w:t>
            </w:r>
          </w:p>
          <w:p w14:paraId="47E9278B">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对照断面、控制断面等代表性断面的水质状况 □：达标 □；不达标 □</w:t>
            </w:r>
          </w:p>
          <w:p w14:paraId="16A544D8">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底泥污染评价 □</w:t>
            </w:r>
          </w:p>
          <w:p w14:paraId="47DFE7B2">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水资源与开发利用程度及其水文情势评价 □</w:t>
            </w:r>
          </w:p>
          <w:p w14:paraId="569EDAC2">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水环境质量回顾评价□</w:t>
            </w:r>
          </w:p>
          <w:p w14:paraId="273B2775">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流域（区域）水资源（包括水能资源）与开发利用总体状况、生态流量管理要求与现状满足程度、建设项目占用水域空间的水流状况与河湖演变状况 □</w:t>
            </w:r>
          </w:p>
        </w:tc>
        <w:tc>
          <w:tcPr>
            <w:tcW w:w="866" w:type="dxa"/>
            <w:tcBorders>
              <w:right w:val="nil"/>
            </w:tcBorders>
            <w:vAlign w:val="center"/>
          </w:tcPr>
          <w:p w14:paraId="23658B52">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达标区</w:t>
            </w:r>
            <w:r>
              <w:rPr>
                <w:snapToGrid w:val="0"/>
                <w:color w:val="000000" w:themeColor="text1"/>
                <w:sz w:val="18"/>
                <w:szCs w:val="18"/>
                <w14:textFill>
                  <w14:solidFill>
                    <w14:schemeClr w14:val="tx1"/>
                  </w14:solidFill>
                </w14:textFill>
              </w:rPr>
              <w:t>√</w:t>
            </w:r>
          </w:p>
          <w:p w14:paraId="099E9E23">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不达标区□</w:t>
            </w:r>
          </w:p>
        </w:tc>
      </w:tr>
      <w:tr w14:paraId="371D11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restart"/>
            <w:tcBorders>
              <w:left w:val="nil"/>
            </w:tcBorders>
            <w:noWrap/>
            <w:textDirection w:val="tbRlV"/>
            <w:vAlign w:val="center"/>
          </w:tcPr>
          <w:p w14:paraId="241148D9">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影响预测</w:t>
            </w:r>
          </w:p>
        </w:tc>
        <w:tc>
          <w:tcPr>
            <w:tcW w:w="1563" w:type="dxa"/>
            <w:vAlign w:val="center"/>
          </w:tcPr>
          <w:p w14:paraId="46246494">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预测范围</w:t>
            </w:r>
          </w:p>
        </w:tc>
        <w:tc>
          <w:tcPr>
            <w:tcW w:w="6525" w:type="dxa"/>
            <w:gridSpan w:val="11"/>
            <w:tcBorders>
              <w:right w:val="nil"/>
            </w:tcBorders>
            <w:noWrap/>
            <w:vAlign w:val="center"/>
          </w:tcPr>
          <w:p w14:paraId="7D3360FF">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河流：长度（   ）km；湖库、河口及近岸海域：面积（   ）km</w:t>
            </w:r>
            <w:r>
              <w:rPr>
                <w:color w:val="000000" w:themeColor="text1"/>
                <w:kern w:val="0"/>
                <w:sz w:val="18"/>
                <w:szCs w:val="18"/>
                <w:vertAlign w:val="superscript"/>
                <w14:textFill>
                  <w14:solidFill>
                    <w14:schemeClr w14:val="tx1"/>
                  </w14:solidFill>
                </w14:textFill>
              </w:rPr>
              <w:t>2</w:t>
            </w:r>
          </w:p>
        </w:tc>
      </w:tr>
      <w:tr w14:paraId="7EE8C8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713BB0D9">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19FC6BF8">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预测因子</w:t>
            </w:r>
          </w:p>
        </w:tc>
        <w:tc>
          <w:tcPr>
            <w:tcW w:w="6525" w:type="dxa"/>
            <w:gridSpan w:val="11"/>
            <w:tcBorders>
              <w:right w:val="nil"/>
            </w:tcBorders>
            <w:noWrap/>
            <w:vAlign w:val="center"/>
          </w:tcPr>
          <w:p w14:paraId="03C6DBBE">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r>
      <w:tr w14:paraId="2082E3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43707806">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4CB94EE1">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预测时期</w:t>
            </w:r>
          </w:p>
        </w:tc>
        <w:tc>
          <w:tcPr>
            <w:tcW w:w="6525" w:type="dxa"/>
            <w:gridSpan w:val="11"/>
            <w:tcBorders>
              <w:right w:val="nil"/>
            </w:tcBorders>
            <w:vAlign w:val="center"/>
          </w:tcPr>
          <w:p w14:paraId="7C13D943">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丰水期 □；平水期 □；枯水期 □；冰封期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春季 □；夏季 □；秋季 □；冬季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设计水文条件 □</w:t>
            </w:r>
          </w:p>
        </w:tc>
      </w:tr>
      <w:tr w14:paraId="53726E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5850A309">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288B6AA3">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预测情景</w:t>
            </w:r>
          </w:p>
        </w:tc>
        <w:tc>
          <w:tcPr>
            <w:tcW w:w="6525" w:type="dxa"/>
            <w:gridSpan w:val="11"/>
            <w:tcBorders>
              <w:right w:val="nil"/>
            </w:tcBorders>
            <w:vAlign w:val="center"/>
          </w:tcPr>
          <w:p w14:paraId="0786A4F1">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建设期 □；生产运行期 □；服务期满后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正常工况 □；非正常工况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污染控制和减缓措施方案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区（流）域环境质量改善目标要求情景 □</w:t>
            </w:r>
          </w:p>
        </w:tc>
      </w:tr>
      <w:tr w14:paraId="4A8F20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67F65F90">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71BD1723">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预测方法</w:t>
            </w:r>
          </w:p>
        </w:tc>
        <w:tc>
          <w:tcPr>
            <w:tcW w:w="6525" w:type="dxa"/>
            <w:gridSpan w:val="11"/>
            <w:tcBorders>
              <w:right w:val="nil"/>
            </w:tcBorders>
            <w:noWrap/>
            <w:vAlign w:val="center"/>
          </w:tcPr>
          <w:p w14:paraId="7E2D9545">
            <w:pPr>
              <w:spacing w:line="240" w:lineRule="auto"/>
              <w:ind w:firstLine="0" w:firstLineChars="0"/>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数值解 □：解析解 □；其他 □</w:t>
            </w:r>
          </w:p>
          <w:p w14:paraId="35C46623">
            <w:pPr>
              <w:spacing w:line="240" w:lineRule="auto"/>
              <w:ind w:firstLine="0" w:firstLineChars="0"/>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导则推荐模式 □：其他 □</w:t>
            </w:r>
          </w:p>
        </w:tc>
      </w:tr>
      <w:tr w14:paraId="467070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4" w:hRule="atLeast"/>
          <w:jc w:val="center"/>
        </w:trPr>
        <w:tc>
          <w:tcPr>
            <w:tcW w:w="440" w:type="dxa"/>
            <w:vMerge w:val="restart"/>
            <w:tcBorders>
              <w:left w:val="nil"/>
            </w:tcBorders>
            <w:noWrap/>
            <w:textDirection w:val="tbRlV"/>
            <w:vAlign w:val="center"/>
          </w:tcPr>
          <w:p w14:paraId="6FCFB261">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影响评价</w:t>
            </w:r>
          </w:p>
        </w:tc>
        <w:tc>
          <w:tcPr>
            <w:tcW w:w="1563" w:type="dxa"/>
            <w:vAlign w:val="center"/>
          </w:tcPr>
          <w:p w14:paraId="0DFB15C6">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水污染控制和水环境影响减缓措施有效性评价</w:t>
            </w:r>
          </w:p>
        </w:tc>
        <w:tc>
          <w:tcPr>
            <w:tcW w:w="6525" w:type="dxa"/>
            <w:gridSpan w:val="11"/>
            <w:tcBorders>
              <w:right w:val="nil"/>
            </w:tcBorders>
            <w:noWrap/>
            <w:vAlign w:val="center"/>
          </w:tcPr>
          <w:p w14:paraId="747EFB02">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区（流）域水环境质量改善目标 □；替代削减源 □</w:t>
            </w:r>
          </w:p>
        </w:tc>
      </w:tr>
      <w:tr w14:paraId="420236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71" w:hRule="atLeast"/>
          <w:jc w:val="center"/>
        </w:trPr>
        <w:tc>
          <w:tcPr>
            <w:tcW w:w="440" w:type="dxa"/>
            <w:vMerge w:val="continue"/>
            <w:tcBorders>
              <w:left w:val="nil"/>
            </w:tcBorders>
            <w:vAlign w:val="center"/>
          </w:tcPr>
          <w:p w14:paraId="62A2DE8D">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1D40AEC7">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水环境影响评价</w:t>
            </w:r>
          </w:p>
        </w:tc>
        <w:tc>
          <w:tcPr>
            <w:tcW w:w="6525" w:type="dxa"/>
            <w:gridSpan w:val="11"/>
            <w:tcBorders>
              <w:right w:val="nil"/>
            </w:tcBorders>
            <w:vAlign w:val="center"/>
          </w:tcPr>
          <w:p w14:paraId="557DBCD1">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排放口混合区外满足水环境管理要求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水环境功能区或水功能区、近岸海域环境功能区水质达标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满足水环境保护目标水域水环境质量要求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水环境控制单元或断面水质达标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满足重点水污染物排放总量控制指标要求，重点行业建设项目， 主要污染物排放满足等量或减量替代要求 □</w:t>
            </w:r>
          </w:p>
          <w:p w14:paraId="53C1846D">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满足区（流）域水环境质量改善目标要求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水文要素影响型建设项目同时应包括水文情势变化评价、主要水文特征值影响评价、生态流量符合性评价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对于新设或调整入河（湖库、近岸海域）排放口的建设项目，应包括排放口设置的环境合理性评价 □</w:t>
            </w:r>
            <w:r>
              <w:rPr>
                <w:color w:val="000000" w:themeColor="text1"/>
                <w:kern w:val="0"/>
                <w:sz w:val="18"/>
                <w:szCs w:val="18"/>
                <w14:textFill>
                  <w14:solidFill>
                    <w14:schemeClr w14:val="tx1"/>
                  </w14:solidFill>
                </w14:textFill>
              </w:rPr>
              <w:br w:type="textWrapping"/>
            </w:r>
            <w:r>
              <w:rPr>
                <w:color w:val="000000" w:themeColor="text1"/>
                <w:kern w:val="0"/>
                <w:sz w:val="18"/>
                <w:szCs w:val="18"/>
                <w14:textFill>
                  <w14:solidFill>
                    <w14:schemeClr w14:val="tx1"/>
                  </w14:solidFill>
                </w14:textFill>
              </w:rPr>
              <w:t>满足生态保护红线、水环境质量底线、资源利用上线和环境准入清单管理要求 □</w:t>
            </w:r>
          </w:p>
        </w:tc>
      </w:tr>
      <w:tr w14:paraId="402084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69DF3149">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restart"/>
            <w:vAlign w:val="center"/>
          </w:tcPr>
          <w:p w14:paraId="3272A4B2">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污染源排放量核算</w:t>
            </w:r>
          </w:p>
        </w:tc>
        <w:tc>
          <w:tcPr>
            <w:tcW w:w="1933" w:type="dxa"/>
            <w:gridSpan w:val="3"/>
            <w:noWrap/>
            <w:vAlign w:val="center"/>
          </w:tcPr>
          <w:p w14:paraId="73251F12">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污染物名称</w:t>
            </w:r>
          </w:p>
        </w:tc>
        <w:tc>
          <w:tcPr>
            <w:tcW w:w="2409" w:type="dxa"/>
            <w:gridSpan w:val="5"/>
            <w:vAlign w:val="center"/>
          </w:tcPr>
          <w:p w14:paraId="7225F0A5">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排放量/（t/a）</w:t>
            </w:r>
          </w:p>
        </w:tc>
        <w:tc>
          <w:tcPr>
            <w:tcW w:w="2183" w:type="dxa"/>
            <w:gridSpan w:val="3"/>
            <w:tcBorders>
              <w:right w:val="nil"/>
            </w:tcBorders>
            <w:vAlign w:val="center"/>
          </w:tcPr>
          <w:p w14:paraId="348DD491">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排放浓度/（mg/L）</w:t>
            </w:r>
          </w:p>
        </w:tc>
      </w:tr>
      <w:tr w14:paraId="7DCAE3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3A857449">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2CCAE5D1">
            <w:pPr>
              <w:spacing w:line="240" w:lineRule="auto"/>
              <w:ind w:firstLine="0" w:firstLineChars="0"/>
              <w:jc w:val="center"/>
              <w:rPr>
                <w:color w:val="000000" w:themeColor="text1"/>
                <w:kern w:val="0"/>
                <w:sz w:val="18"/>
                <w:szCs w:val="18"/>
                <w14:textFill>
                  <w14:solidFill>
                    <w14:schemeClr w14:val="tx1"/>
                  </w14:solidFill>
                </w14:textFill>
              </w:rPr>
            </w:pPr>
          </w:p>
        </w:tc>
        <w:tc>
          <w:tcPr>
            <w:tcW w:w="1933" w:type="dxa"/>
            <w:gridSpan w:val="3"/>
            <w:noWrap/>
            <w:vAlign w:val="center"/>
          </w:tcPr>
          <w:p w14:paraId="7EDF5FD5">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（COD</w:t>
            </w:r>
            <w:r>
              <w:rPr>
                <w:rFonts w:hint="eastAsia"/>
                <w:color w:val="000000" w:themeColor="text1"/>
                <w:kern w:val="0"/>
                <w:sz w:val="18"/>
                <w:szCs w:val="18"/>
                <w14:textFill>
                  <w14:solidFill>
                    <w14:schemeClr w14:val="tx1"/>
                  </w14:solidFill>
                </w14:textFill>
              </w:rPr>
              <w:t>、氨氮</w:t>
            </w:r>
            <w:r>
              <w:rPr>
                <w:color w:val="000000" w:themeColor="text1"/>
                <w:kern w:val="0"/>
                <w:sz w:val="18"/>
                <w:szCs w:val="18"/>
                <w14:textFill>
                  <w14:solidFill>
                    <w14:schemeClr w14:val="tx1"/>
                  </w14:solidFill>
                </w14:textFill>
              </w:rPr>
              <w:t>）</w:t>
            </w:r>
          </w:p>
        </w:tc>
        <w:tc>
          <w:tcPr>
            <w:tcW w:w="2409" w:type="dxa"/>
            <w:gridSpan w:val="5"/>
            <w:vAlign w:val="center"/>
          </w:tcPr>
          <w:p w14:paraId="5A6C7792">
            <w:pPr>
              <w:spacing w:line="240" w:lineRule="auto"/>
              <w:ind w:firstLine="0" w:firstLineChars="0"/>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COD</w:t>
            </w:r>
            <w:r>
              <w:rPr>
                <w:rFonts w:hint="eastAsia"/>
                <w:color w:val="000000" w:themeColor="text1"/>
                <w:kern w:val="0"/>
                <w:sz w:val="18"/>
                <w:szCs w:val="18"/>
                <w:lang w:val="en-US" w:eastAsia="zh-CN"/>
                <w14:textFill>
                  <w14:solidFill>
                    <w14:schemeClr w14:val="tx1"/>
                  </w14:solidFill>
                </w14:textFill>
              </w:rPr>
              <w:t xml:space="preserve"> 4.63</w:t>
            </w:r>
            <w:r>
              <w:rPr>
                <w:color w:val="000000" w:themeColor="text1"/>
                <w:kern w:val="0"/>
                <w:sz w:val="18"/>
                <w:szCs w:val="18"/>
                <w14:textFill>
                  <w14:solidFill>
                    <w14:schemeClr w14:val="tx1"/>
                  </w14:solidFill>
                </w14:textFill>
              </w:rPr>
              <w:t>t/a</w:t>
            </w:r>
            <w:r>
              <w:rPr>
                <w:rFonts w:hint="eastAsia"/>
                <w:color w:val="000000" w:themeColor="text1"/>
                <w:kern w:val="0"/>
                <w:sz w:val="18"/>
                <w:szCs w:val="18"/>
                <w14:textFill>
                  <w14:solidFill>
                    <w14:schemeClr w14:val="tx1"/>
                  </w14:solidFill>
                </w14:textFill>
              </w:rPr>
              <w:t>、氨氮</w:t>
            </w:r>
            <w:r>
              <w:rPr>
                <w:rFonts w:hint="eastAsia"/>
                <w:color w:val="000000" w:themeColor="text1"/>
                <w:kern w:val="0"/>
                <w:sz w:val="18"/>
                <w:szCs w:val="18"/>
                <w:lang w:val="en-US" w:eastAsia="zh-CN"/>
                <w14:textFill>
                  <w14:solidFill>
                    <w14:schemeClr w14:val="tx1"/>
                  </w14:solidFill>
                </w14:textFill>
              </w:rPr>
              <w:t>0.50</w:t>
            </w:r>
            <w:r>
              <w:rPr>
                <w:color w:val="000000" w:themeColor="text1"/>
                <w:kern w:val="0"/>
                <w:sz w:val="18"/>
                <w:szCs w:val="18"/>
                <w14:textFill>
                  <w14:solidFill>
                    <w14:schemeClr w14:val="tx1"/>
                  </w14:solidFill>
                </w14:textFill>
              </w:rPr>
              <w:t>t/</w:t>
            </w:r>
            <w:r>
              <w:rPr>
                <w:rFonts w:hint="eastAsia"/>
                <w:color w:val="000000" w:themeColor="text1"/>
                <w:kern w:val="0"/>
                <w:sz w:val="18"/>
                <w:szCs w:val="18"/>
                <w14:textFill>
                  <w14:solidFill>
                    <w14:schemeClr w14:val="tx1"/>
                  </w14:solidFill>
                </w14:textFill>
              </w:rPr>
              <w:t>a</w:t>
            </w:r>
          </w:p>
        </w:tc>
        <w:tc>
          <w:tcPr>
            <w:tcW w:w="2183" w:type="dxa"/>
            <w:gridSpan w:val="3"/>
            <w:tcBorders>
              <w:right w:val="nil"/>
            </w:tcBorders>
            <w:vAlign w:val="center"/>
          </w:tcPr>
          <w:p w14:paraId="0E340C5C">
            <w:pPr>
              <w:spacing w:line="240" w:lineRule="auto"/>
              <w:ind w:firstLine="0" w:firstLineChars="0"/>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COD</w:t>
            </w:r>
            <w:r>
              <w:rPr>
                <w:rFonts w:hint="eastAsia"/>
                <w:color w:val="000000" w:themeColor="text1"/>
                <w:kern w:val="0"/>
                <w:sz w:val="18"/>
                <w:szCs w:val="18"/>
                <w:lang w:val="en-US" w:eastAsia="zh-CN"/>
                <w14:textFill>
                  <w14:solidFill>
                    <w14:schemeClr w14:val="tx1"/>
                  </w14:solidFill>
                </w14:textFill>
              </w:rPr>
              <w:t>125</w:t>
            </w:r>
            <w:r>
              <w:rPr>
                <w:color w:val="000000" w:themeColor="text1"/>
                <w:kern w:val="0"/>
                <w:sz w:val="18"/>
                <w:szCs w:val="18"/>
                <w14:textFill>
                  <w14:solidFill>
                    <w14:schemeClr w14:val="tx1"/>
                  </w14:solidFill>
                </w14:textFill>
              </w:rPr>
              <w:t>mg/L</w:t>
            </w:r>
            <w:r>
              <w:rPr>
                <w:rFonts w:hint="eastAsia"/>
                <w:color w:val="000000" w:themeColor="text1"/>
                <w:kern w:val="0"/>
                <w:sz w:val="18"/>
                <w:szCs w:val="18"/>
                <w14:textFill>
                  <w14:solidFill>
                    <w14:schemeClr w14:val="tx1"/>
                  </w14:solidFill>
                </w14:textFill>
              </w:rPr>
              <w:t>、氨氮</w:t>
            </w:r>
            <w:r>
              <w:rPr>
                <w:rFonts w:hint="eastAsia"/>
                <w:color w:val="000000" w:themeColor="text1"/>
                <w:kern w:val="0"/>
                <w:sz w:val="18"/>
                <w:szCs w:val="18"/>
                <w:lang w:val="en-US" w:eastAsia="zh-CN"/>
                <w14:textFill>
                  <w14:solidFill>
                    <w14:schemeClr w14:val="tx1"/>
                  </w14:solidFill>
                </w14:textFill>
              </w:rPr>
              <w:t>13.5</w:t>
            </w:r>
            <w:r>
              <w:rPr>
                <w:color w:val="000000" w:themeColor="text1"/>
                <w:kern w:val="0"/>
                <w:sz w:val="18"/>
                <w:szCs w:val="18"/>
                <w14:textFill>
                  <w14:solidFill>
                    <w14:schemeClr w14:val="tx1"/>
                  </w14:solidFill>
                </w14:textFill>
              </w:rPr>
              <w:t>mg/L</w:t>
            </w:r>
          </w:p>
        </w:tc>
      </w:tr>
      <w:tr w14:paraId="52FA5C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6B8ACEBB">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restart"/>
            <w:vAlign w:val="center"/>
          </w:tcPr>
          <w:p w14:paraId="4729CDE6">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替代源排放情况</w:t>
            </w:r>
          </w:p>
        </w:tc>
        <w:tc>
          <w:tcPr>
            <w:tcW w:w="1193" w:type="dxa"/>
            <w:noWrap/>
            <w:vAlign w:val="center"/>
          </w:tcPr>
          <w:p w14:paraId="29CCD509">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污染源名称</w:t>
            </w:r>
          </w:p>
        </w:tc>
        <w:tc>
          <w:tcPr>
            <w:tcW w:w="1352" w:type="dxa"/>
            <w:gridSpan w:val="3"/>
            <w:vAlign w:val="center"/>
          </w:tcPr>
          <w:p w14:paraId="32158400">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排污许可证编号</w:t>
            </w:r>
          </w:p>
        </w:tc>
        <w:tc>
          <w:tcPr>
            <w:tcW w:w="1274" w:type="dxa"/>
            <w:gridSpan w:val="2"/>
            <w:vAlign w:val="center"/>
          </w:tcPr>
          <w:p w14:paraId="7E75C3A5">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污染物名称</w:t>
            </w:r>
          </w:p>
        </w:tc>
        <w:tc>
          <w:tcPr>
            <w:tcW w:w="1353" w:type="dxa"/>
            <w:gridSpan w:val="3"/>
            <w:vAlign w:val="center"/>
          </w:tcPr>
          <w:p w14:paraId="06DF945F">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排放量/（</w:t>
            </w:r>
            <w:r>
              <w:rPr>
                <w:color w:val="000000" w:themeColor="text1"/>
                <w:sz w:val="18"/>
                <w:szCs w:val="18"/>
                <w14:textFill>
                  <w14:solidFill>
                    <w14:schemeClr w14:val="tx1"/>
                  </w14:solidFill>
                </w14:textFill>
              </w:rPr>
              <w:t>t/a</w:t>
            </w:r>
            <w:r>
              <w:rPr>
                <w:color w:val="000000" w:themeColor="text1"/>
                <w:kern w:val="0"/>
                <w:sz w:val="18"/>
                <w:szCs w:val="18"/>
                <w14:textFill>
                  <w14:solidFill>
                    <w14:schemeClr w14:val="tx1"/>
                  </w14:solidFill>
                </w14:textFill>
              </w:rPr>
              <w:t>）</w:t>
            </w:r>
          </w:p>
        </w:tc>
        <w:tc>
          <w:tcPr>
            <w:tcW w:w="1353" w:type="dxa"/>
            <w:gridSpan w:val="2"/>
            <w:tcBorders>
              <w:right w:val="nil"/>
            </w:tcBorders>
            <w:vAlign w:val="center"/>
          </w:tcPr>
          <w:p w14:paraId="4A4BA4B4">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排放浓度/（mg/L）</w:t>
            </w:r>
          </w:p>
        </w:tc>
      </w:tr>
      <w:tr w14:paraId="57F28C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69CD45D2">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02FC7E2E">
            <w:pPr>
              <w:spacing w:line="240" w:lineRule="auto"/>
              <w:ind w:firstLine="0" w:firstLineChars="0"/>
              <w:jc w:val="center"/>
              <w:rPr>
                <w:color w:val="000000" w:themeColor="text1"/>
                <w:kern w:val="0"/>
                <w:sz w:val="18"/>
                <w:szCs w:val="18"/>
                <w14:textFill>
                  <w14:solidFill>
                    <w14:schemeClr w14:val="tx1"/>
                  </w14:solidFill>
                </w14:textFill>
              </w:rPr>
            </w:pPr>
          </w:p>
        </w:tc>
        <w:tc>
          <w:tcPr>
            <w:tcW w:w="1193" w:type="dxa"/>
            <w:noWrap/>
            <w:vAlign w:val="center"/>
          </w:tcPr>
          <w:p w14:paraId="2B816BFA">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c>
          <w:tcPr>
            <w:tcW w:w="1352" w:type="dxa"/>
            <w:gridSpan w:val="3"/>
            <w:vAlign w:val="center"/>
          </w:tcPr>
          <w:p w14:paraId="1F181151">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c>
          <w:tcPr>
            <w:tcW w:w="1274" w:type="dxa"/>
            <w:gridSpan w:val="2"/>
            <w:vAlign w:val="center"/>
          </w:tcPr>
          <w:p w14:paraId="795D2371">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c>
          <w:tcPr>
            <w:tcW w:w="1353" w:type="dxa"/>
            <w:gridSpan w:val="3"/>
            <w:vAlign w:val="center"/>
          </w:tcPr>
          <w:p w14:paraId="0525B026">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c>
          <w:tcPr>
            <w:tcW w:w="1353" w:type="dxa"/>
            <w:gridSpan w:val="2"/>
            <w:tcBorders>
              <w:right w:val="nil"/>
            </w:tcBorders>
            <w:vAlign w:val="center"/>
          </w:tcPr>
          <w:p w14:paraId="11E34C4B">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r>
      <w:tr w14:paraId="758E55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continue"/>
            <w:tcBorders>
              <w:left w:val="nil"/>
            </w:tcBorders>
            <w:vAlign w:val="center"/>
          </w:tcPr>
          <w:p w14:paraId="0EFF0787">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68D08DAC">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生态流量确定</w:t>
            </w:r>
          </w:p>
        </w:tc>
        <w:tc>
          <w:tcPr>
            <w:tcW w:w="6525" w:type="dxa"/>
            <w:gridSpan w:val="11"/>
            <w:tcBorders>
              <w:right w:val="nil"/>
            </w:tcBorders>
            <w:noWrap/>
            <w:vAlign w:val="center"/>
          </w:tcPr>
          <w:p w14:paraId="23D7F234">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生态流量：一般水期（   ）m</w:t>
            </w:r>
            <w:r>
              <w:rPr>
                <w:color w:val="000000" w:themeColor="text1"/>
                <w:kern w:val="0"/>
                <w:sz w:val="18"/>
                <w:szCs w:val="18"/>
                <w:vertAlign w:val="superscript"/>
                <w14:textFill>
                  <w14:solidFill>
                    <w14:schemeClr w14:val="tx1"/>
                  </w14:solidFill>
                </w14:textFill>
              </w:rPr>
              <w:t>3</w:t>
            </w:r>
            <w:r>
              <w:rPr>
                <w:color w:val="000000" w:themeColor="text1"/>
                <w:kern w:val="0"/>
                <w:sz w:val="18"/>
                <w:szCs w:val="18"/>
                <w14:textFill>
                  <w14:solidFill>
                    <w14:schemeClr w14:val="tx1"/>
                  </w14:solidFill>
                </w14:textFill>
              </w:rPr>
              <w:t>/s；鱼类繁殖期（   ）m</w:t>
            </w:r>
            <w:r>
              <w:rPr>
                <w:color w:val="000000" w:themeColor="text1"/>
                <w:kern w:val="0"/>
                <w:sz w:val="18"/>
                <w:szCs w:val="18"/>
                <w:vertAlign w:val="superscript"/>
                <w14:textFill>
                  <w14:solidFill>
                    <w14:schemeClr w14:val="tx1"/>
                  </w14:solidFill>
                </w14:textFill>
              </w:rPr>
              <w:t>3</w:t>
            </w:r>
            <w:r>
              <w:rPr>
                <w:color w:val="000000" w:themeColor="text1"/>
                <w:kern w:val="0"/>
                <w:sz w:val="18"/>
                <w:szCs w:val="18"/>
                <w14:textFill>
                  <w14:solidFill>
                    <w14:schemeClr w14:val="tx1"/>
                  </w14:solidFill>
                </w14:textFill>
              </w:rPr>
              <w:t>/s；其他（   ）m</w:t>
            </w:r>
            <w:r>
              <w:rPr>
                <w:color w:val="000000" w:themeColor="text1"/>
                <w:kern w:val="0"/>
                <w:sz w:val="18"/>
                <w:szCs w:val="18"/>
                <w:vertAlign w:val="superscript"/>
                <w14:textFill>
                  <w14:solidFill>
                    <w14:schemeClr w14:val="tx1"/>
                  </w14:solidFill>
                </w14:textFill>
              </w:rPr>
              <w:t>3</w:t>
            </w:r>
            <w:r>
              <w:rPr>
                <w:color w:val="000000" w:themeColor="text1"/>
                <w:kern w:val="0"/>
                <w:sz w:val="18"/>
                <w:szCs w:val="18"/>
                <w14:textFill>
                  <w14:solidFill>
                    <w14:schemeClr w14:val="tx1"/>
                  </w14:solidFill>
                </w14:textFill>
              </w:rPr>
              <w:t>/s</w:t>
            </w:r>
          </w:p>
          <w:p w14:paraId="2E736BE4">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生态水位：一般水期（   ）m；鱼类繁殖期（   ）m；其他（   ）m</w:t>
            </w:r>
          </w:p>
        </w:tc>
      </w:tr>
      <w:tr w14:paraId="21D32A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440" w:type="dxa"/>
            <w:vMerge w:val="restart"/>
            <w:tcBorders>
              <w:left w:val="nil"/>
            </w:tcBorders>
            <w:noWrap/>
            <w:textDirection w:val="tbRlV"/>
            <w:vAlign w:val="center"/>
          </w:tcPr>
          <w:p w14:paraId="70746EF7">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防治措施</w:t>
            </w:r>
          </w:p>
        </w:tc>
        <w:tc>
          <w:tcPr>
            <w:tcW w:w="1563" w:type="dxa"/>
            <w:vAlign w:val="center"/>
          </w:tcPr>
          <w:p w14:paraId="3DD1DFDC">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环保措施</w:t>
            </w:r>
          </w:p>
        </w:tc>
        <w:tc>
          <w:tcPr>
            <w:tcW w:w="6525" w:type="dxa"/>
            <w:gridSpan w:val="11"/>
            <w:tcBorders>
              <w:right w:val="nil"/>
            </w:tcBorders>
            <w:noWrap/>
            <w:vAlign w:val="center"/>
          </w:tcPr>
          <w:p w14:paraId="3785C494">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污水处理设施 □；水文减缓设施 □；生态流量保障设施 □；区域削减 □；依托其他工程措施 □；其他</w:t>
            </w:r>
            <w:r>
              <w:rPr>
                <w:snapToGrid w:val="0"/>
                <w:color w:val="000000" w:themeColor="text1"/>
                <w:sz w:val="18"/>
                <w:szCs w:val="18"/>
                <w14:textFill>
                  <w14:solidFill>
                    <w14:schemeClr w14:val="tx1"/>
                  </w14:solidFill>
                </w14:textFill>
              </w:rPr>
              <w:t>√</w:t>
            </w:r>
          </w:p>
        </w:tc>
      </w:tr>
      <w:tr w14:paraId="7BDEA6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440" w:type="dxa"/>
            <w:vMerge w:val="continue"/>
            <w:tcBorders>
              <w:left w:val="nil"/>
            </w:tcBorders>
            <w:vAlign w:val="center"/>
          </w:tcPr>
          <w:p w14:paraId="3D103899">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restart"/>
            <w:vAlign w:val="center"/>
          </w:tcPr>
          <w:p w14:paraId="32580F9D">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监测计划</w:t>
            </w:r>
          </w:p>
        </w:tc>
        <w:tc>
          <w:tcPr>
            <w:tcW w:w="1548" w:type="dxa"/>
            <w:gridSpan w:val="2"/>
            <w:noWrap/>
            <w:vAlign w:val="center"/>
          </w:tcPr>
          <w:p w14:paraId="775BBF31">
            <w:pPr>
              <w:spacing w:line="240" w:lineRule="auto"/>
              <w:ind w:firstLine="0" w:firstLineChars="0"/>
              <w:jc w:val="center"/>
              <w:rPr>
                <w:color w:val="000000" w:themeColor="text1"/>
                <w:kern w:val="0"/>
                <w:sz w:val="18"/>
                <w:szCs w:val="18"/>
                <w14:textFill>
                  <w14:solidFill>
                    <w14:schemeClr w14:val="tx1"/>
                  </w14:solidFill>
                </w14:textFill>
              </w:rPr>
            </w:pPr>
          </w:p>
        </w:tc>
        <w:tc>
          <w:tcPr>
            <w:tcW w:w="2494" w:type="dxa"/>
            <w:gridSpan w:val="5"/>
            <w:vAlign w:val="center"/>
          </w:tcPr>
          <w:p w14:paraId="15C2ADBE">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环境质量</w:t>
            </w:r>
          </w:p>
        </w:tc>
        <w:tc>
          <w:tcPr>
            <w:tcW w:w="2483" w:type="dxa"/>
            <w:gridSpan w:val="4"/>
            <w:tcBorders>
              <w:right w:val="nil"/>
            </w:tcBorders>
            <w:vAlign w:val="center"/>
          </w:tcPr>
          <w:p w14:paraId="68901E13">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污染源</w:t>
            </w:r>
          </w:p>
        </w:tc>
      </w:tr>
      <w:tr w14:paraId="522987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440" w:type="dxa"/>
            <w:vMerge w:val="continue"/>
            <w:tcBorders>
              <w:left w:val="nil"/>
            </w:tcBorders>
            <w:vAlign w:val="center"/>
          </w:tcPr>
          <w:p w14:paraId="27B00A83">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279019AF">
            <w:pPr>
              <w:spacing w:line="240" w:lineRule="auto"/>
              <w:ind w:firstLine="0" w:firstLineChars="0"/>
              <w:jc w:val="center"/>
              <w:rPr>
                <w:color w:val="000000" w:themeColor="text1"/>
                <w:kern w:val="0"/>
                <w:sz w:val="18"/>
                <w:szCs w:val="18"/>
                <w14:textFill>
                  <w14:solidFill>
                    <w14:schemeClr w14:val="tx1"/>
                  </w14:solidFill>
                </w14:textFill>
              </w:rPr>
            </w:pPr>
          </w:p>
        </w:tc>
        <w:tc>
          <w:tcPr>
            <w:tcW w:w="1548" w:type="dxa"/>
            <w:gridSpan w:val="2"/>
            <w:noWrap/>
            <w:vAlign w:val="center"/>
          </w:tcPr>
          <w:p w14:paraId="5E361D19">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监测方式</w:t>
            </w:r>
          </w:p>
        </w:tc>
        <w:tc>
          <w:tcPr>
            <w:tcW w:w="2494" w:type="dxa"/>
            <w:gridSpan w:val="5"/>
            <w:vAlign w:val="center"/>
          </w:tcPr>
          <w:p w14:paraId="5D072FB5">
            <w:pPr>
              <w:spacing w:line="240" w:lineRule="auto"/>
              <w:ind w:firstLine="0" w:firstLineChars="0"/>
              <w:jc w:val="center"/>
              <w:rPr>
                <w:b/>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手动 □；自动 □；无监测 □</w:t>
            </w:r>
          </w:p>
        </w:tc>
        <w:tc>
          <w:tcPr>
            <w:tcW w:w="2483" w:type="dxa"/>
            <w:gridSpan w:val="4"/>
            <w:tcBorders>
              <w:right w:val="nil"/>
            </w:tcBorders>
            <w:vAlign w:val="center"/>
          </w:tcPr>
          <w:p w14:paraId="77BE149B">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手动 □；自动 □；无监测</w:t>
            </w:r>
            <w:r>
              <w:rPr>
                <w:snapToGrid w:val="0"/>
                <w:color w:val="000000" w:themeColor="text1"/>
                <w:sz w:val="18"/>
                <w:szCs w:val="18"/>
                <w14:textFill>
                  <w14:solidFill>
                    <w14:schemeClr w14:val="tx1"/>
                  </w14:solidFill>
                </w14:textFill>
              </w:rPr>
              <w:t>√</w:t>
            </w:r>
          </w:p>
        </w:tc>
      </w:tr>
      <w:tr w14:paraId="1E5DA7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440" w:type="dxa"/>
            <w:vMerge w:val="continue"/>
            <w:tcBorders>
              <w:left w:val="nil"/>
            </w:tcBorders>
            <w:vAlign w:val="center"/>
          </w:tcPr>
          <w:p w14:paraId="1E2EEA99">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08EAA024">
            <w:pPr>
              <w:spacing w:line="240" w:lineRule="auto"/>
              <w:ind w:firstLine="0" w:firstLineChars="0"/>
              <w:jc w:val="center"/>
              <w:rPr>
                <w:color w:val="000000" w:themeColor="text1"/>
                <w:kern w:val="0"/>
                <w:sz w:val="18"/>
                <w:szCs w:val="18"/>
                <w14:textFill>
                  <w14:solidFill>
                    <w14:schemeClr w14:val="tx1"/>
                  </w14:solidFill>
                </w14:textFill>
              </w:rPr>
            </w:pPr>
          </w:p>
        </w:tc>
        <w:tc>
          <w:tcPr>
            <w:tcW w:w="1548" w:type="dxa"/>
            <w:gridSpan w:val="2"/>
            <w:noWrap/>
            <w:vAlign w:val="center"/>
          </w:tcPr>
          <w:p w14:paraId="2C0E2D2B">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监测点位</w:t>
            </w:r>
          </w:p>
        </w:tc>
        <w:tc>
          <w:tcPr>
            <w:tcW w:w="2494" w:type="dxa"/>
            <w:gridSpan w:val="5"/>
            <w:vAlign w:val="center"/>
          </w:tcPr>
          <w:p w14:paraId="36E784EB">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c>
          <w:tcPr>
            <w:tcW w:w="2483" w:type="dxa"/>
            <w:gridSpan w:val="4"/>
            <w:tcBorders>
              <w:right w:val="nil"/>
            </w:tcBorders>
            <w:vAlign w:val="center"/>
          </w:tcPr>
          <w:p w14:paraId="6AE2EAFC">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r>
      <w:tr w14:paraId="4EBCD9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440" w:type="dxa"/>
            <w:vMerge w:val="continue"/>
            <w:tcBorders>
              <w:left w:val="nil"/>
            </w:tcBorders>
            <w:vAlign w:val="center"/>
          </w:tcPr>
          <w:p w14:paraId="09F1BC8B">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Merge w:val="continue"/>
            <w:vAlign w:val="center"/>
          </w:tcPr>
          <w:p w14:paraId="19DADEB0">
            <w:pPr>
              <w:spacing w:line="240" w:lineRule="auto"/>
              <w:ind w:firstLine="0" w:firstLineChars="0"/>
              <w:jc w:val="center"/>
              <w:rPr>
                <w:color w:val="000000" w:themeColor="text1"/>
                <w:kern w:val="0"/>
                <w:sz w:val="18"/>
                <w:szCs w:val="18"/>
                <w14:textFill>
                  <w14:solidFill>
                    <w14:schemeClr w14:val="tx1"/>
                  </w14:solidFill>
                </w14:textFill>
              </w:rPr>
            </w:pPr>
          </w:p>
        </w:tc>
        <w:tc>
          <w:tcPr>
            <w:tcW w:w="1548" w:type="dxa"/>
            <w:gridSpan w:val="2"/>
            <w:noWrap/>
            <w:vAlign w:val="center"/>
          </w:tcPr>
          <w:p w14:paraId="7C9DD6A2">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监测因子</w:t>
            </w:r>
          </w:p>
        </w:tc>
        <w:tc>
          <w:tcPr>
            <w:tcW w:w="2494" w:type="dxa"/>
            <w:gridSpan w:val="5"/>
          </w:tcPr>
          <w:p w14:paraId="4E3FF6BE">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c>
          <w:tcPr>
            <w:tcW w:w="2483" w:type="dxa"/>
            <w:gridSpan w:val="4"/>
            <w:tcBorders>
              <w:right w:val="nil"/>
            </w:tcBorders>
          </w:tcPr>
          <w:p w14:paraId="06E9B476">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   ）</w:t>
            </w:r>
          </w:p>
        </w:tc>
      </w:tr>
      <w:tr w14:paraId="47F989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56" w:hRule="atLeast"/>
          <w:jc w:val="center"/>
        </w:trPr>
        <w:tc>
          <w:tcPr>
            <w:tcW w:w="440" w:type="dxa"/>
            <w:vMerge w:val="continue"/>
            <w:tcBorders>
              <w:left w:val="nil"/>
            </w:tcBorders>
            <w:vAlign w:val="center"/>
          </w:tcPr>
          <w:p w14:paraId="3DFA6E25">
            <w:pPr>
              <w:spacing w:line="240" w:lineRule="auto"/>
              <w:ind w:firstLine="0" w:firstLineChars="0"/>
              <w:jc w:val="left"/>
              <w:rPr>
                <w:color w:val="000000" w:themeColor="text1"/>
                <w:kern w:val="0"/>
                <w:sz w:val="18"/>
                <w:szCs w:val="18"/>
                <w14:textFill>
                  <w14:solidFill>
                    <w14:schemeClr w14:val="tx1"/>
                  </w14:solidFill>
                </w14:textFill>
              </w:rPr>
            </w:pPr>
          </w:p>
        </w:tc>
        <w:tc>
          <w:tcPr>
            <w:tcW w:w="1563" w:type="dxa"/>
            <w:vAlign w:val="center"/>
          </w:tcPr>
          <w:p w14:paraId="4B6061A6">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污染物排放清单</w:t>
            </w:r>
          </w:p>
        </w:tc>
        <w:tc>
          <w:tcPr>
            <w:tcW w:w="6525" w:type="dxa"/>
            <w:gridSpan w:val="11"/>
            <w:tcBorders>
              <w:right w:val="nil"/>
            </w:tcBorders>
            <w:noWrap/>
            <w:vAlign w:val="center"/>
          </w:tcPr>
          <w:p w14:paraId="4B8EFFD6">
            <w:pPr>
              <w:spacing w:line="240" w:lineRule="auto"/>
              <w:ind w:firstLine="0" w:firstLineChars="0"/>
              <w:jc w:val="center"/>
              <w:rPr>
                <w:color w:val="000000" w:themeColor="text1"/>
                <w:kern w:val="0"/>
                <w:sz w:val="18"/>
                <w:szCs w:val="18"/>
                <w14:textFill>
                  <w14:solidFill>
                    <w14:schemeClr w14:val="tx1"/>
                  </w14:solidFill>
                </w14:textFill>
              </w:rPr>
            </w:pPr>
            <w:r>
              <w:rPr>
                <w:snapToGrid w:val="0"/>
                <w:color w:val="000000" w:themeColor="text1"/>
                <w:sz w:val="18"/>
                <w:szCs w:val="18"/>
                <w14:textFill>
                  <w14:solidFill>
                    <w14:schemeClr w14:val="tx1"/>
                  </w14:solidFill>
                </w14:textFill>
              </w:rPr>
              <w:t>√</w:t>
            </w:r>
          </w:p>
        </w:tc>
      </w:tr>
      <w:tr w14:paraId="457D8D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003" w:type="dxa"/>
            <w:gridSpan w:val="2"/>
            <w:tcBorders>
              <w:left w:val="nil"/>
              <w:bottom w:val="single" w:color="auto" w:sz="12" w:space="0"/>
            </w:tcBorders>
            <w:noWrap/>
            <w:vAlign w:val="center"/>
          </w:tcPr>
          <w:p w14:paraId="4B0DE53E">
            <w:pPr>
              <w:spacing w:line="240" w:lineRule="auto"/>
              <w:ind w:firstLine="0" w:firstLineChars="0"/>
              <w:jc w:val="center"/>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评价结论</w:t>
            </w:r>
          </w:p>
        </w:tc>
        <w:tc>
          <w:tcPr>
            <w:tcW w:w="6525" w:type="dxa"/>
            <w:gridSpan w:val="11"/>
            <w:tcBorders>
              <w:bottom w:val="single" w:color="auto" w:sz="12" w:space="0"/>
              <w:right w:val="nil"/>
            </w:tcBorders>
            <w:noWrap/>
            <w:vAlign w:val="center"/>
          </w:tcPr>
          <w:p w14:paraId="6F204ED7">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可以接受</w:t>
            </w:r>
            <w:r>
              <w:rPr>
                <w:snapToGrid w:val="0"/>
                <w:color w:val="000000" w:themeColor="text1"/>
                <w:sz w:val="18"/>
                <w:szCs w:val="18"/>
                <w14:textFill>
                  <w14:solidFill>
                    <w14:schemeClr w14:val="tx1"/>
                  </w14:solidFill>
                </w14:textFill>
              </w:rPr>
              <w:t>√</w:t>
            </w:r>
            <w:r>
              <w:rPr>
                <w:color w:val="000000" w:themeColor="text1"/>
                <w:kern w:val="0"/>
                <w:sz w:val="18"/>
                <w:szCs w:val="18"/>
                <w14:textFill>
                  <w14:solidFill>
                    <w14:schemeClr w14:val="tx1"/>
                  </w14:solidFill>
                </w14:textFill>
              </w:rPr>
              <w:t>；不可以接受 □</w:t>
            </w:r>
          </w:p>
        </w:tc>
      </w:tr>
      <w:tr w14:paraId="5D3A2C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528" w:type="dxa"/>
            <w:gridSpan w:val="13"/>
            <w:tcBorders>
              <w:top w:val="single" w:color="auto" w:sz="12" w:space="0"/>
              <w:left w:val="nil"/>
              <w:bottom w:val="single" w:color="auto" w:sz="12" w:space="0"/>
              <w:right w:val="nil"/>
            </w:tcBorders>
            <w:noWrap/>
            <w:vAlign w:val="center"/>
          </w:tcPr>
          <w:p w14:paraId="7CB23F7A">
            <w:pPr>
              <w:spacing w:line="240" w:lineRule="auto"/>
              <w:ind w:firstLine="0" w:firstLineChars="0"/>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注：“□”为勾选项，可√；“（   ）”为内容填写项；“备注”为其他补充内容。</w:t>
            </w:r>
          </w:p>
        </w:tc>
      </w:tr>
    </w:tbl>
    <w:p w14:paraId="48AC9EB6">
      <w:pPr>
        <w:tabs>
          <w:tab w:val="left" w:pos="1200"/>
        </w:tabs>
        <w:ind w:firstLine="0" w:firstLineChars="0"/>
        <w:jc w:val="center"/>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6139EBD5">
      <w:pPr>
        <w:pStyle w:val="6"/>
        <w:rPr>
          <w:rFonts w:cs="Times New Roman"/>
          <w:color w:val="000000" w:themeColor="text1"/>
          <w14:textFill>
            <w14:solidFill>
              <w14:schemeClr w14:val="tx1"/>
            </w14:solidFill>
          </w14:textFill>
        </w:rPr>
      </w:pPr>
      <w:bookmarkStart w:id="477" w:name="_Toc9533838"/>
      <w:bookmarkStart w:id="478" w:name="_Toc31227"/>
      <w:bookmarkStart w:id="479" w:name="_Toc46227692"/>
      <w:bookmarkStart w:id="480" w:name="_Toc2789042"/>
      <w:r>
        <w:rPr>
          <w:rFonts w:cs="Times New Roman"/>
          <w:color w:val="000000" w:themeColor="text1"/>
          <w14:textFill>
            <w14:solidFill>
              <w14:schemeClr w14:val="tx1"/>
            </w14:solidFill>
          </w14:textFill>
        </w:rPr>
        <w:t>附</w:t>
      </w:r>
      <w:r>
        <w:rPr>
          <w:rFonts w:hint="eastAsia" w:cs="Times New Roman"/>
          <w:color w:val="000000" w:themeColor="text1"/>
          <w14:textFill>
            <w14:solidFill>
              <w14:schemeClr w14:val="tx1"/>
            </w14:solidFill>
          </w14:textFill>
        </w:rPr>
        <w:t>表3建设</w:t>
      </w:r>
      <w:r>
        <w:rPr>
          <w:rFonts w:cs="Times New Roman"/>
          <w:color w:val="000000" w:themeColor="text1"/>
          <w14:textFill>
            <w14:solidFill>
              <w14:schemeClr w14:val="tx1"/>
            </w14:solidFill>
          </w14:textFill>
        </w:rPr>
        <w:t>项目环境风险环境影响评价自查</w:t>
      </w:r>
      <w:bookmarkEnd w:id="477"/>
      <w:bookmarkEnd w:id="478"/>
      <w:bookmarkEnd w:id="479"/>
      <w:bookmarkEnd w:id="480"/>
    </w:p>
    <w:tbl>
      <w:tblPr>
        <w:tblStyle w:val="4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38"/>
        <w:gridCol w:w="1001"/>
        <w:gridCol w:w="1133"/>
        <w:gridCol w:w="412"/>
        <w:gridCol w:w="297"/>
        <w:gridCol w:w="9"/>
        <w:gridCol w:w="507"/>
        <w:gridCol w:w="468"/>
        <w:gridCol w:w="722"/>
        <w:gridCol w:w="457"/>
        <w:gridCol w:w="110"/>
        <w:gridCol w:w="297"/>
        <w:gridCol w:w="317"/>
        <w:gridCol w:w="208"/>
        <w:gridCol w:w="221"/>
        <w:gridCol w:w="10"/>
        <w:gridCol w:w="65"/>
        <w:gridCol w:w="574"/>
        <w:gridCol w:w="666"/>
      </w:tblGrid>
      <w:tr w14:paraId="60B7CF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shd w:val="clear" w:color="auto" w:fill="auto"/>
            <w:vAlign w:val="center"/>
          </w:tcPr>
          <w:p w14:paraId="061926D8">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工作内容</w:t>
            </w:r>
          </w:p>
        </w:tc>
        <w:tc>
          <w:tcPr>
            <w:tcW w:w="6473" w:type="dxa"/>
            <w:gridSpan w:val="17"/>
            <w:shd w:val="clear" w:color="auto" w:fill="auto"/>
            <w:vAlign w:val="center"/>
          </w:tcPr>
          <w:p w14:paraId="0DF3E57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完成情况</w:t>
            </w:r>
          </w:p>
        </w:tc>
      </w:tr>
      <w:tr w14:paraId="7CE337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restart"/>
            <w:shd w:val="clear" w:color="auto" w:fill="auto"/>
            <w:vAlign w:val="center"/>
          </w:tcPr>
          <w:p w14:paraId="068DA7CB">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风</w:t>
            </w:r>
          </w:p>
          <w:p w14:paraId="036ADA56">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险</w:t>
            </w:r>
          </w:p>
          <w:p w14:paraId="3546C293">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调</w:t>
            </w:r>
          </w:p>
          <w:p w14:paraId="76A3571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查</w:t>
            </w:r>
          </w:p>
        </w:tc>
        <w:tc>
          <w:tcPr>
            <w:tcW w:w="1001" w:type="dxa"/>
            <w:vMerge w:val="restart"/>
            <w:shd w:val="clear" w:color="auto" w:fill="auto"/>
            <w:vAlign w:val="center"/>
          </w:tcPr>
          <w:p w14:paraId="7352124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危险物质</w:t>
            </w:r>
          </w:p>
        </w:tc>
        <w:tc>
          <w:tcPr>
            <w:tcW w:w="1133" w:type="dxa"/>
            <w:shd w:val="clear" w:color="auto" w:fill="auto"/>
            <w:vAlign w:val="center"/>
          </w:tcPr>
          <w:p w14:paraId="2E9536A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名称</w:t>
            </w:r>
          </w:p>
        </w:tc>
        <w:tc>
          <w:tcPr>
            <w:tcW w:w="709" w:type="dxa"/>
            <w:gridSpan w:val="2"/>
            <w:shd w:val="clear" w:color="auto" w:fill="auto"/>
            <w:vAlign w:val="center"/>
          </w:tcPr>
          <w:p w14:paraId="2D5E189B">
            <w:pPr>
              <w:spacing w:line="240" w:lineRule="auto"/>
              <w:ind w:firstLine="0" w:firstLineChars="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硝酸</w:t>
            </w:r>
          </w:p>
        </w:tc>
        <w:tc>
          <w:tcPr>
            <w:tcW w:w="984" w:type="dxa"/>
            <w:gridSpan w:val="3"/>
            <w:shd w:val="clear" w:color="auto" w:fill="auto"/>
            <w:vAlign w:val="center"/>
          </w:tcPr>
          <w:p w14:paraId="0DE2C2C9">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过氧乙酸</w:t>
            </w:r>
          </w:p>
        </w:tc>
        <w:tc>
          <w:tcPr>
            <w:tcW w:w="1289" w:type="dxa"/>
            <w:gridSpan w:val="3"/>
            <w:shd w:val="clear" w:color="auto" w:fill="auto"/>
            <w:vAlign w:val="center"/>
          </w:tcPr>
          <w:p w14:paraId="63973060">
            <w:pPr>
              <w:spacing w:line="240" w:lineRule="auto"/>
              <w:ind w:firstLine="0" w:firstLineChars="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甲烷</w:t>
            </w:r>
          </w:p>
        </w:tc>
        <w:tc>
          <w:tcPr>
            <w:tcW w:w="1043" w:type="dxa"/>
            <w:gridSpan w:val="4"/>
            <w:shd w:val="clear" w:color="auto" w:fill="auto"/>
            <w:vAlign w:val="center"/>
          </w:tcPr>
          <w:p w14:paraId="21D71A99">
            <w:pPr>
              <w:spacing w:line="240" w:lineRule="auto"/>
              <w:ind w:firstLine="0" w:firstLineChars="0"/>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柴油</w:t>
            </w:r>
          </w:p>
        </w:tc>
        <w:tc>
          <w:tcPr>
            <w:tcW w:w="649" w:type="dxa"/>
            <w:gridSpan w:val="3"/>
            <w:shd w:val="clear" w:color="auto" w:fill="auto"/>
            <w:vAlign w:val="center"/>
          </w:tcPr>
          <w:p w14:paraId="542430E1">
            <w:pPr>
              <w:spacing w:line="240" w:lineRule="auto"/>
              <w:ind w:firstLine="0" w:firstLineChars="0"/>
              <w:jc w:val="center"/>
              <w:rPr>
                <w:rFonts w:hint="eastAsia"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机油</w:t>
            </w:r>
          </w:p>
        </w:tc>
        <w:tc>
          <w:tcPr>
            <w:tcW w:w="666" w:type="dxa"/>
            <w:shd w:val="clear" w:color="auto" w:fill="auto"/>
            <w:vAlign w:val="center"/>
          </w:tcPr>
          <w:p w14:paraId="0B7404A7">
            <w:pPr>
              <w:spacing w:line="240" w:lineRule="auto"/>
              <w:ind w:firstLine="0" w:firstLineChars="0"/>
              <w:jc w:val="center"/>
              <w:rPr>
                <w:color w:val="000000" w:themeColor="text1"/>
                <w:sz w:val="18"/>
                <w:szCs w:val="18"/>
                <w14:textFill>
                  <w14:solidFill>
                    <w14:schemeClr w14:val="tx1"/>
                  </w14:solidFill>
                </w14:textFill>
              </w:rPr>
            </w:pPr>
          </w:p>
        </w:tc>
      </w:tr>
      <w:tr w14:paraId="3B4A36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33C70398">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74E1BBF3">
            <w:pPr>
              <w:spacing w:line="240" w:lineRule="auto"/>
              <w:ind w:firstLine="0" w:firstLineChars="0"/>
              <w:jc w:val="center"/>
              <w:rPr>
                <w:color w:val="000000" w:themeColor="text1"/>
                <w:sz w:val="18"/>
                <w:szCs w:val="18"/>
                <w14:textFill>
                  <w14:solidFill>
                    <w14:schemeClr w14:val="tx1"/>
                  </w14:solidFill>
                </w14:textFill>
              </w:rPr>
            </w:pPr>
          </w:p>
        </w:tc>
        <w:tc>
          <w:tcPr>
            <w:tcW w:w="1133" w:type="dxa"/>
            <w:shd w:val="clear" w:color="auto" w:fill="auto"/>
            <w:vAlign w:val="center"/>
          </w:tcPr>
          <w:p w14:paraId="12F46266">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存在总量/t</w:t>
            </w:r>
          </w:p>
        </w:tc>
        <w:tc>
          <w:tcPr>
            <w:tcW w:w="709" w:type="dxa"/>
            <w:gridSpan w:val="2"/>
            <w:shd w:val="clear" w:color="auto" w:fill="auto"/>
            <w:vAlign w:val="center"/>
          </w:tcPr>
          <w:p w14:paraId="446FA61E">
            <w:pPr>
              <w:spacing w:line="240" w:lineRule="auto"/>
              <w:ind w:firstLine="0" w:firstLineChars="0"/>
              <w:jc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0.72</w:t>
            </w:r>
          </w:p>
        </w:tc>
        <w:tc>
          <w:tcPr>
            <w:tcW w:w="984" w:type="dxa"/>
            <w:gridSpan w:val="3"/>
            <w:shd w:val="clear" w:color="auto" w:fill="auto"/>
            <w:vAlign w:val="center"/>
          </w:tcPr>
          <w:p w14:paraId="0A44962F">
            <w:pPr>
              <w:spacing w:line="240" w:lineRule="auto"/>
              <w:ind w:firstLine="0" w:firstLineChars="0"/>
              <w:jc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0.018</w:t>
            </w:r>
          </w:p>
        </w:tc>
        <w:tc>
          <w:tcPr>
            <w:tcW w:w="1289" w:type="dxa"/>
            <w:gridSpan w:val="3"/>
            <w:shd w:val="clear" w:color="auto" w:fill="auto"/>
            <w:vAlign w:val="center"/>
          </w:tcPr>
          <w:p w14:paraId="7A0E966E">
            <w:pPr>
              <w:spacing w:line="240" w:lineRule="auto"/>
              <w:ind w:firstLine="0" w:firstLineChars="0"/>
              <w:jc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0.0255</w:t>
            </w:r>
          </w:p>
        </w:tc>
        <w:tc>
          <w:tcPr>
            <w:tcW w:w="1043" w:type="dxa"/>
            <w:gridSpan w:val="4"/>
            <w:shd w:val="clear" w:color="auto" w:fill="auto"/>
            <w:vAlign w:val="center"/>
          </w:tcPr>
          <w:p w14:paraId="56BC8D86">
            <w:pPr>
              <w:spacing w:line="240" w:lineRule="auto"/>
              <w:ind w:firstLine="0" w:firstLineChars="0"/>
              <w:jc w:val="center"/>
              <w:rPr>
                <w:rFonts w:hint="default"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0.0017</w:t>
            </w:r>
          </w:p>
        </w:tc>
        <w:tc>
          <w:tcPr>
            <w:tcW w:w="649" w:type="dxa"/>
            <w:gridSpan w:val="3"/>
            <w:shd w:val="clear" w:color="auto" w:fill="auto"/>
            <w:vAlign w:val="center"/>
          </w:tcPr>
          <w:p w14:paraId="1A8E3B87">
            <w:pPr>
              <w:spacing w:line="240" w:lineRule="auto"/>
              <w:ind w:firstLine="0" w:firstLineChars="0"/>
              <w:jc w:val="center"/>
              <w:rPr>
                <w:rFonts w:hint="eastAsia" w:eastAsia="宋体"/>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1</w:t>
            </w:r>
          </w:p>
        </w:tc>
        <w:tc>
          <w:tcPr>
            <w:tcW w:w="666" w:type="dxa"/>
            <w:shd w:val="clear" w:color="auto" w:fill="auto"/>
            <w:vAlign w:val="center"/>
          </w:tcPr>
          <w:p w14:paraId="5D8E6875">
            <w:pPr>
              <w:spacing w:line="240" w:lineRule="auto"/>
              <w:ind w:firstLine="0" w:firstLineChars="0"/>
              <w:jc w:val="center"/>
              <w:rPr>
                <w:color w:val="000000" w:themeColor="text1"/>
                <w:sz w:val="18"/>
                <w:szCs w:val="18"/>
                <w14:textFill>
                  <w14:solidFill>
                    <w14:schemeClr w14:val="tx1"/>
                  </w14:solidFill>
                </w14:textFill>
              </w:rPr>
            </w:pPr>
          </w:p>
        </w:tc>
      </w:tr>
      <w:tr w14:paraId="53EA83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290A8F57">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restart"/>
            <w:shd w:val="clear" w:color="auto" w:fill="auto"/>
            <w:vAlign w:val="center"/>
          </w:tcPr>
          <w:p w14:paraId="1529B4C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环境敏感性</w:t>
            </w:r>
          </w:p>
        </w:tc>
        <w:tc>
          <w:tcPr>
            <w:tcW w:w="1133" w:type="dxa"/>
            <w:vMerge w:val="restart"/>
            <w:shd w:val="clear" w:color="auto" w:fill="auto"/>
            <w:vAlign w:val="center"/>
          </w:tcPr>
          <w:p w14:paraId="7C09FF26">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大气</w:t>
            </w:r>
          </w:p>
        </w:tc>
        <w:tc>
          <w:tcPr>
            <w:tcW w:w="2982" w:type="dxa"/>
            <w:gridSpan w:val="8"/>
            <w:shd w:val="clear" w:color="auto" w:fill="auto"/>
            <w:vAlign w:val="center"/>
          </w:tcPr>
          <w:p w14:paraId="268E5D7A">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500m范围内人口数</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人</w:t>
            </w:r>
          </w:p>
        </w:tc>
        <w:tc>
          <w:tcPr>
            <w:tcW w:w="2358" w:type="dxa"/>
            <w:gridSpan w:val="8"/>
            <w:shd w:val="clear" w:color="auto" w:fill="auto"/>
            <w:vAlign w:val="center"/>
          </w:tcPr>
          <w:p w14:paraId="3EA4D0C9">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5km范围内人口数</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人</w:t>
            </w:r>
          </w:p>
        </w:tc>
      </w:tr>
      <w:tr w14:paraId="51FB59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66B3DB8D">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1CFA9408">
            <w:pPr>
              <w:spacing w:line="240" w:lineRule="auto"/>
              <w:ind w:firstLine="0" w:firstLineChars="0"/>
              <w:jc w:val="center"/>
              <w:rPr>
                <w:color w:val="000000" w:themeColor="text1"/>
                <w:sz w:val="18"/>
                <w:szCs w:val="18"/>
                <w14:textFill>
                  <w14:solidFill>
                    <w14:schemeClr w14:val="tx1"/>
                  </w14:solidFill>
                </w14:textFill>
              </w:rPr>
            </w:pPr>
          </w:p>
        </w:tc>
        <w:tc>
          <w:tcPr>
            <w:tcW w:w="1133" w:type="dxa"/>
            <w:vMerge w:val="continue"/>
            <w:shd w:val="clear" w:color="auto" w:fill="auto"/>
            <w:vAlign w:val="center"/>
          </w:tcPr>
          <w:p w14:paraId="540DA848">
            <w:pPr>
              <w:spacing w:line="240" w:lineRule="auto"/>
              <w:ind w:firstLine="0" w:firstLineChars="0"/>
              <w:jc w:val="center"/>
              <w:rPr>
                <w:color w:val="000000" w:themeColor="text1"/>
                <w:sz w:val="18"/>
                <w:szCs w:val="18"/>
                <w14:textFill>
                  <w14:solidFill>
                    <w14:schemeClr w14:val="tx1"/>
                  </w14:solidFill>
                </w14:textFill>
              </w:rPr>
            </w:pPr>
          </w:p>
        </w:tc>
        <w:tc>
          <w:tcPr>
            <w:tcW w:w="4035" w:type="dxa"/>
            <w:gridSpan w:val="13"/>
            <w:shd w:val="clear" w:color="auto" w:fill="auto"/>
            <w:vAlign w:val="center"/>
          </w:tcPr>
          <w:p w14:paraId="2AFDC6E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每公里管段周边200m范围内人口数（最大）</w:t>
            </w:r>
          </w:p>
        </w:tc>
        <w:tc>
          <w:tcPr>
            <w:tcW w:w="1305" w:type="dxa"/>
            <w:gridSpan w:val="3"/>
            <w:shd w:val="clear" w:color="auto" w:fill="auto"/>
            <w:vAlign w:val="center"/>
          </w:tcPr>
          <w:p w14:paraId="64C418E1">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人</w:t>
            </w:r>
          </w:p>
        </w:tc>
      </w:tr>
      <w:tr w14:paraId="30FC8C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32B24860">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7C8F5859">
            <w:pPr>
              <w:spacing w:line="240" w:lineRule="auto"/>
              <w:ind w:firstLine="0" w:firstLineChars="0"/>
              <w:jc w:val="center"/>
              <w:rPr>
                <w:color w:val="000000" w:themeColor="text1"/>
                <w:sz w:val="18"/>
                <w:szCs w:val="18"/>
                <w14:textFill>
                  <w14:solidFill>
                    <w14:schemeClr w14:val="tx1"/>
                  </w14:solidFill>
                </w14:textFill>
              </w:rPr>
            </w:pPr>
          </w:p>
        </w:tc>
        <w:tc>
          <w:tcPr>
            <w:tcW w:w="1133" w:type="dxa"/>
            <w:vMerge w:val="restart"/>
            <w:shd w:val="clear" w:color="auto" w:fill="auto"/>
            <w:vAlign w:val="center"/>
          </w:tcPr>
          <w:p w14:paraId="223D477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地表水</w:t>
            </w:r>
          </w:p>
        </w:tc>
        <w:tc>
          <w:tcPr>
            <w:tcW w:w="1693" w:type="dxa"/>
            <w:gridSpan w:val="5"/>
            <w:shd w:val="clear" w:color="auto" w:fill="auto"/>
            <w:vAlign w:val="center"/>
          </w:tcPr>
          <w:p w14:paraId="23EC7BAD">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地表水功能敏感性</w:t>
            </w:r>
          </w:p>
        </w:tc>
        <w:tc>
          <w:tcPr>
            <w:tcW w:w="1289" w:type="dxa"/>
            <w:gridSpan w:val="3"/>
            <w:shd w:val="clear" w:color="auto" w:fill="auto"/>
            <w:vAlign w:val="center"/>
          </w:tcPr>
          <w:p w14:paraId="4251599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F1 □</w:t>
            </w:r>
          </w:p>
        </w:tc>
        <w:tc>
          <w:tcPr>
            <w:tcW w:w="1043" w:type="dxa"/>
            <w:gridSpan w:val="4"/>
            <w:shd w:val="clear" w:color="auto" w:fill="auto"/>
            <w:vAlign w:val="center"/>
          </w:tcPr>
          <w:p w14:paraId="45E6C31B">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F2 □</w:t>
            </w:r>
          </w:p>
        </w:tc>
        <w:tc>
          <w:tcPr>
            <w:tcW w:w="1315" w:type="dxa"/>
            <w:gridSpan w:val="4"/>
            <w:shd w:val="clear" w:color="auto" w:fill="auto"/>
            <w:vAlign w:val="center"/>
          </w:tcPr>
          <w:p w14:paraId="40D7C71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F3 □</w:t>
            </w:r>
          </w:p>
        </w:tc>
      </w:tr>
      <w:tr w14:paraId="7C30D0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6393B803">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35072707">
            <w:pPr>
              <w:spacing w:line="240" w:lineRule="auto"/>
              <w:ind w:firstLine="0" w:firstLineChars="0"/>
              <w:jc w:val="center"/>
              <w:rPr>
                <w:color w:val="000000" w:themeColor="text1"/>
                <w:sz w:val="18"/>
                <w:szCs w:val="18"/>
                <w14:textFill>
                  <w14:solidFill>
                    <w14:schemeClr w14:val="tx1"/>
                  </w14:solidFill>
                </w14:textFill>
              </w:rPr>
            </w:pPr>
          </w:p>
        </w:tc>
        <w:tc>
          <w:tcPr>
            <w:tcW w:w="1133" w:type="dxa"/>
            <w:vMerge w:val="continue"/>
            <w:shd w:val="clear" w:color="auto" w:fill="auto"/>
            <w:vAlign w:val="center"/>
          </w:tcPr>
          <w:p w14:paraId="6E710C82">
            <w:pPr>
              <w:spacing w:line="240" w:lineRule="auto"/>
              <w:ind w:firstLine="0" w:firstLineChars="0"/>
              <w:jc w:val="center"/>
              <w:rPr>
                <w:color w:val="000000" w:themeColor="text1"/>
                <w:sz w:val="18"/>
                <w:szCs w:val="18"/>
                <w14:textFill>
                  <w14:solidFill>
                    <w14:schemeClr w14:val="tx1"/>
                  </w14:solidFill>
                </w14:textFill>
              </w:rPr>
            </w:pPr>
          </w:p>
        </w:tc>
        <w:tc>
          <w:tcPr>
            <w:tcW w:w="1693" w:type="dxa"/>
            <w:gridSpan w:val="5"/>
            <w:shd w:val="clear" w:color="auto" w:fill="auto"/>
            <w:vAlign w:val="center"/>
          </w:tcPr>
          <w:p w14:paraId="01F9D6AF">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环境敏感目标分级</w:t>
            </w:r>
          </w:p>
        </w:tc>
        <w:tc>
          <w:tcPr>
            <w:tcW w:w="1289" w:type="dxa"/>
            <w:gridSpan w:val="3"/>
            <w:shd w:val="clear" w:color="auto" w:fill="auto"/>
            <w:vAlign w:val="center"/>
          </w:tcPr>
          <w:p w14:paraId="68ADAA0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S1 □</w:t>
            </w:r>
          </w:p>
        </w:tc>
        <w:tc>
          <w:tcPr>
            <w:tcW w:w="1043" w:type="dxa"/>
            <w:gridSpan w:val="4"/>
            <w:shd w:val="clear" w:color="auto" w:fill="auto"/>
            <w:vAlign w:val="center"/>
          </w:tcPr>
          <w:p w14:paraId="695FA53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S2 □</w:t>
            </w:r>
          </w:p>
        </w:tc>
        <w:tc>
          <w:tcPr>
            <w:tcW w:w="1315" w:type="dxa"/>
            <w:gridSpan w:val="4"/>
            <w:shd w:val="clear" w:color="auto" w:fill="auto"/>
            <w:vAlign w:val="center"/>
          </w:tcPr>
          <w:p w14:paraId="1551BF9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S3 □</w:t>
            </w:r>
          </w:p>
        </w:tc>
      </w:tr>
      <w:tr w14:paraId="0216DA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77B46493">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5E836199">
            <w:pPr>
              <w:spacing w:line="240" w:lineRule="auto"/>
              <w:ind w:firstLine="0" w:firstLineChars="0"/>
              <w:jc w:val="center"/>
              <w:rPr>
                <w:color w:val="000000" w:themeColor="text1"/>
                <w:sz w:val="18"/>
                <w:szCs w:val="18"/>
                <w14:textFill>
                  <w14:solidFill>
                    <w14:schemeClr w14:val="tx1"/>
                  </w14:solidFill>
                </w14:textFill>
              </w:rPr>
            </w:pPr>
          </w:p>
        </w:tc>
        <w:tc>
          <w:tcPr>
            <w:tcW w:w="1133" w:type="dxa"/>
            <w:vMerge w:val="restart"/>
            <w:shd w:val="clear" w:color="auto" w:fill="auto"/>
            <w:vAlign w:val="center"/>
          </w:tcPr>
          <w:p w14:paraId="714410B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地下水</w:t>
            </w:r>
          </w:p>
        </w:tc>
        <w:tc>
          <w:tcPr>
            <w:tcW w:w="1693" w:type="dxa"/>
            <w:gridSpan w:val="5"/>
            <w:shd w:val="clear" w:color="auto" w:fill="auto"/>
            <w:vAlign w:val="center"/>
          </w:tcPr>
          <w:p w14:paraId="5B41DFB2">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地下水功能敏感性</w:t>
            </w:r>
          </w:p>
        </w:tc>
        <w:tc>
          <w:tcPr>
            <w:tcW w:w="1289" w:type="dxa"/>
            <w:gridSpan w:val="3"/>
            <w:shd w:val="clear" w:color="auto" w:fill="auto"/>
            <w:vAlign w:val="center"/>
          </w:tcPr>
          <w:p w14:paraId="092F97E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G1 □</w:t>
            </w:r>
          </w:p>
        </w:tc>
        <w:tc>
          <w:tcPr>
            <w:tcW w:w="1043" w:type="dxa"/>
            <w:gridSpan w:val="4"/>
            <w:shd w:val="clear" w:color="auto" w:fill="auto"/>
            <w:vAlign w:val="center"/>
          </w:tcPr>
          <w:p w14:paraId="01E2D2B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G2 □</w:t>
            </w:r>
          </w:p>
        </w:tc>
        <w:tc>
          <w:tcPr>
            <w:tcW w:w="1315" w:type="dxa"/>
            <w:gridSpan w:val="4"/>
            <w:shd w:val="clear" w:color="auto" w:fill="auto"/>
            <w:vAlign w:val="center"/>
          </w:tcPr>
          <w:p w14:paraId="75BA2B2A">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G3 □</w:t>
            </w:r>
          </w:p>
        </w:tc>
      </w:tr>
      <w:tr w14:paraId="07E04F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41B815F1">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4E2E83A3">
            <w:pPr>
              <w:spacing w:line="240" w:lineRule="auto"/>
              <w:ind w:firstLine="0" w:firstLineChars="0"/>
              <w:jc w:val="center"/>
              <w:rPr>
                <w:color w:val="000000" w:themeColor="text1"/>
                <w:sz w:val="18"/>
                <w:szCs w:val="18"/>
                <w14:textFill>
                  <w14:solidFill>
                    <w14:schemeClr w14:val="tx1"/>
                  </w14:solidFill>
                </w14:textFill>
              </w:rPr>
            </w:pPr>
          </w:p>
        </w:tc>
        <w:tc>
          <w:tcPr>
            <w:tcW w:w="1133" w:type="dxa"/>
            <w:vMerge w:val="continue"/>
            <w:shd w:val="clear" w:color="auto" w:fill="auto"/>
            <w:vAlign w:val="center"/>
          </w:tcPr>
          <w:p w14:paraId="697CE0D3">
            <w:pPr>
              <w:spacing w:line="240" w:lineRule="auto"/>
              <w:ind w:firstLine="0" w:firstLineChars="0"/>
              <w:jc w:val="center"/>
              <w:rPr>
                <w:color w:val="000000" w:themeColor="text1"/>
                <w:sz w:val="18"/>
                <w:szCs w:val="18"/>
                <w14:textFill>
                  <w14:solidFill>
                    <w14:schemeClr w14:val="tx1"/>
                  </w14:solidFill>
                </w14:textFill>
              </w:rPr>
            </w:pPr>
          </w:p>
        </w:tc>
        <w:tc>
          <w:tcPr>
            <w:tcW w:w="1693" w:type="dxa"/>
            <w:gridSpan w:val="5"/>
            <w:shd w:val="clear" w:color="auto" w:fill="auto"/>
            <w:vAlign w:val="center"/>
          </w:tcPr>
          <w:p w14:paraId="76C9EBF8">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包气带防污性能</w:t>
            </w:r>
          </w:p>
        </w:tc>
        <w:tc>
          <w:tcPr>
            <w:tcW w:w="1289" w:type="dxa"/>
            <w:gridSpan w:val="3"/>
            <w:shd w:val="clear" w:color="auto" w:fill="auto"/>
            <w:vAlign w:val="center"/>
          </w:tcPr>
          <w:p w14:paraId="3B6E89D2">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D1 □</w:t>
            </w:r>
          </w:p>
        </w:tc>
        <w:tc>
          <w:tcPr>
            <w:tcW w:w="1043" w:type="dxa"/>
            <w:gridSpan w:val="4"/>
            <w:shd w:val="clear" w:color="auto" w:fill="auto"/>
            <w:vAlign w:val="center"/>
          </w:tcPr>
          <w:p w14:paraId="1AAA198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D2 □</w:t>
            </w:r>
          </w:p>
        </w:tc>
        <w:tc>
          <w:tcPr>
            <w:tcW w:w="1315" w:type="dxa"/>
            <w:gridSpan w:val="4"/>
            <w:shd w:val="clear" w:color="auto" w:fill="auto"/>
            <w:vAlign w:val="center"/>
          </w:tcPr>
          <w:p w14:paraId="0AA21A86">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D3 □</w:t>
            </w:r>
          </w:p>
        </w:tc>
      </w:tr>
      <w:tr w14:paraId="795E3A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vMerge w:val="restart"/>
            <w:shd w:val="clear" w:color="auto" w:fill="auto"/>
            <w:vAlign w:val="center"/>
          </w:tcPr>
          <w:p w14:paraId="434E7DBC">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物质及工艺系统</w:t>
            </w:r>
          </w:p>
          <w:p w14:paraId="353A6373">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危险性</w:t>
            </w:r>
          </w:p>
        </w:tc>
        <w:tc>
          <w:tcPr>
            <w:tcW w:w="1133" w:type="dxa"/>
            <w:shd w:val="clear" w:color="auto" w:fill="auto"/>
            <w:vAlign w:val="center"/>
          </w:tcPr>
          <w:p w14:paraId="1C05F79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Q值</w:t>
            </w:r>
          </w:p>
        </w:tc>
        <w:tc>
          <w:tcPr>
            <w:tcW w:w="1693" w:type="dxa"/>
            <w:gridSpan w:val="5"/>
            <w:shd w:val="clear" w:color="auto" w:fill="auto"/>
            <w:vAlign w:val="center"/>
          </w:tcPr>
          <w:p w14:paraId="2BF71F6A">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Q＜1√</w:t>
            </w:r>
          </w:p>
        </w:tc>
        <w:tc>
          <w:tcPr>
            <w:tcW w:w="1289" w:type="dxa"/>
            <w:gridSpan w:val="3"/>
            <w:shd w:val="clear" w:color="auto" w:fill="auto"/>
            <w:vAlign w:val="center"/>
          </w:tcPr>
          <w:p w14:paraId="427CDFA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1≤Q＜10 □</w:t>
            </w:r>
          </w:p>
        </w:tc>
        <w:tc>
          <w:tcPr>
            <w:tcW w:w="1043" w:type="dxa"/>
            <w:gridSpan w:val="4"/>
            <w:shd w:val="clear" w:color="auto" w:fill="auto"/>
            <w:vAlign w:val="center"/>
          </w:tcPr>
          <w:p w14:paraId="4B9CE1B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10≤Q＜100 □</w:t>
            </w:r>
          </w:p>
        </w:tc>
        <w:tc>
          <w:tcPr>
            <w:tcW w:w="1315" w:type="dxa"/>
            <w:gridSpan w:val="4"/>
            <w:shd w:val="clear" w:color="auto" w:fill="auto"/>
            <w:vAlign w:val="center"/>
          </w:tcPr>
          <w:p w14:paraId="5C8BC70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Q＞100 □</w:t>
            </w:r>
          </w:p>
        </w:tc>
      </w:tr>
      <w:tr w14:paraId="2C8FD9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vMerge w:val="continue"/>
            <w:shd w:val="clear" w:color="auto" w:fill="auto"/>
            <w:vAlign w:val="center"/>
          </w:tcPr>
          <w:p w14:paraId="2EF9B846">
            <w:pPr>
              <w:spacing w:line="240" w:lineRule="auto"/>
              <w:ind w:firstLine="0" w:firstLineChars="0"/>
              <w:jc w:val="center"/>
              <w:rPr>
                <w:color w:val="000000" w:themeColor="text1"/>
                <w:sz w:val="18"/>
                <w:szCs w:val="18"/>
                <w14:textFill>
                  <w14:solidFill>
                    <w14:schemeClr w14:val="tx1"/>
                  </w14:solidFill>
                </w14:textFill>
              </w:rPr>
            </w:pPr>
          </w:p>
        </w:tc>
        <w:tc>
          <w:tcPr>
            <w:tcW w:w="1133" w:type="dxa"/>
            <w:shd w:val="clear" w:color="auto" w:fill="auto"/>
            <w:vAlign w:val="center"/>
          </w:tcPr>
          <w:p w14:paraId="3D1F28FA">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M值</w:t>
            </w:r>
          </w:p>
        </w:tc>
        <w:tc>
          <w:tcPr>
            <w:tcW w:w="1693" w:type="dxa"/>
            <w:gridSpan w:val="5"/>
            <w:shd w:val="clear" w:color="auto" w:fill="auto"/>
            <w:vAlign w:val="center"/>
          </w:tcPr>
          <w:p w14:paraId="6F73C699">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M1 □</w:t>
            </w:r>
          </w:p>
        </w:tc>
        <w:tc>
          <w:tcPr>
            <w:tcW w:w="1289" w:type="dxa"/>
            <w:gridSpan w:val="3"/>
            <w:shd w:val="clear" w:color="auto" w:fill="auto"/>
            <w:vAlign w:val="center"/>
          </w:tcPr>
          <w:p w14:paraId="4796DC3C">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M2 □</w:t>
            </w:r>
          </w:p>
        </w:tc>
        <w:tc>
          <w:tcPr>
            <w:tcW w:w="1043" w:type="dxa"/>
            <w:gridSpan w:val="4"/>
            <w:shd w:val="clear" w:color="auto" w:fill="auto"/>
            <w:vAlign w:val="center"/>
          </w:tcPr>
          <w:p w14:paraId="018BBEFF">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M3 □</w:t>
            </w:r>
          </w:p>
        </w:tc>
        <w:tc>
          <w:tcPr>
            <w:tcW w:w="1315" w:type="dxa"/>
            <w:gridSpan w:val="4"/>
            <w:shd w:val="clear" w:color="auto" w:fill="auto"/>
            <w:vAlign w:val="center"/>
          </w:tcPr>
          <w:p w14:paraId="692ADDE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M4 □</w:t>
            </w:r>
          </w:p>
        </w:tc>
      </w:tr>
      <w:tr w14:paraId="38F1F5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vMerge w:val="continue"/>
            <w:shd w:val="clear" w:color="auto" w:fill="auto"/>
            <w:vAlign w:val="center"/>
          </w:tcPr>
          <w:p w14:paraId="259D04AE">
            <w:pPr>
              <w:spacing w:line="240" w:lineRule="auto"/>
              <w:ind w:firstLine="0" w:firstLineChars="0"/>
              <w:jc w:val="center"/>
              <w:rPr>
                <w:color w:val="000000" w:themeColor="text1"/>
                <w:sz w:val="18"/>
                <w:szCs w:val="18"/>
                <w14:textFill>
                  <w14:solidFill>
                    <w14:schemeClr w14:val="tx1"/>
                  </w14:solidFill>
                </w14:textFill>
              </w:rPr>
            </w:pPr>
          </w:p>
        </w:tc>
        <w:tc>
          <w:tcPr>
            <w:tcW w:w="1133" w:type="dxa"/>
            <w:shd w:val="clear" w:color="auto" w:fill="auto"/>
            <w:vAlign w:val="center"/>
          </w:tcPr>
          <w:p w14:paraId="13C93F1C">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P值</w:t>
            </w:r>
          </w:p>
        </w:tc>
        <w:tc>
          <w:tcPr>
            <w:tcW w:w="1693" w:type="dxa"/>
            <w:gridSpan w:val="5"/>
            <w:shd w:val="clear" w:color="auto" w:fill="auto"/>
            <w:vAlign w:val="center"/>
          </w:tcPr>
          <w:p w14:paraId="2A86DBFB">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P1 □</w:t>
            </w:r>
          </w:p>
        </w:tc>
        <w:tc>
          <w:tcPr>
            <w:tcW w:w="1289" w:type="dxa"/>
            <w:gridSpan w:val="3"/>
            <w:shd w:val="clear" w:color="auto" w:fill="auto"/>
            <w:vAlign w:val="center"/>
          </w:tcPr>
          <w:p w14:paraId="12B1F89D">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P2 □</w:t>
            </w:r>
          </w:p>
        </w:tc>
        <w:tc>
          <w:tcPr>
            <w:tcW w:w="1043" w:type="dxa"/>
            <w:gridSpan w:val="4"/>
            <w:shd w:val="clear" w:color="auto" w:fill="auto"/>
            <w:vAlign w:val="center"/>
          </w:tcPr>
          <w:p w14:paraId="509B5D0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P3 □</w:t>
            </w:r>
          </w:p>
        </w:tc>
        <w:tc>
          <w:tcPr>
            <w:tcW w:w="1315" w:type="dxa"/>
            <w:gridSpan w:val="4"/>
            <w:shd w:val="clear" w:color="auto" w:fill="auto"/>
            <w:vAlign w:val="center"/>
          </w:tcPr>
          <w:p w14:paraId="734BAB2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P4 □</w:t>
            </w:r>
          </w:p>
        </w:tc>
      </w:tr>
      <w:tr w14:paraId="4FA9CD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vMerge w:val="restart"/>
            <w:shd w:val="clear" w:color="auto" w:fill="auto"/>
            <w:vAlign w:val="center"/>
          </w:tcPr>
          <w:p w14:paraId="35610C9F">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环境敏感</w:t>
            </w:r>
          </w:p>
          <w:p w14:paraId="672E082D">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程度</w:t>
            </w:r>
          </w:p>
        </w:tc>
        <w:tc>
          <w:tcPr>
            <w:tcW w:w="1133" w:type="dxa"/>
            <w:shd w:val="clear" w:color="auto" w:fill="auto"/>
            <w:vAlign w:val="center"/>
          </w:tcPr>
          <w:p w14:paraId="6BFC8D12">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大气</w:t>
            </w:r>
          </w:p>
        </w:tc>
        <w:tc>
          <w:tcPr>
            <w:tcW w:w="1693" w:type="dxa"/>
            <w:gridSpan w:val="5"/>
            <w:shd w:val="clear" w:color="auto" w:fill="auto"/>
            <w:vAlign w:val="center"/>
          </w:tcPr>
          <w:p w14:paraId="52BCECDD">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E1 □</w:t>
            </w:r>
          </w:p>
        </w:tc>
        <w:tc>
          <w:tcPr>
            <w:tcW w:w="1903" w:type="dxa"/>
            <w:gridSpan w:val="5"/>
            <w:shd w:val="clear" w:color="auto" w:fill="auto"/>
            <w:vAlign w:val="center"/>
          </w:tcPr>
          <w:p w14:paraId="34D7C7E8">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E2 □</w:t>
            </w:r>
          </w:p>
        </w:tc>
        <w:tc>
          <w:tcPr>
            <w:tcW w:w="1744" w:type="dxa"/>
            <w:gridSpan w:val="6"/>
            <w:shd w:val="clear" w:color="auto" w:fill="auto"/>
            <w:vAlign w:val="center"/>
          </w:tcPr>
          <w:p w14:paraId="551CDF2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E3 □</w:t>
            </w:r>
          </w:p>
        </w:tc>
      </w:tr>
      <w:tr w14:paraId="2527DA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vMerge w:val="continue"/>
            <w:shd w:val="clear" w:color="auto" w:fill="auto"/>
            <w:vAlign w:val="center"/>
          </w:tcPr>
          <w:p w14:paraId="402F75C1">
            <w:pPr>
              <w:spacing w:line="240" w:lineRule="auto"/>
              <w:ind w:firstLine="0" w:firstLineChars="0"/>
              <w:jc w:val="center"/>
              <w:rPr>
                <w:color w:val="000000" w:themeColor="text1"/>
                <w:sz w:val="18"/>
                <w:szCs w:val="18"/>
                <w14:textFill>
                  <w14:solidFill>
                    <w14:schemeClr w14:val="tx1"/>
                  </w14:solidFill>
                </w14:textFill>
              </w:rPr>
            </w:pPr>
          </w:p>
        </w:tc>
        <w:tc>
          <w:tcPr>
            <w:tcW w:w="1133" w:type="dxa"/>
            <w:shd w:val="clear" w:color="auto" w:fill="auto"/>
            <w:vAlign w:val="center"/>
          </w:tcPr>
          <w:p w14:paraId="77C5563C">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地表水</w:t>
            </w:r>
          </w:p>
        </w:tc>
        <w:tc>
          <w:tcPr>
            <w:tcW w:w="1693" w:type="dxa"/>
            <w:gridSpan w:val="5"/>
            <w:shd w:val="clear" w:color="auto" w:fill="auto"/>
            <w:vAlign w:val="center"/>
          </w:tcPr>
          <w:p w14:paraId="688A35E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E1 □</w:t>
            </w:r>
          </w:p>
        </w:tc>
        <w:tc>
          <w:tcPr>
            <w:tcW w:w="1903" w:type="dxa"/>
            <w:gridSpan w:val="5"/>
            <w:shd w:val="clear" w:color="auto" w:fill="auto"/>
            <w:vAlign w:val="center"/>
          </w:tcPr>
          <w:p w14:paraId="1943C84D">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E2 □</w:t>
            </w:r>
          </w:p>
        </w:tc>
        <w:tc>
          <w:tcPr>
            <w:tcW w:w="1744" w:type="dxa"/>
            <w:gridSpan w:val="6"/>
            <w:shd w:val="clear" w:color="auto" w:fill="auto"/>
            <w:vAlign w:val="center"/>
          </w:tcPr>
          <w:p w14:paraId="5867E778">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E3 □</w:t>
            </w:r>
          </w:p>
        </w:tc>
      </w:tr>
      <w:tr w14:paraId="396E99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vMerge w:val="continue"/>
            <w:shd w:val="clear" w:color="auto" w:fill="auto"/>
            <w:vAlign w:val="center"/>
          </w:tcPr>
          <w:p w14:paraId="0507C638">
            <w:pPr>
              <w:spacing w:line="240" w:lineRule="auto"/>
              <w:ind w:firstLine="0" w:firstLineChars="0"/>
              <w:jc w:val="center"/>
              <w:rPr>
                <w:color w:val="000000" w:themeColor="text1"/>
                <w:sz w:val="18"/>
                <w:szCs w:val="18"/>
                <w14:textFill>
                  <w14:solidFill>
                    <w14:schemeClr w14:val="tx1"/>
                  </w14:solidFill>
                </w14:textFill>
              </w:rPr>
            </w:pPr>
          </w:p>
        </w:tc>
        <w:tc>
          <w:tcPr>
            <w:tcW w:w="1133" w:type="dxa"/>
            <w:shd w:val="clear" w:color="auto" w:fill="auto"/>
            <w:vAlign w:val="center"/>
          </w:tcPr>
          <w:p w14:paraId="164C0453">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地下水</w:t>
            </w:r>
          </w:p>
        </w:tc>
        <w:tc>
          <w:tcPr>
            <w:tcW w:w="1693" w:type="dxa"/>
            <w:gridSpan w:val="5"/>
            <w:shd w:val="clear" w:color="auto" w:fill="auto"/>
            <w:vAlign w:val="center"/>
          </w:tcPr>
          <w:p w14:paraId="7D4E9D8B">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E1 □</w:t>
            </w:r>
          </w:p>
        </w:tc>
        <w:tc>
          <w:tcPr>
            <w:tcW w:w="1903" w:type="dxa"/>
            <w:gridSpan w:val="5"/>
            <w:shd w:val="clear" w:color="auto" w:fill="auto"/>
            <w:vAlign w:val="center"/>
          </w:tcPr>
          <w:p w14:paraId="4BFEE2F1">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E2 □</w:t>
            </w:r>
          </w:p>
        </w:tc>
        <w:tc>
          <w:tcPr>
            <w:tcW w:w="1744" w:type="dxa"/>
            <w:gridSpan w:val="6"/>
            <w:shd w:val="clear" w:color="auto" w:fill="auto"/>
            <w:vAlign w:val="center"/>
          </w:tcPr>
          <w:p w14:paraId="0C5524BA">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E3 □</w:t>
            </w:r>
          </w:p>
        </w:tc>
      </w:tr>
      <w:tr w14:paraId="5611AF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shd w:val="clear" w:color="auto" w:fill="auto"/>
            <w:vAlign w:val="center"/>
          </w:tcPr>
          <w:p w14:paraId="6308C02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环境风险</w:t>
            </w:r>
          </w:p>
          <w:p w14:paraId="61C186D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潜势</w:t>
            </w:r>
          </w:p>
        </w:tc>
        <w:tc>
          <w:tcPr>
            <w:tcW w:w="1545" w:type="dxa"/>
            <w:gridSpan w:val="2"/>
            <w:shd w:val="clear" w:color="auto" w:fill="auto"/>
            <w:vAlign w:val="center"/>
          </w:tcPr>
          <w:p w14:paraId="585FCA8A">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Ⅳ</w:t>
            </w:r>
            <w:r>
              <w:rPr>
                <w:color w:val="000000" w:themeColor="text1"/>
                <w:sz w:val="18"/>
                <w:szCs w:val="18"/>
                <w:vertAlign w:val="superscript"/>
                <w14:textFill>
                  <w14:solidFill>
                    <w14:schemeClr w14:val="tx1"/>
                  </w14:solidFill>
                </w14:textFill>
              </w:rPr>
              <w:t>+</w:t>
            </w:r>
            <w:r>
              <w:rPr>
                <w:color w:val="000000" w:themeColor="text1"/>
                <w:sz w:val="18"/>
                <w:szCs w:val="18"/>
                <w14:textFill>
                  <w14:solidFill>
                    <w14:schemeClr w14:val="tx1"/>
                  </w14:solidFill>
                </w14:textFill>
              </w:rPr>
              <w:t xml:space="preserve"> □</w:t>
            </w:r>
          </w:p>
        </w:tc>
        <w:tc>
          <w:tcPr>
            <w:tcW w:w="1281" w:type="dxa"/>
            <w:gridSpan w:val="4"/>
            <w:shd w:val="clear" w:color="auto" w:fill="auto"/>
            <w:vAlign w:val="center"/>
          </w:tcPr>
          <w:p w14:paraId="6DE9EC71">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Ⅳ □</w:t>
            </w:r>
          </w:p>
        </w:tc>
        <w:tc>
          <w:tcPr>
            <w:tcW w:w="1179" w:type="dxa"/>
            <w:gridSpan w:val="2"/>
            <w:shd w:val="clear" w:color="auto" w:fill="auto"/>
            <w:vAlign w:val="center"/>
          </w:tcPr>
          <w:p w14:paraId="4220A2DC">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Ⅲ □</w:t>
            </w:r>
          </w:p>
        </w:tc>
        <w:tc>
          <w:tcPr>
            <w:tcW w:w="1228" w:type="dxa"/>
            <w:gridSpan w:val="7"/>
            <w:shd w:val="clear" w:color="auto" w:fill="auto"/>
            <w:vAlign w:val="center"/>
          </w:tcPr>
          <w:p w14:paraId="7914BCD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Ⅱ □</w:t>
            </w:r>
          </w:p>
        </w:tc>
        <w:tc>
          <w:tcPr>
            <w:tcW w:w="1240" w:type="dxa"/>
            <w:gridSpan w:val="2"/>
            <w:shd w:val="clear" w:color="auto" w:fill="auto"/>
            <w:vAlign w:val="center"/>
          </w:tcPr>
          <w:p w14:paraId="2B9D8C0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 xml:space="preserve">I </w:t>
            </w:r>
            <w:r>
              <w:rPr>
                <w:color w:val="000000" w:themeColor="text1"/>
                <w:sz w:val="18"/>
                <w:szCs w:val="18"/>
                <w14:textFill>
                  <w14:solidFill>
                    <w14:schemeClr w14:val="tx1"/>
                  </w14:solidFill>
                </w14:textFill>
              </w:rPr>
              <w:sym w:font="Wingdings 2" w:char="0052"/>
            </w:r>
          </w:p>
        </w:tc>
      </w:tr>
      <w:tr w14:paraId="04F4CC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shd w:val="clear" w:color="auto" w:fill="auto"/>
            <w:vAlign w:val="center"/>
          </w:tcPr>
          <w:p w14:paraId="7F7B1C61">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评价等级</w:t>
            </w:r>
          </w:p>
        </w:tc>
        <w:tc>
          <w:tcPr>
            <w:tcW w:w="1851" w:type="dxa"/>
            <w:gridSpan w:val="4"/>
            <w:shd w:val="clear" w:color="auto" w:fill="auto"/>
            <w:vAlign w:val="center"/>
          </w:tcPr>
          <w:p w14:paraId="30FCA1D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一级 □</w:t>
            </w:r>
          </w:p>
        </w:tc>
        <w:tc>
          <w:tcPr>
            <w:tcW w:w="1697" w:type="dxa"/>
            <w:gridSpan w:val="3"/>
            <w:shd w:val="clear" w:color="auto" w:fill="auto"/>
            <w:vAlign w:val="center"/>
          </w:tcPr>
          <w:p w14:paraId="66D863A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二级 □</w:t>
            </w:r>
          </w:p>
        </w:tc>
        <w:tc>
          <w:tcPr>
            <w:tcW w:w="1389" w:type="dxa"/>
            <w:gridSpan w:val="5"/>
            <w:shd w:val="clear" w:color="auto" w:fill="auto"/>
            <w:vAlign w:val="center"/>
          </w:tcPr>
          <w:p w14:paraId="1674F01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三级 □</w:t>
            </w:r>
          </w:p>
        </w:tc>
        <w:tc>
          <w:tcPr>
            <w:tcW w:w="1536" w:type="dxa"/>
            <w:gridSpan w:val="5"/>
            <w:shd w:val="clear" w:color="auto" w:fill="auto"/>
            <w:vAlign w:val="center"/>
          </w:tcPr>
          <w:p w14:paraId="1F2C6393">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 xml:space="preserve">简单分析 </w:t>
            </w:r>
            <w:r>
              <w:rPr>
                <w:color w:val="000000" w:themeColor="text1"/>
                <w:sz w:val="18"/>
                <w:szCs w:val="18"/>
                <w14:textFill>
                  <w14:solidFill>
                    <w14:schemeClr w14:val="tx1"/>
                  </w14:solidFill>
                </w14:textFill>
              </w:rPr>
              <w:sym w:font="Wingdings 2" w:char="0052"/>
            </w:r>
          </w:p>
        </w:tc>
      </w:tr>
      <w:tr w14:paraId="61102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restart"/>
            <w:shd w:val="clear" w:color="auto" w:fill="auto"/>
            <w:vAlign w:val="center"/>
          </w:tcPr>
          <w:p w14:paraId="3E55488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风</w:t>
            </w:r>
          </w:p>
          <w:p w14:paraId="68CB2AB8">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险</w:t>
            </w:r>
          </w:p>
          <w:p w14:paraId="5532B4FA">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识</w:t>
            </w:r>
          </w:p>
          <w:p w14:paraId="1555B663">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别</w:t>
            </w:r>
          </w:p>
        </w:tc>
        <w:tc>
          <w:tcPr>
            <w:tcW w:w="1001" w:type="dxa"/>
            <w:shd w:val="clear" w:color="auto" w:fill="auto"/>
            <w:vAlign w:val="center"/>
          </w:tcPr>
          <w:p w14:paraId="1442A618">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物质危险性</w:t>
            </w:r>
          </w:p>
        </w:tc>
        <w:tc>
          <w:tcPr>
            <w:tcW w:w="3548" w:type="dxa"/>
            <w:gridSpan w:val="7"/>
            <w:shd w:val="clear" w:color="auto" w:fill="auto"/>
            <w:vAlign w:val="center"/>
          </w:tcPr>
          <w:p w14:paraId="5BEAAE0D">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有毒有害 □</w:t>
            </w:r>
          </w:p>
        </w:tc>
        <w:tc>
          <w:tcPr>
            <w:tcW w:w="2925" w:type="dxa"/>
            <w:gridSpan w:val="10"/>
            <w:shd w:val="clear" w:color="auto" w:fill="auto"/>
            <w:vAlign w:val="center"/>
          </w:tcPr>
          <w:p w14:paraId="5523FF90">
            <w:pPr>
              <w:spacing w:line="240" w:lineRule="auto"/>
              <w:ind w:firstLine="0" w:firstLineChars="0"/>
              <w:jc w:val="center"/>
              <w:rPr>
                <w:rFonts w:hint="eastAsia" w:eastAsia="宋体"/>
                <w:color w:val="000000" w:themeColor="text1"/>
                <w:sz w:val="18"/>
                <w:szCs w:val="18"/>
                <w:lang w:eastAsia="zh-CN"/>
                <w14:textFill>
                  <w14:solidFill>
                    <w14:schemeClr w14:val="tx1"/>
                  </w14:solidFill>
                </w14:textFill>
              </w:rPr>
            </w:pPr>
            <w:r>
              <w:rPr>
                <w:color w:val="000000" w:themeColor="text1"/>
                <w:sz w:val="18"/>
                <w:szCs w:val="18"/>
                <w14:textFill>
                  <w14:solidFill>
                    <w14:schemeClr w14:val="tx1"/>
                  </w14:solidFill>
                </w14:textFill>
              </w:rPr>
              <w:t xml:space="preserve">易燃易爆  </w:t>
            </w:r>
            <w:r>
              <w:rPr>
                <w:rFonts w:hint="eastAsia"/>
                <w:color w:val="000000" w:themeColor="text1"/>
                <w:sz w:val="18"/>
                <w:szCs w:val="18"/>
                <w:lang w:eastAsia="zh-CN"/>
                <w14:textFill>
                  <w14:solidFill>
                    <w14:schemeClr w14:val="tx1"/>
                  </w14:solidFill>
                </w14:textFill>
              </w:rPr>
              <w:t>☑</w:t>
            </w:r>
          </w:p>
        </w:tc>
      </w:tr>
      <w:tr w14:paraId="7E8238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436E544F">
            <w:pPr>
              <w:spacing w:line="240" w:lineRule="auto"/>
              <w:ind w:firstLine="0" w:firstLineChars="0"/>
              <w:jc w:val="center"/>
              <w:rPr>
                <w:color w:val="000000" w:themeColor="text1"/>
                <w:sz w:val="18"/>
                <w:szCs w:val="18"/>
                <w14:textFill>
                  <w14:solidFill>
                    <w14:schemeClr w14:val="tx1"/>
                  </w14:solidFill>
                </w14:textFill>
              </w:rPr>
            </w:pPr>
          </w:p>
        </w:tc>
        <w:tc>
          <w:tcPr>
            <w:tcW w:w="1001" w:type="dxa"/>
            <w:shd w:val="clear" w:color="auto" w:fill="auto"/>
            <w:vAlign w:val="center"/>
          </w:tcPr>
          <w:p w14:paraId="7AA5404C">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环境风险</w:t>
            </w:r>
          </w:p>
          <w:p w14:paraId="30A0AF8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类型</w:t>
            </w:r>
          </w:p>
        </w:tc>
        <w:tc>
          <w:tcPr>
            <w:tcW w:w="3548" w:type="dxa"/>
            <w:gridSpan w:val="7"/>
            <w:shd w:val="clear" w:color="auto" w:fill="auto"/>
            <w:vAlign w:val="center"/>
          </w:tcPr>
          <w:p w14:paraId="1F79A023">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 xml:space="preserve">泄漏 </w:t>
            </w:r>
            <w:r>
              <w:rPr>
                <w:color w:val="000000" w:themeColor="text1"/>
                <w:sz w:val="18"/>
                <w:szCs w:val="18"/>
                <w14:textFill>
                  <w14:solidFill>
                    <w14:schemeClr w14:val="tx1"/>
                  </w14:solidFill>
                </w14:textFill>
              </w:rPr>
              <w:sym w:font="Wingdings 2" w:char="0052"/>
            </w:r>
            <w:r>
              <w:rPr>
                <w:color w:val="000000" w:themeColor="text1"/>
                <w:sz w:val="18"/>
                <w:szCs w:val="18"/>
                <w14:textFill>
                  <w14:solidFill>
                    <w14:schemeClr w14:val="tx1"/>
                  </w14:solidFill>
                </w14:textFill>
              </w:rPr>
              <w:t xml:space="preserve"> </w:t>
            </w:r>
          </w:p>
        </w:tc>
        <w:tc>
          <w:tcPr>
            <w:tcW w:w="2925" w:type="dxa"/>
            <w:gridSpan w:val="10"/>
            <w:shd w:val="clear" w:color="auto" w:fill="auto"/>
            <w:vAlign w:val="center"/>
          </w:tcPr>
          <w:p w14:paraId="18012201">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 xml:space="preserve">火灾、爆炸引发伴生/次生污染物排放 </w:t>
            </w:r>
            <w:r>
              <w:rPr>
                <w:color w:val="000000" w:themeColor="text1"/>
                <w:sz w:val="18"/>
                <w:szCs w:val="18"/>
                <w14:textFill>
                  <w14:solidFill>
                    <w14:schemeClr w14:val="tx1"/>
                  </w14:solidFill>
                </w14:textFill>
              </w:rPr>
              <w:sym w:font="Wingdings 2" w:char="0052"/>
            </w:r>
          </w:p>
        </w:tc>
      </w:tr>
      <w:tr w14:paraId="760F51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64B24946">
            <w:pPr>
              <w:spacing w:line="240" w:lineRule="auto"/>
              <w:ind w:firstLine="0" w:firstLineChars="0"/>
              <w:jc w:val="center"/>
              <w:rPr>
                <w:color w:val="000000" w:themeColor="text1"/>
                <w:sz w:val="18"/>
                <w:szCs w:val="18"/>
                <w14:textFill>
                  <w14:solidFill>
                    <w14:schemeClr w14:val="tx1"/>
                  </w14:solidFill>
                </w14:textFill>
              </w:rPr>
            </w:pPr>
          </w:p>
        </w:tc>
        <w:tc>
          <w:tcPr>
            <w:tcW w:w="1001" w:type="dxa"/>
            <w:shd w:val="clear" w:color="auto" w:fill="auto"/>
            <w:vAlign w:val="center"/>
          </w:tcPr>
          <w:p w14:paraId="26B1F958">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影响途径</w:t>
            </w:r>
          </w:p>
        </w:tc>
        <w:tc>
          <w:tcPr>
            <w:tcW w:w="2358" w:type="dxa"/>
            <w:gridSpan w:val="5"/>
            <w:shd w:val="clear" w:color="auto" w:fill="auto"/>
            <w:vAlign w:val="center"/>
          </w:tcPr>
          <w:p w14:paraId="14B7629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 xml:space="preserve">大气 </w:t>
            </w:r>
            <w:r>
              <w:rPr>
                <w:color w:val="000000" w:themeColor="text1"/>
                <w:sz w:val="18"/>
                <w:szCs w:val="18"/>
                <w14:textFill>
                  <w14:solidFill>
                    <w14:schemeClr w14:val="tx1"/>
                  </w14:solidFill>
                </w14:textFill>
              </w:rPr>
              <w:sym w:font="Wingdings 2" w:char="0052"/>
            </w:r>
          </w:p>
        </w:tc>
        <w:tc>
          <w:tcPr>
            <w:tcW w:w="2054" w:type="dxa"/>
            <w:gridSpan w:val="5"/>
            <w:shd w:val="clear" w:color="auto" w:fill="auto"/>
            <w:vAlign w:val="center"/>
          </w:tcPr>
          <w:p w14:paraId="5A4CEDA0">
            <w:pPr>
              <w:spacing w:line="240" w:lineRule="auto"/>
              <w:ind w:firstLine="0" w:firstLineChars="0"/>
              <w:jc w:val="center"/>
              <w:rPr>
                <w:rFonts w:hint="eastAsia" w:eastAsia="宋体"/>
                <w:color w:val="000000" w:themeColor="text1"/>
                <w:sz w:val="18"/>
                <w:szCs w:val="18"/>
                <w:lang w:eastAsia="zh-CN"/>
                <w14:textFill>
                  <w14:solidFill>
                    <w14:schemeClr w14:val="tx1"/>
                  </w14:solidFill>
                </w14:textFill>
              </w:rPr>
            </w:pPr>
            <w:r>
              <w:rPr>
                <w:color w:val="000000" w:themeColor="text1"/>
                <w:sz w:val="18"/>
                <w:szCs w:val="18"/>
                <w14:textFill>
                  <w14:solidFill>
                    <w14:schemeClr w14:val="tx1"/>
                  </w14:solidFill>
                </w14:textFill>
              </w:rPr>
              <w:t xml:space="preserve">地表水 </w:t>
            </w:r>
            <w:r>
              <w:rPr>
                <w:rFonts w:hint="eastAsia"/>
                <w:color w:val="000000" w:themeColor="text1"/>
                <w:sz w:val="18"/>
                <w:szCs w:val="18"/>
                <w:lang w:eastAsia="zh-CN"/>
                <w14:textFill>
                  <w14:solidFill>
                    <w14:schemeClr w14:val="tx1"/>
                  </w14:solidFill>
                </w14:textFill>
              </w:rPr>
              <w:t>☑</w:t>
            </w:r>
          </w:p>
        </w:tc>
        <w:tc>
          <w:tcPr>
            <w:tcW w:w="2061" w:type="dxa"/>
            <w:gridSpan w:val="7"/>
            <w:shd w:val="clear" w:color="auto" w:fill="auto"/>
            <w:vAlign w:val="center"/>
          </w:tcPr>
          <w:p w14:paraId="5444FF9F">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 xml:space="preserve">地下水 </w:t>
            </w:r>
            <w:r>
              <w:rPr>
                <w:color w:val="000000" w:themeColor="text1"/>
                <w:sz w:val="18"/>
                <w:szCs w:val="18"/>
                <w14:textFill>
                  <w14:solidFill>
                    <w14:schemeClr w14:val="tx1"/>
                  </w14:solidFill>
                </w14:textFill>
              </w:rPr>
              <w:sym w:font="Wingdings 2" w:char="0052"/>
            </w:r>
          </w:p>
        </w:tc>
      </w:tr>
      <w:tr w14:paraId="7F458B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39" w:type="dxa"/>
            <w:gridSpan w:val="2"/>
            <w:shd w:val="clear" w:color="auto" w:fill="auto"/>
            <w:vAlign w:val="center"/>
          </w:tcPr>
          <w:p w14:paraId="44AAF49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 xml:space="preserve">事故情形分析 </w:t>
            </w:r>
          </w:p>
        </w:tc>
        <w:tc>
          <w:tcPr>
            <w:tcW w:w="1851" w:type="dxa"/>
            <w:gridSpan w:val="4"/>
            <w:shd w:val="clear" w:color="auto" w:fill="auto"/>
            <w:vAlign w:val="center"/>
          </w:tcPr>
          <w:p w14:paraId="6D75D71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源强设定方法</w:t>
            </w:r>
          </w:p>
        </w:tc>
        <w:tc>
          <w:tcPr>
            <w:tcW w:w="1697" w:type="dxa"/>
            <w:gridSpan w:val="3"/>
            <w:shd w:val="clear" w:color="auto" w:fill="auto"/>
            <w:vAlign w:val="center"/>
          </w:tcPr>
          <w:p w14:paraId="5CC85FF8">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计算法 □</w:t>
            </w:r>
          </w:p>
        </w:tc>
        <w:tc>
          <w:tcPr>
            <w:tcW w:w="1389" w:type="dxa"/>
            <w:gridSpan w:val="5"/>
            <w:shd w:val="clear" w:color="auto" w:fill="auto"/>
            <w:vAlign w:val="center"/>
          </w:tcPr>
          <w:p w14:paraId="0E16A150">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经验估算法 □</w:t>
            </w:r>
          </w:p>
        </w:tc>
        <w:tc>
          <w:tcPr>
            <w:tcW w:w="1536" w:type="dxa"/>
            <w:gridSpan w:val="5"/>
            <w:shd w:val="clear" w:color="auto" w:fill="auto"/>
            <w:vAlign w:val="center"/>
          </w:tcPr>
          <w:p w14:paraId="153722FA">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其他估算法 □</w:t>
            </w:r>
          </w:p>
        </w:tc>
      </w:tr>
      <w:tr w14:paraId="35EADC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restart"/>
            <w:shd w:val="clear" w:color="auto" w:fill="auto"/>
            <w:vAlign w:val="center"/>
          </w:tcPr>
          <w:p w14:paraId="29F3DDA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风险</w:t>
            </w:r>
          </w:p>
          <w:p w14:paraId="0B8AC2B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预测</w:t>
            </w:r>
          </w:p>
          <w:p w14:paraId="655C635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与</w:t>
            </w:r>
          </w:p>
          <w:p w14:paraId="245B9BF5">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评价</w:t>
            </w:r>
          </w:p>
        </w:tc>
        <w:tc>
          <w:tcPr>
            <w:tcW w:w="1001" w:type="dxa"/>
            <w:vMerge w:val="restart"/>
            <w:shd w:val="clear" w:color="auto" w:fill="auto"/>
            <w:vAlign w:val="center"/>
          </w:tcPr>
          <w:p w14:paraId="697AC4F1">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大气</w:t>
            </w:r>
          </w:p>
        </w:tc>
        <w:tc>
          <w:tcPr>
            <w:tcW w:w="1851" w:type="dxa"/>
            <w:gridSpan w:val="4"/>
            <w:shd w:val="clear" w:color="auto" w:fill="auto"/>
            <w:vAlign w:val="center"/>
          </w:tcPr>
          <w:p w14:paraId="25E24192">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预测模型</w:t>
            </w:r>
          </w:p>
        </w:tc>
        <w:tc>
          <w:tcPr>
            <w:tcW w:w="1697" w:type="dxa"/>
            <w:gridSpan w:val="3"/>
            <w:shd w:val="clear" w:color="auto" w:fill="auto"/>
            <w:vAlign w:val="center"/>
          </w:tcPr>
          <w:p w14:paraId="73FA46B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SLAB □</w:t>
            </w:r>
          </w:p>
        </w:tc>
        <w:tc>
          <w:tcPr>
            <w:tcW w:w="1389" w:type="dxa"/>
            <w:gridSpan w:val="5"/>
            <w:shd w:val="clear" w:color="auto" w:fill="auto"/>
            <w:vAlign w:val="center"/>
          </w:tcPr>
          <w:p w14:paraId="6377E206">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AFTOX □</w:t>
            </w:r>
          </w:p>
        </w:tc>
        <w:tc>
          <w:tcPr>
            <w:tcW w:w="1536" w:type="dxa"/>
            <w:gridSpan w:val="5"/>
            <w:shd w:val="clear" w:color="auto" w:fill="auto"/>
            <w:vAlign w:val="center"/>
          </w:tcPr>
          <w:p w14:paraId="0926F0A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其他 □</w:t>
            </w:r>
          </w:p>
        </w:tc>
      </w:tr>
      <w:tr w14:paraId="14D611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0E1756C9">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306902EF">
            <w:pPr>
              <w:spacing w:line="240" w:lineRule="auto"/>
              <w:ind w:firstLine="0" w:firstLineChars="0"/>
              <w:jc w:val="center"/>
              <w:rPr>
                <w:color w:val="000000" w:themeColor="text1"/>
                <w:sz w:val="18"/>
                <w:szCs w:val="18"/>
                <w14:textFill>
                  <w14:solidFill>
                    <w14:schemeClr w14:val="tx1"/>
                  </w14:solidFill>
                </w14:textFill>
              </w:rPr>
            </w:pPr>
          </w:p>
        </w:tc>
        <w:tc>
          <w:tcPr>
            <w:tcW w:w="1851" w:type="dxa"/>
            <w:gridSpan w:val="4"/>
            <w:vMerge w:val="restart"/>
            <w:shd w:val="clear" w:color="auto" w:fill="auto"/>
            <w:vAlign w:val="center"/>
          </w:tcPr>
          <w:p w14:paraId="47A2613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预测结果</w:t>
            </w:r>
          </w:p>
        </w:tc>
        <w:tc>
          <w:tcPr>
            <w:tcW w:w="4622" w:type="dxa"/>
            <w:gridSpan w:val="13"/>
            <w:shd w:val="clear" w:color="auto" w:fill="auto"/>
            <w:vAlign w:val="center"/>
          </w:tcPr>
          <w:p w14:paraId="3B786561">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大气毒性终点浓度-1 最大影响范围</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m</w:t>
            </w:r>
          </w:p>
        </w:tc>
      </w:tr>
      <w:tr w14:paraId="57C83C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73659997">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1BC23084">
            <w:pPr>
              <w:spacing w:line="240" w:lineRule="auto"/>
              <w:ind w:firstLine="0" w:firstLineChars="0"/>
              <w:jc w:val="center"/>
              <w:rPr>
                <w:color w:val="000000" w:themeColor="text1"/>
                <w:sz w:val="18"/>
                <w:szCs w:val="18"/>
                <w14:textFill>
                  <w14:solidFill>
                    <w14:schemeClr w14:val="tx1"/>
                  </w14:solidFill>
                </w14:textFill>
              </w:rPr>
            </w:pPr>
          </w:p>
        </w:tc>
        <w:tc>
          <w:tcPr>
            <w:tcW w:w="1851" w:type="dxa"/>
            <w:gridSpan w:val="4"/>
            <w:vMerge w:val="continue"/>
            <w:shd w:val="clear" w:color="auto" w:fill="auto"/>
            <w:vAlign w:val="center"/>
          </w:tcPr>
          <w:p w14:paraId="03CBF8C5">
            <w:pPr>
              <w:spacing w:line="240" w:lineRule="auto"/>
              <w:ind w:firstLine="0" w:firstLineChars="0"/>
              <w:jc w:val="center"/>
              <w:rPr>
                <w:color w:val="000000" w:themeColor="text1"/>
                <w:sz w:val="18"/>
                <w:szCs w:val="18"/>
                <w14:textFill>
                  <w14:solidFill>
                    <w14:schemeClr w14:val="tx1"/>
                  </w14:solidFill>
                </w14:textFill>
              </w:rPr>
            </w:pPr>
          </w:p>
        </w:tc>
        <w:tc>
          <w:tcPr>
            <w:tcW w:w="4622" w:type="dxa"/>
            <w:gridSpan w:val="13"/>
            <w:shd w:val="clear" w:color="auto" w:fill="auto"/>
            <w:vAlign w:val="center"/>
          </w:tcPr>
          <w:p w14:paraId="4313559D">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大气毒性终点浓度-2 最大影响范围</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m</w:t>
            </w:r>
          </w:p>
        </w:tc>
      </w:tr>
      <w:tr w14:paraId="469A01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37D088D8">
            <w:pPr>
              <w:spacing w:line="240" w:lineRule="auto"/>
              <w:ind w:firstLine="0" w:firstLineChars="0"/>
              <w:jc w:val="center"/>
              <w:rPr>
                <w:color w:val="000000" w:themeColor="text1"/>
                <w:sz w:val="18"/>
                <w:szCs w:val="18"/>
                <w14:textFill>
                  <w14:solidFill>
                    <w14:schemeClr w14:val="tx1"/>
                  </w14:solidFill>
                </w14:textFill>
              </w:rPr>
            </w:pPr>
          </w:p>
        </w:tc>
        <w:tc>
          <w:tcPr>
            <w:tcW w:w="1001" w:type="dxa"/>
            <w:shd w:val="clear" w:color="auto" w:fill="auto"/>
            <w:vAlign w:val="center"/>
          </w:tcPr>
          <w:p w14:paraId="561E852F">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地表水</w:t>
            </w:r>
          </w:p>
        </w:tc>
        <w:tc>
          <w:tcPr>
            <w:tcW w:w="6473" w:type="dxa"/>
            <w:gridSpan w:val="17"/>
            <w:shd w:val="clear" w:color="auto" w:fill="auto"/>
            <w:vAlign w:val="center"/>
          </w:tcPr>
          <w:p w14:paraId="6BE8372F">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最近环境敏感目标</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，到达时间</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h</w:t>
            </w:r>
          </w:p>
        </w:tc>
      </w:tr>
      <w:tr w14:paraId="2C1078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1D37ABD2">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restart"/>
            <w:shd w:val="clear" w:color="auto" w:fill="auto"/>
            <w:vAlign w:val="center"/>
          </w:tcPr>
          <w:p w14:paraId="7BC74C7C">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地下水</w:t>
            </w:r>
          </w:p>
        </w:tc>
        <w:tc>
          <w:tcPr>
            <w:tcW w:w="6473" w:type="dxa"/>
            <w:gridSpan w:val="17"/>
            <w:shd w:val="clear" w:color="auto" w:fill="auto"/>
            <w:vAlign w:val="center"/>
          </w:tcPr>
          <w:p w14:paraId="27CE2FE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下游厂区边界到达时间</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d</w:t>
            </w:r>
          </w:p>
        </w:tc>
      </w:tr>
      <w:tr w14:paraId="4C5AB0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8" w:type="dxa"/>
            <w:vMerge w:val="continue"/>
            <w:shd w:val="clear" w:color="auto" w:fill="auto"/>
            <w:vAlign w:val="center"/>
          </w:tcPr>
          <w:p w14:paraId="0EE4E5F7">
            <w:pPr>
              <w:spacing w:line="240" w:lineRule="auto"/>
              <w:ind w:firstLine="0" w:firstLineChars="0"/>
              <w:jc w:val="center"/>
              <w:rPr>
                <w:color w:val="000000" w:themeColor="text1"/>
                <w:sz w:val="18"/>
                <w:szCs w:val="18"/>
                <w14:textFill>
                  <w14:solidFill>
                    <w14:schemeClr w14:val="tx1"/>
                  </w14:solidFill>
                </w14:textFill>
              </w:rPr>
            </w:pPr>
          </w:p>
        </w:tc>
        <w:tc>
          <w:tcPr>
            <w:tcW w:w="1001" w:type="dxa"/>
            <w:vMerge w:val="continue"/>
            <w:shd w:val="clear" w:color="auto" w:fill="auto"/>
            <w:vAlign w:val="center"/>
          </w:tcPr>
          <w:p w14:paraId="7E56F816">
            <w:pPr>
              <w:spacing w:line="240" w:lineRule="auto"/>
              <w:ind w:firstLine="0" w:firstLineChars="0"/>
              <w:jc w:val="center"/>
              <w:rPr>
                <w:color w:val="000000" w:themeColor="text1"/>
                <w:sz w:val="18"/>
                <w:szCs w:val="18"/>
                <w14:textFill>
                  <w14:solidFill>
                    <w14:schemeClr w14:val="tx1"/>
                  </w14:solidFill>
                </w14:textFill>
              </w:rPr>
            </w:pPr>
          </w:p>
        </w:tc>
        <w:tc>
          <w:tcPr>
            <w:tcW w:w="6473" w:type="dxa"/>
            <w:gridSpan w:val="17"/>
            <w:shd w:val="clear" w:color="auto" w:fill="auto"/>
            <w:vAlign w:val="center"/>
          </w:tcPr>
          <w:p w14:paraId="69786F82">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最近环境敏感目标</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，到达时间</w:t>
            </w:r>
            <w:r>
              <w:rPr>
                <w:color w:val="000000" w:themeColor="text1"/>
                <w:sz w:val="18"/>
                <w:szCs w:val="18"/>
                <w:u w:val="single"/>
                <w14:textFill>
                  <w14:solidFill>
                    <w14:schemeClr w14:val="tx1"/>
                  </w14:solidFill>
                </w14:textFill>
              </w:rPr>
              <w:t xml:space="preserve">      </w:t>
            </w:r>
            <w:r>
              <w:rPr>
                <w:color w:val="000000" w:themeColor="text1"/>
                <w:sz w:val="18"/>
                <w:szCs w:val="18"/>
                <w14:textFill>
                  <w14:solidFill>
                    <w14:schemeClr w14:val="tx1"/>
                  </w14:solidFill>
                </w14:textFill>
              </w:rPr>
              <w:t>d</w:t>
            </w:r>
          </w:p>
        </w:tc>
      </w:tr>
      <w:tr w14:paraId="6AA5E2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1839" w:type="dxa"/>
            <w:gridSpan w:val="2"/>
            <w:shd w:val="clear" w:color="auto" w:fill="auto"/>
            <w:vAlign w:val="center"/>
          </w:tcPr>
          <w:p w14:paraId="4E30575D">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重点风险防范措施</w:t>
            </w:r>
          </w:p>
        </w:tc>
        <w:tc>
          <w:tcPr>
            <w:tcW w:w="6473" w:type="dxa"/>
            <w:gridSpan w:val="17"/>
            <w:shd w:val="clear" w:color="auto" w:fill="auto"/>
            <w:vAlign w:val="center"/>
          </w:tcPr>
          <w:p w14:paraId="2F9462FA">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工程施工过程风险防范措施、废水非正常情况风险防范措施、地下水、土壤污染风险防范措施、火灾爆炸风险防范措施</w:t>
            </w:r>
          </w:p>
        </w:tc>
      </w:tr>
      <w:tr w14:paraId="7F2453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1839" w:type="dxa"/>
            <w:gridSpan w:val="2"/>
            <w:shd w:val="clear" w:color="auto" w:fill="auto"/>
            <w:vAlign w:val="center"/>
          </w:tcPr>
          <w:p w14:paraId="78F494E7">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评价结论与建议</w:t>
            </w:r>
          </w:p>
        </w:tc>
        <w:tc>
          <w:tcPr>
            <w:tcW w:w="6473" w:type="dxa"/>
            <w:gridSpan w:val="17"/>
            <w:shd w:val="clear" w:color="auto" w:fill="auto"/>
            <w:vAlign w:val="center"/>
          </w:tcPr>
          <w:p w14:paraId="33BC36A6">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1、结论</w:t>
            </w:r>
          </w:p>
          <w:p w14:paraId="56895033">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项目在下一步设计中应按照本报告中的要求、建议进一步完善其环境风险防范措施。如能在施工、运行过程中切实落实本报告中所提出的环境风险防范对策措施，则运行后，从环境风险的角度考虑本项目是可行的。</w:t>
            </w:r>
          </w:p>
          <w:p w14:paraId="6CD6A2D2">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2、建议</w:t>
            </w:r>
          </w:p>
          <w:p w14:paraId="01313A85">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该项目建成后，除了进行必要的工程质量、施工等方面的验收外，还必须经公安消防部门审核合格，具有检测资质的部门对装置的避雷及防静电设施检测合格，具有国家安全评价资质的评价机构进行安全验收评价，报请国家主管部门审批后，方可投入正常生产。</w:t>
            </w:r>
          </w:p>
          <w:p w14:paraId="589EA6E7">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（2）厂内主要负责人、主要安全管理人员必须经安监部门培训，考核合格后持证上岗；特种作业人员必须经过有关部门专业培训持证上岗。他从业人员均应经过三级安全教育，持证上岗。</w:t>
            </w:r>
          </w:p>
          <w:p w14:paraId="5A014E43">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（3）企业应执行安全预评价制度，根据安全评价报告中提出的各项安全措施严格贯彻落实。坚持“以防为主”的原则，确保企业安全生产。</w:t>
            </w:r>
          </w:p>
        </w:tc>
      </w:tr>
      <w:tr w14:paraId="72F72C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312" w:type="dxa"/>
            <w:gridSpan w:val="19"/>
            <w:shd w:val="clear" w:color="auto" w:fill="auto"/>
            <w:vAlign w:val="center"/>
          </w:tcPr>
          <w:p w14:paraId="2F9E9CEE">
            <w:pPr>
              <w:spacing w:line="240" w:lineRule="auto"/>
              <w:ind w:firstLine="0" w:firstLineChars="0"/>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注：“□”为勾选项，“ ”为填写项。</w:t>
            </w:r>
          </w:p>
        </w:tc>
      </w:tr>
    </w:tbl>
    <w:p w14:paraId="0020756B">
      <w:pPr>
        <w:tabs>
          <w:tab w:val="left" w:pos="1200"/>
        </w:tabs>
        <w:ind w:firstLine="0" w:firstLineChars="0"/>
        <w:jc w:val="center"/>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39582CEF">
      <w:pPr>
        <w:pStyle w:val="6"/>
        <w:rPr>
          <w:rFonts w:cs="Times New Roman"/>
          <w:color w:val="000000" w:themeColor="text1"/>
          <w14:textFill>
            <w14:solidFill>
              <w14:schemeClr w14:val="tx1"/>
            </w14:solidFill>
          </w14:textFill>
        </w:rPr>
      </w:pPr>
      <w:bookmarkStart w:id="481" w:name="_Toc20157"/>
      <w:r>
        <w:rPr>
          <w:rFonts w:hint="eastAsia" w:cs="Times New Roman"/>
          <w:color w:val="000000" w:themeColor="text1"/>
          <w14:textFill>
            <w14:solidFill>
              <w14:schemeClr w14:val="tx1"/>
            </w14:solidFill>
          </w14:textFill>
        </w:rPr>
        <w:t>附表</w:t>
      </w:r>
      <w:r>
        <w:rPr>
          <w:rFonts w:cs="Times New Roman"/>
          <w:color w:val="000000" w:themeColor="text1"/>
          <w14:textFill>
            <w14:solidFill>
              <w14:schemeClr w14:val="tx1"/>
            </w14:solidFill>
          </w14:textFill>
        </w:rPr>
        <w:t>4</w:t>
      </w:r>
      <w:r>
        <w:rPr>
          <w:rFonts w:hint="eastAsia" w:cs="Times New Roman"/>
          <w:color w:val="000000" w:themeColor="text1"/>
          <w14:textFill>
            <w14:solidFill>
              <w14:schemeClr w14:val="tx1"/>
            </w14:solidFill>
          </w14:textFill>
        </w:rPr>
        <w:t>建设项目生态影响评价自查表</w:t>
      </w:r>
      <w:bookmarkEnd w:id="481"/>
    </w:p>
    <w:tbl>
      <w:tblPr>
        <w:tblStyle w:val="4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92"/>
        <w:gridCol w:w="1002"/>
        <w:gridCol w:w="6318"/>
      </w:tblGrid>
      <w:tr w14:paraId="22A1C5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200" w:type="pct"/>
            <w:gridSpan w:val="2"/>
            <w:shd w:val="clear" w:color="auto" w:fill="auto"/>
            <w:vAlign w:val="center"/>
          </w:tcPr>
          <w:p w14:paraId="60816949">
            <w:pPr>
              <w:pStyle w:val="406"/>
              <w:adjustRightInd w:val="0"/>
              <w:snapToGrid w:val="0"/>
              <w:jc w:val="center"/>
              <w:rPr>
                <w:rFonts w:ascii="Times New Roman" w:hAnsi="Times New Roman"/>
                <w:color w:val="000000" w:themeColor="text1"/>
                <w:sz w:val="18"/>
                <w:szCs w:val="18"/>
                <w14:textFill>
                  <w14:solidFill>
                    <w14:schemeClr w14:val="tx1"/>
                  </w14:solidFill>
                </w14:textFill>
              </w:rPr>
            </w:pPr>
            <w:r>
              <w:rPr>
                <w:rFonts w:ascii="Times New Roman" w:hAnsi="Times New Roman"/>
                <w:color w:val="000000" w:themeColor="text1"/>
                <w:sz w:val="18"/>
                <w:szCs w:val="18"/>
                <w14:textFill>
                  <w14:solidFill>
                    <w14:schemeClr w14:val="tx1"/>
                  </w14:solidFill>
                </w14:textFill>
              </w:rPr>
              <w:t>工作内容</w:t>
            </w:r>
          </w:p>
        </w:tc>
        <w:tc>
          <w:tcPr>
            <w:tcW w:w="3800" w:type="pct"/>
            <w:shd w:val="clear" w:color="auto" w:fill="auto"/>
            <w:vAlign w:val="center"/>
          </w:tcPr>
          <w:p w14:paraId="5FB0F487">
            <w:pPr>
              <w:pStyle w:val="406"/>
              <w:adjustRightInd w:val="0"/>
              <w:snapToGrid w:val="0"/>
              <w:jc w:val="center"/>
              <w:rPr>
                <w:rFonts w:ascii="Times New Roman" w:hAnsi="Times New Roman"/>
                <w:color w:val="000000" w:themeColor="text1"/>
                <w:sz w:val="18"/>
                <w:szCs w:val="18"/>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自查项目</w:t>
            </w:r>
          </w:p>
        </w:tc>
      </w:tr>
      <w:tr w14:paraId="740925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shd w:val="clear" w:color="auto" w:fill="auto"/>
            <w:vAlign w:val="center"/>
          </w:tcPr>
          <w:p w14:paraId="3315F291">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生态影响识别</w:t>
            </w:r>
          </w:p>
        </w:tc>
        <w:tc>
          <w:tcPr>
            <w:tcW w:w="603" w:type="pct"/>
            <w:shd w:val="clear" w:color="auto" w:fill="auto"/>
            <w:vAlign w:val="center"/>
          </w:tcPr>
          <w:p w14:paraId="6C076663">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生态保护目标</w:t>
            </w:r>
          </w:p>
        </w:tc>
        <w:tc>
          <w:tcPr>
            <w:tcW w:w="3800" w:type="pct"/>
            <w:shd w:val="clear" w:color="auto" w:fill="auto"/>
            <w:vAlign w:val="center"/>
          </w:tcPr>
          <w:p w14:paraId="72EFC944">
            <w:pPr>
              <w:pStyle w:val="406"/>
              <w:jc w:val="both"/>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重要物种□；国家公园□；自然保护区□；自然公园□；世界自然遗产□；生态保护红线□；重要生境□；其他具有重要生态功能、对保护生物多样性具有重要意义的区域□；其他√</w:t>
            </w:r>
          </w:p>
        </w:tc>
      </w:tr>
      <w:tr w14:paraId="5B66AB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1DF8F2F7">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3" w:type="pct"/>
            <w:shd w:val="clear" w:color="auto" w:fill="auto"/>
            <w:vAlign w:val="center"/>
          </w:tcPr>
          <w:p w14:paraId="728DAF97">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影响方式</w:t>
            </w:r>
          </w:p>
        </w:tc>
        <w:tc>
          <w:tcPr>
            <w:tcW w:w="3800" w:type="pct"/>
            <w:shd w:val="clear" w:color="auto" w:fill="auto"/>
            <w:vAlign w:val="center"/>
          </w:tcPr>
          <w:p w14:paraId="40962718">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工程占用√；施工活动干扰√；改变环境条件□；其他□</w:t>
            </w:r>
          </w:p>
        </w:tc>
      </w:tr>
      <w:tr w14:paraId="38391A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0CD3B050">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3" w:type="pct"/>
            <w:shd w:val="clear" w:color="auto" w:fill="auto"/>
            <w:vAlign w:val="center"/>
          </w:tcPr>
          <w:p w14:paraId="301F9899">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评价因子</w:t>
            </w:r>
          </w:p>
        </w:tc>
        <w:tc>
          <w:tcPr>
            <w:tcW w:w="3800" w:type="pct"/>
            <w:shd w:val="clear" w:color="auto" w:fill="auto"/>
            <w:vAlign w:val="center"/>
          </w:tcPr>
          <w:p w14:paraId="472DED83">
            <w:pPr>
              <w:pStyle w:val="406"/>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物种√（分布范围、种群数量、种群结构）</w:t>
            </w:r>
          </w:p>
          <w:p w14:paraId="47FDA2D1">
            <w:pPr>
              <w:pStyle w:val="406"/>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生境□（ ）</w:t>
            </w:r>
          </w:p>
          <w:p w14:paraId="685BF8CD">
            <w:pPr>
              <w:pStyle w:val="406"/>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生物群落□（ ）</w:t>
            </w:r>
          </w:p>
          <w:p w14:paraId="2B64B840">
            <w:pPr>
              <w:pStyle w:val="406"/>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生态系统□（ ）</w:t>
            </w:r>
          </w:p>
          <w:p w14:paraId="51FD38AE">
            <w:pPr>
              <w:pStyle w:val="406"/>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生物多样性□（ ）</w:t>
            </w:r>
          </w:p>
          <w:p w14:paraId="7A744559">
            <w:pPr>
              <w:pStyle w:val="406"/>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生态敏感区□（ ）</w:t>
            </w:r>
          </w:p>
          <w:p w14:paraId="599554E0">
            <w:pPr>
              <w:pStyle w:val="406"/>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自然景观□（ ）</w:t>
            </w:r>
          </w:p>
          <w:p w14:paraId="50E604CB">
            <w:pPr>
              <w:pStyle w:val="406"/>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自然遗迹□（ ）</w:t>
            </w:r>
          </w:p>
          <w:p w14:paraId="2352BD69">
            <w:pPr>
              <w:pStyle w:val="406"/>
              <w:adjustRightInd w:val="0"/>
              <w:snapToGrid w:val="0"/>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其他□（ ）</w:t>
            </w:r>
          </w:p>
        </w:tc>
      </w:tr>
      <w:tr w14:paraId="1F5413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200" w:type="pct"/>
            <w:gridSpan w:val="2"/>
            <w:shd w:val="clear" w:color="auto" w:fill="auto"/>
            <w:vAlign w:val="center"/>
          </w:tcPr>
          <w:p w14:paraId="01BD1A13">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评价等级</w:t>
            </w:r>
          </w:p>
        </w:tc>
        <w:tc>
          <w:tcPr>
            <w:tcW w:w="3800" w:type="pct"/>
            <w:shd w:val="clear" w:color="auto" w:fill="auto"/>
            <w:vAlign w:val="center"/>
          </w:tcPr>
          <w:p w14:paraId="4E9E05DF">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一级□ 二级□ 三级□ 生态影响简单分析√</w:t>
            </w:r>
          </w:p>
        </w:tc>
      </w:tr>
      <w:tr w14:paraId="4A8F20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200" w:type="pct"/>
            <w:gridSpan w:val="2"/>
            <w:shd w:val="clear" w:color="auto" w:fill="auto"/>
            <w:vAlign w:val="center"/>
          </w:tcPr>
          <w:p w14:paraId="778F581A">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评价范围</w:t>
            </w:r>
          </w:p>
        </w:tc>
        <w:tc>
          <w:tcPr>
            <w:tcW w:w="3800" w:type="pct"/>
            <w:shd w:val="clear" w:color="auto" w:fill="auto"/>
            <w:vAlign w:val="center"/>
          </w:tcPr>
          <w:p w14:paraId="5133C811">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陆域面积：（</w:t>
            </w:r>
            <w:r>
              <w:rPr>
                <w:rFonts w:ascii="Times New Roman" w:hAnsi="Times New Roman"/>
                <w:color w:val="000000" w:themeColor="text1"/>
                <w:sz w:val="18"/>
                <w:szCs w:val="18"/>
                <w:lang w:eastAsia="zh-CN"/>
                <w14:textFill>
                  <w14:solidFill>
                    <w14:schemeClr w14:val="tx1"/>
                  </w14:solidFill>
                </w14:textFill>
              </w:rPr>
              <w:t>0.0</w:t>
            </w:r>
            <w:r>
              <w:rPr>
                <w:rFonts w:hint="eastAsia" w:ascii="Times New Roman" w:hAnsi="Times New Roman"/>
                <w:color w:val="000000" w:themeColor="text1"/>
                <w:sz w:val="18"/>
                <w:szCs w:val="18"/>
                <w:lang w:val="en-US" w:eastAsia="zh-CN"/>
                <w14:textFill>
                  <w14:solidFill>
                    <w14:schemeClr w14:val="tx1"/>
                  </w14:solidFill>
                </w14:textFill>
              </w:rPr>
              <w:t>55</w:t>
            </w:r>
            <w:r>
              <w:rPr>
                <w:rFonts w:hint="eastAsia" w:ascii="Times New Roman" w:hAnsi="Times New Roman"/>
                <w:color w:val="000000" w:themeColor="text1"/>
                <w:sz w:val="18"/>
                <w:szCs w:val="18"/>
                <w:lang w:eastAsia="zh-CN"/>
                <w14:textFill>
                  <w14:solidFill>
                    <w14:schemeClr w14:val="tx1"/>
                  </w14:solidFill>
                </w14:textFill>
              </w:rPr>
              <w:t>）km</w:t>
            </w:r>
            <w:r>
              <w:rPr>
                <w:rFonts w:hint="eastAsia" w:ascii="Times New Roman" w:hAnsi="Times New Roman"/>
                <w:color w:val="000000" w:themeColor="text1"/>
                <w:sz w:val="18"/>
                <w:szCs w:val="18"/>
                <w:vertAlign w:val="superscript"/>
                <w:lang w:eastAsia="zh-CN"/>
                <w14:textFill>
                  <w14:solidFill>
                    <w14:schemeClr w14:val="tx1"/>
                  </w14:solidFill>
                </w14:textFill>
              </w:rPr>
              <w:t>2</w:t>
            </w:r>
            <w:r>
              <w:rPr>
                <w:rFonts w:hint="eastAsia" w:ascii="Times New Roman" w:hAnsi="Times New Roman"/>
                <w:color w:val="000000" w:themeColor="text1"/>
                <w:sz w:val="18"/>
                <w:szCs w:val="18"/>
                <w:lang w:eastAsia="zh-CN"/>
                <w14:textFill>
                  <w14:solidFill>
                    <w14:schemeClr w14:val="tx1"/>
                  </w14:solidFill>
                </w14:textFill>
              </w:rPr>
              <w:t>；水域面积：（ ）km</w:t>
            </w:r>
            <w:r>
              <w:rPr>
                <w:rFonts w:hint="eastAsia" w:ascii="Times New Roman" w:hAnsi="Times New Roman"/>
                <w:color w:val="000000" w:themeColor="text1"/>
                <w:sz w:val="18"/>
                <w:szCs w:val="18"/>
                <w:vertAlign w:val="superscript"/>
                <w:lang w:eastAsia="zh-CN"/>
                <w14:textFill>
                  <w14:solidFill>
                    <w14:schemeClr w14:val="tx1"/>
                  </w14:solidFill>
                </w14:textFill>
              </w:rPr>
              <w:t>2</w:t>
            </w:r>
          </w:p>
        </w:tc>
      </w:tr>
      <w:tr w14:paraId="019281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shd w:val="clear" w:color="auto" w:fill="auto"/>
            <w:vAlign w:val="center"/>
          </w:tcPr>
          <w:p w14:paraId="6FD6E191">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生态现状调查与评价</w:t>
            </w:r>
          </w:p>
        </w:tc>
        <w:tc>
          <w:tcPr>
            <w:tcW w:w="603" w:type="pct"/>
            <w:shd w:val="clear" w:color="auto" w:fill="auto"/>
            <w:vAlign w:val="center"/>
          </w:tcPr>
          <w:p w14:paraId="21986F57">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调查方法</w:t>
            </w:r>
          </w:p>
        </w:tc>
        <w:tc>
          <w:tcPr>
            <w:tcW w:w="3800" w:type="pct"/>
            <w:shd w:val="clear" w:color="auto" w:fill="auto"/>
            <w:vAlign w:val="center"/>
          </w:tcPr>
          <w:p w14:paraId="6FF4133A">
            <w:pPr>
              <w:pStyle w:val="406"/>
              <w:jc w:val="both"/>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资料收集√；遥感调查□；调查样方、样线□；调查点位、断面□；专家和公众咨询法□；其他□</w:t>
            </w:r>
          </w:p>
        </w:tc>
      </w:tr>
      <w:tr w14:paraId="0668C3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6C8D0DC4">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3" w:type="pct"/>
            <w:shd w:val="clear" w:color="auto" w:fill="auto"/>
            <w:vAlign w:val="center"/>
          </w:tcPr>
          <w:p w14:paraId="7A561C86">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调查时间</w:t>
            </w:r>
          </w:p>
        </w:tc>
        <w:tc>
          <w:tcPr>
            <w:tcW w:w="3800" w:type="pct"/>
            <w:shd w:val="clear" w:color="auto" w:fill="auto"/>
            <w:vAlign w:val="center"/>
          </w:tcPr>
          <w:p w14:paraId="549143E1">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春季√；夏季√；秋季√；冬季√</w:t>
            </w:r>
          </w:p>
          <w:p w14:paraId="63E5EAAC">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丰水期□；枯水期□；平水期□</w:t>
            </w:r>
          </w:p>
        </w:tc>
      </w:tr>
      <w:tr w14:paraId="43C847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7C2D0203">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3" w:type="pct"/>
            <w:shd w:val="clear" w:color="auto" w:fill="auto"/>
            <w:vAlign w:val="center"/>
          </w:tcPr>
          <w:p w14:paraId="65B32C2B">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所在区域的生态问题</w:t>
            </w:r>
          </w:p>
        </w:tc>
        <w:tc>
          <w:tcPr>
            <w:tcW w:w="3800" w:type="pct"/>
            <w:shd w:val="clear" w:color="auto" w:fill="auto"/>
            <w:vAlign w:val="center"/>
          </w:tcPr>
          <w:p w14:paraId="25B249DC">
            <w:pPr>
              <w:pStyle w:val="406"/>
              <w:adjustRightInd w:val="0"/>
              <w:snapToGrid w:val="0"/>
              <w:jc w:val="both"/>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水土流失□；沙漠化□；石漠化□；盐渍化□；生物入侵□；污染危害□；其他□</w:t>
            </w:r>
          </w:p>
        </w:tc>
      </w:tr>
      <w:tr w14:paraId="44DF22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75680305">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3" w:type="pct"/>
            <w:shd w:val="clear" w:color="auto" w:fill="auto"/>
            <w:vAlign w:val="center"/>
          </w:tcPr>
          <w:p w14:paraId="3248D765">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评价内容</w:t>
            </w:r>
          </w:p>
        </w:tc>
        <w:tc>
          <w:tcPr>
            <w:tcW w:w="3800" w:type="pct"/>
            <w:shd w:val="clear" w:color="auto" w:fill="auto"/>
            <w:vAlign w:val="center"/>
          </w:tcPr>
          <w:p w14:paraId="2F7C0BD8">
            <w:pPr>
              <w:pStyle w:val="406"/>
              <w:jc w:val="both"/>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植被/植物群落√；土地利用□；生态系统□；生物多样性□；重要物种□；生态敏感区□；其他□</w:t>
            </w:r>
          </w:p>
        </w:tc>
      </w:tr>
      <w:tr w14:paraId="5CA4D8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shd w:val="clear" w:color="auto" w:fill="auto"/>
            <w:vAlign w:val="center"/>
          </w:tcPr>
          <w:p w14:paraId="3F31E7B6">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生态影响预测与评价</w:t>
            </w:r>
          </w:p>
        </w:tc>
        <w:tc>
          <w:tcPr>
            <w:tcW w:w="603" w:type="pct"/>
            <w:shd w:val="clear" w:color="auto" w:fill="auto"/>
            <w:vAlign w:val="center"/>
          </w:tcPr>
          <w:p w14:paraId="7893119F">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评价方法</w:t>
            </w:r>
          </w:p>
        </w:tc>
        <w:tc>
          <w:tcPr>
            <w:tcW w:w="3800" w:type="pct"/>
            <w:shd w:val="clear" w:color="auto" w:fill="auto"/>
            <w:vAlign w:val="center"/>
          </w:tcPr>
          <w:p w14:paraId="3D17FF2B">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定性√；定性和定量□</w:t>
            </w:r>
          </w:p>
        </w:tc>
      </w:tr>
      <w:tr w14:paraId="2936CF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3B159C4E">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3" w:type="pct"/>
            <w:shd w:val="clear" w:color="auto" w:fill="auto"/>
            <w:vAlign w:val="center"/>
          </w:tcPr>
          <w:p w14:paraId="471A1D73">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评价内容</w:t>
            </w:r>
          </w:p>
        </w:tc>
        <w:tc>
          <w:tcPr>
            <w:tcW w:w="3800" w:type="pct"/>
            <w:shd w:val="clear" w:color="auto" w:fill="auto"/>
            <w:vAlign w:val="center"/>
          </w:tcPr>
          <w:p w14:paraId="4FE898B2">
            <w:pPr>
              <w:pStyle w:val="406"/>
              <w:jc w:val="both"/>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植被/植物群落□；土地利用√；生态系统√；生物多样性□；重要物种□；生态敏感区□；生物入侵风险□；其他√</w:t>
            </w:r>
          </w:p>
        </w:tc>
      </w:tr>
      <w:tr w14:paraId="42082F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shd w:val="clear" w:color="auto" w:fill="auto"/>
            <w:vAlign w:val="center"/>
          </w:tcPr>
          <w:p w14:paraId="36BB0F91">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生态保护对策措施</w:t>
            </w:r>
          </w:p>
        </w:tc>
        <w:tc>
          <w:tcPr>
            <w:tcW w:w="603" w:type="pct"/>
            <w:shd w:val="clear" w:color="auto" w:fill="auto"/>
            <w:vAlign w:val="center"/>
          </w:tcPr>
          <w:p w14:paraId="415104AB">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对策措施</w:t>
            </w:r>
          </w:p>
        </w:tc>
        <w:tc>
          <w:tcPr>
            <w:tcW w:w="3800" w:type="pct"/>
            <w:shd w:val="clear" w:color="auto" w:fill="auto"/>
            <w:vAlign w:val="center"/>
          </w:tcPr>
          <w:p w14:paraId="5C2CE98A">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避让□；减缓□；生态修复□；生态补偿□；科研□；其他□</w:t>
            </w:r>
          </w:p>
        </w:tc>
      </w:tr>
      <w:tr w14:paraId="35577E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4F199979">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3" w:type="pct"/>
            <w:shd w:val="clear" w:color="auto" w:fill="auto"/>
            <w:vAlign w:val="center"/>
          </w:tcPr>
          <w:p w14:paraId="24219572">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生态监测计划</w:t>
            </w:r>
          </w:p>
        </w:tc>
        <w:tc>
          <w:tcPr>
            <w:tcW w:w="3800" w:type="pct"/>
            <w:shd w:val="clear" w:color="auto" w:fill="auto"/>
            <w:vAlign w:val="center"/>
          </w:tcPr>
          <w:p w14:paraId="376EEBC4">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全生命周期□；长期跟踪□；常规□；无□</w:t>
            </w:r>
          </w:p>
        </w:tc>
      </w:tr>
      <w:tr w14:paraId="11C555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7893DC27">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3" w:type="pct"/>
            <w:shd w:val="clear" w:color="auto" w:fill="auto"/>
            <w:vAlign w:val="center"/>
          </w:tcPr>
          <w:p w14:paraId="5B71C21F">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环境管理</w:t>
            </w:r>
          </w:p>
        </w:tc>
        <w:tc>
          <w:tcPr>
            <w:tcW w:w="3800" w:type="pct"/>
            <w:shd w:val="clear" w:color="auto" w:fill="auto"/>
            <w:vAlign w:val="center"/>
          </w:tcPr>
          <w:p w14:paraId="36310624">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环境监理□；环境影响后评价□；其他□</w:t>
            </w:r>
          </w:p>
        </w:tc>
      </w:tr>
      <w:tr w14:paraId="1ECF23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shd w:val="clear" w:color="auto" w:fill="auto"/>
            <w:vAlign w:val="center"/>
          </w:tcPr>
          <w:p w14:paraId="5A724D43">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评价结论</w:t>
            </w:r>
          </w:p>
        </w:tc>
        <w:tc>
          <w:tcPr>
            <w:tcW w:w="603" w:type="pct"/>
            <w:shd w:val="clear" w:color="auto" w:fill="auto"/>
            <w:vAlign w:val="center"/>
          </w:tcPr>
          <w:p w14:paraId="6E0AEC63">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生态影响</w:t>
            </w:r>
          </w:p>
        </w:tc>
        <w:tc>
          <w:tcPr>
            <w:tcW w:w="3800" w:type="pct"/>
            <w:shd w:val="clear" w:color="auto" w:fill="auto"/>
            <w:vAlign w:val="center"/>
          </w:tcPr>
          <w:p w14:paraId="341B8521">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可行√；不可行□</w:t>
            </w:r>
          </w:p>
        </w:tc>
      </w:tr>
      <w:tr w14:paraId="12C195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5000" w:type="pct"/>
            <w:gridSpan w:val="3"/>
            <w:shd w:val="clear" w:color="auto" w:fill="auto"/>
            <w:vAlign w:val="center"/>
          </w:tcPr>
          <w:p w14:paraId="0B9FF689">
            <w:pPr>
              <w:pStyle w:val="406"/>
              <w:adjustRightInd w:val="0"/>
              <w:snapToGrid w:val="0"/>
              <w:rPr>
                <w:rFonts w:ascii="Times New Roman" w:hAnsi="Times New Roman"/>
                <w:color w:val="000000" w:themeColor="text1"/>
                <w:sz w:val="18"/>
                <w:szCs w:val="18"/>
                <w:lang w:eastAsia="zh-CN"/>
                <w14:textFill>
                  <w14:solidFill>
                    <w14:schemeClr w14:val="tx1"/>
                  </w14:solidFill>
                </w14:textFill>
              </w:rPr>
            </w:pPr>
            <w:r>
              <w:rPr>
                <w:rFonts w:ascii="Times New Roman" w:hAnsi="Times New Roman"/>
                <w:color w:val="000000" w:themeColor="text1"/>
                <w:sz w:val="18"/>
                <w:szCs w:val="18"/>
                <w:lang w:eastAsia="zh-CN"/>
                <w14:textFill>
                  <w14:solidFill>
                    <w14:schemeClr w14:val="tx1"/>
                  </w14:solidFill>
                </w14:textFill>
              </w:rPr>
              <w:t>注：“□”为勾选项，可√；“（ ）”为内容填写项</w:t>
            </w:r>
            <w:r>
              <w:rPr>
                <w:rFonts w:hint="eastAsia" w:ascii="Times New Roman" w:hAnsi="Times New Roman"/>
                <w:color w:val="000000" w:themeColor="text1"/>
                <w:sz w:val="18"/>
                <w:szCs w:val="18"/>
                <w:lang w:eastAsia="zh-CN"/>
                <w14:textFill>
                  <w14:solidFill>
                    <w14:schemeClr w14:val="tx1"/>
                  </w14:solidFill>
                </w14:textFill>
              </w:rPr>
              <w:t>。</w:t>
            </w:r>
          </w:p>
        </w:tc>
      </w:tr>
    </w:tbl>
    <w:p w14:paraId="79DB02AA">
      <w:pPr>
        <w:tabs>
          <w:tab w:val="left" w:pos="1200"/>
        </w:tabs>
        <w:ind w:firstLine="0" w:firstLineChars="0"/>
        <w:jc w:val="center"/>
        <w:rPr>
          <w:color w:val="000000" w:themeColor="text1"/>
          <w14:textFill>
            <w14:solidFill>
              <w14:schemeClr w14:val="tx1"/>
            </w14:solidFill>
          </w14:textFill>
        </w:rPr>
      </w:pPr>
    </w:p>
    <w:p w14:paraId="0EA650BA">
      <w:pPr>
        <w:tabs>
          <w:tab w:val="left" w:pos="1200"/>
        </w:tabs>
        <w:ind w:firstLine="0" w:firstLineChars="0"/>
        <w:jc w:val="center"/>
        <w:rPr>
          <w:color w:val="000000" w:themeColor="text1"/>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080947B5">
      <w:pPr>
        <w:pStyle w:val="6"/>
        <w:rPr>
          <w:rFonts w:cs="Times New Roman"/>
          <w:color w:val="000000" w:themeColor="text1"/>
          <w14:textFill>
            <w14:solidFill>
              <w14:schemeClr w14:val="tx1"/>
            </w14:solidFill>
          </w14:textFill>
        </w:rPr>
      </w:pPr>
      <w:bookmarkStart w:id="482" w:name="_Toc3382"/>
      <w:r>
        <w:rPr>
          <w:rFonts w:hint="eastAsia" w:cs="Times New Roman"/>
          <w:color w:val="000000" w:themeColor="text1"/>
          <w14:textFill>
            <w14:solidFill>
              <w14:schemeClr w14:val="tx1"/>
            </w14:solidFill>
          </w14:textFill>
        </w:rPr>
        <w:t>附表</w:t>
      </w:r>
      <w:r>
        <w:rPr>
          <w:rFonts w:cs="Times New Roman"/>
          <w:color w:val="000000" w:themeColor="text1"/>
          <w14:textFill>
            <w14:solidFill>
              <w14:schemeClr w14:val="tx1"/>
            </w14:solidFill>
          </w14:textFill>
        </w:rPr>
        <w:t>5</w:t>
      </w:r>
      <w:r>
        <w:rPr>
          <w:rFonts w:hint="eastAsia" w:cs="Times New Roman"/>
          <w:color w:val="000000" w:themeColor="text1"/>
          <w14:textFill>
            <w14:solidFill>
              <w14:schemeClr w14:val="tx1"/>
            </w14:solidFill>
          </w14:textFill>
        </w:rPr>
        <w:t>建设项目声环境影响评价自查表</w:t>
      </w:r>
      <w:bookmarkEnd w:id="482"/>
    </w:p>
    <w:tbl>
      <w:tblPr>
        <w:tblStyle w:val="4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92"/>
        <w:gridCol w:w="1004"/>
        <w:gridCol w:w="1052"/>
        <w:gridCol w:w="214"/>
        <w:gridCol w:w="314"/>
        <w:gridCol w:w="394"/>
        <w:gridCol w:w="131"/>
        <w:gridCol w:w="12"/>
        <w:gridCol w:w="414"/>
        <w:gridCol w:w="625"/>
        <w:gridCol w:w="7"/>
        <w:gridCol w:w="632"/>
        <w:gridCol w:w="25"/>
        <w:gridCol w:w="391"/>
        <w:gridCol w:w="7"/>
        <w:gridCol w:w="527"/>
        <w:gridCol w:w="314"/>
        <w:gridCol w:w="211"/>
        <w:gridCol w:w="1046"/>
      </w:tblGrid>
      <w:tr w14:paraId="2179F9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201" w:type="pct"/>
            <w:gridSpan w:val="2"/>
            <w:shd w:val="clear" w:color="auto" w:fill="auto"/>
            <w:vAlign w:val="center"/>
          </w:tcPr>
          <w:p w14:paraId="4BAD168D">
            <w:pPr>
              <w:pStyle w:val="406"/>
              <w:adjustRightInd w:val="0"/>
              <w:snapToGrid w:val="0"/>
              <w:jc w:val="center"/>
              <w:rPr>
                <w:rFonts w:ascii="Times New Roman" w:hAnsi="Times New Roman"/>
                <w:color w:val="000000" w:themeColor="text1"/>
                <w:sz w:val="18"/>
                <w:szCs w:val="18"/>
                <w14:textFill>
                  <w14:solidFill>
                    <w14:schemeClr w14:val="tx1"/>
                  </w14:solidFill>
                </w14:textFill>
              </w:rPr>
            </w:pPr>
            <w:r>
              <w:rPr>
                <w:rFonts w:ascii="Times New Roman" w:hAnsi="Times New Roman"/>
                <w:color w:val="000000" w:themeColor="text1"/>
                <w:sz w:val="18"/>
                <w:szCs w:val="18"/>
                <w14:textFill>
                  <w14:solidFill>
                    <w14:schemeClr w14:val="tx1"/>
                  </w14:solidFill>
                </w14:textFill>
              </w:rPr>
              <w:t>工作内容</w:t>
            </w:r>
          </w:p>
        </w:tc>
        <w:tc>
          <w:tcPr>
            <w:tcW w:w="3799" w:type="pct"/>
            <w:gridSpan w:val="17"/>
            <w:shd w:val="clear" w:color="auto" w:fill="auto"/>
            <w:vAlign w:val="center"/>
          </w:tcPr>
          <w:p w14:paraId="4A47043A">
            <w:pPr>
              <w:pStyle w:val="406"/>
              <w:adjustRightInd w:val="0"/>
              <w:snapToGrid w:val="0"/>
              <w:jc w:val="center"/>
              <w:rPr>
                <w:rFonts w:ascii="Times New Roman" w:hAnsi="Times New Roman"/>
                <w:color w:val="000000" w:themeColor="text1"/>
                <w:sz w:val="18"/>
                <w:szCs w:val="18"/>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自查项目</w:t>
            </w:r>
          </w:p>
        </w:tc>
      </w:tr>
      <w:tr w14:paraId="20BE31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shd w:val="clear" w:color="auto" w:fill="auto"/>
            <w:vAlign w:val="center"/>
          </w:tcPr>
          <w:p w14:paraId="5F5A8C25">
            <w:pPr>
              <w:pStyle w:val="406"/>
              <w:jc w:val="center"/>
              <w:rPr>
                <w:rFonts w:ascii="Times New Roman" w:hAnsi="Times New Roman"/>
                <w:color w:val="000000" w:themeColor="text1"/>
                <w:sz w:val="18"/>
                <w:szCs w:val="18"/>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评价等级与范围</w:t>
            </w:r>
          </w:p>
        </w:tc>
        <w:tc>
          <w:tcPr>
            <w:tcW w:w="604" w:type="pct"/>
            <w:shd w:val="clear" w:color="auto" w:fill="auto"/>
            <w:vAlign w:val="center"/>
          </w:tcPr>
          <w:p w14:paraId="2FBF4720">
            <w:pPr>
              <w:pStyle w:val="406"/>
              <w:adjustRightInd w:val="0"/>
              <w:snapToGrid w:val="0"/>
              <w:jc w:val="center"/>
              <w:rPr>
                <w:rFonts w:ascii="Times New Roman" w:hAnsi="Times New Roman"/>
                <w:color w:val="000000" w:themeColor="text1"/>
                <w:sz w:val="18"/>
                <w:szCs w:val="18"/>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评价等级</w:t>
            </w:r>
          </w:p>
        </w:tc>
        <w:tc>
          <w:tcPr>
            <w:tcW w:w="1274" w:type="pct"/>
            <w:gridSpan w:val="6"/>
            <w:shd w:val="clear" w:color="auto" w:fill="auto"/>
            <w:vAlign w:val="center"/>
          </w:tcPr>
          <w:p w14:paraId="58186EBD">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一级□</w:t>
            </w:r>
          </w:p>
        </w:tc>
        <w:tc>
          <w:tcPr>
            <w:tcW w:w="1024" w:type="pct"/>
            <w:gridSpan w:val="5"/>
            <w:shd w:val="clear" w:color="auto" w:fill="auto"/>
            <w:vAlign w:val="center"/>
          </w:tcPr>
          <w:p w14:paraId="3C5D39E1">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二级□</w:t>
            </w:r>
          </w:p>
        </w:tc>
        <w:tc>
          <w:tcPr>
            <w:tcW w:w="1501" w:type="pct"/>
            <w:gridSpan w:val="6"/>
            <w:shd w:val="clear" w:color="auto" w:fill="auto"/>
            <w:vAlign w:val="center"/>
          </w:tcPr>
          <w:p w14:paraId="5F8231D2">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三级√</w:t>
            </w:r>
          </w:p>
        </w:tc>
      </w:tr>
      <w:tr w14:paraId="297187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3B74A75D">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05457454">
            <w:pPr>
              <w:pStyle w:val="406"/>
              <w:adjustRightInd w:val="0"/>
              <w:snapToGrid w:val="0"/>
              <w:jc w:val="center"/>
              <w:rPr>
                <w:rFonts w:ascii="Times New Roman" w:hAnsi="Times New Roman"/>
                <w:color w:val="000000" w:themeColor="text1"/>
                <w:sz w:val="18"/>
                <w:szCs w:val="18"/>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评价范围</w:t>
            </w:r>
          </w:p>
        </w:tc>
        <w:tc>
          <w:tcPr>
            <w:tcW w:w="1274" w:type="pct"/>
            <w:gridSpan w:val="6"/>
            <w:shd w:val="clear" w:color="auto" w:fill="auto"/>
            <w:vAlign w:val="center"/>
          </w:tcPr>
          <w:p w14:paraId="548C7050">
            <w:pPr>
              <w:pStyle w:val="406"/>
              <w:adjustRightInd w:val="0"/>
              <w:snapToGrid w:val="0"/>
              <w:jc w:val="center"/>
              <w:rPr>
                <w:rFonts w:ascii="Times New Roman" w:hAnsi="Times New Roman"/>
                <w:color w:val="000000" w:themeColor="text1"/>
                <w:sz w:val="18"/>
                <w:szCs w:val="18"/>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2</w:t>
            </w:r>
            <w:r>
              <w:rPr>
                <w:rFonts w:ascii="Times New Roman" w:hAnsi="Times New Roman"/>
                <w:color w:val="000000" w:themeColor="text1"/>
                <w:sz w:val="18"/>
                <w:szCs w:val="18"/>
                <w:lang w:eastAsia="zh-CN"/>
                <w14:textFill>
                  <w14:solidFill>
                    <w14:schemeClr w14:val="tx1"/>
                  </w14:solidFill>
                </w14:textFill>
              </w:rPr>
              <w:t>00</w:t>
            </w:r>
            <w:r>
              <w:rPr>
                <w:rFonts w:hint="eastAsia" w:ascii="Times New Roman" w:hAnsi="Times New Roman"/>
                <w:color w:val="000000" w:themeColor="text1"/>
                <w:sz w:val="18"/>
                <w:szCs w:val="18"/>
                <w:lang w:eastAsia="zh-CN"/>
                <w14:textFill>
                  <w14:solidFill>
                    <w14:schemeClr w14:val="tx1"/>
                  </w14:solidFill>
                </w14:textFill>
              </w:rPr>
              <w:t>m√</w:t>
            </w:r>
          </w:p>
        </w:tc>
        <w:tc>
          <w:tcPr>
            <w:tcW w:w="1024" w:type="pct"/>
            <w:gridSpan w:val="5"/>
            <w:shd w:val="clear" w:color="auto" w:fill="auto"/>
            <w:vAlign w:val="center"/>
          </w:tcPr>
          <w:p w14:paraId="2ABD96F0">
            <w:pPr>
              <w:pStyle w:val="406"/>
              <w:adjustRightInd w:val="0"/>
              <w:snapToGrid w:val="0"/>
              <w:jc w:val="center"/>
              <w:rPr>
                <w:rFonts w:ascii="Times New Roman" w:hAnsi="Times New Roman"/>
                <w:color w:val="000000" w:themeColor="text1"/>
                <w:sz w:val="18"/>
                <w:szCs w:val="18"/>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大于2</w:t>
            </w:r>
            <w:r>
              <w:rPr>
                <w:rFonts w:ascii="Times New Roman" w:hAnsi="Times New Roman"/>
                <w:color w:val="000000" w:themeColor="text1"/>
                <w:sz w:val="18"/>
                <w:szCs w:val="18"/>
                <w:lang w:eastAsia="zh-CN"/>
                <w14:textFill>
                  <w14:solidFill>
                    <w14:schemeClr w14:val="tx1"/>
                  </w14:solidFill>
                </w14:textFill>
              </w:rPr>
              <w:t>00</w:t>
            </w:r>
            <w:r>
              <w:rPr>
                <w:rFonts w:hint="eastAsia" w:ascii="Times New Roman" w:hAnsi="Times New Roman"/>
                <w:color w:val="000000" w:themeColor="text1"/>
                <w:sz w:val="18"/>
                <w:szCs w:val="18"/>
                <w:lang w:eastAsia="zh-CN"/>
                <w14:textFill>
                  <w14:solidFill>
                    <w14:schemeClr w14:val="tx1"/>
                  </w14:solidFill>
                </w14:textFill>
              </w:rPr>
              <w:t>m□</w:t>
            </w:r>
          </w:p>
        </w:tc>
        <w:tc>
          <w:tcPr>
            <w:tcW w:w="1501" w:type="pct"/>
            <w:gridSpan w:val="6"/>
            <w:shd w:val="clear" w:color="auto" w:fill="auto"/>
            <w:vAlign w:val="center"/>
          </w:tcPr>
          <w:p w14:paraId="465441EA">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小于2</w:t>
            </w:r>
            <w:r>
              <w:rPr>
                <w:rFonts w:ascii="Times New Roman" w:hAnsi="Times New Roman"/>
                <w:color w:val="000000" w:themeColor="text1"/>
                <w:sz w:val="18"/>
                <w:szCs w:val="18"/>
                <w:lang w:eastAsia="zh-CN"/>
                <w14:textFill>
                  <w14:solidFill>
                    <w14:schemeClr w14:val="tx1"/>
                  </w14:solidFill>
                </w14:textFill>
              </w:rPr>
              <w:t>00</w:t>
            </w:r>
            <w:r>
              <w:rPr>
                <w:rFonts w:hint="eastAsia" w:ascii="Times New Roman" w:hAnsi="Times New Roman"/>
                <w:color w:val="000000" w:themeColor="text1"/>
                <w:sz w:val="18"/>
                <w:szCs w:val="18"/>
                <w:lang w:eastAsia="zh-CN"/>
                <w14:textFill>
                  <w14:solidFill>
                    <w14:schemeClr w14:val="tx1"/>
                  </w14:solidFill>
                </w14:textFill>
              </w:rPr>
              <w:t>m□</w:t>
            </w:r>
          </w:p>
        </w:tc>
      </w:tr>
      <w:tr w14:paraId="76097C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shd w:val="clear" w:color="auto" w:fill="auto"/>
            <w:vAlign w:val="center"/>
          </w:tcPr>
          <w:p w14:paraId="03756182">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评价因子</w:t>
            </w:r>
          </w:p>
        </w:tc>
        <w:tc>
          <w:tcPr>
            <w:tcW w:w="604" w:type="pct"/>
            <w:shd w:val="clear" w:color="auto" w:fill="auto"/>
            <w:vAlign w:val="center"/>
          </w:tcPr>
          <w:p w14:paraId="492A6B41">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评价因子</w:t>
            </w:r>
          </w:p>
        </w:tc>
        <w:tc>
          <w:tcPr>
            <w:tcW w:w="1274" w:type="pct"/>
            <w:gridSpan w:val="6"/>
            <w:shd w:val="clear" w:color="auto" w:fill="auto"/>
            <w:vAlign w:val="center"/>
          </w:tcPr>
          <w:p w14:paraId="7B616AD6">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等效连续A声级</w:t>
            </w:r>
            <w:r>
              <w:rPr>
                <w:rFonts w:hint="eastAsia" w:ascii="Times New Roman" w:hAnsi="Times New Roman"/>
                <w:color w:val="000000" w:themeColor="text1"/>
                <w:sz w:val="18"/>
                <w:szCs w:val="18"/>
                <w:lang w:eastAsia="zh-CN"/>
                <w14:textFill>
                  <w14:solidFill>
                    <w14:schemeClr w14:val="tx1"/>
                  </w14:solidFill>
                </w14:textFill>
              </w:rPr>
              <w:t>√</w:t>
            </w:r>
          </w:p>
        </w:tc>
        <w:tc>
          <w:tcPr>
            <w:tcW w:w="1024" w:type="pct"/>
            <w:gridSpan w:val="5"/>
            <w:shd w:val="clear" w:color="auto" w:fill="auto"/>
            <w:vAlign w:val="center"/>
          </w:tcPr>
          <w:p w14:paraId="634C85DB">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最大A声级</w:t>
            </w:r>
            <w:r>
              <w:rPr>
                <w:rFonts w:hint="eastAsia" w:ascii="Times New Roman" w:hAnsi="Times New Roman"/>
                <w:color w:val="000000" w:themeColor="text1"/>
                <w:sz w:val="18"/>
                <w:szCs w:val="18"/>
                <w:lang w:eastAsia="zh-CN"/>
                <w14:textFill>
                  <w14:solidFill>
                    <w14:schemeClr w14:val="tx1"/>
                  </w14:solidFill>
                </w14:textFill>
              </w:rPr>
              <w:t>□</w:t>
            </w:r>
          </w:p>
        </w:tc>
        <w:tc>
          <w:tcPr>
            <w:tcW w:w="1501" w:type="pct"/>
            <w:gridSpan w:val="6"/>
            <w:shd w:val="clear" w:color="auto" w:fill="auto"/>
            <w:vAlign w:val="center"/>
          </w:tcPr>
          <w:p w14:paraId="09B814FA">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计权等效连续感觉噪声级□</w:t>
            </w:r>
          </w:p>
        </w:tc>
      </w:tr>
      <w:tr w14:paraId="28A1C1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shd w:val="clear" w:color="auto" w:fill="auto"/>
            <w:vAlign w:val="center"/>
          </w:tcPr>
          <w:p w14:paraId="64F2B318">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评价标准</w:t>
            </w:r>
          </w:p>
        </w:tc>
        <w:tc>
          <w:tcPr>
            <w:tcW w:w="604" w:type="pct"/>
            <w:shd w:val="clear" w:color="auto" w:fill="auto"/>
            <w:vAlign w:val="center"/>
          </w:tcPr>
          <w:p w14:paraId="4DCD9C2D">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评价标准</w:t>
            </w:r>
          </w:p>
        </w:tc>
        <w:tc>
          <w:tcPr>
            <w:tcW w:w="1274" w:type="pct"/>
            <w:gridSpan w:val="6"/>
            <w:shd w:val="clear" w:color="auto" w:fill="auto"/>
            <w:vAlign w:val="center"/>
          </w:tcPr>
          <w:p w14:paraId="63ED38DF">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国家标准√</w:t>
            </w:r>
          </w:p>
        </w:tc>
        <w:tc>
          <w:tcPr>
            <w:tcW w:w="1024" w:type="pct"/>
            <w:gridSpan w:val="5"/>
            <w:shd w:val="clear" w:color="auto" w:fill="auto"/>
            <w:vAlign w:val="center"/>
          </w:tcPr>
          <w:p w14:paraId="1EABAAA4">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地方标准□</w:t>
            </w:r>
          </w:p>
        </w:tc>
        <w:tc>
          <w:tcPr>
            <w:tcW w:w="1501" w:type="pct"/>
            <w:gridSpan w:val="6"/>
            <w:shd w:val="clear" w:color="auto" w:fill="auto"/>
            <w:vAlign w:val="center"/>
          </w:tcPr>
          <w:p w14:paraId="3ABE1112">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国外标准□</w:t>
            </w:r>
          </w:p>
        </w:tc>
      </w:tr>
      <w:tr w14:paraId="2CC005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shd w:val="clear" w:color="auto" w:fill="auto"/>
            <w:vAlign w:val="center"/>
          </w:tcPr>
          <w:p w14:paraId="6099412A">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现状评价</w:t>
            </w:r>
          </w:p>
        </w:tc>
        <w:tc>
          <w:tcPr>
            <w:tcW w:w="604" w:type="pct"/>
            <w:shd w:val="clear" w:color="auto" w:fill="auto"/>
            <w:vAlign w:val="center"/>
          </w:tcPr>
          <w:p w14:paraId="7265DE91">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环境功能区</w:t>
            </w:r>
          </w:p>
        </w:tc>
        <w:tc>
          <w:tcPr>
            <w:tcW w:w="633" w:type="pct"/>
            <w:shd w:val="clear" w:color="auto" w:fill="auto"/>
            <w:vAlign w:val="center"/>
          </w:tcPr>
          <w:p w14:paraId="4918599C">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0类区□</w:t>
            </w:r>
          </w:p>
        </w:tc>
        <w:tc>
          <w:tcPr>
            <w:tcW w:w="555" w:type="pct"/>
            <w:gridSpan w:val="3"/>
            <w:shd w:val="clear" w:color="auto" w:fill="auto"/>
            <w:vAlign w:val="center"/>
          </w:tcPr>
          <w:p w14:paraId="4632961B">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1类区□</w:t>
            </w:r>
          </w:p>
        </w:tc>
        <w:tc>
          <w:tcPr>
            <w:tcW w:w="715" w:type="pct"/>
            <w:gridSpan w:val="5"/>
            <w:shd w:val="clear" w:color="auto" w:fill="auto"/>
            <w:vAlign w:val="center"/>
          </w:tcPr>
          <w:p w14:paraId="1DB55AE2">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2类区□</w:t>
            </w:r>
          </w:p>
        </w:tc>
        <w:tc>
          <w:tcPr>
            <w:tcW w:w="634" w:type="pct"/>
            <w:gridSpan w:val="4"/>
            <w:shd w:val="clear" w:color="auto" w:fill="auto"/>
            <w:vAlign w:val="center"/>
          </w:tcPr>
          <w:p w14:paraId="516C581B">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3类区√</w:t>
            </w:r>
          </w:p>
        </w:tc>
        <w:tc>
          <w:tcPr>
            <w:tcW w:w="633" w:type="pct"/>
            <w:gridSpan w:val="3"/>
            <w:shd w:val="clear" w:color="auto" w:fill="auto"/>
            <w:vAlign w:val="center"/>
          </w:tcPr>
          <w:p w14:paraId="447CF301">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4</w:t>
            </w:r>
            <w:r>
              <w:rPr>
                <w:rFonts w:ascii="Times New Roman" w:hAnsi="Times New Roman"/>
                <w:color w:val="000000" w:themeColor="text1"/>
                <w:sz w:val="18"/>
                <w:szCs w:val="18"/>
                <w:lang w:eastAsia="zh-CN"/>
                <w14:textFill>
                  <w14:solidFill>
                    <w14:schemeClr w14:val="tx1"/>
                  </w14:solidFill>
                </w14:textFill>
              </w:rPr>
              <w:t>a</w:t>
            </w:r>
            <w:r>
              <w:rPr>
                <w:rFonts w:hint="eastAsia" w:ascii="Times New Roman" w:hAnsi="Times New Roman"/>
                <w:color w:val="000000" w:themeColor="text1"/>
                <w:sz w:val="18"/>
                <w:szCs w:val="18"/>
                <w:lang w:eastAsia="zh-CN"/>
                <w14:textFill>
                  <w14:solidFill>
                    <w14:schemeClr w14:val="tx1"/>
                  </w14:solidFill>
                </w14:textFill>
              </w:rPr>
              <w:t>类区☑</w:t>
            </w:r>
          </w:p>
        </w:tc>
        <w:tc>
          <w:tcPr>
            <w:tcW w:w="629" w:type="pct"/>
            <w:shd w:val="clear" w:color="auto" w:fill="auto"/>
            <w:vAlign w:val="center"/>
          </w:tcPr>
          <w:p w14:paraId="0883361F">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4</w:t>
            </w:r>
            <w:r>
              <w:rPr>
                <w:rFonts w:ascii="Times New Roman" w:hAnsi="Times New Roman"/>
                <w:color w:val="000000" w:themeColor="text1"/>
                <w:sz w:val="18"/>
                <w:szCs w:val="18"/>
                <w:lang w:eastAsia="zh-CN"/>
                <w14:textFill>
                  <w14:solidFill>
                    <w14:schemeClr w14:val="tx1"/>
                  </w14:solidFill>
                </w14:textFill>
              </w:rPr>
              <w:t>b</w:t>
            </w:r>
            <w:r>
              <w:rPr>
                <w:rFonts w:hint="eastAsia" w:ascii="Times New Roman" w:hAnsi="Times New Roman"/>
                <w:color w:val="000000" w:themeColor="text1"/>
                <w:sz w:val="18"/>
                <w:szCs w:val="18"/>
                <w:lang w:eastAsia="zh-CN"/>
                <w14:textFill>
                  <w14:solidFill>
                    <w14:schemeClr w14:val="tx1"/>
                  </w14:solidFill>
                </w14:textFill>
              </w:rPr>
              <w:t>类区□</w:t>
            </w:r>
          </w:p>
        </w:tc>
      </w:tr>
      <w:tr w14:paraId="6705C2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5D8E89A1">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4042D163">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评价年度</w:t>
            </w:r>
          </w:p>
        </w:tc>
        <w:tc>
          <w:tcPr>
            <w:tcW w:w="951" w:type="pct"/>
            <w:gridSpan w:val="3"/>
            <w:shd w:val="clear" w:color="auto" w:fill="auto"/>
            <w:vAlign w:val="center"/>
          </w:tcPr>
          <w:p w14:paraId="5E678C05">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初期□</w:t>
            </w:r>
          </w:p>
        </w:tc>
        <w:tc>
          <w:tcPr>
            <w:tcW w:w="952" w:type="pct"/>
            <w:gridSpan w:val="6"/>
            <w:shd w:val="clear" w:color="auto" w:fill="auto"/>
            <w:vAlign w:val="center"/>
          </w:tcPr>
          <w:p w14:paraId="4573797A">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近期√</w:t>
            </w:r>
          </w:p>
        </w:tc>
        <w:tc>
          <w:tcPr>
            <w:tcW w:w="951" w:type="pct"/>
            <w:gridSpan w:val="5"/>
            <w:shd w:val="clear" w:color="auto" w:fill="auto"/>
            <w:vAlign w:val="center"/>
          </w:tcPr>
          <w:p w14:paraId="7A08191B">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中期□</w:t>
            </w:r>
          </w:p>
        </w:tc>
        <w:tc>
          <w:tcPr>
            <w:tcW w:w="945" w:type="pct"/>
            <w:gridSpan w:val="3"/>
            <w:shd w:val="clear" w:color="auto" w:fill="auto"/>
            <w:vAlign w:val="center"/>
          </w:tcPr>
          <w:p w14:paraId="23B80E35">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远期□</w:t>
            </w:r>
          </w:p>
        </w:tc>
      </w:tr>
      <w:tr w14:paraId="00842B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62F8DCAC">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003695C5">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现状调查方法</w:t>
            </w:r>
          </w:p>
        </w:tc>
        <w:tc>
          <w:tcPr>
            <w:tcW w:w="1188" w:type="pct"/>
            <w:gridSpan w:val="4"/>
            <w:shd w:val="clear" w:color="auto" w:fill="auto"/>
            <w:vAlign w:val="center"/>
          </w:tcPr>
          <w:p w14:paraId="491C4D87">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现场实测法√</w:t>
            </w:r>
          </w:p>
        </w:tc>
        <w:tc>
          <w:tcPr>
            <w:tcW w:w="1348" w:type="pct"/>
            <w:gridSpan w:val="9"/>
            <w:shd w:val="clear" w:color="auto" w:fill="auto"/>
            <w:vAlign w:val="center"/>
          </w:tcPr>
          <w:p w14:paraId="5DD71F44">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现场实测加模型计算法□</w:t>
            </w:r>
          </w:p>
        </w:tc>
        <w:tc>
          <w:tcPr>
            <w:tcW w:w="1262" w:type="pct"/>
            <w:gridSpan w:val="4"/>
            <w:shd w:val="clear" w:color="auto" w:fill="auto"/>
            <w:vAlign w:val="center"/>
          </w:tcPr>
          <w:p w14:paraId="20D75929">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收集资料□</w:t>
            </w:r>
          </w:p>
        </w:tc>
      </w:tr>
      <w:tr w14:paraId="4AB72C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69772B10">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1BBBE6BF">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现状评价</w:t>
            </w:r>
          </w:p>
        </w:tc>
        <w:tc>
          <w:tcPr>
            <w:tcW w:w="762" w:type="pct"/>
            <w:gridSpan w:val="2"/>
            <w:shd w:val="clear" w:color="auto" w:fill="auto"/>
            <w:vAlign w:val="center"/>
          </w:tcPr>
          <w:p w14:paraId="128FFBD7">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达标百分比</w:t>
            </w:r>
          </w:p>
        </w:tc>
        <w:tc>
          <w:tcPr>
            <w:tcW w:w="3037" w:type="pct"/>
            <w:gridSpan w:val="15"/>
            <w:shd w:val="clear" w:color="auto" w:fill="auto"/>
            <w:vAlign w:val="center"/>
          </w:tcPr>
          <w:p w14:paraId="38BD2167">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1</w:t>
            </w:r>
            <w:r>
              <w:rPr>
                <w:rFonts w:ascii="Times New Roman" w:hAnsi="Times New Roman"/>
                <w:color w:val="000000" w:themeColor="text1"/>
                <w:sz w:val="18"/>
                <w:szCs w:val="18"/>
                <w:lang w:eastAsia="zh-CN"/>
                <w14:textFill>
                  <w14:solidFill>
                    <w14:schemeClr w14:val="tx1"/>
                  </w14:solidFill>
                </w14:textFill>
              </w:rPr>
              <w:t>00%</w:t>
            </w:r>
          </w:p>
        </w:tc>
      </w:tr>
      <w:tr w14:paraId="360BDE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shd w:val="clear" w:color="auto" w:fill="auto"/>
            <w:vAlign w:val="center"/>
          </w:tcPr>
          <w:p w14:paraId="702110E9">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噪声源调查</w:t>
            </w:r>
          </w:p>
        </w:tc>
        <w:tc>
          <w:tcPr>
            <w:tcW w:w="604" w:type="pct"/>
            <w:shd w:val="clear" w:color="auto" w:fill="auto"/>
            <w:vAlign w:val="center"/>
          </w:tcPr>
          <w:p w14:paraId="3F92AAF6">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噪声源调查方法</w:t>
            </w:r>
          </w:p>
        </w:tc>
        <w:tc>
          <w:tcPr>
            <w:tcW w:w="1274" w:type="pct"/>
            <w:gridSpan w:val="6"/>
            <w:shd w:val="clear" w:color="auto" w:fill="auto"/>
            <w:vAlign w:val="center"/>
          </w:tcPr>
          <w:p w14:paraId="78B583FE">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现场实测□</w:t>
            </w:r>
          </w:p>
        </w:tc>
        <w:tc>
          <w:tcPr>
            <w:tcW w:w="1263" w:type="pct"/>
            <w:gridSpan w:val="7"/>
            <w:shd w:val="clear" w:color="auto" w:fill="auto"/>
            <w:vAlign w:val="center"/>
          </w:tcPr>
          <w:p w14:paraId="6695A54D">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已有资料√</w:t>
            </w:r>
          </w:p>
        </w:tc>
        <w:tc>
          <w:tcPr>
            <w:tcW w:w="1262" w:type="pct"/>
            <w:gridSpan w:val="4"/>
            <w:shd w:val="clear" w:color="auto" w:fill="auto"/>
            <w:vAlign w:val="center"/>
          </w:tcPr>
          <w:p w14:paraId="15F368E5">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研究成果□</w:t>
            </w:r>
          </w:p>
        </w:tc>
      </w:tr>
      <w:tr w14:paraId="317340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shd w:val="clear" w:color="auto" w:fill="auto"/>
            <w:vAlign w:val="center"/>
          </w:tcPr>
          <w:p w14:paraId="00668EE3">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声环境影响预测与评价</w:t>
            </w:r>
          </w:p>
        </w:tc>
        <w:tc>
          <w:tcPr>
            <w:tcW w:w="604" w:type="pct"/>
            <w:shd w:val="clear" w:color="auto" w:fill="auto"/>
            <w:vAlign w:val="center"/>
          </w:tcPr>
          <w:p w14:paraId="79845A00">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预测模型</w:t>
            </w:r>
          </w:p>
        </w:tc>
        <w:tc>
          <w:tcPr>
            <w:tcW w:w="1903" w:type="pct"/>
            <w:gridSpan w:val="9"/>
            <w:shd w:val="clear" w:color="auto" w:fill="auto"/>
            <w:vAlign w:val="center"/>
          </w:tcPr>
          <w:p w14:paraId="657DB367">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导则推荐模型√</w:t>
            </w:r>
          </w:p>
        </w:tc>
        <w:tc>
          <w:tcPr>
            <w:tcW w:w="1896" w:type="pct"/>
            <w:gridSpan w:val="8"/>
            <w:shd w:val="clear" w:color="auto" w:fill="auto"/>
            <w:vAlign w:val="center"/>
          </w:tcPr>
          <w:p w14:paraId="225852F5">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其他□</w:t>
            </w:r>
          </w:p>
        </w:tc>
      </w:tr>
      <w:tr w14:paraId="2D2D31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2D912EC2">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35BBA431">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预测范围</w:t>
            </w:r>
          </w:p>
        </w:tc>
        <w:tc>
          <w:tcPr>
            <w:tcW w:w="1274" w:type="pct"/>
            <w:gridSpan w:val="6"/>
            <w:shd w:val="clear" w:color="auto" w:fill="auto"/>
            <w:vAlign w:val="center"/>
          </w:tcPr>
          <w:p w14:paraId="7A96ABDC">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2</w:t>
            </w:r>
            <w:r>
              <w:rPr>
                <w:rFonts w:ascii="Times New Roman" w:hAnsi="Times New Roman"/>
                <w:color w:val="000000" w:themeColor="text1"/>
                <w:sz w:val="18"/>
                <w:szCs w:val="18"/>
                <w:lang w:eastAsia="zh-CN"/>
                <w14:textFill>
                  <w14:solidFill>
                    <w14:schemeClr w14:val="tx1"/>
                  </w14:solidFill>
                </w14:textFill>
              </w:rPr>
              <w:t>00</w:t>
            </w:r>
            <w:r>
              <w:rPr>
                <w:rFonts w:hint="eastAsia" w:ascii="Times New Roman" w:hAnsi="Times New Roman"/>
                <w:color w:val="000000" w:themeColor="text1"/>
                <w:sz w:val="18"/>
                <w:szCs w:val="18"/>
                <w:lang w:eastAsia="zh-CN"/>
                <w14:textFill>
                  <w14:solidFill>
                    <w14:schemeClr w14:val="tx1"/>
                  </w14:solidFill>
                </w14:textFill>
              </w:rPr>
              <w:t>m√</w:t>
            </w:r>
          </w:p>
        </w:tc>
        <w:tc>
          <w:tcPr>
            <w:tcW w:w="1263" w:type="pct"/>
            <w:gridSpan w:val="7"/>
            <w:shd w:val="clear" w:color="auto" w:fill="auto"/>
            <w:vAlign w:val="center"/>
          </w:tcPr>
          <w:p w14:paraId="014C22BE">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大于2</w:t>
            </w:r>
            <w:r>
              <w:rPr>
                <w:rFonts w:ascii="Times New Roman" w:hAnsi="Times New Roman"/>
                <w:color w:val="000000" w:themeColor="text1"/>
                <w:sz w:val="18"/>
                <w:szCs w:val="18"/>
                <w:lang w:eastAsia="zh-CN"/>
                <w14:textFill>
                  <w14:solidFill>
                    <w14:schemeClr w14:val="tx1"/>
                  </w14:solidFill>
                </w14:textFill>
              </w:rPr>
              <w:t>00</w:t>
            </w:r>
            <w:r>
              <w:rPr>
                <w:rFonts w:hint="eastAsia" w:ascii="Times New Roman" w:hAnsi="Times New Roman"/>
                <w:color w:val="000000" w:themeColor="text1"/>
                <w:sz w:val="18"/>
                <w:szCs w:val="18"/>
                <w:lang w:eastAsia="zh-CN"/>
                <w14:textFill>
                  <w14:solidFill>
                    <w14:schemeClr w14:val="tx1"/>
                  </w14:solidFill>
                </w14:textFill>
              </w:rPr>
              <w:t>m□</w:t>
            </w:r>
          </w:p>
        </w:tc>
        <w:tc>
          <w:tcPr>
            <w:tcW w:w="1262" w:type="pct"/>
            <w:gridSpan w:val="4"/>
            <w:shd w:val="clear" w:color="auto" w:fill="auto"/>
            <w:vAlign w:val="center"/>
          </w:tcPr>
          <w:p w14:paraId="60DD8466">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小于2</w:t>
            </w:r>
            <w:r>
              <w:rPr>
                <w:rFonts w:ascii="Times New Roman" w:hAnsi="Times New Roman"/>
                <w:color w:val="000000" w:themeColor="text1"/>
                <w:sz w:val="18"/>
                <w:szCs w:val="18"/>
                <w:lang w:eastAsia="zh-CN"/>
                <w14:textFill>
                  <w14:solidFill>
                    <w14:schemeClr w14:val="tx1"/>
                  </w14:solidFill>
                </w14:textFill>
              </w:rPr>
              <w:t>00</w:t>
            </w:r>
            <w:r>
              <w:rPr>
                <w:rFonts w:hint="eastAsia" w:ascii="Times New Roman" w:hAnsi="Times New Roman"/>
                <w:color w:val="000000" w:themeColor="text1"/>
                <w:sz w:val="18"/>
                <w:szCs w:val="18"/>
                <w:lang w:eastAsia="zh-CN"/>
                <w14:textFill>
                  <w14:solidFill>
                    <w14:schemeClr w14:val="tx1"/>
                  </w14:solidFill>
                </w14:textFill>
              </w:rPr>
              <w:t>m□</w:t>
            </w:r>
          </w:p>
        </w:tc>
      </w:tr>
      <w:tr w14:paraId="7804C8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39DC1DE6">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4C73E2A3">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预测因子</w:t>
            </w:r>
          </w:p>
        </w:tc>
        <w:tc>
          <w:tcPr>
            <w:tcW w:w="1274" w:type="pct"/>
            <w:gridSpan w:val="6"/>
            <w:shd w:val="clear" w:color="auto" w:fill="auto"/>
            <w:vAlign w:val="center"/>
          </w:tcPr>
          <w:p w14:paraId="14CA5824">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等效连续A声级</w:t>
            </w:r>
            <w:r>
              <w:rPr>
                <w:rFonts w:hint="eastAsia" w:ascii="Times New Roman" w:hAnsi="Times New Roman"/>
                <w:color w:val="000000" w:themeColor="text1"/>
                <w:sz w:val="18"/>
                <w:szCs w:val="18"/>
                <w:lang w:eastAsia="zh-CN"/>
                <w14:textFill>
                  <w14:solidFill>
                    <w14:schemeClr w14:val="tx1"/>
                  </w14:solidFill>
                </w14:textFill>
              </w:rPr>
              <w:t>√</w:t>
            </w:r>
          </w:p>
        </w:tc>
        <w:tc>
          <w:tcPr>
            <w:tcW w:w="1263" w:type="pct"/>
            <w:gridSpan w:val="7"/>
            <w:shd w:val="clear" w:color="auto" w:fill="auto"/>
            <w:vAlign w:val="center"/>
          </w:tcPr>
          <w:p w14:paraId="31A41726">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14:textFill>
                  <w14:solidFill>
                    <w14:schemeClr w14:val="tx1"/>
                  </w14:solidFill>
                </w14:textFill>
              </w:rPr>
              <w:t>最大A声级</w:t>
            </w:r>
            <w:r>
              <w:rPr>
                <w:rFonts w:hint="eastAsia" w:ascii="Times New Roman" w:hAnsi="Times New Roman"/>
                <w:color w:val="000000" w:themeColor="text1"/>
                <w:sz w:val="18"/>
                <w:szCs w:val="18"/>
                <w:lang w:eastAsia="zh-CN"/>
                <w14:textFill>
                  <w14:solidFill>
                    <w14:schemeClr w14:val="tx1"/>
                  </w14:solidFill>
                </w14:textFill>
              </w:rPr>
              <w:t>□</w:t>
            </w:r>
          </w:p>
        </w:tc>
        <w:tc>
          <w:tcPr>
            <w:tcW w:w="1262" w:type="pct"/>
            <w:gridSpan w:val="4"/>
            <w:shd w:val="clear" w:color="auto" w:fill="auto"/>
            <w:vAlign w:val="center"/>
          </w:tcPr>
          <w:p w14:paraId="7F18DDE0">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计权等效连续感觉噪声级□</w:t>
            </w:r>
          </w:p>
        </w:tc>
      </w:tr>
      <w:tr w14:paraId="69D1F3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6A96104A">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19FBDD0C">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厂界噪声贡献值</w:t>
            </w:r>
          </w:p>
        </w:tc>
        <w:tc>
          <w:tcPr>
            <w:tcW w:w="1903" w:type="pct"/>
            <w:gridSpan w:val="9"/>
            <w:shd w:val="clear" w:color="auto" w:fill="auto"/>
            <w:vAlign w:val="center"/>
          </w:tcPr>
          <w:p w14:paraId="6E5BD9FE">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达标√</w:t>
            </w:r>
          </w:p>
        </w:tc>
        <w:tc>
          <w:tcPr>
            <w:tcW w:w="1896" w:type="pct"/>
            <w:gridSpan w:val="8"/>
            <w:shd w:val="clear" w:color="auto" w:fill="auto"/>
            <w:vAlign w:val="center"/>
          </w:tcPr>
          <w:p w14:paraId="54C6CDCC">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不达标□</w:t>
            </w:r>
          </w:p>
        </w:tc>
      </w:tr>
      <w:tr w14:paraId="58DDA3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3687F616">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18F870CD">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声环境保护目标处噪声值</w:t>
            </w:r>
          </w:p>
        </w:tc>
        <w:tc>
          <w:tcPr>
            <w:tcW w:w="1903" w:type="pct"/>
            <w:gridSpan w:val="9"/>
            <w:shd w:val="clear" w:color="auto" w:fill="auto"/>
            <w:vAlign w:val="center"/>
          </w:tcPr>
          <w:p w14:paraId="0E0C34E7">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达标□</w:t>
            </w:r>
          </w:p>
        </w:tc>
        <w:tc>
          <w:tcPr>
            <w:tcW w:w="1896" w:type="pct"/>
            <w:gridSpan w:val="8"/>
            <w:shd w:val="clear" w:color="auto" w:fill="auto"/>
            <w:vAlign w:val="center"/>
          </w:tcPr>
          <w:p w14:paraId="05563FE3">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不达标□</w:t>
            </w:r>
          </w:p>
        </w:tc>
      </w:tr>
      <w:tr w14:paraId="38BABD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shd w:val="clear" w:color="auto" w:fill="auto"/>
            <w:vAlign w:val="center"/>
          </w:tcPr>
          <w:p w14:paraId="49CCF2DE">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环境监测</w:t>
            </w:r>
          </w:p>
          <w:p w14:paraId="568E0AF6">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计划</w:t>
            </w:r>
          </w:p>
        </w:tc>
        <w:tc>
          <w:tcPr>
            <w:tcW w:w="604" w:type="pct"/>
            <w:shd w:val="clear" w:color="auto" w:fill="auto"/>
            <w:vAlign w:val="center"/>
          </w:tcPr>
          <w:p w14:paraId="224750D1">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排放监测</w:t>
            </w:r>
          </w:p>
        </w:tc>
        <w:tc>
          <w:tcPr>
            <w:tcW w:w="762" w:type="pct"/>
            <w:gridSpan w:val="2"/>
            <w:shd w:val="clear" w:color="auto" w:fill="auto"/>
            <w:vAlign w:val="center"/>
          </w:tcPr>
          <w:p w14:paraId="24F4266A">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厂界监测√</w:t>
            </w:r>
          </w:p>
        </w:tc>
        <w:tc>
          <w:tcPr>
            <w:tcW w:w="761" w:type="pct"/>
            <w:gridSpan w:val="5"/>
            <w:shd w:val="clear" w:color="auto" w:fill="auto"/>
            <w:vAlign w:val="center"/>
          </w:tcPr>
          <w:p w14:paraId="457264BC">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固定位置监测□</w:t>
            </w:r>
          </w:p>
        </w:tc>
        <w:tc>
          <w:tcPr>
            <w:tcW w:w="760" w:type="pct"/>
            <w:gridSpan w:val="3"/>
            <w:shd w:val="clear" w:color="auto" w:fill="auto"/>
            <w:vAlign w:val="center"/>
          </w:tcPr>
          <w:p w14:paraId="508F4AED">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自动监测□</w:t>
            </w:r>
          </w:p>
        </w:tc>
        <w:tc>
          <w:tcPr>
            <w:tcW w:w="760" w:type="pct"/>
            <w:gridSpan w:val="5"/>
            <w:shd w:val="clear" w:color="auto" w:fill="auto"/>
            <w:vAlign w:val="center"/>
          </w:tcPr>
          <w:p w14:paraId="243A3CA4">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手动监测□</w:t>
            </w:r>
          </w:p>
        </w:tc>
        <w:tc>
          <w:tcPr>
            <w:tcW w:w="756" w:type="pct"/>
            <w:gridSpan w:val="2"/>
            <w:shd w:val="clear" w:color="auto" w:fill="auto"/>
            <w:vAlign w:val="center"/>
          </w:tcPr>
          <w:p w14:paraId="6935318C">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无监测□</w:t>
            </w:r>
          </w:p>
        </w:tc>
      </w:tr>
      <w:tr w14:paraId="68AAB5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shd w:val="clear" w:color="auto" w:fill="auto"/>
            <w:vAlign w:val="center"/>
          </w:tcPr>
          <w:p w14:paraId="6EF6325D">
            <w:pPr>
              <w:pStyle w:val="406"/>
              <w:jc w:val="center"/>
              <w:rPr>
                <w:rFonts w:ascii="Times New Roman" w:hAnsi="Times New Roman"/>
                <w:color w:val="000000" w:themeColor="text1"/>
                <w:sz w:val="18"/>
                <w:szCs w:val="18"/>
                <w:lang w:eastAsia="zh-CN"/>
                <w14:textFill>
                  <w14:solidFill>
                    <w14:schemeClr w14:val="tx1"/>
                  </w14:solidFill>
                </w14:textFill>
              </w:rPr>
            </w:pPr>
          </w:p>
        </w:tc>
        <w:tc>
          <w:tcPr>
            <w:tcW w:w="604" w:type="pct"/>
            <w:shd w:val="clear" w:color="auto" w:fill="auto"/>
            <w:vAlign w:val="center"/>
          </w:tcPr>
          <w:p w14:paraId="75F70D66">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声环境保护目标处噪声监测</w:t>
            </w:r>
          </w:p>
        </w:tc>
        <w:tc>
          <w:tcPr>
            <w:tcW w:w="1267" w:type="pct"/>
            <w:gridSpan w:val="5"/>
            <w:shd w:val="clear" w:color="auto" w:fill="auto"/>
            <w:vAlign w:val="center"/>
          </w:tcPr>
          <w:p w14:paraId="21C9E663">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监测因子：（）</w:t>
            </w:r>
          </w:p>
        </w:tc>
        <w:tc>
          <w:tcPr>
            <w:tcW w:w="1266" w:type="pct"/>
            <w:gridSpan w:val="7"/>
            <w:shd w:val="clear" w:color="auto" w:fill="auto"/>
            <w:vAlign w:val="center"/>
          </w:tcPr>
          <w:p w14:paraId="59981FD5">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监测点位数（）</w:t>
            </w:r>
          </w:p>
        </w:tc>
        <w:tc>
          <w:tcPr>
            <w:tcW w:w="1267" w:type="pct"/>
            <w:gridSpan w:val="5"/>
            <w:shd w:val="clear" w:color="auto" w:fill="auto"/>
            <w:vAlign w:val="center"/>
          </w:tcPr>
          <w:p w14:paraId="3C0A0D3D">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无监测√</w:t>
            </w:r>
          </w:p>
        </w:tc>
      </w:tr>
      <w:tr w14:paraId="394809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shd w:val="clear" w:color="auto" w:fill="auto"/>
            <w:vAlign w:val="center"/>
          </w:tcPr>
          <w:p w14:paraId="77FC0F84">
            <w:pPr>
              <w:pStyle w:val="406"/>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评价结论</w:t>
            </w:r>
          </w:p>
        </w:tc>
        <w:tc>
          <w:tcPr>
            <w:tcW w:w="604" w:type="pct"/>
            <w:shd w:val="clear" w:color="auto" w:fill="auto"/>
            <w:vAlign w:val="center"/>
          </w:tcPr>
          <w:p w14:paraId="1BEC2248">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环境影响</w:t>
            </w:r>
          </w:p>
        </w:tc>
        <w:tc>
          <w:tcPr>
            <w:tcW w:w="1899" w:type="pct"/>
            <w:gridSpan w:val="8"/>
            <w:shd w:val="clear" w:color="auto" w:fill="auto"/>
            <w:vAlign w:val="center"/>
          </w:tcPr>
          <w:p w14:paraId="4CEBEA37">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可行√</w:t>
            </w:r>
          </w:p>
        </w:tc>
        <w:tc>
          <w:tcPr>
            <w:tcW w:w="1900" w:type="pct"/>
            <w:gridSpan w:val="9"/>
            <w:shd w:val="clear" w:color="auto" w:fill="auto"/>
            <w:vAlign w:val="center"/>
          </w:tcPr>
          <w:p w14:paraId="11851374">
            <w:pPr>
              <w:pStyle w:val="406"/>
              <w:adjustRightInd w:val="0"/>
              <w:snapToGrid w:val="0"/>
              <w:jc w:val="center"/>
              <w:rPr>
                <w:rFonts w:ascii="Times New Roman" w:hAnsi="Times New Roman"/>
                <w:color w:val="000000" w:themeColor="text1"/>
                <w:sz w:val="18"/>
                <w:szCs w:val="18"/>
                <w:lang w:eastAsia="zh-CN"/>
                <w14:textFill>
                  <w14:solidFill>
                    <w14:schemeClr w14:val="tx1"/>
                  </w14:solidFill>
                </w14:textFill>
              </w:rPr>
            </w:pPr>
            <w:r>
              <w:rPr>
                <w:rFonts w:hint="eastAsia" w:ascii="Times New Roman" w:hAnsi="Times New Roman"/>
                <w:color w:val="000000" w:themeColor="text1"/>
                <w:sz w:val="18"/>
                <w:szCs w:val="18"/>
                <w:lang w:eastAsia="zh-CN"/>
                <w14:textFill>
                  <w14:solidFill>
                    <w14:schemeClr w14:val="tx1"/>
                  </w14:solidFill>
                </w14:textFill>
              </w:rPr>
              <w:t>不可行□</w:t>
            </w:r>
          </w:p>
        </w:tc>
      </w:tr>
      <w:tr w14:paraId="31B22B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5000" w:type="pct"/>
            <w:gridSpan w:val="19"/>
            <w:shd w:val="clear" w:color="auto" w:fill="auto"/>
            <w:vAlign w:val="center"/>
          </w:tcPr>
          <w:p w14:paraId="1BB2B40E">
            <w:pPr>
              <w:pStyle w:val="406"/>
              <w:adjustRightInd w:val="0"/>
              <w:snapToGrid w:val="0"/>
              <w:rPr>
                <w:rFonts w:ascii="Times New Roman" w:hAnsi="Times New Roman"/>
                <w:color w:val="000000" w:themeColor="text1"/>
                <w:sz w:val="18"/>
                <w:szCs w:val="18"/>
                <w:lang w:eastAsia="zh-CN"/>
                <w14:textFill>
                  <w14:solidFill>
                    <w14:schemeClr w14:val="tx1"/>
                  </w14:solidFill>
                </w14:textFill>
              </w:rPr>
            </w:pPr>
            <w:r>
              <w:rPr>
                <w:rFonts w:ascii="Times New Roman" w:hAnsi="Times New Roman"/>
                <w:color w:val="000000" w:themeColor="text1"/>
                <w:sz w:val="18"/>
                <w:szCs w:val="18"/>
                <w:lang w:eastAsia="zh-CN"/>
                <w14:textFill>
                  <w14:solidFill>
                    <w14:schemeClr w14:val="tx1"/>
                  </w14:solidFill>
                </w14:textFill>
              </w:rPr>
              <w:t>注：“□”为勾选项，可√；“（ ）”为内容填写项</w:t>
            </w:r>
            <w:r>
              <w:rPr>
                <w:rFonts w:hint="eastAsia" w:ascii="Times New Roman" w:hAnsi="Times New Roman"/>
                <w:color w:val="000000" w:themeColor="text1"/>
                <w:sz w:val="18"/>
                <w:szCs w:val="18"/>
                <w:lang w:eastAsia="zh-CN"/>
                <w14:textFill>
                  <w14:solidFill>
                    <w14:schemeClr w14:val="tx1"/>
                  </w14:solidFill>
                </w14:textFill>
              </w:rPr>
              <w:t>。</w:t>
            </w:r>
          </w:p>
        </w:tc>
      </w:tr>
    </w:tbl>
    <w:p w14:paraId="3CB7D02B">
      <w:pPr>
        <w:tabs>
          <w:tab w:val="left" w:pos="1200"/>
        </w:tabs>
        <w:ind w:firstLine="0" w:firstLineChars="0"/>
        <w:jc w:val="center"/>
        <w:rPr>
          <w:color w:val="000000" w:themeColor="text1"/>
          <w14:textFill>
            <w14:solidFill>
              <w14:schemeClr w14:val="tx1"/>
            </w14:solidFill>
          </w14:textFill>
        </w:rPr>
      </w:pPr>
    </w:p>
    <w:p w14:paraId="72B9CA4C">
      <w:pPr>
        <w:spacing w:line="240" w:lineRule="auto"/>
        <w:ind w:firstLine="0" w:firstLineChars="0"/>
        <w:rPr>
          <w:snapToGrid w:val="0"/>
          <w:color w:val="000000" w:themeColor="text1"/>
          <w:kern w:val="0"/>
          <w:szCs w:val="24"/>
          <w14:textFill>
            <w14:solidFill>
              <w14:schemeClr w14:val="tx1"/>
            </w14:solidFill>
          </w14:textFill>
        </w:rPr>
        <w:sectPr>
          <w:pgSz w:w="11906" w:h="16838"/>
          <w:pgMar w:top="1440" w:right="1797" w:bottom="1440" w:left="1797" w:header="851" w:footer="992" w:gutter="0"/>
          <w:pgBorders>
            <w:top w:val="none" w:sz="0" w:space="0"/>
            <w:left w:val="none" w:sz="0" w:space="0"/>
            <w:bottom w:val="none" w:sz="0" w:space="0"/>
            <w:right w:val="none" w:sz="0" w:space="0"/>
          </w:pgBorders>
          <w:cols w:space="425" w:num="1"/>
          <w:docGrid w:type="linesAndChars" w:linePitch="326" w:charSpace="0"/>
        </w:sectPr>
      </w:pPr>
    </w:p>
    <w:p w14:paraId="5C92CD27">
      <w:pPr>
        <w:pStyle w:val="5"/>
        <w:spacing w:line="240" w:lineRule="auto"/>
        <w:rPr>
          <w:rFonts w:cs="Times New Roman"/>
          <w:snapToGrid w:val="0"/>
          <w:color w:val="000000" w:themeColor="text1"/>
          <w14:textFill>
            <w14:solidFill>
              <w14:schemeClr w14:val="tx1"/>
            </w14:solidFill>
          </w14:textFill>
        </w:rPr>
      </w:pPr>
      <w:bookmarkStart w:id="483" w:name="_Toc17466911"/>
      <w:bookmarkStart w:id="484" w:name="_Toc46227693"/>
      <w:bookmarkStart w:id="485" w:name="_Toc519186772"/>
      <w:bookmarkStart w:id="486" w:name="_Toc1021"/>
      <w:r>
        <w:rPr>
          <w:rFonts w:cs="Times New Roman"/>
          <w:snapToGrid w:val="0"/>
          <w:color w:val="000000" w:themeColor="text1"/>
          <w14:textFill>
            <w14:solidFill>
              <w14:schemeClr w14:val="tx1"/>
            </w14:solidFill>
          </w14:textFill>
        </w:rPr>
        <w:t>附图</w:t>
      </w:r>
      <w:bookmarkEnd w:id="483"/>
      <w:bookmarkEnd w:id="484"/>
      <w:bookmarkEnd w:id="485"/>
      <w:bookmarkEnd w:id="486"/>
    </w:p>
    <w:p w14:paraId="06D541A4">
      <w:pPr>
        <w:pStyle w:val="6"/>
        <w:spacing w:line="240" w:lineRule="auto"/>
        <w:rPr>
          <w:rFonts w:cs="Times New Roman"/>
          <w:snapToGrid w:val="0"/>
          <w:color w:val="000000" w:themeColor="text1"/>
          <w14:textFill>
            <w14:solidFill>
              <w14:schemeClr w14:val="tx1"/>
            </w14:solidFill>
          </w14:textFill>
        </w:rPr>
      </w:pPr>
      <w:bookmarkStart w:id="487" w:name="_Toc519186773"/>
      <w:bookmarkStart w:id="488" w:name="_Toc17466912"/>
      <w:bookmarkStart w:id="489" w:name="_Toc46227694"/>
      <w:bookmarkStart w:id="490" w:name="_Toc4036"/>
      <w:r>
        <w:rPr>
          <w:rFonts w:cs="Times New Roman"/>
          <w:snapToGrid w:val="0"/>
          <w:color w:val="000000" w:themeColor="text1"/>
          <w14:textFill>
            <w14:solidFill>
              <w14:schemeClr w14:val="tx1"/>
            </w14:solidFill>
          </w14:textFill>
        </w:rPr>
        <w:t>附图</w:t>
      </w:r>
      <w:bookmarkEnd w:id="487"/>
      <w:r>
        <w:rPr>
          <w:rFonts w:cs="Times New Roman"/>
          <w:snapToGrid w:val="0"/>
          <w:color w:val="000000" w:themeColor="text1"/>
          <w14:textFill>
            <w14:solidFill>
              <w14:schemeClr w14:val="tx1"/>
            </w14:solidFill>
          </w14:textFill>
        </w:rPr>
        <w:t>1</w:t>
      </w:r>
      <w:r>
        <w:rPr>
          <w:rFonts w:hint="eastAsia" w:cs="Times New Roman"/>
          <w:snapToGrid w:val="0"/>
          <w:color w:val="000000" w:themeColor="text1"/>
          <w14:textFill>
            <w14:solidFill>
              <w14:schemeClr w14:val="tx1"/>
            </w14:solidFill>
          </w14:textFill>
        </w:rPr>
        <w:t>地理位置</w:t>
      </w:r>
      <w:r>
        <w:rPr>
          <w:rFonts w:cs="Times New Roman"/>
          <w:snapToGrid w:val="0"/>
          <w:color w:val="000000" w:themeColor="text1"/>
          <w14:textFill>
            <w14:solidFill>
              <w14:schemeClr w14:val="tx1"/>
            </w14:solidFill>
          </w14:textFill>
        </w:rPr>
        <w:t>图</w:t>
      </w:r>
      <w:bookmarkEnd w:id="488"/>
      <w:bookmarkEnd w:id="489"/>
      <w:bookmarkEnd w:id="490"/>
    </w:p>
    <w:p w14:paraId="347AD85B">
      <w:pPr>
        <w:adjustRightInd/>
        <w:snapToGrid/>
        <w:spacing w:line="240" w:lineRule="auto"/>
        <w:ind w:firstLine="0" w:firstLineChars="0"/>
        <w:jc w:val="center"/>
        <w:rPr>
          <w:color w:val="000000" w:themeColor="text1"/>
          <w14:textFill>
            <w14:solidFill>
              <w14:schemeClr w14:val="tx1"/>
            </w14:solidFill>
          </w14:textFill>
        </w:rPr>
      </w:pPr>
      <w:r>
        <w:drawing>
          <wp:anchor distT="0" distB="0" distL="114300" distR="114300" simplePos="0" relativeHeight="251703296" behindDoc="0" locked="0" layoutInCell="1" allowOverlap="1">
            <wp:simplePos x="0" y="0"/>
            <wp:positionH relativeFrom="column">
              <wp:posOffset>595630</wp:posOffset>
            </wp:positionH>
            <wp:positionV relativeFrom="paragraph">
              <wp:posOffset>37465</wp:posOffset>
            </wp:positionV>
            <wp:extent cx="7374255" cy="4899025"/>
            <wp:effectExtent l="0" t="0" r="17145" b="15875"/>
            <wp:wrapNone/>
            <wp:docPr id="11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79"/>
                    <pic:cNvPicPr>
                      <a:picLocks noChangeAspect="1"/>
                    </pic:cNvPicPr>
                  </pic:nvPicPr>
                  <pic:blipFill>
                    <a:blip r:embed="rId166"/>
                    <a:stretch>
                      <a:fillRect/>
                    </a:stretch>
                  </pic:blipFill>
                  <pic:spPr>
                    <a:xfrm>
                      <a:off x="0" y="0"/>
                      <a:ext cx="7374255" cy="4899025"/>
                    </a:xfrm>
                    <a:prstGeom prst="rect">
                      <a:avLst/>
                    </a:prstGeom>
                    <a:noFill/>
                    <a:ln>
                      <a:noFill/>
                    </a:ln>
                  </pic:spPr>
                </pic:pic>
              </a:graphicData>
            </a:graphic>
          </wp:anchor>
        </w:drawing>
      </w:r>
    </w:p>
    <w:p w14:paraId="0D1FDA6A">
      <w:pPr>
        <w:adjustRightInd/>
        <w:snapToGrid/>
        <w:spacing w:line="240" w:lineRule="auto"/>
        <w:ind w:firstLine="0" w:firstLineChars="0"/>
        <w:jc w:val="center"/>
        <w:rPr>
          <w:rFonts w:cs="Times New Roman"/>
          <w:color w:val="000000" w:themeColor="text1"/>
          <w:kern w:val="0"/>
          <w:szCs w:val="24"/>
          <w14:textFill>
            <w14:solidFill>
              <w14:schemeClr w14:val="tx1"/>
            </w14:solidFill>
          </w14:textFill>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pPr>
      <w:r>
        <w:rPr>
          <w:sz w:val="24"/>
        </w:rPr>
        <mc:AlternateContent>
          <mc:Choice Requires="wps">
            <w:drawing>
              <wp:anchor distT="0" distB="0" distL="114300" distR="114300" simplePos="0" relativeHeight="251706368" behindDoc="0" locked="0" layoutInCell="1" allowOverlap="1">
                <wp:simplePos x="0" y="0"/>
                <wp:positionH relativeFrom="column">
                  <wp:posOffset>6470015</wp:posOffset>
                </wp:positionH>
                <wp:positionV relativeFrom="paragraph">
                  <wp:posOffset>4374515</wp:posOffset>
                </wp:positionV>
                <wp:extent cx="396875" cy="158750"/>
                <wp:effectExtent l="12700" t="12700" r="28575" b="19050"/>
                <wp:wrapNone/>
                <wp:docPr id="117" name="矩形 117"/>
                <wp:cNvGraphicFramePr/>
                <a:graphic xmlns:a="http://schemas.openxmlformats.org/drawingml/2006/main">
                  <a:graphicData uri="http://schemas.microsoft.com/office/word/2010/wordprocessingShape">
                    <wps:wsp>
                      <wps:cNvSpPr/>
                      <wps:spPr>
                        <a:xfrm>
                          <a:off x="7384415" y="6343650"/>
                          <a:ext cx="396875" cy="15875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09.45pt;margin-top:344.45pt;height:12.5pt;width:31.25pt;z-index:251706368;v-text-anchor:middle;mso-width-relative:page;mso-height-relative:page;" filled="f" stroked="t" coordsize="21600,21600" o:gfxdata="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JoEuhjaAAAADQEAAA8AAAAAAAAAAQAgAAAAIgAAAGRycy9kb3ducmV2&#10;LnhtbFBLAQIUABQAAAAIAIdO4kAhRAq3bAIAAMMEAAAOAAAAAAAAAAEAIAAAACkBAABkcnMvZTJv&#10;RG9jLnhtbFBLBQYAAAAABgAGAFkBAAAHBgAAAAA=&#10;">
                <v:fill on="f" focussize="0,0"/>
                <v:stroke weight="2pt" color="#FF0000 [2404]" joinstyle="round"/>
                <v:imagedata o:title=""/>
                <o:lock v:ext="edit" aspectratio="f"/>
              </v:rect>
            </w:pict>
          </mc:Fallback>
        </mc:AlternateContent>
      </w:r>
      <w:r>
        <w:rPr>
          <w:sz w:val="24"/>
        </w:rPr>
        <mc:AlternateContent>
          <mc:Choice Requires="wps">
            <w:drawing>
              <wp:anchor distT="0" distB="0" distL="114300" distR="114300" simplePos="0" relativeHeight="251705344" behindDoc="0" locked="0" layoutInCell="1" allowOverlap="1">
                <wp:simplePos x="0" y="0"/>
                <wp:positionH relativeFrom="column">
                  <wp:posOffset>6374765</wp:posOffset>
                </wp:positionH>
                <wp:positionV relativeFrom="paragraph">
                  <wp:posOffset>3985260</wp:posOffset>
                </wp:positionV>
                <wp:extent cx="1587500" cy="738505"/>
                <wp:effectExtent l="5080" t="4445" r="7620" b="19050"/>
                <wp:wrapNone/>
                <wp:docPr id="116" name="文本框 116"/>
                <wp:cNvGraphicFramePr/>
                <a:graphic xmlns:a="http://schemas.openxmlformats.org/drawingml/2006/main">
                  <a:graphicData uri="http://schemas.microsoft.com/office/word/2010/wordprocessingShape">
                    <wps:wsp>
                      <wps:cNvSpPr txBox="1"/>
                      <wps:spPr>
                        <a:xfrm>
                          <a:off x="7297420" y="5661025"/>
                          <a:ext cx="1587500" cy="73850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F03114B">
                            <w:pPr>
                              <w:rPr>
                                <w:rFonts w:hint="eastAsia"/>
                                <w:lang w:val="en-US" w:eastAsia="zh-CN"/>
                              </w:rPr>
                            </w:pPr>
                            <w:r>
                              <w:rPr>
                                <w:rFonts w:hint="eastAsia"/>
                                <w:lang w:val="en-US" w:eastAsia="zh-CN"/>
                              </w:rPr>
                              <w:t xml:space="preserve">  图例</w:t>
                            </w:r>
                          </w:p>
                          <w:p w14:paraId="36E8C860">
                            <w:pPr>
                              <w:ind w:firstLine="720" w:firstLineChars="300"/>
                              <w:rPr>
                                <w:rFonts w:hint="default"/>
                                <w:lang w:val="en-US" w:eastAsia="zh-CN"/>
                              </w:rPr>
                            </w:pPr>
                            <w:r>
                              <w:rPr>
                                <w:rFonts w:hint="eastAsia"/>
                                <w:lang w:val="en-US" w:eastAsia="zh-CN"/>
                              </w:rPr>
                              <w:t>本项目位置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1.95pt;margin-top:313.8pt;height:58.15pt;width:125pt;z-index:251705344;mso-width-relative:page;mso-height-relative:page;" fillcolor="#FFFFFF [3201]" filled="t" stroked="t" coordsize="21600,21600" o:gfxdata="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h3WpINcAAAANAQAADwAAAAAAAAABACAAAAAiAAAAZHJzL2Rvd25yZXYueG1sUEsB&#10;AhQAFAAAAAgAh07iQIwfKcZoAgAAxwQAAA4AAAAAAAAAAQAgAAAAJgEAAGRycy9lMm9Eb2MueG1s&#10;UEsFBgAAAAAGAAYAWQEAAAAGAAAAAA==&#10;">
                <v:fill on="t" focussize="0,0"/>
                <v:stroke weight="0.5pt" color="#000000 [3204]" joinstyle="round"/>
                <v:imagedata o:title=""/>
                <o:lock v:ext="edit" aspectratio="f"/>
                <v:textbox>
                  <w:txbxContent>
                    <w:p w14:paraId="2F03114B">
                      <w:pPr>
                        <w:rPr>
                          <w:rFonts w:hint="eastAsia"/>
                          <w:lang w:val="en-US" w:eastAsia="zh-CN"/>
                        </w:rPr>
                      </w:pPr>
                      <w:r>
                        <w:rPr>
                          <w:rFonts w:hint="eastAsia"/>
                          <w:lang w:val="en-US" w:eastAsia="zh-CN"/>
                        </w:rPr>
                        <w:t xml:space="preserve">  图例</w:t>
                      </w:r>
                    </w:p>
                    <w:p w14:paraId="36E8C860">
                      <w:pPr>
                        <w:ind w:firstLine="720" w:firstLineChars="300"/>
                        <w:rPr>
                          <w:rFonts w:hint="default"/>
                          <w:lang w:val="en-US" w:eastAsia="zh-CN"/>
                        </w:rPr>
                      </w:pPr>
                      <w:r>
                        <w:rPr>
                          <w:rFonts w:hint="eastAsia"/>
                          <w:lang w:val="en-US" w:eastAsia="zh-CN"/>
                        </w:rPr>
                        <w:t>本项目位置</w:t>
                      </w:r>
                    </w:p>
                  </w:txbxContent>
                </v:textbox>
              </v:shape>
            </w:pict>
          </mc:Fallback>
        </mc:AlternateContent>
      </w:r>
      <w:r>
        <w:drawing>
          <wp:anchor distT="0" distB="0" distL="114300" distR="114300" simplePos="0" relativeHeight="251704320" behindDoc="0" locked="0" layoutInCell="1" allowOverlap="1">
            <wp:simplePos x="0" y="0"/>
            <wp:positionH relativeFrom="column">
              <wp:posOffset>6866255</wp:posOffset>
            </wp:positionH>
            <wp:positionV relativeFrom="paragraph">
              <wp:posOffset>-175895</wp:posOffset>
            </wp:positionV>
            <wp:extent cx="1118870" cy="887730"/>
            <wp:effectExtent l="9525" t="9525" r="14605" b="17145"/>
            <wp:wrapNone/>
            <wp:docPr id="1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4"/>
                    <pic:cNvPicPr>
                      <a:picLocks noChangeAspect="1"/>
                    </pic:cNvPicPr>
                  </pic:nvPicPr>
                  <pic:blipFill>
                    <a:blip r:embed="rId109"/>
                    <a:stretch>
                      <a:fillRect/>
                    </a:stretch>
                  </pic:blipFill>
                  <pic:spPr>
                    <a:xfrm>
                      <a:off x="0" y="0"/>
                      <a:ext cx="1118870" cy="887730"/>
                    </a:xfrm>
                    <a:prstGeom prst="rect">
                      <a:avLst/>
                    </a:prstGeom>
                    <a:noFill/>
                    <a:ln>
                      <a:solidFill>
                        <a:schemeClr val="tx1"/>
                      </a:solidFill>
                    </a:ln>
                  </pic:spPr>
                </pic:pic>
              </a:graphicData>
            </a:graphic>
          </wp:anchor>
        </w:drawing>
      </w:r>
    </w:p>
    <w:p w14:paraId="609EF319">
      <w:pPr>
        <w:pStyle w:val="6"/>
        <w:spacing w:line="240" w:lineRule="auto"/>
        <w:rPr>
          <w:rFonts w:cs="Times New Roman"/>
          <w:snapToGrid w:val="0"/>
          <w:color w:val="000000" w:themeColor="text1"/>
          <w14:textFill>
            <w14:solidFill>
              <w14:schemeClr w14:val="tx1"/>
            </w14:solidFill>
          </w14:textFill>
        </w:rPr>
      </w:pPr>
      <w:bookmarkStart w:id="491" w:name="_Toc18448"/>
      <w:r>
        <w:rPr>
          <w:rFonts w:cs="Times New Roman"/>
          <w:snapToGrid w:val="0"/>
          <w:color w:val="000000" w:themeColor="text1"/>
          <w14:textFill>
            <w14:solidFill>
              <w14:schemeClr w14:val="tx1"/>
            </w14:solidFill>
          </w14:textFill>
        </w:rPr>
        <w:t>附图2</w:t>
      </w:r>
      <w:r>
        <w:rPr>
          <w:rFonts w:hint="eastAsia" w:cs="Times New Roman"/>
          <w:snapToGrid w:val="0"/>
          <w:color w:val="000000" w:themeColor="text1"/>
          <w14:textFill>
            <w14:solidFill>
              <w14:schemeClr w14:val="tx1"/>
            </w14:solidFill>
          </w14:textFill>
        </w:rPr>
        <w:t>生态环境管控分区单元</w:t>
      </w:r>
      <w:r>
        <w:rPr>
          <w:rFonts w:cs="Times New Roman"/>
          <w:snapToGrid w:val="0"/>
          <w:color w:val="000000" w:themeColor="text1"/>
          <w14:textFill>
            <w14:solidFill>
              <w14:schemeClr w14:val="tx1"/>
            </w14:solidFill>
          </w14:textFill>
        </w:rPr>
        <w:t>图</w:t>
      </w:r>
      <w:bookmarkEnd w:id="491"/>
    </w:p>
    <w:p w14:paraId="4836CE57">
      <w:pPr>
        <w:adjustRightInd/>
        <w:snapToGrid/>
        <w:spacing w:line="240" w:lineRule="auto"/>
        <w:ind w:firstLine="0" w:firstLineChars="0"/>
        <w:jc w:val="center"/>
        <w:rPr>
          <w:rFonts w:cs="Times New Roman"/>
          <w:color w:val="000000" w:themeColor="text1"/>
          <w:kern w:val="0"/>
          <w:szCs w:val="24"/>
          <w14:textFill>
            <w14:solidFill>
              <w14:schemeClr w14:val="tx1"/>
            </w14:solidFill>
          </w14:textFill>
        </w:rPr>
      </w:pPr>
      <w:r>
        <w:drawing>
          <wp:inline distT="0" distB="0" distL="114300" distR="114300">
            <wp:extent cx="8355330" cy="4746625"/>
            <wp:effectExtent l="0" t="0" r="7620" b="15875"/>
            <wp:docPr id="11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78"/>
                    <pic:cNvPicPr>
                      <a:picLocks noChangeAspect="1"/>
                    </pic:cNvPicPr>
                  </pic:nvPicPr>
                  <pic:blipFill>
                    <a:blip r:embed="rId167"/>
                    <a:stretch>
                      <a:fillRect/>
                    </a:stretch>
                  </pic:blipFill>
                  <pic:spPr>
                    <a:xfrm>
                      <a:off x="0" y="0"/>
                      <a:ext cx="8355330" cy="4746625"/>
                    </a:xfrm>
                    <a:prstGeom prst="rect">
                      <a:avLst/>
                    </a:prstGeom>
                    <a:noFill/>
                    <a:ln>
                      <a:noFill/>
                    </a:ln>
                  </pic:spPr>
                </pic:pic>
              </a:graphicData>
            </a:graphic>
          </wp:inline>
        </w:drawing>
      </w:r>
    </w:p>
    <w:p w14:paraId="3E43D658">
      <w:pPr>
        <w:adjustRightInd/>
        <w:snapToGrid/>
        <w:spacing w:line="240" w:lineRule="auto"/>
        <w:ind w:firstLine="0" w:firstLineChars="0"/>
        <w:jc w:val="center"/>
        <w:rPr>
          <w:rFonts w:cs="Times New Roman"/>
          <w:color w:val="000000" w:themeColor="text1"/>
          <w:kern w:val="0"/>
          <w:szCs w:val="24"/>
          <w14:textFill>
            <w14:solidFill>
              <w14:schemeClr w14:val="tx1"/>
            </w14:solidFill>
          </w14:textFill>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pPr>
    </w:p>
    <w:p w14:paraId="00655C5E">
      <w:pPr>
        <w:pStyle w:val="6"/>
        <w:spacing w:line="240" w:lineRule="auto"/>
        <w:rPr>
          <w:rFonts w:hint="default" w:eastAsia="黑体" w:cs="Times New Roman"/>
          <w:snapToGrid w:val="0"/>
          <w:color w:val="000000" w:themeColor="text1"/>
          <w:lang w:val="en-US" w:eastAsia="zh-CN"/>
          <w14:textFill>
            <w14:solidFill>
              <w14:schemeClr w14:val="tx1"/>
            </w14:solidFill>
          </w14:textFill>
        </w:rPr>
      </w:pPr>
      <w:bookmarkStart w:id="492" w:name="_Toc17466916"/>
      <w:bookmarkStart w:id="493" w:name="_Toc519186776"/>
      <w:bookmarkStart w:id="494" w:name="_Toc46227699"/>
      <w:bookmarkStart w:id="495" w:name="_Toc18551"/>
      <w:r>
        <w:rPr>
          <w:rFonts w:cs="Times New Roman"/>
          <w:snapToGrid w:val="0"/>
          <w:color w:val="000000" w:themeColor="text1"/>
          <w14:textFill>
            <w14:solidFill>
              <w14:schemeClr w14:val="tx1"/>
            </w14:solidFill>
          </w14:textFill>
        </w:rPr>
        <w:t>附图3评价范围图</w:t>
      </w:r>
      <w:bookmarkEnd w:id="492"/>
      <w:bookmarkEnd w:id="493"/>
      <w:bookmarkEnd w:id="494"/>
      <w:r>
        <w:rPr>
          <w:rFonts w:hint="eastAsia" w:cs="Times New Roman"/>
          <w:snapToGrid w:val="0"/>
          <w:color w:val="000000" w:themeColor="text1"/>
          <w:lang w:val="en-US" w:eastAsia="zh-CN"/>
          <w14:textFill>
            <w14:solidFill>
              <w14:schemeClr w14:val="tx1"/>
            </w14:solidFill>
          </w14:textFill>
        </w:rPr>
        <w:t>就敏感目标分布图</w:t>
      </w:r>
      <w:bookmarkEnd w:id="495"/>
    </w:p>
    <w:p w14:paraId="5D9B5ECB">
      <w:pPr>
        <w:spacing w:line="240" w:lineRule="auto"/>
        <w:ind w:firstLine="0" w:firstLineChars="0"/>
        <w:jc w:val="center"/>
        <w:rPr>
          <w:rFonts w:cs="Times New Roman"/>
          <w:snapToGrid w:val="0"/>
          <w:color w:val="000000" w:themeColor="text1"/>
          <w:kern w:val="0"/>
          <w:szCs w:val="24"/>
          <w14:textFill>
            <w14:solidFill>
              <w14:schemeClr w14:val="tx1"/>
            </w14:solidFill>
          </w14:textFill>
        </w:rPr>
      </w:pPr>
      <w:r>
        <w:drawing>
          <wp:anchor distT="0" distB="0" distL="114300" distR="114300" simplePos="0" relativeHeight="251707392" behindDoc="1" locked="0" layoutInCell="1" allowOverlap="1">
            <wp:simplePos x="0" y="0"/>
            <wp:positionH relativeFrom="column">
              <wp:posOffset>998220</wp:posOffset>
            </wp:positionH>
            <wp:positionV relativeFrom="paragraph">
              <wp:posOffset>73660</wp:posOffset>
            </wp:positionV>
            <wp:extent cx="11906250" cy="7785735"/>
            <wp:effectExtent l="0" t="0" r="0" b="5715"/>
            <wp:wrapNone/>
            <wp:docPr id="11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0"/>
                    <pic:cNvPicPr>
                      <a:picLocks noChangeAspect="1"/>
                    </pic:cNvPicPr>
                  </pic:nvPicPr>
                  <pic:blipFill>
                    <a:blip r:embed="rId168"/>
                    <a:srcRect t="4497"/>
                    <a:stretch>
                      <a:fillRect/>
                    </a:stretch>
                  </pic:blipFill>
                  <pic:spPr>
                    <a:xfrm>
                      <a:off x="0" y="0"/>
                      <a:ext cx="11906250" cy="7785735"/>
                    </a:xfrm>
                    <a:prstGeom prst="rect">
                      <a:avLst/>
                    </a:prstGeom>
                    <a:noFill/>
                    <a:ln>
                      <a:noFill/>
                    </a:ln>
                  </pic:spPr>
                </pic:pic>
              </a:graphicData>
            </a:graphic>
          </wp:anchor>
        </w:drawing>
      </w:r>
      <w:r>
        <w:drawing>
          <wp:anchor distT="0" distB="0" distL="114300" distR="114300" simplePos="0" relativeHeight="251710464" behindDoc="0" locked="0" layoutInCell="1" allowOverlap="1">
            <wp:simplePos x="0" y="0"/>
            <wp:positionH relativeFrom="column">
              <wp:posOffset>11757660</wp:posOffset>
            </wp:positionH>
            <wp:positionV relativeFrom="paragraph">
              <wp:posOffset>43815</wp:posOffset>
            </wp:positionV>
            <wp:extent cx="1118870" cy="887730"/>
            <wp:effectExtent l="0" t="0" r="5080" b="7620"/>
            <wp:wrapNone/>
            <wp:docPr id="1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4"/>
                    <pic:cNvPicPr>
                      <a:picLocks noChangeAspect="1"/>
                    </pic:cNvPicPr>
                  </pic:nvPicPr>
                  <pic:blipFill>
                    <a:blip r:embed="rId109"/>
                    <a:stretch>
                      <a:fillRect/>
                    </a:stretch>
                  </pic:blipFill>
                  <pic:spPr>
                    <a:xfrm>
                      <a:off x="0" y="0"/>
                      <a:ext cx="1118870" cy="887730"/>
                    </a:xfrm>
                    <a:prstGeom prst="rect">
                      <a:avLst/>
                    </a:prstGeom>
                    <a:noFill/>
                    <a:ln>
                      <a:noFill/>
                    </a:ln>
                  </pic:spPr>
                </pic:pic>
              </a:graphicData>
            </a:graphic>
          </wp:anchor>
        </w:drawing>
      </w:r>
    </w:p>
    <w:p w14:paraId="37B27BBA">
      <w:pPr>
        <w:spacing w:line="240" w:lineRule="auto"/>
        <w:ind w:firstLine="0" w:firstLineChars="0"/>
        <w:jc w:val="center"/>
        <w:rPr>
          <w:rFonts w:cs="Times New Roman"/>
          <w:snapToGrid w:val="0"/>
          <w:color w:val="000000" w:themeColor="text1"/>
          <w:kern w:val="0"/>
          <w:szCs w:val="24"/>
          <w14:textFill>
            <w14:solidFill>
              <w14:schemeClr w14:val="tx1"/>
            </w14:solidFill>
          </w14:textFill>
        </w:rPr>
        <w:sectPr>
          <w:pgSz w:w="23811" w:h="16838"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pPr>
      <w:r>
        <w:rPr>
          <w:color w:val="000000" w:themeColor="text1"/>
          <w14:textFill>
            <w14:solidFill>
              <w14:schemeClr w14:val="tx1"/>
            </w14:solidFill>
          </w14:textFill>
        </w:rPr>
        <mc:AlternateContent>
          <mc:Choice Requires="wps">
            <w:drawing>
              <wp:anchor distT="0" distB="0" distL="114300" distR="114300" simplePos="0" relativeHeight="251709440" behindDoc="0" locked="0" layoutInCell="1" allowOverlap="1">
                <wp:simplePos x="0" y="0"/>
                <wp:positionH relativeFrom="column">
                  <wp:posOffset>12434570</wp:posOffset>
                </wp:positionH>
                <wp:positionV relativeFrom="paragraph">
                  <wp:posOffset>7536180</wp:posOffset>
                </wp:positionV>
                <wp:extent cx="323850" cy="127000"/>
                <wp:effectExtent l="12700" t="12700" r="25400" b="12700"/>
                <wp:wrapNone/>
                <wp:docPr id="120" name="矩形 120"/>
                <wp:cNvGraphicFramePr/>
                <a:graphic xmlns:a="http://schemas.openxmlformats.org/drawingml/2006/main">
                  <a:graphicData uri="http://schemas.microsoft.com/office/word/2010/wordprocessingShape">
                    <wps:wsp>
                      <wps:cNvSpPr/>
                      <wps:spPr>
                        <a:xfrm>
                          <a:off x="0" y="0"/>
                          <a:ext cx="323850" cy="127000"/>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79.1pt;margin-top:593.4pt;height:10pt;width:25.5pt;z-index:251709440;v-text-anchor:middle;mso-width-relative:page;mso-height-relative:page;" fillcolor="#FF0000" filled="t" stroked="t" coordsize="21600,21600" o:gfxdata="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Of5ZwdcAAAAPAQAADwAAAAAAAAABACAAAAAiAAAAZHJzL2Rvd25yZXYueG1sUEsBAhQAFAAAAAgA&#10;h07iQOXw1NVfAgAA4AQAAA4AAAAAAAAAAQAgAAAAJgEAAGRycy9lMm9Eb2MueG1sUEsFBgAAAAAG&#10;AAYAWQEAAPcFAAAAAA==&#10;">
                <v:fill on="t" focussize="0,0"/>
                <v:stroke weight="2pt" color="#FF0000 [3204]" joinstyle="round"/>
                <v:imagedata o:title=""/>
                <o:lock v:ext="edit" aspectratio="f"/>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08416" behindDoc="0" locked="0" layoutInCell="1" allowOverlap="1">
                <wp:simplePos x="0" y="0"/>
                <wp:positionH relativeFrom="column">
                  <wp:posOffset>12425045</wp:posOffset>
                </wp:positionH>
                <wp:positionV relativeFrom="paragraph">
                  <wp:posOffset>7371080</wp:posOffset>
                </wp:positionV>
                <wp:extent cx="323850" cy="127000"/>
                <wp:effectExtent l="12700" t="12700" r="25400" b="12700"/>
                <wp:wrapNone/>
                <wp:docPr id="119" name="矩形 119"/>
                <wp:cNvGraphicFramePr/>
                <a:graphic xmlns:a="http://schemas.openxmlformats.org/drawingml/2006/main">
                  <a:graphicData uri="http://schemas.microsoft.com/office/word/2010/wordprocessingShape">
                    <wps:wsp>
                      <wps:cNvSpPr/>
                      <wps:spPr>
                        <a:xfrm>
                          <a:off x="0" y="0"/>
                          <a:ext cx="323850" cy="127000"/>
                        </a:xfrm>
                        <a:prstGeom prst="rect">
                          <a:avLst/>
                        </a:prstGeom>
                        <a:solidFill>
                          <a:srgbClr val="DC2DE3"/>
                        </a:solidFill>
                        <a:ln>
                          <a:solidFill>
                            <a:srgbClr val="DC2DE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78.35pt;margin-top:580.4pt;height:10pt;width:25.5pt;z-index:251708416;v-text-anchor:middle;mso-width-relative:page;mso-height-relative:page;" fillcolor="#DC2DE3" filled="t" stroked="t" coordsize="21600,21600" o:gfxdata="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Wi6N62gAAAA8BAAAPAAAAAAAAAAEAIAAAACIAAABkcnMvZG93bnJldi54bWxQSwEC&#10;FAAUAAAACACHTuJA2YU/82QCAADgBAAADgAAAAAAAAABACAAAAApAQAAZHJzL2Uyb0RvYy54bWxQ&#10;SwUGAAAAAAYABgBZAQAA/wUAAAAA&#10;">
                <v:fill on="t" focussize="0,0"/>
                <v:stroke weight="2pt" color="#DC2DE3 [3204]" joinstyle="round"/>
                <v:imagedata o:title=""/>
                <o:lock v:ext="edit" aspectratio="f"/>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12392025</wp:posOffset>
                </wp:positionH>
                <wp:positionV relativeFrom="paragraph">
                  <wp:posOffset>6809105</wp:posOffset>
                </wp:positionV>
                <wp:extent cx="323850" cy="127000"/>
                <wp:effectExtent l="12700" t="12700" r="25400" b="12700"/>
                <wp:wrapNone/>
                <wp:docPr id="16" name="矩形 16"/>
                <wp:cNvGraphicFramePr/>
                <a:graphic xmlns:a="http://schemas.openxmlformats.org/drawingml/2006/main">
                  <a:graphicData uri="http://schemas.microsoft.com/office/word/2010/wordprocessingShape">
                    <wps:wsp>
                      <wps:cNvSpPr/>
                      <wps:spPr>
                        <a:xfrm>
                          <a:off x="0" y="0"/>
                          <a:ext cx="323850" cy="12700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75.75pt;margin-top:536.15pt;height:10pt;width:25.5pt;z-index:251663360;v-text-anchor:middle;mso-width-relative:page;mso-height-relative:page;" filled="f" stroked="t" coordsize="21600,21600" o:gfxdata="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e&#10;N6jw1wAAAA8BAAAPAAAAAAAAAAEAIAAAACIAAABkcnMvZG93bnJldi54bWxQSwECFAAUAAAACACH&#10;TuJAnHh3U14CAAC1BAAADgAAAAAAAAABACAAAAAmAQAAZHJzL2Uyb0RvYy54bWxQSwUGAAAAAAYA&#10;BgBZAQAA9gUAAAAA&#10;">
                <v:fill on="f" focussize="0,0"/>
                <v:stroke weight="2pt" color="#92D050 [3204]" joinstyle="round"/>
                <v:imagedata o:title=""/>
                <o:lock v:ext="edit" aspectratio="f"/>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12414250</wp:posOffset>
                </wp:positionH>
                <wp:positionV relativeFrom="paragraph">
                  <wp:posOffset>7181850</wp:posOffset>
                </wp:positionV>
                <wp:extent cx="323850" cy="127000"/>
                <wp:effectExtent l="12700" t="12700" r="25400" b="12700"/>
                <wp:wrapNone/>
                <wp:docPr id="17" name="矩形 17"/>
                <wp:cNvGraphicFramePr/>
                <a:graphic xmlns:a="http://schemas.openxmlformats.org/drawingml/2006/main">
                  <a:graphicData uri="http://schemas.microsoft.com/office/word/2010/wordprocessingShape">
                    <wps:wsp>
                      <wps:cNvSpPr/>
                      <wps:spPr>
                        <a:xfrm>
                          <a:off x="0" y="0"/>
                          <a:ext cx="323850" cy="127000"/>
                        </a:xfrm>
                        <a:prstGeom prst="rect">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77.5pt;margin-top:565.5pt;height:10pt;width:25.5pt;z-index:251664384;v-text-anchor:middle;mso-width-relative:page;mso-height-relative:page;" fillcolor="#00B0F0" filled="t" stroked="t" coordsize="21600,21600" o:gfxdata="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f1rPQNgAAAAPAQAADwAAAAAAAAABACAAAAAiAAAAZHJzL2Rvd25yZXYueG1sUEsBAhQAFAAA&#10;AAgAh07iQLZoaeVhAgAA3gQAAA4AAAAAAAAAAQAgAAAAJwEAAGRycy9lMm9Eb2MueG1sUEsFBgAA&#10;AAAGAAYAWQEAAPoFAAAAAA==&#10;">
                <v:fill on="t" focussize="0,0"/>
                <v:stroke weight="2pt" color="#00B0F0 [3204]" joinstyle="round"/>
                <v:imagedata o:title=""/>
                <o:lock v:ext="edit" aspectratio="f"/>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12412980</wp:posOffset>
                </wp:positionH>
                <wp:positionV relativeFrom="paragraph">
                  <wp:posOffset>6971665</wp:posOffset>
                </wp:positionV>
                <wp:extent cx="323850" cy="127000"/>
                <wp:effectExtent l="0" t="0" r="19050" b="25400"/>
                <wp:wrapNone/>
                <wp:docPr id="145" name="矩形 145"/>
                <wp:cNvGraphicFramePr/>
                <a:graphic xmlns:a="http://schemas.openxmlformats.org/drawingml/2006/main">
                  <a:graphicData uri="http://schemas.microsoft.com/office/word/2010/wordprocessingShape">
                    <wps:wsp>
                      <wps:cNvSpPr/>
                      <wps:spPr>
                        <a:xfrm>
                          <a:off x="0" y="0"/>
                          <a:ext cx="323850" cy="12700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77.4pt;margin-top:548.95pt;height:10pt;width:25.5pt;z-index:251662336;v-text-anchor:middle;mso-width-relative:page;mso-height-relative:page;" filled="f" stroked="t" coordsize="21600,21600" o:gfxdata="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JImFi3ZAAAADwEAAA8AAAAAAAAAAQAgAAAAIgAAAGRycy9kb3ducmV2LnhtbFBLAQIUABQAAAAI&#10;AIdO4kC+y1p0XgIAALcEAAAOAAAAAAAAAAEAIAAAACgBAABkcnMvZTJvRG9jLnhtbFBLBQYAAAAA&#10;BgAGAFkBAAD4BQAAAAA=&#10;">
                <v:fill on="f" focussize="0,0"/>
                <v:stroke weight="2pt" color="#FFFF00 [3204]" joinstyle="round"/>
                <v:imagedata o:title=""/>
                <o:lock v:ext="edit" aspectratio="f"/>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12392660</wp:posOffset>
                </wp:positionH>
                <wp:positionV relativeFrom="paragraph">
                  <wp:posOffset>6599555</wp:posOffset>
                </wp:positionV>
                <wp:extent cx="323850" cy="127000"/>
                <wp:effectExtent l="12700" t="12700" r="25400" b="12700"/>
                <wp:wrapNone/>
                <wp:docPr id="143" name="矩形 143"/>
                <wp:cNvGraphicFramePr/>
                <a:graphic xmlns:a="http://schemas.openxmlformats.org/drawingml/2006/main">
                  <a:graphicData uri="http://schemas.microsoft.com/office/word/2010/wordprocessingShape">
                    <wps:wsp>
                      <wps:cNvSpPr/>
                      <wps:spPr>
                        <a:xfrm>
                          <a:off x="0" y="0"/>
                          <a:ext cx="323850" cy="127000"/>
                        </a:xfrm>
                        <a:prstGeom prst="rect">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75.8pt;margin-top:519.65pt;height:10pt;width:25.5pt;z-index:251661312;v-text-anchor:middle;mso-width-relative:page;mso-height-relative:page;" filled="f" stroked="t" coordsize="21600,21600" o:gfxdata="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e3tfV9kAAAAPAQAADwAAAAAAAAABACAAAAAiAAAAZHJzL2Rvd25yZXYueG1sUEsBAhQAFAAA&#10;AAgAh07iQOk38/JgAgAAtwQAAA4AAAAAAAAAAQAgAAAAKAEAAGRycy9lMm9Eb2MueG1sUEsFBgAA&#10;AAAGAAYAWQEAAPoFAAAAAA==&#10;">
                <v:fill on="f" focussize="0,0"/>
                <v:stroke weight="2pt" color="#002060 [3204]" joinstyle="round"/>
                <v:imagedata o:title=""/>
                <o:lock v:ext="edit" aspectratio="f"/>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12390120</wp:posOffset>
                </wp:positionH>
                <wp:positionV relativeFrom="paragraph">
                  <wp:posOffset>6402705</wp:posOffset>
                </wp:positionV>
                <wp:extent cx="323850" cy="127000"/>
                <wp:effectExtent l="0" t="0" r="19050" b="25400"/>
                <wp:wrapNone/>
                <wp:docPr id="139" name="矩形 139"/>
                <wp:cNvGraphicFramePr/>
                <a:graphic xmlns:a="http://schemas.openxmlformats.org/drawingml/2006/main">
                  <a:graphicData uri="http://schemas.microsoft.com/office/word/2010/wordprocessingShape">
                    <wps:wsp>
                      <wps:cNvSpPr/>
                      <wps:spPr>
                        <a:xfrm>
                          <a:off x="0" y="0"/>
                          <a:ext cx="323850" cy="127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75.6pt;margin-top:504.15pt;height:10pt;width:25.5pt;z-index:251660288;v-text-anchor:middle;mso-width-relative:page;mso-height-relative:page;" filled="f" stroked="t" coordsize="21600,21600" o:gfxdata="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p15r2AAAAA8BAAAPAAAAAAAAAAEAIAAAACIAAABkcnMvZG93bnJldi54bWxQSwECFAAUAAAA&#10;CACHTuJAggCLQGACAAC3BAAADgAAAAAAAAABACAAAAAnAQAAZHJzL2Uyb0RvYy54bWxQSwUGAAAA&#10;AAYABgBZAQAA+QUAAAAA&#10;">
                <v:fill on="f" focussize="0,0"/>
                <v:stroke weight="2pt" color="#FF0000 [3204]" joinstyle="round"/>
                <v:imagedata o:title=""/>
                <o:lock v:ext="edit" aspectratio="f"/>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margin">
                  <wp:posOffset>10916285</wp:posOffset>
                </wp:positionH>
                <wp:positionV relativeFrom="paragraph">
                  <wp:posOffset>6042025</wp:posOffset>
                </wp:positionV>
                <wp:extent cx="1981200" cy="1658620"/>
                <wp:effectExtent l="4445" t="4445" r="14605" b="13335"/>
                <wp:wrapNone/>
                <wp:docPr id="137" name="文本框 137"/>
                <wp:cNvGraphicFramePr/>
                <a:graphic xmlns:a="http://schemas.openxmlformats.org/drawingml/2006/main">
                  <a:graphicData uri="http://schemas.microsoft.com/office/word/2010/wordprocessingShape">
                    <wps:wsp>
                      <wps:cNvSpPr txBox="1"/>
                      <wps:spPr>
                        <a:xfrm>
                          <a:off x="0" y="0"/>
                          <a:ext cx="1981200" cy="1658620"/>
                        </a:xfrm>
                        <a:prstGeom prst="rect">
                          <a:avLst/>
                        </a:prstGeom>
                        <a:solidFill>
                          <a:schemeClr val="lt1"/>
                        </a:solidFill>
                        <a:ln w="6350">
                          <a:solidFill>
                            <a:prstClr val="black"/>
                          </a:solidFill>
                        </a:ln>
                      </wps:spPr>
                      <wps:txbx>
                        <w:txbxContent>
                          <w:p w14:paraId="020B2B55">
                            <w:pPr>
                              <w:pStyle w:val="143"/>
                            </w:pPr>
                            <w:r>
                              <w:rPr>
                                <w:rFonts w:hint="eastAsia"/>
                              </w:rPr>
                              <w:t>图</w:t>
                            </w:r>
                            <w:r>
                              <w:rPr>
                                <w:rFonts w:hint="eastAsia"/>
                                <w:lang w:eastAsia="zh-CN"/>
                              </w:rPr>
                              <w:t xml:space="preserve"> </w:t>
                            </w:r>
                            <w:r>
                              <w:rPr>
                                <w:lang w:eastAsia="zh-CN"/>
                              </w:rPr>
                              <w:t xml:space="preserve"> </w:t>
                            </w:r>
                            <w:r>
                              <w:rPr>
                                <w:rFonts w:hint="eastAsia"/>
                              </w:rPr>
                              <w:t>例</w:t>
                            </w:r>
                          </w:p>
                          <w:p w14:paraId="103FB55A">
                            <w:pPr>
                              <w:pStyle w:val="143"/>
                              <w:jc w:val="both"/>
                              <w:rPr>
                                <w:rFonts w:hint="eastAsia"/>
                                <w:lang w:eastAsia="zh-CN"/>
                              </w:rPr>
                            </w:pPr>
                          </w:p>
                          <w:p w14:paraId="5B26E913">
                            <w:pPr>
                              <w:pStyle w:val="143"/>
                              <w:jc w:val="both"/>
                              <w:rPr>
                                <w:lang w:eastAsia="zh-CN"/>
                              </w:rPr>
                            </w:pPr>
                            <w:r>
                              <w:rPr>
                                <w:rFonts w:hint="eastAsia"/>
                                <w:lang w:eastAsia="zh-CN"/>
                              </w:rPr>
                              <w:t>本项目区域</w:t>
                            </w:r>
                          </w:p>
                          <w:p w14:paraId="75D918B4">
                            <w:pPr>
                              <w:pStyle w:val="143"/>
                              <w:jc w:val="both"/>
                              <w:rPr>
                                <w:lang w:eastAsia="zh-CN"/>
                              </w:rPr>
                            </w:pPr>
                            <w:r>
                              <w:rPr>
                                <w:rFonts w:hint="eastAsia"/>
                                <w:lang w:eastAsia="zh-CN"/>
                              </w:rPr>
                              <w:t>地下水评价范围</w:t>
                            </w:r>
                          </w:p>
                          <w:p w14:paraId="2578A28C">
                            <w:pPr>
                              <w:pStyle w:val="143"/>
                              <w:jc w:val="both"/>
                            </w:pPr>
                            <w:r>
                              <w:rPr>
                                <w:rFonts w:hint="eastAsia"/>
                              </w:rPr>
                              <w:t>环境空气评价范围</w:t>
                            </w:r>
                          </w:p>
                          <w:p w14:paraId="5660DA46">
                            <w:pPr>
                              <w:pStyle w:val="143"/>
                              <w:jc w:val="both"/>
                            </w:pPr>
                            <w:r>
                              <w:rPr>
                                <w:rFonts w:hint="eastAsia"/>
                              </w:rPr>
                              <w:t>声环境评价范围</w:t>
                            </w:r>
                          </w:p>
                          <w:p w14:paraId="0DB99F3E">
                            <w:pPr>
                              <w:pStyle w:val="143"/>
                              <w:jc w:val="both"/>
                              <w:rPr>
                                <w:rFonts w:hint="eastAsia"/>
                                <w:lang w:val="en-US" w:eastAsia="zh-CN"/>
                              </w:rPr>
                            </w:pPr>
                            <w:r>
                              <w:rPr>
                                <w:rFonts w:hint="eastAsia"/>
                                <w:lang w:val="en-US" w:eastAsia="zh-CN"/>
                              </w:rPr>
                              <w:t>居民区</w:t>
                            </w:r>
                          </w:p>
                          <w:p w14:paraId="01B7D0EA">
                            <w:pPr>
                              <w:pStyle w:val="143"/>
                              <w:jc w:val="both"/>
                              <w:rPr>
                                <w:rFonts w:hint="eastAsia"/>
                                <w:lang w:val="en-US" w:eastAsia="zh-CN"/>
                              </w:rPr>
                            </w:pPr>
                            <w:r>
                              <w:rPr>
                                <w:rFonts w:hint="eastAsia"/>
                                <w:lang w:val="en-US" w:eastAsia="zh-CN"/>
                              </w:rPr>
                              <w:t>医院</w:t>
                            </w:r>
                          </w:p>
                          <w:p w14:paraId="4E98F9F3">
                            <w:pPr>
                              <w:pStyle w:val="143"/>
                              <w:jc w:val="both"/>
                              <w:rPr>
                                <w:rFonts w:hint="default"/>
                                <w:lang w:val="en-US" w:eastAsia="zh-CN"/>
                              </w:rPr>
                            </w:pPr>
                            <w:r>
                              <w:rPr>
                                <w:rFonts w:hint="eastAsia"/>
                                <w:lang w:val="en-US" w:eastAsia="zh-CN"/>
                              </w:rPr>
                              <w:t>政府机关单位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9.55pt;margin-top:475.75pt;height:130.6pt;width:156pt;mso-position-horizontal-relative:margin;z-index:251659264;mso-width-relative:page;mso-height-relative:page;" fillcolor="#FFFFFF [3201]" filled="t" stroked="t" coordsize="21600,21600" o:gfxdata="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3&#10;B4+d2QAAAA4BAAAPAAAAAAAAAAEAIAAAACIAAABkcnMvZG93bnJldi54bWxQSwECFAAUAAAACACH&#10;TuJAf7corFwCAAC8BAAADgAAAAAAAAABACAAAAAoAQAAZHJzL2Uyb0RvYy54bWxQSwUGAAAAAAYA&#10;BgBZAQAA9gUAAAAA&#10;">
                <v:fill on="t" focussize="0,0"/>
                <v:stroke weight="0.5pt" color="#000000" joinstyle="round"/>
                <v:imagedata o:title=""/>
                <o:lock v:ext="edit" aspectratio="f"/>
                <v:textbox>
                  <w:txbxContent>
                    <w:p w14:paraId="020B2B55">
                      <w:pPr>
                        <w:pStyle w:val="143"/>
                      </w:pPr>
                      <w:r>
                        <w:rPr>
                          <w:rFonts w:hint="eastAsia"/>
                        </w:rPr>
                        <w:t>图</w:t>
                      </w:r>
                      <w:r>
                        <w:rPr>
                          <w:rFonts w:hint="eastAsia"/>
                          <w:lang w:eastAsia="zh-CN"/>
                        </w:rPr>
                        <w:t xml:space="preserve"> </w:t>
                      </w:r>
                      <w:r>
                        <w:rPr>
                          <w:lang w:eastAsia="zh-CN"/>
                        </w:rPr>
                        <w:t xml:space="preserve"> </w:t>
                      </w:r>
                      <w:r>
                        <w:rPr>
                          <w:rFonts w:hint="eastAsia"/>
                        </w:rPr>
                        <w:t>例</w:t>
                      </w:r>
                    </w:p>
                    <w:p w14:paraId="103FB55A">
                      <w:pPr>
                        <w:pStyle w:val="143"/>
                        <w:jc w:val="both"/>
                        <w:rPr>
                          <w:rFonts w:hint="eastAsia"/>
                          <w:lang w:eastAsia="zh-CN"/>
                        </w:rPr>
                      </w:pPr>
                    </w:p>
                    <w:p w14:paraId="5B26E913">
                      <w:pPr>
                        <w:pStyle w:val="143"/>
                        <w:jc w:val="both"/>
                        <w:rPr>
                          <w:lang w:eastAsia="zh-CN"/>
                        </w:rPr>
                      </w:pPr>
                      <w:r>
                        <w:rPr>
                          <w:rFonts w:hint="eastAsia"/>
                          <w:lang w:eastAsia="zh-CN"/>
                        </w:rPr>
                        <w:t>本项目区域</w:t>
                      </w:r>
                    </w:p>
                    <w:p w14:paraId="75D918B4">
                      <w:pPr>
                        <w:pStyle w:val="143"/>
                        <w:jc w:val="both"/>
                        <w:rPr>
                          <w:lang w:eastAsia="zh-CN"/>
                        </w:rPr>
                      </w:pPr>
                      <w:r>
                        <w:rPr>
                          <w:rFonts w:hint="eastAsia"/>
                          <w:lang w:eastAsia="zh-CN"/>
                        </w:rPr>
                        <w:t>地下水评价范围</w:t>
                      </w:r>
                    </w:p>
                    <w:p w14:paraId="2578A28C">
                      <w:pPr>
                        <w:pStyle w:val="143"/>
                        <w:jc w:val="both"/>
                      </w:pPr>
                      <w:r>
                        <w:rPr>
                          <w:rFonts w:hint="eastAsia"/>
                        </w:rPr>
                        <w:t>环境空气评价范围</w:t>
                      </w:r>
                    </w:p>
                    <w:p w14:paraId="5660DA46">
                      <w:pPr>
                        <w:pStyle w:val="143"/>
                        <w:jc w:val="both"/>
                      </w:pPr>
                      <w:r>
                        <w:rPr>
                          <w:rFonts w:hint="eastAsia"/>
                        </w:rPr>
                        <w:t>声环境评价范围</w:t>
                      </w:r>
                    </w:p>
                    <w:p w14:paraId="0DB99F3E">
                      <w:pPr>
                        <w:pStyle w:val="143"/>
                        <w:jc w:val="both"/>
                        <w:rPr>
                          <w:rFonts w:hint="eastAsia"/>
                          <w:lang w:val="en-US" w:eastAsia="zh-CN"/>
                        </w:rPr>
                      </w:pPr>
                      <w:r>
                        <w:rPr>
                          <w:rFonts w:hint="eastAsia"/>
                          <w:lang w:val="en-US" w:eastAsia="zh-CN"/>
                        </w:rPr>
                        <w:t>居民区</w:t>
                      </w:r>
                    </w:p>
                    <w:p w14:paraId="01B7D0EA">
                      <w:pPr>
                        <w:pStyle w:val="143"/>
                        <w:jc w:val="both"/>
                        <w:rPr>
                          <w:rFonts w:hint="eastAsia"/>
                          <w:lang w:val="en-US" w:eastAsia="zh-CN"/>
                        </w:rPr>
                      </w:pPr>
                      <w:r>
                        <w:rPr>
                          <w:rFonts w:hint="eastAsia"/>
                          <w:lang w:val="en-US" w:eastAsia="zh-CN"/>
                        </w:rPr>
                        <w:t>医院</w:t>
                      </w:r>
                    </w:p>
                    <w:p w14:paraId="4E98F9F3">
                      <w:pPr>
                        <w:pStyle w:val="143"/>
                        <w:jc w:val="both"/>
                        <w:rPr>
                          <w:rFonts w:hint="default"/>
                          <w:lang w:val="en-US" w:eastAsia="zh-CN"/>
                        </w:rPr>
                      </w:pPr>
                      <w:r>
                        <w:rPr>
                          <w:rFonts w:hint="eastAsia"/>
                          <w:lang w:val="en-US" w:eastAsia="zh-CN"/>
                        </w:rPr>
                        <w:t>政府机关单位</w:t>
                      </w:r>
                    </w:p>
                  </w:txbxContent>
                </v:textbox>
              </v:shape>
            </w:pict>
          </mc:Fallback>
        </mc:AlternateContent>
      </w:r>
      <w:r>
        <w:rPr>
          <w:sz w:val="24"/>
        </w:rPr>
        <mc:AlternateContent>
          <mc:Choice Requires="wps">
            <w:drawing>
              <wp:anchor distT="0" distB="0" distL="114300" distR="114300" simplePos="0" relativeHeight="251742208" behindDoc="0" locked="0" layoutInCell="1" allowOverlap="1">
                <wp:simplePos x="0" y="0"/>
                <wp:positionH relativeFrom="column">
                  <wp:posOffset>2954020</wp:posOffset>
                </wp:positionH>
                <wp:positionV relativeFrom="paragraph">
                  <wp:posOffset>6189980</wp:posOffset>
                </wp:positionV>
                <wp:extent cx="866775" cy="285750"/>
                <wp:effectExtent l="0" t="0" r="0" b="0"/>
                <wp:wrapNone/>
                <wp:docPr id="130" name="文本框 130"/>
                <wp:cNvGraphicFramePr/>
                <a:graphic xmlns:a="http://schemas.openxmlformats.org/drawingml/2006/main">
                  <a:graphicData uri="http://schemas.microsoft.com/office/word/2010/wordprocessingShape">
                    <wps:wsp>
                      <wps:cNvSpPr txBox="1"/>
                      <wps:spPr>
                        <a:xfrm>
                          <a:off x="3868420" y="7712710"/>
                          <a:ext cx="86677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14F030">
                            <w:pPr>
                              <w:ind w:left="0" w:leftChars="0" w:firstLine="0" w:firstLineChars="0"/>
                              <w:rPr>
                                <w:rFonts w:hint="default" w:eastAsia="宋体"/>
                                <w:b/>
                                <w:bCs/>
                                <w:color w:val="FF0000"/>
                                <w:lang w:val="en-US" w:eastAsia="zh-CN"/>
                              </w:rPr>
                            </w:pPr>
                            <w:r>
                              <w:rPr>
                                <w:rFonts w:hint="eastAsia"/>
                                <w:b/>
                                <w:bCs/>
                                <w:color w:val="FF0000"/>
                                <w:lang w:val="en-US" w:eastAsia="zh-CN"/>
                              </w:rPr>
                              <w:t>福地家园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2.6pt;margin-top:487.4pt;height:22.5pt;width:68.25pt;z-index:251742208;mso-width-relative:page;mso-height-relative:page;" filled="f" stroked="f" coordsize="21600,21600" o:gfxdata="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GmDuBdwAAAAMAQAADwAAAAAAAAAB&#10;ACAAAAAiAAAAZHJzL2Rvd25yZXYueG1sUEsBAhQAFAAAAAgAh07iQG0T5GBFAgAAdQQAAA4AAAAA&#10;AAAAAQAgAAAAKwEAAGRycy9lMm9Eb2MueG1sUEsFBgAAAAAGAAYAWQEAAOIFAAAAAA==&#10;">
                <v:fill on="f" focussize="0,0"/>
                <v:stroke on="f" weight="0.5pt"/>
                <v:imagedata o:title=""/>
                <o:lock v:ext="edit" aspectratio="f"/>
                <v:textbox>
                  <w:txbxContent>
                    <w:p w14:paraId="1A14F030">
                      <w:pPr>
                        <w:ind w:left="0" w:leftChars="0" w:firstLine="0" w:firstLineChars="0"/>
                        <w:rPr>
                          <w:rFonts w:hint="default" w:eastAsia="宋体"/>
                          <w:b/>
                          <w:bCs/>
                          <w:color w:val="FF0000"/>
                          <w:lang w:val="en-US" w:eastAsia="zh-CN"/>
                        </w:rPr>
                      </w:pPr>
                      <w:r>
                        <w:rPr>
                          <w:rFonts w:hint="eastAsia"/>
                          <w:b/>
                          <w:bCs/>
                          <w:color w:val="FF0000"/>
                          <w:lang w:val="en-US" w:eastAsia="zh-CN"/>
                        </w:rPr>
                        <w:t>福地家园</w:t>
                      </w:r>
                    </w:p>
                  </w:txbxContent>
                </v:textbox>
              </v:shape>
            </w:pict>
          </mc:Fallback>
        </mc:AlternateContent>
      </w:r>
      <w:r>
        <w:rPr>
          <w:sz w:val="24"/>
        </w:rPr>
        <mc:AlternateContent>
          <mc:Choice Requires="wps">
            <w:drawing>
              <wp:anchor distT="0" distB="0" distL="114300" distR="114300" simplePos="0" relativeHeight="251741184" behindDoc="0" locked="0" layoutInCell="1" allowOverlap="1">
                <wp:simplePos x="0" y="0"/>
                <wp:positionH relativeFrom="column">
                  <wp:posOffset>2896870</wp:posOffset>
                </wp:positionH>
                <wp:positionV relativeFrom="paragraph">
                  <wp:posOffset>5761355</wp:posOffset>
                </wp:positionV>
                <wp:extent cx="847725" cy="275590"/>
                <wp:effectExtent l="0" t="0" r="0" b="0"/>
                <wp:wrapNone/>
                <wp:docPr id="129" name="文本框 129"/>
                <wp:cNvGraphicFramePr/>
                <a:graphic xmlns:a="http://schemas.openxmlformats.org/drawingml/2006/main">
                  <a:graphicData uri="http://schemas.microsoft.com/office/word/2010/wordprocessingShape">
                    <wps:wsp>
                      <wps:cNvSpPr txBox="1"/>
                      <wps:spPr>
                        <a:xfrm>
                          <a:off x="3858895" y="7322185"/>
                          <a:ext cx="847725" cy="2755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93ED8D">
                            <w:pPr>
                              <w:ind w:left="0" w:leftChars="0" w:firstLine="0" w:firstLineChars="0"/>
                              <w:rPr>
                                <w:rFonts w:hint="default" w:eastAsia="宋体"/>
                                <w:b/>
                                <w:bCs/>
                                <w:color w:val="FF0000"/>
                                <w:lang w:val="en-US" w:eastAsia="zh-CN"/>
                              </w:rPr>
                            </w:pPr>
                            <w:r>
                              <w:rPr>
                                <w:rFonts w:hint="eastAsia"/>
                                <w:b/>
                                <w:bCs/>
                                <w:color w:val="FF0000"/>
                                <w:lang w:val="en-US" w:eastAsia="zh-CN"/>
                              </w:rPr>
                              <w:t>北环新居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8.1pt;margin-top:453.65pt;height:21.7pt;width:66.75pt;z-index:251741184;mso-width-relative:page;mso-height-relative:page;" filled="f" stroked="f" coordsize="21600,21600" o:gfxdata="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JWyk1XcAAAACwEAAA8A&#10;AAAAAAAAAQAgAAAAIgAAAGRycy9kb3ducmV2LnhtbFBLAQIUABQAAAAIAIdO4kCHBR6DTAIAAHUE&#10;AAAOAAAAAAAAAAEAIAAAACsBAABkcnMvZTJvRG9jLnhtbFBLBQYAAAAABgAGAFkBAADpBQAAAAA=&#10;">
                <v:fill on="f" focussize="0,0"/>
                <v:stroke on="f" weight="0.5pt"/>
                <v:imagedata o:title=""/>
                <o:lock v:ext="edit" aspectratio="f"/>
                <v:textbox>
                  <w:txbxContent>
                    <w:p w14:paraId="4393ED8D">
                      <w:pPr>
                        <w:ind w:left="0" w:leftChars="0" w:firstLine="0" w:firstLineChars="0"/>
                        <w:rPr>
                          <w:rFonts w:hint="default" w:eastAsia="宋体"/>
                          <w:b/>
                          <w:bCs/>
                          <w:color w:val="FF0000"/>
                          <w:lang w:val="en-US" w:eastAsia="zh-CN"/>
                        </w:rPr>
                      </w:pPr>
                      <w:r>
                        <w:rPr>
                          <w:rFonts w:hint="eastAsia"/>
                          <w:b/>
                          <w:bCs/>
                          <w:color w:val="FF0000"/>
                          <w:lang w:val="en-US" w:eastAsia="zh-CN"/>
                        </w:rPr>
                        <w:t>北环新居</w:t>
                      </w:r>
                    </w:p>
                  </w:txbxContent>
                </v:textbox>
              </v:shape>
            </w:pict>
          </mc:Fallback>
        </mc:AlternateContent>
      </w:r>
      <w:r>
        <w:rPr>
          <w:sz w:val="24"/>
        </w:rPr>
        <mc:AlternateContent>
          <mc:Choice Requires="wps">
            <w:drawing>
              <wp:anchor distT="0" distB="0" distL="114300" distR="114300" simplePos="0" relativeHeight="251740160" behindDoc="0" locked="0" layoutInCell="1" allowOverlap="1">
                <wp:simplePos x="0" y="0"/>
                <wp:positionH relativeFrom="column">
                  <wp:posOffset>2782570</wp:posOffset>
                </wp:positionH>
                <wp:positionV relativeFrom="paragraph">
                  <wp:posOffset>5389880</wp:posOffset>
                </wp:positionV>
                <wp:extent cx="1009015" cy="304800"/>
                <wp:effectExtent l="0" t="0" r="0" b="0"/>
                <wp:wrapNone/>
                <wp:docPr id="128" name="文本框 128"/>
                <wp:cNvGraphicFramePr/>
                <a:graphic xmlns:a="http://schemas.openxmlformats.org/drawingml/2006/main">
                  <a:graphicData uri="http://schemas.microsoft.com/office/word/2010/wordprocessingShape">
                    <wps:wsp>
                      <wps:cNvSpPr txBox="1"/>
                      <wps:spPr>
                        <a:xfrm>
                          <a:off x="3696970" y="6912610"/>
                          <a:ext cx="100901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8F7254">
                            <w:pPr>
                              <w:ind w:left="0" w:leftChars="0" w:firstLine="0" w:firstLineChars="0"/>
                              <w:rPr>
                                <w:rFonts w:hint="default" w:eastAsia="宋体"/>
                                <w:b/>
                                <w:bCs/>
                                <w:color w:val="FF0000"/>
                                <w:lang w:val="en-US" w:eastAsia="zh-CN"/>
                              </w:rPr>
                            </w:pPr>
                            <w:r>
                              <w:rPr>
                                <w:rFonts w:hint="eastAsia"/>
                                <w:b/>
                                <w:bCs/>
                                <w:color w:val="FF0000"/>
                                <w:lang w:val="en-US" w:eastAsia="zh-CN"/>
                              </w:rPr>
                              <w:t>生态环境局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9.1pt;margin-top:424.4pt;height:24pt;width:79.45pt;z-index:251740160;mso-width-relative:page;mso-height-relative:page;" filled="f" stroked="f" coordsize="21600,21600" o:gfxdata="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IUHawHcAAAACwEAAA8AAAAA&#10;AAAAAQAgAAAAIgAAAGRycy9kb3ducmV2LnhtbFBLAQIUABQAAAAIAIdO4kC4IIYXSQIAAHYEAAAO&#10;AAAAAAAAAAEAIAAAACsBAABkcnMvZTJvRG9jLnhtbFBLBQYAAAAABgAGAFkBAADmBQAAAAA=&#10;">
                <v:fill on="f" focussize="0,0"/>
                <v:stroke on="f" weight="0.5pt"/>
                <v:imagedata o:title=""/>
                <o:lock v:ext="edit" aspectratio="f"/>
                <v:textbox>
                  <w:txbxContent>
                    <w:p w14:paraId="258F7254">
                      <w:pPr>
                        <w:ind w:left="0" w:leftChars="0" w:firstLine="0" w:firstLineChars="0"/>
                        <w:rPr>
                          <w:rFonts w:hint="default" w:eastAsia="宋体"/>
                          <w:b/>
                          <w:bCs/>
                          <w:color w:val="FF0000"/>
                          <w:lang w:val="en-US" w:eastAsia="zh-CN"/>
                        </w:rPr>
                      </w:pPr>
                      <w:r>
                        <w:rPr>
                          <w:rFonts w:hint="eastAsia"/>
                          <w:b/>
                          <w:bCs/>
                          <w:color w:val="FF0000"/>
                          <w:lang w:val="en-US" w:eastAsia="zh-CN"/>
                        </w:rPr>
                        <w:t>生态环境局</w:t>
                      </w:r>
                    </w:p>
                  </w:txbxContent>
                </v:textbox>
              </v:shape>
            </w:pict>
          </mc:Fallback>
        </mc:AlternateContent>
      </w:r>
      <w:r>
        <w:rPr>
          <w:sz w:val="24"/>
        </w:rPr>
        <mc:AlternateContent>
          <mc:Choice Requires="wps">
            <w:drawing>
              <wp:anchor distT="0" distB="0" distL="114300" distR="114300" simplePos="0" relativeHeight="251739136" behindDoc="0" locked="0" layoutInCell="1" allowOverlap="1">
                <wp:simplePos x="0" y="0"/>
                <wp:positionH relativeFrom="column">
                  <wp:posOffset>2531110</wp:posOffset>
                </wp:positionH>
                <wp:positionV relativeFrom="paragraph">
                  <wp:posOffset>4848225</wp:posOffset>
                </wp:positionV>
                <wp:extent cx="819150" cy="285750"/>
                <wp:effectExtent l="0" t="0" r="0" b="0"/>
                <wp:wrapNone/>
                <wp:docPr id="127" name="文本框 127"/>
                <wp:cNvGraphicFramePr/>
                <a:graphic xmlns:a="http://schemas.openxmlformats.org/drawingml/2006/main">
                  <a:graphicData uri="http://schemas.microsoft.com/office/word/2010/wordprocessingShape">
                    <wps:wsp>
                      <wps:cNvSpPr txBox="1"/>
                      <wps:spPr>
                        <a:xfrm>
                          <a:off x="3721735" y="6447155"/>
                          <a:ext cx="81915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E1C30C">
                            <w:pPr>
                              <w:ind w:left="0" w:leftChars="0" w:firstLine="0" w:firstLineChars="0"/>
                              <w:rPr>
                                <w:rFonts w:hint="default" w:eastAsia="宋体"/>
                                <w:b/>
                                <w:bCs/>
                                <w:color w:val="FF0000"/>
                                <w:lang w:val="en-US" w:eastAsia="zh-CN"/>
                              </w:rPr>
                            </w:pPr>
                            <w:r>
                              <w:rPr>
                                <w:rFonts w:hint="eastAsia"/>
                                <w:b/>
                                <w:bCs/>
                                <w:color w:val="FF0000"/>
                                <w:lang w:val="en-US" w:eastAsia="zh-CN"/>
                              </w:rPr>
                              <w:t>五环嘉园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3pt;margin-top:381.75pt;height:22.5pt;width:64.5pt;z-index:251739136;mso-width-relative:page;mso-height-relative:page;" filled="f" stroked="f" coordsize="21600,21600" o:gfxdata="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F/T5L3AAAAAsBAAAPAAAAAAAA&#10;AAEAIAAAACIAAABkcnMvZG93bnJldi54bWxQSwECFAAUAAAACACHTuJAb6/fhEcCAAB1BAAADgAA&#10;AAAAAAABACAAAAArAQAAZHJzL2Uyb0RvYy54bWxQSwUGAAAAAAYABgBZAQAA5AUAAAAA&#10;">
                <v:fill on="f" focussize="0,0"/>
                <v:stroke on="f" weight="0.5pt"/>
                <v:imagedata o:title=""/>
                <o:lock v:ext="edit" aspectratio="f"/>
                <v:textbox>
                  <w:txbxContent>
                    <w:p w14:paraId="1BE1C30C">
                      <w:pPr>
                        <w:ind w:left="0" w:leftChars="0" w:firstLine="0" w:firstLineChars="0"/>
                        <w:rPr>
                          <w:rFonts w:hint="default" w:eastAsia="宋体"/>
                          <w:b/>
                          <w:bCs/>
                          <w:color w:val="FF0000"/>
                          <w:lang w:val="en-US" w:eastAsia="zh-CN"/>
                        </w:rPr>
                      </w:pPr>
                      <w:r>
                        <w:rPr>
                          <w:rFonts w:hint="eastAsia"/>
                          <w:b/>
                          <w:bCs/>
                          <w:color w:val="FF0000"/>
                          <w:lang w:val="en-US" w:eastAsia="zh-CN"/>
                        </w:rPr>
                        <w:t>五环嘉园</w:t>
                      </w:r>
                    </w:p>
                  </w:txbxContent>
                </v:textbox>
              </v:shape>
            </w:pict>
          </mc:Fallback>
        </mc:AlternateContent>
      </w:r>
      <w:r>
        <w:rPr>
          <w:sz w:val="24"/>
        </w:rPr>
        <mc:AlternateContent>
          <mc:Choice Requires="wps">
            <w:drawing>
              <wp:anchor distT="0" distB="0" distL="114300" distR="114300" simplePos="0" relativeHeight="251736064" behindDoc="0" locked="0" layoutInCell="1" allowOverlap="1">
                <wp:simplePos x="0" y="0"/>
                <wp:positionH relativeFrom="column">
                  <wp:posOffset>1045210</wp:posOffset>
                </wp:positionH>
                <wp:positionV relativeFrom="paragraph">
                  <wp:posOffset>4710430</wp:posOffset>
                </wp:positionV>
                <wp:extent cx="2514600" cy="2190750"/>
                <wp:effectExtent l="12700" t="12700" r="387350" b="25400"/>
                <wp:wrapNone/>
                <wp:docPr id="122" name="矩形标注 122"/>
                <wp:cNvGraphicFramePr/>
                <a:graphic xmlns:a="http://schemas.openxmlformats.org/drawingml/2006/main">
                  <a:graphicData uri="http://schemas.microsoft.com/office/word/2010/wordprocessingShape">
                    <wps:wsp>
                      <wps:cNvSpPr/>
                      <wps:spPr>
                        <a:xfrm>
                          <a:off x="2321560" y="7042785"/>
                          <a:ext cx="2514600" cy="2190750"/>
                        </a:xfrm>
                        <a:prstGeom prst="wedgeRectCallout">
                          <a:avLst>
                            <a:gd name="adj1" fmla="val 64823"/>
                            <a:gd name="adj2" fmla="val 39304"/>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6EA3C08">
                            <w:pPr>
                              <w:ind w:left="0" w:leftChars="0" w:firstLine="0" w:firstLineChars="0"/>
                              <w:jc w:val="both"/>
                            </w:pPr>
                            <w:r>
                              <w:drawing>
                                <wp:inline distT="0" distB="0" distL="114300" distR="114300">
                                  <wp:extent cx="2409825" cy="2124075"/>
                                  <wp:effectExtent l="0" t="0" r="9525" b="9525"/>
                                  <wp:docPr id="1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6"/>
                                          <pic:cNvPicPr>
                                            <a:picLocks noChangeAspect="1"/>
                                          </pic:cNvPicPr>
                                        </pic:nvPicPr>
                                        <pic:blipFill>
                                          <a:blip r:embed="rId169"/>
                                          <a:stretch>
                                            <a:fillRect/>
                                          </a:stretch>
                                        </pic:blipFill>
                                        <pic:spPr>
                                          <a:xfrm>
                                            <a:off x="0" y="0"/>
                                            <a:ext cx="2409825" cy="21240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82.3pt;margin-top:370.9pt;height:172.5pt;width:198pt;z-index:251736064;v-text-anchor:middle;mso-width-relative:page;mso-height-relative:page;" filled="f" stroked="t" coordsize="21600,21600" o:gfxdata="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CEbH0q2QAAAAwBAAAPAAAAAAAAAAEAIAAAACIAAABkcnMvZG93&#10;bnJldi54bWxQSwECFAAUAAAACACHTuJA0iaoEaoCAAAzBQAADgAAAAAAAAABACAAAAAoAQAAZHJz&#10;L2Uyb0RvYy54bWxQSwUGAAAAAAYABgBZAQAARAYAAAAA&#10;" adj="24802,19290">
                <v:fill on="f" focussize="0,0"/>
                <v:stroke weight="2pt" color="#FF0000 [2404]" joinstyle="round"/>
                <v:imagedata o:title=""/>
                <o:lock v:ext="edit" aspectratio="f"/>
                <v:textbox>
                  <w:txbxContent>
                    <w:p w14:paraId="76EA3C08">
                      <w:pPr>
                        <w:ind w:left="0" w:leftChars="0" w:firstLine="0" w:firstLineChars="0"/>
                        <w:jc w:val="both"/>
                      </w:pPr>
                      <w:r>
                        <w:drawing>
                          <wp:inline distT="0" distB="0" distL="114300" distR="114300">
                            <wp:extent cx="2409825" cy="2124075"/>
                            <wp:effectExtent l="0" t="0" r="9525" b="9525"/>
                            <wp:docPr id="1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6"/>
                                    <pic:cNvPicPr>
                                      <a:picLocks noChangeAspect="1"/>
                                    </pic:cNvPicPr>
                                  </pic:nvPicPr>
                                  <pic:blipFill>
                                    <a:blip r:embed="rId169"/>
                                    <a:stretch>
                                      <a:fillRect/>
                                    </a:stretch>
                                  </pic:blipFill>
                                  <pic:spPr>
                                    <a:xfrm>
                                      <a:off x="0" y="0"/>
                                      <a:ext cx="2409825" cy="2124075"/>
                                    </a:xfrm>
                                    <a:prstGeom prst="rect">
                                      <a:avLst/>
                                    </a:prstGeom>
                                    <a:noFill/>
                                    <a:ln>
                                      <a:noFill/>
                                    </a:ln>
                                  </pic:spPr>
                                </pic:pic>
                              </a:graphicData>
                            </a:graphic>
                          </wp:inline>
                        </w:drawing>
                      </w:r>
                    </w:p>
                  </w:txbxContent>
                </v:textbox>
              </v:shape>
            </w:pict>
          </mc:Fallback>
        </mc:AlternateContent>
      </w:r>
      <w:r>
        <w:rPr>
          <w:sz w:val="24"/>
        </w:rPr>
        <mc:AlternateContent>
          <mc:Choice Requires="wps">
            <w:drawing>
              <wp:anchor distT="0" distB="0" distL="114300" distR="114300" simplePos="0" relativeHeight="251738112" behindDoc="0" locked="0" layoutInCell="1" allowOverlap="1">
                <wp:simplePos x="0" y="0"/>
                <wp:positionH relativeFrom="column">
                  <wp:posOffset>1854835</wp:posOffset>
                </wp:positionH>
                <wp:positionV relativeFrom="paragraph">
                  <wp:posOffset>6286500</wp:posOffset>
                </wp:positionV>
                <wp:extent cx="885190" cy="361950"/>
                <wp:effectExtent l="0" t="0" r="0" b="0"/>
                <wp:wrapNone/>
                <wp:docPr id="126" name="文本框 126"/>
                <wp:cNvGraphicFramePr/>
                <a:graphic xmlns:a="http://schemas.openxmlformats.org/drawingml/2006/main">
                  <a:graphicData uri="http://schemas.microsoft.com/office/word/2010/wordprocessingShape">
                    <wps:wsp>
                      <wps:cNvSpPr txBox="1"/>
                      <wps:spPr>
                        <a:xfrm>
                          <a:off x="2769235" y="7809230"/>
                          <a:ext cx="885190" cy="3619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A42A57">
                            <w:pPr>
                              <w:ind w:left="0" w:leftChars="0" w:firstLine="0" w:firstLineChars="0"/>
                              <w:rPr>
                                <w:rFonts w:hint="default" w:eastAsia="宋体"/>
                                <w:b/>
                                <w:bCs/>
                                <w:color w:val="FF0000"/>
                                <w:lang w:val="en-US" w:eastAsia="zh-CN"/>
                              </w:rPr>
                            </w:pPr>
                            <w:r>
                              <w:rPr>
                                <w:rFonts w:hint="eastAsia"/>
                                <w:b/>
                                <w:bCs/>
                                <w:color w:val="FF0000"/>
                                <w:lang w:val="en-US" w:eastAsia="zh-CN"/>
                              </w:rPr>
                              <w:t>北辰铭郡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6.05pt;margin-top:495pt;height:28.5pt;width:69.7pt;z-index:251738112;mso-width-relative:page;mso-height-relative:page;" filled="f" stroked="f" coordsize="21600,21600" o:gfxdata="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lWofEtwAAAAMAQAADwAAAAAA&#10;AAABACAAAAAiAAAAZHJzL2Rvd25yZXYueG1sUEsBAhQAFAAAAAgAh07iQLw/x+tIAgAAdQQAAA4A&#10;AAAAAAAAAQAgAAAAKwEAAGRycy9lMm9Eb2MueG1sUEsFBgAAAAAGAAYAWQEAAOUFAAAAAA==&#10;">
                <v:fill on="f" focussize="0,0"/>
                <v:stroke on="f" weight="0.5pt"/>
                <v:imagedata o:title=""/>
                <o:lock v:ext="edit" aspectratio="f"/>
                <v:textbox>
                  <w:txbxContent>
                    <w:p w14:paraId="10A42A57">
                      <w:pPr>
                        <w:ind w:left="0" w:leftChars="0" w:firstLine="0" w:firstLineChars="0"/>
                        <w:rPr>
                          <w:rFonts w:hint="default" w:eastAsia="宋体"/>
                          <w:b/>
                          <w:bCs/>
                          <w:color w:val="FF0000"/>
                          <w:lang w:val="en-US" w:eastAsia="zh-CN"/>
                        </w:rPr>
                      </w:pPr>
                      <w:r>
                        <w:rPr>
                          <w:rFonts w:hint="eastAsia"/>
                          <w:b/>
                          <w:bCs/>
                          <w:color w:val="FF0000"/>
                          <w:lang w:val="en-US" w:eastAsia="zh-CN"/>
                        </w:rPr>
                        <w:t>北辰铭郡</w:t>
                      </w:r>
                    </w:p>
                  </w:txbxContent>
                </v:textbox>
              </v:shape>
            </w:pict>
          </mc:Fallback>
        </mc:AlternateContent>
      </w:r>
      <w:r>
        <w:rPr>
          <w:sz w:val="24"/>
        </w:rPr>
        <mc:AlternateContent>
          <mc:Choice Requires="wps">
            <w:drawing>
              <wp:anchor distT="0" distB="0" distL="114300" distR="114300" simplePos="0" relativeHeight="251737088" behindDoc="0" locked="0" layoutInCell="1" allowOverlap="1">
                <wp:simplePos x="0" y="0"/>
                <wp:positionH relativeFrom="column">
                  <wp:posOffset>1673860</wp:posOffset>
                </wp:positionH>
                <wp:positionV relativeFrom="paragraph">
                  <wp:posOffset>5353050</wp:posOffset>
                </wp:positionV>
                <wp:extent cx="923925" cy="381000"/>
                <wp:effectExtent l="0" t="0" r="9525" b="0"/>
                <wp:wrapNone/>
                <wp:docPr id="125" name="文本框 125"/>
                <wp:cNvGraphicFramePr/>
                <a:graphic xmlns:a="http://schemas.openxmlformats.org/drawingml/2006/main">
                  <a:graphicData uri="http://schemas.microsoft.com/office/word/2010/wordprocessingShape">
                    <wps:wsp>
                      <wps:cNvSpPr txBox="1"/>
                      <wps:spPr>
                        <a:xfrm>
                          <a:off x="2588260" y="6875780"/>
                          <a:ext cx="923925" cy="381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52752A">
                            <w:pPr>
                              <w:ind w:left="0" w:leftChars="0" w:firstLine="0" w:firstLineChars="0"/>
                              <w:rPr>
                                <w:rFonts w:hint="default" w:eastAsia="宋体"/>
                                <w:b/>
                                <w:bCs/>
                                <w:color w:val="FF0000"/>
                                <w:lang w:val="en-US" w:eastAsia="zh-CN"/>
                              </w:rPr>
                            </w:pPr>
                            <w:r>
                              <w:rPr>
                                <w:rFonts w:hint="eastAsia"/>
                                <w:b/>
                                <w:bCs/>
                                <w:color w:val="FF0000"/>
                                <w:lang w:val="en-US" w:eastAsia="zh-CN"/>
                              </w:rPr>
                              <w:t>名和城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1.8pt;margin-top:421.5pt;height:30pt;width:72.75pt;z-index:251737088;mso-width-relative:page;mso-height-relative:page;" filled="f" stroked="f" coordsize="21600,21600" o:gfxdata="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F+CRodwAAAALAQAADwAAAAAA&#10;AAABACAAAAAiAAAAZHJzL2Rvd25yZXYueG1sUEsBAhQAFAAAAAgAh07iQD4vM4VIAgAAdQQAAA4A&#10;AAAAAAAAAQAgAAAAKwEAAGRycy9lMm9Eb2MueG1sUEsFBgAAAAAGAAYAWQEAAOUFAAAAAA==&#10;">
                <v:fill on="f" focussize="0,0"/>
                <v:stroke on="f" weight="0.5pt"/>
                <v:imagedata o:title=""/>
                <o:lock v:ext="edit" aspectratio="f"/>
                <v:textbox>
                  <w:txbxContent>
                    <w:p w14:paraId="1352752A">
                      <w:pPr>
                        <w:ind w:left="0" w:leftChars="0" w:firstLine="0" w:firstLineChars="0"/>
                        <w:rPr>
                          <w:rFonts w:hint="default" w:eastAsia="宋体"/>
                          <w:b/>
                          <w:bCs/>
                          <w:color w:val="FF0000"/>
                          <w:lang w:val="en-US" w:eastAsia="zh-CN"/>
                        </w:rPr>
                      </w:pPr>
                      <w:r>
                        <w:rPr>
                          <w:rFonts w:hint="eastAsia"/>
                          <w:b/>
                          <w:bCs/>
                          <w:color w:val="FF0000"/>
                          <w:lang w:val="en-US" w:eastAsia="zh-CN"/>
                        </w:rPr>
                        <w:t>名和城</w:t>
                      </w:r>
                    </w:p>
                  </w:txbxContent>
                </v:textbox>
              </v:shape>
            </w:pict>
          </mc:Fallback>
        </mc:AlternateContent>
      </w:r>
      <w:r>
        <w:rPr>
          <w:sz w:val="24"/>
        </w:rPr>
        <mc:AlternateContent>
          <mc:Choice Requires="wps">
            <w:drawing>
              <wp:anchor distT="0" distB="0" distL="114300" distR="114300" simplePos="0" relativeHeight="251728896" behindDoc="0" locked="0" layoutInCell="1" allowOverlap="1">
                <wp:simplePos x="0" y="0"/>
                <wp:positionH relativeFrom="column">
                  <wp:posOffset>3750310</wp:posOffset>
                </wp:positionH>
                <wp:positionV relativeFrom="paragraph">
                  <wp:posOffset>7066915</wp:posOffset>
                </wp:positionV>
                <wp:extent cx="1285240" cy="34417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1285240" cy="344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09606E">
                            <w:pPr>
                              <w:ind w:left="0" w:leftChars="0" w:firstLine="0" w:firstLineChars="0"/>
                              <w:rPr>
                                <w:rFonts w:hint="default" w:eastAsia="宋体"/>
                                <w:b/>
                                <w:bCs/>
                                <w:color w:val="FF0000"/>
                                <w:lang w:val="en-US" w:eastAsia="zh-CN"/>
                              </w:rPr>
                            </w:pPr>
                            <w:r>
                              <w:rPr>
                                <w:rFonts w:hint="eastAsia"/>
                                <w:b/>
                                <w:bCs/>
                                <w:color w:val="FF0000"/>
                                <w:lang w:val="en-US" w:eastAsia="zh-CN"/>
                              </w:rPr>
                              <w:t>实验小学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3pt;margin-top:556.45pt;height:27.1pt;width:101.2pt;z-index:251728896;mso-width-relative:page;mso-height-relative:page;" filled="f" stroked="f" coordsize="21600,21600" o:gfxdata="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9Z6YXdAAAADQEAAA8AAAAAAAAAAQAgAAAAIgAA&#10;AGRycy9kb3ducmV2LnhtbFBLAQIUABQAAAAIAIdO4kD9GDQTPAIAAGgEAAAOAAAAAAAAAAEAIAAA&#10;ACwBAABkcnMvZTJvRG9jLnhtbFBLBQYAAAAABgAGAFkBAADaBQAAAAA=&#10;">
                <v:fill on="f" focussize="0,0"/>
                <v:stroke on="f" weight="0.5pt"/>
                <v:imagedata o:title=""/>
                <o:lock v:ext="edit" aspectratio="f"/>
                <v:textbox>
                  <w:txbxContent>
                    <w:p w14:paraId="3709606E">
                      <w:pPr>
                        <w:ind w:left="0" w:leftChars="0" w:firstLine="0" w:firstLineChars="0"/>
                        <w:rPr>
                          <w:rFonts w:hint="default" w:eastAsia="宋体"/>
                          <w:b/>
                          <w:bCs/>
                          <w:color w:val="FF0000"/>
                          <w:lang w:val="en-US" w:eastAsia="zh-CN"/>
                        </w:rPr>
                      </w:pPr>
                      <w:r>
                        <w:rPr>
                          <w:rFonts w:hint="eastAsia"/>
                          <w:b/>
                          <w:bCs/>
                          <w:color w:val="FF0000"/>
                          <w:lang w:val="en-US" w:eastAsia="zh-CN"/>
                        </w:rPr>
                        <w:t>实验小学</w:t>
                      </w:r>
                    </w:p>
                  </w:txbxContent>
                </v:textbox>
              </v:shape>
            </w:pict>
          </mc:Fallback>
        </mc:AlternateContent>
      </w:r>
      <w:r>
        <w:rPr>
          <w:sz w:val="24"/>
        </w:rPr>
        <mc:AlternateContent>
          <mc:Choice Requires="wps">
            <w:drawing>
              <wp:anchor distT="0" distB="0" distL="114300" distR="114300" simplePos="0" relativeHeight="251735040" behindDoc="0" locked="0" layoutInCell="1" allowOverlap="1">
                <wp:simplePos x="0" y="0"/>
                <wp:positionH relativeFrom="column">
                  <wp:posOffset>4531360</wp:posOffset>
                </wp:positionH>
                <wp:positionV relativeFrom="paragraph">
                  <wp:posOffset>7209790</wp:posOffset>
                </wp:positionV>
                <wp:extent cx="1285240" cy="34417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1285240" cy="344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4D516F">
                            <w:pPr>
                              <w:ind w:left="0" w:leftChars="0" w:firstLine="0" w:firstLineChars="0"/>
                              <w:rPr>
                                <w:rFonts w:hint="default" w:eastAsia="宋体"/>
                                <w:b/>
                                <w:bCs/>
                                <w:color w:val="FF0000"/>
                                <w:lang w:val="en-US" w:eastAsia="zh-CN"/>
                              </w:rPr>
                            </w:pPr>
                            <w:r>
                              <w:rPr>
                                <w:rFonts w:hint="eastAsia"/>
                                <w:b/>
                                <w:bCs/>
                                <w:color w:val="FF0000"/>
                                <w:lang w:val="en-US" w:eastAsia="zh-CN"/>
                              </w:rPr>
                              <w:t>交通运输局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6.8pt;margin-top:567.7pt;height:27.1pt;width:101.2pt;z-index:251735040;mso-width-relative:page;mso-height-relative:page;" filled="f" stroked="f" coordsize="21600,21600" o:gfxdata="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&#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Sz8zPN0AAAANAQAADwAAAAAAAAABACAAAAAiAAAA&#10;ZHJzL2Rvd25yZXYueG1sUEsBAhQAFAAAAAgAh07iQP+HqNg7AgAAaAQAAA4AAAAAAAAAAQAgAAAA&#10;LAEAAGRycy9lMm9Eb2MueG1sUEsFBgAAAAAGAAYAWQEAANkFAAAAAA==&#10;">
                <v:fill on="f" focussize="0,0"/>
                <v:stroke on="f" weight="0.5pt"/>
                <v:imagedata o:title=""/>
                <o:lock v:ext="edit" aspectratio="f"/>
                <v:textbox>
                  <w:txbxContent>
                    <w:p w14:paraId="624D516F">
                      <w:pPr>
                        <w:ind w:left="0" w:leftChars="0" w:firstLine="0" w:firstLineChars="0"/>
                        <w:rPr>
                          <w:rFonts w:hint="default" w:eastAsia="宋体"/>
                          <w:b/>
                          <w:bCs/>
                          <w:color w:val="FF0000"/>
                          <w:lang w:val="en-US" w:eastAsia="zh-CN"/>
                        </w:rPr>
                      </w:pPr>
                      <w:r>
                        <w:rPr>
                          <w:rFonts w:hint="eastAsia"/>
                          <w:b/>
                          <w:bCs/>
                          <w:color w:val="FF0000"/>
                          <w:lang w:val="en-US" w:eastAsia="zh-CN"/>
                        </w:rPr>
                        <w:t>交通运输局</w:t>
                      </w:r>
                    </w:p>
                  </w:txbxContent>
                </v:textbox>
              </v:shape>
            </w:pict>
          </mc:Fallback>
        </mc:AlternateContent>
      </w:r>
      <w:r>
        <w:rPr>
          <w:sz w:val="24"/>
        </w:rPr>
        <mc:AlternateContent>
          <mc:Choice Requires="wps">
            <w:drawing>
              <wp:anchor distT="0" distB="0" distL="114300" distR="114300" simplePos="0" relativeHeight="251724800" behindDoc="0" locked="0" layoutInCell="1" allowOverlap="1">
                <wp:simplePos x="0" y="0"/>
                <wp:positionH relativeFrom="column">
                  <wp:posOffset>5445760</wp:posOffset>
                </wp:positionH>
                <wp:positionV relativeFrom="paragraph">
                  <wp:posOffset>6523990</wp:posOffset>
                </wp:positionV>
                <wp:extent cx="1162050" cy="33401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4CCC83">
                            <w:pPr>
                              <w:ind w:left="0" w:leftChars="0" w:firstLine="0" w:firstLineChars="0"/>
                              <w:rPr>
                                <w:rFonts w:hint="default" w:eastAsia="宋体"/>
                                <w:b/>
                                <w:bCs/>
                                <w:color w:val="FF0000"/>
                                <w:lang w:val="en-US" w:eastAsia="zh-CN"/>
                              </w:rPr>
                            </w:pPr>
                            <w:r>
                              <w:rPr>
                                <w:rFonts w:hint="eastAsia"/>
                                <w:b/>
                                <w:bCs/>
                                <w:color w:val="FF0000"/>
                                <w:lang w:val="en-US" w:eastAsia="zh-CN"/>
                              </w:rPr>
                              <w:t>新月家园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8.8pt;margin-top:513.7pt;height:26.3pt;width:91.5pt;z-index:251724800;mso-width-relative:page;mso-height-relative:page;" filled="f" stroked="f" coordsize="21600,21600" o:gfxdata="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s8AGdwAAAAOAQAADwAAAAAAAAABACAAAAAiAAAAZHJz&#10;L2Rvd25yZXYueG1sUEsBAhQAFAAAAAgAh07iQMyM7jY5AgAAaAQAAA4AAAAAAAAAAQAgAAAAKwEA&#10;AGRycy9lMm9Eb2MueG1sUEsFBgAAAAAGAAYAWQEAANYFAAAAAA==&#10;">
                <v:fill on="f" focussize="0,0"/>
                <v:stroke on="f" weight="0.5pt"/>
                <v:imagedata o:title=""/>
                <o:lock v:ext="edit" aspectratio="f"/>
                <v:textbox>
                  <w:txbxContent>
                    <w:p w14:paraId="464CCC83">
                      <w:pPr>
                        <w:ind w:left="0" w:leftChars="0" w:firstLine="0" w:firstLineChars="0"/>
                        <w:rPr>
                          <w:rFonts w:hint="default" w:eastAsia="宋体"/>
                          <w:b/>
                          <w:bCs/>
                          <w:color w:val="FF0000"/>
                          <w:lang w:val="en-US" w:eastAsia="zh-CN"/>
                        </w:rPr>
                      </w:pPr>
                      <w:r>
                        <w:rPr>
                          <w:rFonts w:hint="eastAsia"/>
                          <w:b/>
                          <w:bCs/>
                          <w:color w:val="FF0000"/>
                          <w:lang w:val="en-US" w:eastAsia="zh-CN"/>
                        </w:rPr>
                        <w:t>新月家园</w:t>
                      </w:r>
                    </w:p>
                  </w:txbxContent>
                </v:textbox>
              </v:shape>
            </w:pict>
          </mc:Fallback>
        </mc:AlternateContent>
      </w:r>
      <w:r>
        <w:rPr>
          <w:sz w:val="24"/>
        </w:rPr>
        <mc:AlternateContent>
          <mc:Choice Requires="wps">
            <w:drawing>
              <wp:anchor distT="0" distB="0" distL="114300" distR="114300" simplePos="0" relativeHeight="251734016" behindDoc="0" locked="0" layoutInCell="1" allowOverlap="1">
                <wp:simplePos x="0" y="0"/>
                <wp:positionH relativeFrom="column">
                  <wp:posOffset>4864735</wp:posOffset>
                </wp:positionH>
                <wp:positionV relativeFrom="paragraph">
                  <wp:posOffset>6676390</wp:posOffset>
                </wp:positionV>
                <wp:extent cx="1285240" cy="34417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285240" cy="344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ACA12E">
                            <w:pPr>
                              <w:ind w:left="0" w:leftChars="0" w:firstLine="0" w:firstLineChars="0"/>
                              <w:rPr>
                                <w:rFonts w:hint="default" w:eastAsia="宋体"/>
                                <w:b/>
                                <w:bCs/>
                                <w:color w:val="FF0000"/>
                                <w:lang w:val="en-US" w:eastAsia="zh-CN"/>
                              </w:rPr>
                            </w:pPr>
                            <w:r>
                              <w:rPr>
                                <w:rFonts w:hint="eastAsia"/>
                                <w:b/>
                                <w:bCs/>
                                <w:color w:val="FF0000"/>
                                <w:lang w:val="en-US" w:eastAsia="zh-CN"/>
                              </w:rPr>
                              <w:t>第七中学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3.05pt;margin-top:525.7pt;height:27.1pt;width:101.2pt;z-index:251734016;mso-width-relative:page;mso-height-relative:page;" filled="f" stroked="f" coordsize="21600,21600" o:gfxdata="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s+e1+2wAAAA0BAAAPAAAAAAAAAAEAIAAAACIAAABk&#10;cnMvZG93bnJldi54bWxQSwECFAAUAAAACACHTuJA0DVUOjwCAABoBAAADgAAAAAAAAABACAAAAAq&#10;AQAAZHJzL2Uyb0RvYy54bWxQSwUGAAAAAAYABgBZAQAA2AUAAAAA&#10;">
                <v:fill on="f" focussize="0,0"/>
                <v:stroke on="f" weight="0.5pt"/>
                <v:imagedata o:title=""/>
                <o:lock v:ext="edit" aspectratio="f"/>
                <v:textbox>
                  <w:txbxContent>
                    <w:p w14:paraId="52ACA12E">
                      <w:pPr>
                        <w:ind w:left="0" w:leftChars="0" w:firstLine="0" w:firstLineChars="0"/>
                        <w:rPr>
                          <w:rFonts w:hint="default" w:eastAsia="宋体"/>
                          <w:b/>
                          <w:bCs/>
                          <w:color w:val="FF0000"/>
                          <w:lang w:val="en-US" w:eastAsia="zh-CN"/>
                        </w:rPr>
                      </w:pPr>
                      <w:r>
                        <w:rPr>
                          <w:rFonts w:hint="eastAsia"/>
                          <w:b/>
                          <w:bCs/>
                          <w:color w:val="FF0000"/>
                          <w:lang w:val="en-US" w:eastAsia="zh-CN"/>
                        </w:rPr>
                        <w:t>第七中学</w:t>
                      </w:r>
                    </w:p>
                  </w:txbxContent>
                </v:textbox>
              </v:shape>
            </w:pict>
          </mc:Fallback>
        </mc:AlternateContent>
      </w:r>
      <w:r>
        <w:rPr>
          <w:sz w:val="24"/>
        </w:rPr>
        <mc:AlternateContent>
          <mc:Choice Requires="wps">
            <w:drawing>
              <wp:anchor distT="0" distB="0" distL="114300" distR="114300" simplePos="0" relativeHeight="251723776" behindDoc="0" locked="0" layoutInCell="1" allowOverlap="1">
                <wp:simplePos x="0" y="0"/>
                <wp:positionH relativeFrom="column">
                  <wp:posOffset>4569460</wp:posOffset>
                </wp:positionH>
                <wp:positionV relativeFrom="paragraph">
                  <wp:posOffset>6333490</wp:posOffset>
                </wp:positionV>
                <wp:extent cx="1162050" cy="33401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FA2FD2">
                            <w:pPr>
                              <w:ind w:left="0" w:leftChars="0" w:firstLine="0" w:firstLineChars="0"/>
                              <w:rPr>
                                <w:rFonts w:hint="default" w:eastAsia="宋体"/>
                                <w:b/>
                                <w:bCs/>
                                <w:color w:val="FF0000"/>
                                <w:lang w:val="en-US" w:eastAsia="zh-CN"/>
                              </w:rPr>
                            </w:pPr>
                            <w:r>
                              <w:rPr>
                                <w:rFonts w:hint="eastAsia"/>
                                <w:b/>
                                <w:bCs/>
                                <w:color w:val="FF0000"/>
                                <w:lang w:val="en-US" w:eastAsia="zh-CN"/>
                              </w:rPr>
                              <w:t>御景豪庭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9.8pt;margin-top:498.7pt;height:26.3pt;width:91.5pt;z-index:251723776;mso-width-relative:page;mso-height-relative:page;" filled="f" stroked="f" coordsize="21600,21600" o:gfxdata="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JoIl53AAAAAwBAAAPAAAAAAAAAAEAIAAAACIAAABkcnMv&#10;ZG93bnJldi54bWxQSwECFAAUAAAACACHTuJA4kV7tzgCAABoBAAADgAAAAAAAAABACAAAAArAQAA&#10;ZHJzL2Uyb0RvYy54bWxQSwUGAAAAAAYABgBZAQAA1QUAAAAA&#10;">
                <v:fill on="f" focussize="0,0"/>
                <v:stroke on="f" weight="0.5pt"/>
                <v:imagedata o:title=""/>
                <o:lock v:ext="edit" aspectratio="f"/>
                <v:textbox>
                  <w:txbxContent>
                    <w:p w14:paraId="52FA2FD2">
                      <w:pPr>
                        <w:ind w:left="0" w:leftChars="0" w:firstLine="0" w:firstLineChars="0"/>
                        <w:rPr>
                          <w:rFonts w:hint="default" w:eastAsia="宋体"/>
                          <w:b/>
                          <w:bCs/>
                          <w:color w:val="FF0000"/>
                          <w:lang w:val="en-US" w:eastAsia="zh-CN"/>
                        </w:rPr>
                      </w:pPr>
                      <w:r>
                        <w:rPr>
                          <w:rFonts w:hint="eastAsia"/>
                          <w:b/>
                          <w:bCs/>
                          <w:color w:val="FF0000"/>
                          <w:lang w:val="en-US" w:eastAsia="zh-CN"/>
                        </w:rPr>
                        <w:t>御景豪庭</w:t>
                      </w:r>
                    </w:p>
                  </w:txbxContent>
                </v:textbox>
              </v:shape>
            </w:pict>
          </mc:Fallback>
        </mc:AlternateContent>
      </w:r>
      <w:r>
        <w:rPr>
          <w:sz w:val="24"/>
        </w:rPr>
        <mc:AlternateContent>
          <mc:Choice Requires="wps">
            <w:drawing>
              <wp:anchor distT="0" distB="0" distL="114300" distR="114300" simplePos="0" relativeHeight="251732992" behindDoc="0" locked="0" layoutInCell="1" allowOverlap="1">
                <wp:simplePos x="0" y="0"/>
                <wp:positionH relativeFrom="column">
                  <wp:posOffset>7455535</wp:posOffset>
                </wp:positionH>
                <wp:positionV relativeFrom="paragraph">
                  <wp:posOffset>6647815</wp:posOffset>
                </wp:positionV>
                <wp:extent cx="1162050" cy="676275"/>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162050" cy="676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A3BF59">
                            <w:pPr>
                              <w:ind w:left="0" w:leftChars="0" w:firstLine="0" w:firstLineChars="0"/>
                              <w:rPr>
                                <w:rFonts w:hint="eastAsia"/>
                                <w:b/>
                                <w:bCs/>
                                <w:color w:val="FF0000"/>
                                <w:lang w:val="en-US" w:eastAsia="zh-CN"/>
                              </w:rPr>
                            </w:pPr>
                            <w:r>
                              <w:rPr>
                                <w:rFonts w:hint="eastAsia"/>
                                <w:b/>
                                <w:bCs/>
                                <w:color w:val="FF0000"/>
                                <w:lang w:val="en-US" w:eastAsia="zh-CN"/>
                              </w:rPr>
                              <w:t>柳河镇</w:t>
                            </w:r>
                          </w:p>
                          <w:p w14:paraId="1949DE19">
                            <w:pPr>
                              <w:ind w:left="0" w:leftChars="0" w:firstLine="0" w:firstLineChars="0"/>
                              <w:rPr>
                                <w:rFonts w:hint="default" w:eastAsia="宋体"/>
                                <w:b/>
                                <w:bCs/>
                                <w:color w:val="FF0000"/>
                                <w:lang w:val="en-US" w:eastAsia="zh-CN"/>
                              </w:rPr>
                            </w:pPr>
                            <w:r>
                              <w:rPr>
                                <w:rFonts w:hint="eastAsia"/>
                                <w:b/>
                                <w:bCs/>
                                <w:color w:val="FF0000"/>
                                <w:lang w:val="en-US" w:eastAsia="zh-CN"/>
                              </w:rPr>
                              <w:t>人民政府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7.05pt;margin-top:523.45pt;height:53.25pt;width:91.5pt;z-index:251732992;mso-width-relative:page;mso-height-relative:page;" filled="f" stroked="f" coordsize="21600,21600" o:gfxdata="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kCM+a3gAAAA8BAAAPAAAAAAAAAAEAIAAAACIAAABk&#10;cnMvZG93bnJldi54bWxQSwECFAAUAAAACACHTuJAMTFXhTkCAABoBAAADgAAAAAAAAABACAAAAAt&#10;AQAAZHJzL2Uyb0RvYy54bWxQSwUGAAAAAAYABgBZAQAA2AUAAAAA&#10;">
                <v:fill on="f" focussize="0,0"/>
                <v:stroke on="f" weight="0.5pt"/>
                <v:imagedata o:title=""/>
                <o:lock v:ext="edit" aspectratio="f"/>
                <v:textbox>
                  <w:txbxContent>
                    <w:p w14:paraId="69A3BF59">
                      <w:pPr>
                        <w:ind w:left="0" w:leftChars="0" w:firstLine="0" w:firstLineChars="0"/>
                        <w:rPr>
                          <w:rFonts w:hint="eastAsia"/>
                          <w:b/>
                          <w:bCs/>
                          <w:color w:val="FF0000"/>
                          <w:lang w:val="en-US" w:eastAsia="zh-CN"/>
                        </w:rPr>
                      </w:pPr>
                      <w:r>
                        <w:rPr>
                          <w:rFonts w:hint="eastAsia"/>
                          <w:b/>
                          <w:bCs/>
                          <w:color w:val="FF0000"/>
                          <w:lang w:val="en-US" w:eastAsia="zh-CN"/>
                        </w:rPr>
                        <w:t>柳河镇</w:t>
                      </w:r>
                    </w:p>
                    <w:p w14:paraId="1949DE19">
                      <w:pPr>
                        <w:ind w:left="0" w:leftChars="0" w:firstLine="0" w:firstLineChars="0"/>
                        <w:rPr>
                          <w:rFonts w:hint="default" w:eastAsia="宋体"/>
                          <w:b/>
                          <w:bCs/>
                          <w:color w:val="FF0000"/>
                          <w:lang w:val="en-US" w:eastAsia="zh-CN"/>
                        </w:rPr>
                      </w:pPr>
                      <w:r>
                        <w:rPr>
                          <w:rFonts w:hint="eastAsia"/>
                          <w:b/>
                          <w:bCs/>
                          <w:color w:val="FF0000"/>
                          <w:lang w:val="en-US" w:eastAsia="zh-CN"/>
                        </w:rPr>
                        <w:t>人民政府</w:t>
                      </w:r>
                    </w:p>
                  </w:txbxContent>
                </v:textbox>
              </v:shape>
            </w:pict>
          </mc:Fallback>
        </mc:AlternateContent>
      </w:r>
      <w:r>
        <w:rPr>
          <w:sz w:val="24"/>
        </w:rPr>
        <mc:AlternateContent>
          <mc:Choice Requires="wps">
            <w:drawing>
              <wp:anchor distT="0" distB="0" distL="114300" distR="114300" simplePos="0" relativeHeight="251730944" behindDoc="0" locked="0" layoutInCell="1" allowOverlap="1">
                <wp:simplePos x="0" y="0"/>
                <wp:positionH relativeFrom="column">
                  <wp:posOffset>6474460</wp:posOffset>
                </wp:positionH>
                <wp:positionV relativeFrom="paragraph">
                  <wp:posOffset>6819265</wp:posOffset>
                </wp:positionV>
                <wp:extent cx="1162050" cy="33401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B87378">
                            <w:pPr>
                              <w:ind w:left="0" w:leftChars="0" w:firstLine="0" w:firstLineChars="0"/>
                              <w:rPr>
                                <w:rFonts w:hint="default" w:eastAsia="宋体"/>
                                <w:b/>
                                <w:bCs/>
                                <w:color w:val="FF0000"/>
                                <w:lang w:val="en-US" w:eastAsia="zh-CN"/>
                              </w:rPr>
                            </w:pPr>
                            <w:r>
                              <w:rPr>
                                <w:rFonts w:hint="eastAsia"/>
                                <w:b/>
                                <w:bCs/>
                                <w:color w:val="FF0000"/>
                                <w:lang w:val="en-US" w:eastAsia="zh-CN"/>
                              </w:rPr>
                              <w:t>铁东医院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9.8pt;margin-top:536.95pt;height:26.3pt;width:91.5pt;z-index:251730944;mso-width-relative:page;mso-height-relative:page;" filled="f" stroked="f" coordsize="21600,21600" o:gfxdata="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wgkMndAAAADwEAAA8AAAAAAAAAAQAgAAAAIgAAAGRy&#10;cy9kb3ducmV2LnhtbFBLAQIUABQAAAAIAIdO4kCo0QugOQIAAGgEAAAOAAAAAAAAAAEAIAAAACwB&#10;AABkcnMvZTJvRG9jLnhtbFBLBQYAAAAABgAGAFkBAADXBQAAAAA=&#10;">
                <v:fill on="f" focussize="0,0"/>
                <v:stroke on="f" weight="0.5pt"/>
                <v:imagedata o:title=""/>
                <o:lock v:ext="edit" aspectratio="f"/>
                <v:textbox>
                  <w:txbxContent>
                    <w:p w14:paraId="1FB87378">
                      <w:pPr>
                        <w:ind w:left="0" w:leftChars="0" w:firstLine="0" w:firstLineChars="0"/>
                        <w:rPr>
                          <w:rFonts w:hint="default" w:eastAsia="宋体"/>
                          <w:b/>
                          <w:bCs/>
                          <w:color w:val="FF0000"/>
                          <w:lang w:val="en-US" w:eastAsia="zh-CN"/>
                        </w:rPr>
                      </w:pPr>
                      <w:r>
                        <w:rPr>
                          <w:rFonts w:hint="eastAsia"/>
                          <w:b/>
                          <w:bCs/>
                          <w:color w:val="FF0000"/>
                          <w:lang w:val="en-US" w:eastAsia="zh-CN"/>
                        </w:rPr>
                        <w:t>铁东医院</w:t>
                      </w:r>
                    </w:p>
                  </w:txbxContent>
                </v:textbox>
              </v:shape>
            </w:pict>
          </mc:Fallback>
        </mc:AlternateContent>
      </w:r>
      <w:r>
        <w:rPr>
          <w:sz w:val="24"/>
        </w:rPr>
        <mc:AlternateContent>
          <mc:Choice Requires="wps">
            <w:drawing>
              <wp:anchor distT="0" distB="0" distL="114300" distR="114300" simplePos="0" relativeHeight="251727872" behindDoc="0" locked="0" layoutInCell="1" allowOverlap="1">
                <wp:simplePos x="0" y="0"/>
                <wp:positionH relativeFrom="column">
                  <wp:posOffset>6455410</wp:posOffset>
                </wp:positionH>
                <wp:positionV relativeFrom="paragraph">
                  <wp:posOffset>5771515</wp:posOffset>
                </wp:positionV>
                <wp:extent cx="1162050" cy="33401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21AC6C">
                            <w:pPr>
                              <w:ind w:left="0" w:leftChars="0" w:firstLine="0" w:firstLineChars="0"/>
                              <w:rPr>
                                <w:rFonts w:hint="default" w:eastAsia="宋体"/>
                                <w:b/>
                                <w:bCs/>
                                <w:color w:val="FF0000"/>
                                <w:lang w:val="en-US" w:eastAsia="zh-CN"/>
                              </w:rPr>
                            </w:pPr>
                            <w:r>
                              <w:rPr>
                                <w:rFonts w:hint="eastAsia"/>
                                <w:b/>
                                <w:bCs/>
                                <w:color w:val="FF0000"/>
                                <w:lang w:val="en-US" w:eastAsia="zh-CN"/>
                              </w:rPr>
                              <w:t>桦丰村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8.3pt;margin-top:454.45pt;height:26.3pt;width:91.5pt;z-index:251727872;mso-width-relative:page;mso-height-relative:page;" filled="f" stroked="f" coordsize="21600,21600" o:gfxdata="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OEs4h3bAAAADQEAAA8AAAAAAAAAAQAgAAAAIgAAAGRycy9k&#10;b3ducmV2LnhtbFBLAQIUABQAAAAIAIdO4kBWW4DmOAIAAGgEAAAOAAAAAAAAAAEAIAAAACoBAABk&#10;cnMvZTJvRG9jLnhtbFBLBQYAAAAABgAGAFkBAADUBQAAAAA=&#10;">
                <v:fill on="f" focussize="0,0"/>
                <v:stroke on="f" weight="0.5pt"/>
                <v:imagedata o:title=""/>
                <o:lock v:ext="edit" aspectratio="f"/>
                <v:textbox>
                  <w:txbxContent>
                    <w:p w14:paraId="3D21AC6C">
                      <w:pPr>
                        <w:ind w:left="0" w:leftChars="0" w:firstLine="0" w:firstLineChars="0"/>
                        <w:rPr>
                          <w:rFonts w:hint="default" w:eastAsia="宋体"/>
                          <w:b/>
                          <w:bCs/>
                          <w:color w:val="FF0000"/>
                          <w:lang w:val="en-US" w:eastAsia="zh-CN"/>
                        </w:rPr>
                      </w:pPr>
                      <w:r>
                        <w:rPr>
                          <w:rFonts w:hint="eastAsia"/>
                          <w:b/>
                          <w:bCs/>
                          <w:color w:val="FF0000"/>
                          <w:lang w:val="en-US" w:eastAsia="zh-CN"/>
                        </w:rPr>
                        <w:t>桦丰村</w:t>
                      </w:r>
                    </w:p>
                  </w:txbxContent>
                </v:textbox>
              </v:shape>
            </w:pict>
          </mc:Fallback>
        </mc:AlternateContent>
      </w:r>
      <w:r>
        <w:rPr>
          <w:sz w:val="24"/>
        </w:rPr>
        <mc:AlternateContent>
          <mc:Choice Requires="wps">
            <w:drawing>
              <wp:anchor distT="0" distB="0" distL="114300" distR="114300" simplePos="0" relativeHeight="251726848" behindDoc="0" locked="0" layoutInCell="1" allowOverlap="1">
                <wp:simplePos x="0" y="0"/>
                <wp:positionH relativeFrom="column">
                  <wp:posOffset>7131685</wp:posOffset>
                </wp:positionH>
                <wp:positionV relativeFrom="paragraph">
                  <wp:posOffset>6266815</wp:posOffset>
                </wp:positionV>
                <wp:extent cx="1162050" cy="33401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AF7028">
                            <w:pPr>
                              <w:ind w:left="0" w:leftChars="0" w:firstLine="0" w:firstLineChars="0"/>
                              <w:rPr>
                                <w:rFonts w:hint="default" w:eastAsia="宋体"/>
                                <w:b/>
                                <w:bCs/>
                                <w:color w:val="FF0000"/>
                                <w:lang w:val="en-US" w:eastAsia="zh-CN"/>
                              </w:rPr>
                            </w:pPr>
                            <w:r>
                              <w:rPr>
                                <w:rFonts w:hint="eastAsia"/>
                                <w:b/>
                                <w:bCs/>
                                <w:color w:val="FF0000"/>
                                <w:lang w:val="en-US" w:eastAsia="zh-CN"/>
                              </w:rPr>
                              <w:t>桦东新城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1.55pt;margin-top:493.45pt;height:26.3pt;width:91.5pt;z-index:251726848;mso-width-relative:page;mso-height-relative:page;" filled="f" stroked="f" coordsize="21600,21600" o:gfxdata="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oy4B63QAAAA4BAAAPAAAAAAAAAAEAIAAAACIAAABk&#10;cnMvZG93bnJldi54bWxQSwECFAAUAAAACACHTuJA6cZWPToCAABoBAAADgAAAAAAAAABACAAAAAs&#10;AQAAZHJzL2Uyb0RvYy54bWxQSwUGAAAAAAYABgBZAQAA2AUAAAAA&#10;">
                <v:fill on="f" focussize="0,0"/>
                <v:stroke on="f" weight="0.5pt"/>
                <v:imagedata o:title=""/>
                <o:lock v:ext="edit" aspectratio="f"/>
                <v:textbox>
                  <w:txbxContent>
                    <w:p w14:paraId="7CAF7028">
                      <w:pPr>
                        <w:ind w:left="0" w:leftChars="0" w:firstLine="0" w:firstLineChars="0"/>
                        <w:rPr>
                          <w:rFonts w:hint="default" w:eastAsia="宋体"/>
                          <w:b/>
                          <w:bCs/>
                          <w:color w:val="FF0000"/>
                          <w:lang w:val="en-US" w:eastAsia="zh-CN"/>
                        </w:rPr>
                      </w:pPr>
                      <w:r>
                        <w:rPr>
                          <w:rFonts w:hint="eastAsia"/>
                          <w:b/>
                          <w:bCs/>
                          <w:color w:val="FF0000"/>
                          <w:lang w:val="en-US" w:eastAsia="zh-CN"/>
                        </w:rPr>
                        <w:t>桦东新城</w:t>
                      </w:r>
                    </w:p>
                  </w:txbxContent>
                </v:textbox>
              </v:shape>
            </w:pict>
          </mc:Fallback>
        </mc:AlternateContent>
      </w:r>
      <w:r>
        <w:rPr>
          <w:sz w:val="24"/>
        </w:rPr>
        <mc:AlternateContent>
          <mc:Choice Requires="wps">
            <w:drawing>
              <wp:anchor distT="0" distB="0" distL="114300" distR="114300" simplePos="0" relativeHeight="251725824" behindDoc="0" locked="0" layoutInCell="1" allowOverlap="1">
                <wp:simplePos x="0" y="0"/>
                <wp:positionH relativeFrom="column">
                  <wp:posOffset>7646035</wp:posOffset>
                </wp:positionH>
                <wp:positionV relativeFrom="paragraph">
                  <wp:posOffset>5600065</wp:posOffset>
                </wp:positionV>
                <wp:extent cx="1162050" cy="33401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50E182">
                            <w:pPr>
                              <w:ind w:left="0" w:leftChars="0" w:firstLine="0" w:firstLineChars="0"/>
                              <w:rPr>
                                <w:rFonts w:hint="default" w:eastAsia="宋体"/>
                                <w:b/>
                                <w:bCs/>
                                <w:color w:val="FF0000"/>
                                <w:lang w:val="en-US" w:eastAsia="zh-CN"/>
                              </w:rPr>
                            </w:pPr>
                            <w:r>
                              <w:rPr>
                                <w:rFonts w:hint="eastAsia"/>
                                <w:b/>
                                <w:bCs/>
                                <w:color w:val="FF0000"/>
                                <w:lang w:val="en-US" w:eastAsia="zh-CN"/>
                              </w:rPr>
                              <w:t>林业中学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2.05pt;margin-top:440.95pt;height:26.3pt;width:91.5pt;z-index:251725824;mso-width-relative:page;mso-height-relative:page;" filled="f" stroked="f" coordsize="21600,21600" o:gfxdata="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XF1CG3QAAAA0BAAAPAAAAAAAAAAEAIAAAACIAAABk&#10;cnMvZG93bnJldi54bWxQSwECFAAUAAAACACHTuJAOxrUMToCAABoBAAADgAAAAAAAAABACAAAAAs&#10;AQAAZHJzL2Uyb0RvYy54bWxQSwUGAAAAAAYABgBZAQAA2AUAAAAA&#10;">
                <v:fill on="f" focussize="0,0"/>
                <v:stroke on="f" weight="0.5pt"/>
                <v:imagedata o:title=""/>
                <o:lock v:ext="edit" aspectratio="f"/>
                <v:textbox>
                  <w:txbxContent>
                    <w:p w14:paraId="1D50E182">
                      <w:pPr>
                        <w:ind w:left="0" w:leftChars="0" w:firstLine="0" w:firstLineChars="0"/>
                        <w:rPr>
                          <w:rFonts w:hint="default" w:eastAsia="宋体"/>
                          <w:b/>
                          <w:bCs/>
                          <w:color w:val="FF0000"/>
                          <w:lang w:val="en-US" w:eastAsia="zh-CN"/>
                        </w:rPr>
                      </w:pPr>
                      <w:r>
                        <w:rPr>
                          <w:rFonts w:hint="eastAsia"/>
                          <w:b/>
                          <w:bCs/>
                          <w:color w:val="FF0000"/>
                          <w:lang w:val="en-US" w:eastAsia="zh-CN"/>
                        </w:rPr>
                        <w:t>林业中学</w:t>
                      </w:r>
                    </w:p>
                  </w:txbxContent>
                </v:textbox>
              </v:shape>
            </w:pict>
          </mc:Fallback>
        </mc:AlternateContent>
      </w:r>
      <w:r>
        <w:rPr>
          <w:sz w:val="24"/>
        </w:rPr>
        <mc:AlternateContent>
          <mc:Choice Requires="wps">
            <w:drawing>
              <wp:anchor distT="0" distB="0" distL="114300" distR="114300" simplePos="0" relativeHeight="251716608" behindDoc="0" locked="0" layoutInCell="1" allowOverlap="1">
                <wp:simplePos x="0" y="0"/>
                <wp:positionH relativeFrom="column">
                  <wp:posOffset>8427085</wp:posOffset>
                </wp:positionH>
                <wp:positionV relativeFrom="paragraph">
                  <wp:posOffset>6781165</wp:posOffset>
                </wp:positionV>
                <wp:extent cx="1162050" cy="33401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2FFE37">
                            <w:pPr>
                              <w:ind w:left="0" w:leftChars="0" w:firstLine="0" w:firstLineChars="0"/>
                              <w:rPr>
                                <w:rFonts w:hint="default" w:eastAsia="宋体"/>
                                <w:b/>
                                <w:bCs/>
                                <w:color w:val="FF0000"/>
                                <w:lang w:val="en-US" w:eastAsia="zh-CN"/>
                              </w:rPr>
                            </w:pPr>
                            <w:r>
                              <w:rPr>
                                <w:rFonts w:hint="eastAsia"/>
                                <w:b/>
                                <w:bCs/>
                                <w:color w:val="FF0000"/>
                                <w:lang w:val="en-US" w:eastAsia="zh-CN"/>
                              </w:rPr>
                              <w:t>西兴屯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63.55pt;margin-top:533.95pt;height:26.3pt;width:91.5pt;z-index:251716608;mso-width-relative:page;mso-height-relative:page;" filled="f" stroked="f" coordsize="21600,21600" o:gfxdata="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&#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wOFzjdAAAADwEAAA8AAAAAAAAAAQAgAAAAIgAAAGRy&#10;cy9kb3ducmV2LnhtbFBLAQIUABQAAAAIAIdO4kA8+eqOOQIAAGgEAAAOAAAAAAAAAAEAIAAAACwB&#10;AABkcnMvZTJvRG9jLnhtbFBLBQYAAAAABgAGAFkBAADXBQAAAAA=&#10;">
                <v:fill on="f" focussize="0,0"/>
                <v:stroke on="f" weight="0.5pt"/>
                <v:imagedata o:title=""/>
                <o:lock v:ext="edit" aspectratio="f"/>
                <v:textbox>
                  <w:txbxContent>
                    <w:p w14:paraId="0A2FFE37">
                      <w:pPr>
                        <w:ind w:left="0" w:leftChars="0" w:firstLine="0" w:firstLineChars="0"/>
                        <w:rPr>
                          <w:rFonts w:hint="default" w:eastAsia="宋体"/>
                          <w:b/>
                          <w:bCs/>
                          <w:color w:val="FF0000"/>
                          <w:lang w:val="en-US" w:eastAsia="zh-CN"/>
                        </w:rPr>
                      </w:pPr>
                      <w:r>
                        <w:rPr>
                          <w:rFonts w:hint="eastAsia"/>
                          <w:b/>
                          <w:bCs/>
                          <w:color w:val="FF0000"/>
                          <w:lang w:val="en-US" w:eastAsia="zh-CN"/>
                        </w:rPr>
                        <w:t>西兴屯</w:t>
                      </w:r>
                    </w:p>
                  </w:txbxContent>
                </v:textbox>
              </v:shape>
            </w:pict>
          </mc:Fallback>
        </mc:AlternateContent>
      </w:r>
      <w:r>
        <w:rPr>
          <w:sz w:val="24"/>
        </w:rPr>
        <mc:AlternateContent>
          <mc:Choice Requires="wps">
            <w:drawing>
              <wp:anchor distT="0" distB="0" distL="114300" distR="114300" simplePos="0" relativeHeight="251712512" behindDoc="0" locked="0" layoutInCell="1" allowOverlap="1">
                <wp:simplePos x="0" y="0"/>
                <wp:positionH relativeFrom="column">
                  <wp:posOffset>5712460</wp:posOffset>
                </wp:positionH>
                <wp:positionV relativeFrom="paragraph">
                  <wp:posOffset>4723765</wp:posOffset>
                </wp:positionV>
                <wp:extent cx="1162050" cy="33401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5D5E4A">
                            <w:pPr>
                              <w:ind w:left="0" w:leftChars="0" w:firstLine="0" w:firstLineChars="0"/>
                              <w:rPr>
                                <w:rFonts w:hint="default" w:eastAsia="宋体"/>
                                <w:b/>
                                <w:bCs/>
                                <w:color w:val="FF0000"/>
                                <w:lang w:val="en-US" w:eastAsia="zh-CN"/>
                              </w:rPr>
                            </w:pPr>
                            <w:r>
                              <w:rPr>
                                <w:rFonts w:hint="eastAsia"/>
                                <w:b/>
                                <w:bCs/>
                                <w:color w:val="FF0000"/>
                                <w:lang w:val="en-US" w:eastAsia="zh-CN"/>
                              </w:rPr>
                              <w:t>隆胜村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49.8pt;margin-top:371.95pt;height:26.3pt;width:91.5pt;z-index:251712512;mso-width-relative:page;mso-height-relative:page;" filled="f" stroked="f" coordsize="21600,21600" o:gfxdata="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qaurWtwAAAAMAQAADwAAAAAAAAABACAAAAAiAAAAZHJz&#10;L2Rvd25yZXYueG1sUEsBAhQAFAAAAAgAh07iQKsdIM45AgAAaAQAAA4AAAAAAAAAAQAgAAAAKwEA&#10;AGRycy9lMm9Eb2MueG1sUEsFBgAAAAAGAAYAWQEAANYFAAAAAA==&#10;">
                <v:fill on="f" focussize="0,0"/>
                <v:stroke on="f" weight="0.5pt"/>
                <v:imagedata o:title=""/>
                <o:lock v:ext="edit" aspectratio="f"/>
                <v:textbox>
                  <w:txbxContent>
                    <w:p w14:paraId="0C5D5E4A">
                      <w:pPr>
                        <w:ind w:left="0" w:leftChars="0" w:firstLine="0" w:firstLineChars="0"/>
                        <w:rPr>
                          <w:rFonts w:hint="default" w:eastAsia="宋体"/>
                          <w:b/>
                          <w:bCs/>
                          <w:color w:val="FF0000"/>
                          <w:lang w:val="en-US" w:eastAsia="zh-CN"/>
                        </w:rPr>
                      </w:pPr>
                      <w:r>
                        <w:rPr>
                          <w:rFonts w:hint="eastAsia"/>
                          <w:b/>
                          <w:bCs/>
                          <w:color w:val="FF0000"/>
                          <w:lang w:val="en-US" w:eastAsia="zh-CN"/>
                        </w:rPr>
                        <w:t>隆胜村</w:t>
                      </w:r>
                    </w:p>
                  </w:txbxContent>
                </v:textbox>
              </v:shape>
            </w:pict>
          </mc:Fallback>
        </mc:AlternateContent>
      </w:r>
      <w:r>
        <w:rPr>
          <w:sz w:val="24"/>
        </w:rPr>
        <mc:AlternateContent>
          <mc:Choice Requires="wps">
            <w:drawing>
              <wp:anchor distT="0" distB="0" distL="114300" distR="114300" simplePos="0" relativeHeight="251713536" behindDoc="0" locked="0" layoutInCell="1" allowOverlap="1">
                <wp:simplePos x="0" y="0"/>
                <wp:positionH relativeFrom="column">
                  <wp:posOffset>4264660</wp:posOffset>
                </wp:positionH>
                <wp:positionV relativeFrom="paragraph">
                  <wp:posOffset>4609465</wp:posOffset>
                </wp:positionV>
                <wp:extent cx="1162050" cy="33401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705D1B">
                            <w:pPr>
                              <w:ind w:left="0" w:leftChars="0" w:firstLine="0" w:firstLineChars="0"/>
                              <w:rPr>
                                <w:rFonts w:hint="default" w:eastAsia="宋体"/>
                                <w:b/>
                                <w:bCs/>
                                <w:color w:val="FF0000"/>
                                <w:lang w:val="en-US" w:eastAsia="zh-CN"/>
                              </w:rPr>
                            </w:pPr>
                            <w:r>
                              <w:rPr>
                                <w:rFonts w:hint="eastAsia"/>
                                <w:b/>
                                <w:bCs/>
                                <w:color w:val="FF0000"/>
                                <w:lang w:val="en-US" w:eastAsia="zh-CN"/>
                              </w:rPr>
                              <w:t>平房居民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8pt;margin-top:362.95pt;height:26.3pt;width:91.5pt;z-index:251713536;mso-width-relative:page;mso-height-relative:page;" filled="f" stroked="f" coordsize="21600,21600" o:gfxdata="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EsPyU2wAAAAsBAAAPAAAAAAAAAAEAIAAAACIAAABkcnMv&#10;ZG93bnJldi54bWxQSwECFAAUAAAACACHTuJAPmZ2RTkCAABoBAAADgAAAAAAAAABACAAAAAqAQAA&#10;ZHJzL2Uyb0RvYy54bWxQSwUGAAAAAAYABgBZAQAA1QUAAAAA&#10;">
                <v:fill on="f" focussize="0,0"/>
                <v:stroke on="f" weight="0.5pt"/>
                <v:imagedata o:title=""/>
                <o:lock v:ext="edit" aspectratio="f"/>
                <v:textbox>
                  <w:txbxContent>
                    <w:p w14:paraId="55705D1B">
                      <w:pPr>
                        <w:ind w:left="0" w:leftChars="0" w:firstLine="0" w:firstLineChars="0"/>
                        <w:rPr>
                          <w:rFonts w:hint="default" w:eastAsia="宋体"/>
                          <w:b/>
                          <w:bCs/>
                          <w:color w:val="FF0000"/>
                          <w:lang w:val="en-US" w:eastAsia="zh-CN"/>
                        </w:rPr>
                      </w:pPr>
                      <w:r>
                        <w:rPr>
                          <w:rFonts w:hint="eastAsia"/>
                          <w:b/>
                          <w:bCs/>
                          <w:color w:val="FF0000"/>
                          <w:lang w:val="en-US" w:eastAsia="zh-CN"/>
                        </w:rPr>
                        <w:t>平房居民</w:t>
                      </w:r>
                    </w:p>
                  </w:txbxContent>
                </v:textbox>
              </v:shape>
            </w:pict>
          </mc:Fallback>
        </mc:AlternateContent>
      </w:r>
      <w:r>
        <w:rPr>
          <w:sz w:val="24"/>
        </w:rPr>
        <mc:AlternateContent>
          <mc:Choice Requires="wps">
            <w:drawing>
              <wp:anchor distT="0" distB="0" distL="114300" distR="114300" simplePos="0" relativeHeight="251718656" behindDoc="0" locked="0" layoutInCell="1" allowOverlap="1">
                <wp:simplePos x="0" y="0"/>
                <wp:positionH relativeFrom="column">
                  <wp:posOffset>3502660</wp:posOffset>
                </wp:positionH>
                <wp:positionV relativeFrom="paragraph">
                  <wp:posOffset>4914265</wp:posOffset>
                </wp:positionV>
                <wp:extent cx="1162050" cy="33401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C62AAE">
                            <w:pPr>
                              <w:ind w:left="0" w:leftChars="0" w:firstLine="0" w:firstLineChars="0"/>
                              <w:rPr>
                                <w:rFonts w:hint="default" w:eastAsia="宋体"/>
                                <w:b/>
                                <w:bCs/>
                                <w:color w:val="FF0000"/>
                                <w:lang w:val="en-US" w:eastAsia="zh-CN"/>
                              </w:rPr>
                            </w:pPr>
                            <w:r>
                              <w:rPr>
                                <w:rFonts w:hint="eastAsia"/>
                                <w:b/>
                                <w:bCs/>
                                <w:color w:val="FF0000"/>
                                <w:lang w:val="en-US" w:eastAsia="zh-CN"/>
                              </w:rPr>
                              <w:t>公安局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8pt;margin-top:386.95pt;height:26.3pt;width:91.5pt;z-index:251718656;mso-width-relative:page;mso-height-relative:page;" filled="f" stroked="f" coordsize="21600,21600" o:gfxdata="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B3+BD9wAAAALAQAADwAAAAAAAAABACAAAAAiAAAAZHJz&#10;L2Rvd25yZXYueG1sUEsBAhQAFAAAAAgAh07iQO4laII5AgAAaAQAAA4AAAAAAAAAAQAgAAAAKwEA&#10;AGRycy9lMm9Eb2MueG1sUEsFBgAAAAAGAAYAWQEAANYFAAAAAA==&#10;">
                <v:fill on="f" focussize="0,0"/>
                <v:stroke on="f" weight="0.5pt"/>
                <v:imagedata o:title=""/>
                <o:lock v:ext="edit" aspectratio="f"/>
                <v:textbox>
                  <w:txbxContent>
                    <w:p w14:paraId="5AC62AAE">
                      <w:pPr>
                        <w:ind w:left="0" w:leftChars="0" w:firstLine="0" w:firstLineChars="0"/>
                        <w:rPr>
                          <w:rFonts w:hint="default" w:eastAsia="宋体"/>
                          <w:b/>
                          <w:bCs/>
                          <w:color w:val="FF0000"/>
                          <w:lang w:val="en-US" w:eastAsia="zh-CN"/>
                        </w:rPr>
                      </w:pPr>
                      <w:r>
                        <w:rPr>
                          <w:rFonts w:hint="eastAsia"/>
                          <w:b/>
                          <w:bCs/>
                          <w:color w:val="FF0000"/>
                          <w:lang w:val="en-US" w:eastAsia="zh-CN"/>
                        </w:rPr>
                        <w:t>公安局</w:t>
                      </w:r>
                    </w:p>
                  </w:txbxContent>
                </v:textbox>
              </v:shape>
            </w:pict>
          </mc:Fallback>
        </mc:AlternateContent>
      </w:r>
      <w:r>
        <w:rPr>
          <w:sz w:val="24"/>
        </w:rPr>
        <mc:AlternateContent>
          <mc:Choice Requires="wps">
            <w:drawing>
              <wp:anchor distT="0" distB="0" distL="114300" distR="114300" simplePos="0" relativeHeight="251719680" behindDoc="0" locked="0" layoutInCell="1" allowOverlap="1">
                <wp:simplePos x="0" y="0"/>
                <wp:positionH relativeFrom="column">
                  <wp:posOffset>4502785</wp:posOffset>
                </wp:positionH>
                <wp:positionV relativeFrom="paragraph">
                  <wp:posOffset>5123815</wp:posOffset>
                </wp:positionV>
                <wp:extent cx="1162050" cy="33401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536CF9">
                            <w:pPr>
                              <w:ind w:left="0" w:leftChars="0" w:firstLine="0" w:firstLineChars="0"/>
                              <w:rPr>
                                <w:rFonts w:hint="default" w:eastAsia="宋体"/>
                                <w:b/>
                                <w:bCs/>
                                <w:color w:val="FF0000"/>
                                <w:lang w:val="en-US" w:eastAsia="zh-CN"/>
                              </w:rPr>
                            </w:pPr>
                            <w:r>
                              <w:rPr>
                                <w:rFonts w:hint="eastAsia"/>
                                <w:b/>
                                <w:bCs/>
                                <w:color w:val="FF0000"/>
                                <w:lang w:val="en-US" w:eastAsia="zh-CN"/>
                              </w:rPr>
                              <w:t>消防大队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4.55pt;margin-top:403.45pt;height:26.3pt;width:91.5pt;z-index:251719680;mso-width-relative:page;mso-height-relative:page;" filled="f" stroked="f" coordsize="21600,21600" o:gfxdata="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3HyGo9sAAAALAQAADwAAAAAAAAABACAAAAAiAAAAZHJz&#10;L2Rvd25yZXYueG1sUEsBAhQAFAAAAAgAh07iQHtePgk6AgAAaAQAAA4AAAAAAAAAAQAgAAAAKgEA&#10;AGRycy9lMm9Eb2MueG1sUEsFBgAAAAAGAAYAWQEAANYFAAAAAA==&#10;">
                <v:fill on="f" focussize="0,0"/>
                <v:stroke on="f" weight="0.5pt"/>
                <v:imagedata o:title=""/>
                <o:lock v:ext="edit" aspectratio="f"/>
                <v:textbox>
                  <w:txbxContent>
                    <w:p w14:paraId="62536CF9">
                      <w:pPr>
                        <w:ind w:left="0" w:leftChars="0" w:firstLine="0" w:firstLineChars="0"/>
                        <w:rPr>
                          <w:rFonts w:hint="default" w:eastAsia="宋体"/>
                          <w:b/>
                          <w:bCs/>
                          <w:color w:val="FF0000"/>
                          <w:lang w:val="en-US" w:eastAsia="zh-CN"/>
                        </w:rPr>
                      </w:pPr>
                      <w:r>
                        <w:rPr>
                          <w:rFonts w:hint="eastAsia"/>
                          <w:b/>
                          <w:bCs/>
                          <w:color w:val="FF0000"/>
                          <w:lang w:val="en-US" w:eastAsia="zh-CN"/>
                        </w:rPr>
                        <w:t>消防大队</w:t>
                      </w:r>
                    </w:p>
                  </w:txbxContent>
                </v:textbox>
              </v:shape>
            </w:pict>
          </mc:Fallback>
        </mc:AlternateContent>
      </w:r>
      <w:r>
        <w:rPr>
          <w:sz w:val="24"/>
        </w:rPr>
        <mc:AlternateContent>
          <mc:Choice Requires="wps">
            <w:drawing>
              <wp:anchor distT="0" distB="0" distL="114300" distR="114300" simplePos="0" relativeHeight="251720704" behindDoc="0" locked="0" layoutInCell="1" allowOverlap="1">
                <wp:simplePos x="0" y="0"/>
                <wp:positionH relativeFrom="column">
                  <wp:posOffset>3740785</wp:posOffset>
                </wp:positionH>
                <wp:positionV relativeFrom="paragraph">
                  <wp:posOffset>5619115</wp:posOffset>
                </wp:positionV>
                <wp:extent cx="1162050" cy="33401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07B001">
                            <w:pPr>
                              <w:ind w:left="0" w:leftChars="0" w:firstLine="0" w:firstLineChars="0"/>
                              <w:rPr>
                                <w:rFonts w:hint="default" w:eastAsia="宋体"/>
                                <w:b/>
                                <w:bCs/>
                                <w:color w:val="FF0000"/>
                                <w:lang w:val="en-US" w:eastAsia="zh-CN"/>
                              </w:rPr>
                            </w:pPr>
                            <w:r>
                              <w:rPr>
                                <w:rFonts w:hint="eastAsia"/>
                                <w:b/>
                                <w:bCs/>
                                <w:color w:val="FF0000"/>
                                <w:lang w:val="en-US" w:eastAsia="zh-CN"/>
                              </w:rPr>
                              <w:t>中医医院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4.55pt;margin-top:442.45pt;height:26.3pt;width:91.5pt;z-index:251720704;mso-width-relative:page;mso-height-relative:page;" filled="f" stroked="f" coordsize="21600,21600" o:gfxdata="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0xTn9wAAAALAQAADwAAAAAAAAABACAAAAAiAAAAZHJz&#10;L2Rvd25yZXYueG1sUEsBAhQAFAAAAAgAh07iQHJCj0g5AgAAaAQAAA4AAAAAAAAAAQAgAAAAKwEA&#10;AGRycy9lMm9Eb2MueG1sUEsFBgAAAAAGAAYAWQEAANYFAAAAAA==&#10;">
                <v:fill on="f" focussize="0,0"/>
                <v:stroke on="f" weight="0.5pt"/>
                <v:imagedata o:title=""/>
                <o:lock v:ext="edit" aspectratio="f"/>
                <v:textbox>
                  <w:txbxContent>
                    <w:p w14:paraId="7A07B001">
                      <w:pPr>
                        <w:ind w:left="0" w:leftChars="0" w:firstLine="0" w:firstLineChars="0"/>
                        <w:rPr>
                          <w:rFonts w:hint="default" w:eastAsia="宋体"/>
                          <w:b/>
                          <w:bCs/>
                          <w:color w:val="FF0000"/>
                          <w:lang w:val="en-US" w:eastAsia="zh-CN"/>
                        </w:rPr>
                      </w:pPr>
                      <w:r>
                        <w:rPr>
                          <w:rFonts w:hint="eastAsia"/>
                          <w:b/>
                          <w:bCs/>
                          <w:color w:val="FF0000"/>
                          <w:lang w:val="en-US" w:eastAsia="zh-CN"/>
                        </w:rPr>
                        <w:t>中医医院</w:t>
                      </w:r>
                    </w:p>
                  </w:txbxContent>
                </v:textbox>
              </v:shape>
            </w:pict>
          </mc:Fallback>
        </mc:AlternateContent>
      </w:r>
      <w:r>
        <w:rPr>
          <w:sz w:val="24"/>
        </w:rPr>
        <mc:AlternateContent>
          <mc:Choice Requires="wps">
            <w:drawing>
              <wp:anchor distT="0" distB="0" distL="114300" distR="114300" simplePos="0" relativeHeight="251721728" behindDoc="0" locked="0" layoutInCell="1" allowOverlap="1">
                <wp:simplePos x="0" y="0"/>
                <wp:positionH relativeFrom="column">
                  <wp:posOffset>4359910</wp:posOffset>
                </wp:positionH>
                <wp:positionV relativeFrom="paragraph">
                  <wp:posOffset>5809615</wp:posOffset>
                </wp:positionV>
                <wp:extent cx="1162050" cy="33401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E855BD">
                            <w:pPr>
                              <w:ind w:left="0" w:leftChars="0" w:firstLine="0" w:firstLineChars="0"/>
                              <w:rPr>
                                <w:rFonts w:hint="default" w:eastAsia="宋体"/>
                                <w:b/>
                                <w:bCs/>
                                <w:color w:val="FF0000"/>
                                <w:lang w:val="en-US" w:eastAsia="zh-CN"/>
                              </w:rPr>
                            </w:pPr>
                            <w:r>
                              <w:rPr>
                                <w:rFonts w:hint="eastAsia"/>
                                <w:b/>
                                <w:bCs/>
                                <w:color w:val="FF0000"/>
                                <w:lang w:val="en-US" w:eastAsia="zh-CN"/>
                              </w:rPr>
                              <w:t>莱茵花园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3.3pt;margin-top:457.45pt;height:26.3pt;width:91.5pt;z-index:251721728;mso-width-relative:page;mso-height-relative:page;" filled="f" stroked="f" coordsize="21600,21600" o:gfxdata="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NtfNQ2wAAAAsBAAAPAAAAAAAAAAEAIAAAACIAAABkcnMv&#10;ZG93bnJldi54bWxQSwECFAAUAAAACACHTuJAjMgEDjkCAABoBAAADgAAAAAAAAABACAAAAAqAQAA&#10;ZHJzL2Uyb0RvYy54bWxQSwUGAAAAAAYABgBZAQAA1QUAAAAA&#10;">
                <v:fill on="f" focussize="0,0"/>
                <v:stroke on="f" weight="0.5pt"/>
                <v:imagedata o:title=""/>
                <o:lock v:ext="edit" aspectratio="f"/>
                <v:textbox>
                  <w:txbxContent>
                    <w:p w14:paraId="7BE855BD">
                      <w:pPr>
                        <w:ind w:left="0" w:leftChars="0" w:firstLine="0" w:firstLineChars="0"/>
                        <w:rPr>
                          <w:rFonts w:hint="default" w:eastAsia="宋体"/>
                          <w:b/>
                          <w:bCs/>
                          <w:color w:val="FF0000"/>
                          <w:lang w:val="en-US" w:eastAsia="zh-CN"/>
                        </w:rPr>
                      </w:pPr>
                      <w:r>
                        <w:rPr>
                          <w:rFonts w:hint="eastAsia"/>
                          <w:b/>
                          <w:bCs/>
                          <w:color w:val="FF0000"/>
                          <w:lang w:val="en-US" w:eastAsia="zh-CN"/>
                        </w:rPr>
                        <w:t>莱茵花园</w:t>
                      </w:r>
                    </w:p>
                  </w:txbxContent>
                </v:textbox>
              </v:shape>
            </w:pict>
          </mc:Fallback>
        </mc:AlternateContent>
      </w:r>
      <w:r>
        <w:rPr>
          <w:sz w:val="24"/>
        </w:rPr>
        <mc:AlternateContent>
          <mc:Choice Requires="wps">
            <w:drawing>
              <wp:anchor distT="0" distB="0" distL="114300" distR="114300" simplePos="0" relativeHeight="251722752" behindDoc="0" locked="0" layoutInCell="1" allowOverlap="1">
                <wp:simplePos x="0" y="0"/>
                <wp:positionH relativeFrom="column">
                  <wp:posOffset>4340860</wp:posOffset>
                </wp:positionH>
                <wp:positionV relativeFrom="paragraph">
                  <wp:posOffset>6085840</wp:posOffset>
                </wp:positionV>
                <wp:extent cx="1162050" cy="33401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6A4A47">
                            <w:pPr>
                              <w:ind w:left="0" w:leftChars="0" w:firstLine="0" w:firstLineChars="0"/>
                              <w:rPr>
                                <w:rFonts w:hint="default" w:eastAsia="宋体"/>
                                <w:b/>
                                <w:bCs/>
                                <w:color w:val="FF0000"/>
                                <w:lang w:val="en-US" w:eastAsia="zh-CN"/>
                              </w:rPr>
                            </w:pPr>
                            <w:r>
                              <w:rPr>
                                <w:rFonts w:hint="eastAsia"/>
                                <w:b/>
                                <w:bCs/>
                                <w:color w:val="FF0000"/>
                                <w:lang w:val="en-US" w:eastAsia="zh-CN"/>
                              </w:rPr>
                              <w:t>秀北小区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1.8pt;margin-top:479.2pt;height:26.3pt;width:91.5pt;z-index:251722752;mso-width-relative:page;mso-height-relative:page;" filled="f" stroked="f" coordsize="21600,21600" o:gfxdata="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&#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gn6k7cAAAADAEAAA8AAAAAAAAAAQAgAAAAIgAAAGRy&#10;cy9kb3ducmV2LnhtbFBLAQIUABQAAAAIAIdO4kAZs1KFOgIAAGgEAAAOAAAAAAAAAAEAIAAAACsB&#10;AABkcnMvZTJvRG9jLnhtbFBLBQYAAAAABgAGAFkBAADXBQAAAAA=&#10;">
                <v:fill on="f" focussize="0,0"/>
                <v:stroke on="f" weight="0.5pt"/>
                <v:imagedata o:title=""/>
                <o:lock v:ext="edit" aspectratio="f"/>
                <v:textbox>
                  <w:txbxContent>
                    <w:p w14:paraId="3D6A4A47">
                      <w:pPr>
                        <w:ind w:left="0" w:leftChars="0" w:firstLine="0" w:firstLineChars="0"/>
                        <w:rPr>
                          <w:rFonts w:hint="default" w:eastAsia="宋体"/>
                          <w:b/>
                          <w:bCs/>
                          <w:color w:val="FF0000"/>
                          <w:lang w:val="en-US" w:eastAsia="zh-CN"/>
                        </w:rPr>
                      </w:pPr>
                      <w:r>
                        <w:rPr>
                          <w:rFonts w:hint="eastAsia"/>
                          <w:b/>
                          <w:bCs/>
                          <w:color w:val="FF0000"/>
                          <w:lang w:val="en-US" w:eastAsia="zh-CN"/>
                        </w:rPr>
                        <w:t>秀北小区</w:t>
                      </w:r>
                    </w:p>
                  </w:txbxContent>
                </v:textbox>
              </v:shape>
            </w:pict>
          </mc:Fallback>
        </mc:AlternateContent>
      </w:r>
      <w:r>
        <w:rPr>
          <w:sz w:val="24"/>
        </w:rPr>
        <mc:AlternateContent>
          <mc:Choice Requires="wps">
            <w:drawing>
              <wp:anchor distT="0" distB="0" distL="114300" distR="114300" simplePos="0" relativeHeight="251717632" behindDoc="0" locked="0" layoutInCell="1" allowOverlap="1">
                <wp:simplePos x="0" y="0"/>
                <wp:positionH relativeFrom="column">
                  <wp:posOffset>3083560</wp:posOffset>
                </wp:positionH>
                <wp:positionV relativeFrom="paragraph">
                  <wp:posOffset>3742690</wp:posOffset>
                </wp:positionV>
                <wp:extent cx="1285240" cy="33401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28524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A13B70">
                            <w:pPr>
                              <w:ind w:left="0" w:leftChars="0" w:firstLine="0" w:firstLineChars="0"/>
                              <w:rPr>
                                <w:rFonts w:hint="default" w:eastAsia="宋体"/>
                                <w:b/>
                                <w:bCs/>
                                <w:color w:val="FF0000"/>
                                <w:lang w:val="en-US" w:eastAsia="zh-CN"/>
                              </w:rPr>
                            </w:pPr>
                            <w:r>
                              <w:rPr>
                                <w:rFonts w:hint="eastAsia"/>
                                <w:b/>
                                <w:bCs/>
                                <w:color w:val="FF0000"/>
                                <w:lang w:val="en-US" w:eastAsia="zh-CN"/>
                              </w:rPr>
                              <w:t>市场监督管理局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2.8pt;margin-top:294.7pt;height:26.3pt;width:101.2pt;z-index:251717632;mso-width-relative:page;mso-height-relative:page;" filled="f" stroked="f" coordsize="21600,21600" o:gfxdata="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Li/sr3AAAAAsBAAAPAAAAAAAAAAEAIAAAACIAAABk&#10;cnMvZG93bnJldi54bWxQSwECFAAUAAAACACHTuJA//VoYTsCAABoBAAADgAAAAAAAAABACAAAAAr&#10;AQAAZHJzL2Uyb0RvYy54bWxQSwUGAAAAAAYABgBZAQAA2AUAAAAA&#10;">
                <v:fill on="f" focussize="0,0"/>
                <v:stroke on="f" weight="0.5pt"/>
                <v:imagedata o:title=""/>
                <o:lock v:ext="edit" aspectratio="f"/>
                <v:textbox>
                  <w:txbxContent>
                    <w:p w14:paraId="50A13B70">
                      <w:pPr>
                        <w:ind w:left="0" w:leftChars="0" w:firstLine="0" w:firstLineChars="0"/>
                        <w:rPr>
                          <w:rFonts w:hint="default" w:eastAsia="宋体"/>
                          <w:b/>
                          <w:bCs/>
                          <w:color w:val="FF0000"/>
                          <w:lang w:val="en-US" w:eastAsia="zh-CN"/>
                        </w:rPr>
                      </w:pPr>
                      <w:r>
                        <w:rPr>
                          <w:rFonts w:hint="eastAsia"/>
                          <w:b/>
                          <w:bCs/>
                          <w:color w:val="FF0000"/>
                          <w:lang w:val="en-US" w:eastAsia="zh-CN"/>
                        </w:rPr>
                        <w:t>市场监督管理局</w:t>
                      </w:r>
                    </w:p>
                  </w:txbxContent>
                </v:textbox>
              </v:shape>
            </w:pict>
          </mc:Fallback>
        </mc:AlternateContent>
      </w:r>
      <w:r>
        <w:rPr>
          <w:sz w:val="24"/>
        </w:rPr>
        <mc:AlternateContent>
          <mc:Choice Requires="wps">
            <w:drawing>
              <wp:anchor distT="0" distB="0" distL="114300" distR="114300" simplePos="0" relativeHeight="251715584" behindDoc="0" locked="0" layoutInCell="1" allowOverlap="1">
                <wp:simplePos x="0" y="0"/>
                <wp:positionH relativeFrom="column">
                  <wp:posOffset>8322310</wp:posOffset>
                </wp:positionH>
                <wp:positionV relativeFrom="paragraph">
                  <wp:posOffset>5914390</wp:posOffset>
                </wp:positionV>
                <wp:extent cx="1162050" cy="33401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FC53E5">
                            <w:pPr>
                              <w:ind w:left="0" w:leftChars="0" w:firstLine="0" w:firstLineChars="0"/>
                              <w:rPr>
                                <w:rFonts w:hint="default" w:eastAsia="宋体"/>
                                <w:b/>
                                <w:bCs/>
                                <w:color w:val="FF0000"/>
                                <w:lang w:val="en-US" w:eastAsia="zh-CN"/>
                              </w:rPr>
                            </w:pPr>
                            <w:r>
                              <w:rPr>
                                <w:rFonts w:hint="eastAsia"/>
                                <w:b/>
                                <w:bCs/>
                                <w:color w:val="FF0000"/>
                                <w:lang w:val="en-US" w:eastAsia="zh-CN"/>
                              </w:rPr>
                              <w:t>西林社区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55.3pt;margin-top:465.7pt;height:26.3pt;width:91.5pt;z-index:251715584;mso-width-relative:page;mso-height-relative:page;" filled="f" stroked="f" coordsize="21600,21600" o:gfxdata="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QRt0DcAAAADQEAAA8AAAAAAAAAAQAgAAAAIgAAAGRy&#10;cy9kb3ducmV2LnhtbFBLAQIUABQAAAAIAIdO4kDCc2HIOgIAAGgEAAAOAAAAAAAAAAEAIAAAACsB&#10;AABkcnMvZTJvRG9jLnhtbFBLBQYAAAAABgAGAFkBAADXBQAAAAA=&#10;">
                <v:fill on="f" focussize="0,0"/>
                <v:stroke on="f" weight="0.5pt"/>
                <v:imagedata o:title=""/>
                <o:lock v:ext="edit" aspectratio="f"/>
                <v:textbox>
                  <w:txbxContent>
                    <w:p w14:paraId="19FC53E5">
                      <w:pPr>
                        <w:ind w:left="0" w:leftChars="0" w:firstLine="0" w:firstLineChars="0"/>
                        <w:rPr>
                          <w:rFonts w:hint="default" w:eastAsia="宋体"/>
                          <w:b/>
                          <w:bCs/>
                          <w:color w:val="FF0000"/>
                          <w:lang w:val="en-US" w:eastAsia="zh-CN"/>
                        </w:rPr>
                      </w:pPr>
                      <w:r>
                        <w:rPr>
                          <w:rFonts w:hint="eastAsia"/>
                          <w:b/>
                          <w:bCs/>
                          <w:color w:val="FF0000"/>
                          <w:lang w:val="en-US" w:eastAsia="zh-CN"/>
                        </w:rPr>
                        <w:t>西林社区</w:t>
                      </w:r>
                    </w:p>
                  </w:txbxContent>
                </v:textbox>
              </v:shape>
            </w:pict>
          </mc:Fallback>
        </mc:AlternateContent>
      </w:r>
      <w:r>
        <w:rPr>
          <w:sz w:val="24"/>
        </w:rPr>
        <mc:AlternateContent>
          <mc:Choice Requires="wps">
            <w:drawing>
              <wp:anchor distT="0" distB="0" distL="114300" distR="114300" simplePos="0" relativeHeight="251711488" behindDoc="0" locked="0" layoutInCell="1" allowOverlap="1">
                <wp:simplePos x="0" y="0"/>
                <wp:positionH relativeFrom="column">
                  <wp:posOffset>5445760</wp:posOffset>
                </wp:positionH>
                <wp:positionV relativeFrom="paragraph">
                  <wp:posOffset>2942590</wp:posOffset>
                </wp:positionV>
                <wp:extent cx="1162050" cy="334010"/>
                <wp:effectExtent l="0" t="0" r="0" b="8890"/>
                <wp:wrapNone/>
                <wp:docPr id="20" name="文本框 20"/>
                <wp:cNvGraphicFramePr/>
                <a:graphic xmlns:a="http://schemas.openxmlformats.org/drawingml/2006/main">
                  <a:graphicData uri="http://schemas.microsoft.com/office/word/2010/wordprocessingShape">
                    <wps:wsp>
                      <wps:cNvSpPr txBox="1"/>
                      <wps:spPr>
                        <a:xfrm>
                          <a:off x="7017385" y="4551045"/>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92465B">
                            <w:pPr>
                              <w:ind w:left="0" w:leftChars="0" w:firstLine="0" w:firstLineChars="0"/>
                              <w:rPr>
                                <w:rFonts w:hint="default" w:eastAsia="宋体"/>
                                <w:b/>
                                <w:bCs/>
                                <w:color w:val="FF0000"/>
                                <w:lang w:val="en-US" w:eastAsia="zh-CN"/>
                              </w:rPr>
                            </w:pPr>
                            <w:r>
                              <w:rPr>
                                <w:rFonts w:hint="eastAsia"/>
                                <w:b/>
                                <w:bCs/>
                                <w:color w:val="FF0000"/>
                                <w:lang w:val="en-US" w:eastAsia="zh-CN"/>
                              </w:rPr>
                              <w:t>隆胜村小四队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8.8pt;margin-top:231.7pt;height:26.3pt;width:91.5pt;z-index:251711488;mso-width-relative:page;mso-height-relative:page;" filled="f" stroked="f" coordsize="21600,21600" o:gfxdata="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CZ43y3cAAAADAEAAA8AAAAAAAAA&#10;AQAgAAAAIgAAAGRycy9kb3ducmV2LnhtbFBLAQIUABQAAAAIAIdO4kB8rGoDRgIAAHQEAAAOAAAA&#10;AAAAAAEAIAAAACsBAABkcnMvZTJvRG9jLnhtbFBLBQYAAAAABgAGAFkBAADjBQAAAAA=&#10;">
                <v:fill on="f" focussize="0,0"/>
                <v:stroke on="f" weight="0.5pt"/>
                <v:imagedata o:title=""/>
                <o:lock v:ext="edit" aspectratio="f"/>
                <v:textbox>
                  <w:txbxContent>
                    <w:p w14:paraId="5392465B">
                      <w:pPr>
                        <w:ind w:left="0" w:leftChars="0" w:firstLine="0" w:firstLineChars="0"/>
                        <w:rPr>
                          <w:rFonts w:hint="default" w:eastAsia="宋体"/>
                          <w:b/>
                          <w:bCs/>
                          <w:color w:val="FF0000"/>
                          <w:lang w:val="en-US" w:eastAsia="zh-CN"/>
                        </w:rPr>
                      </w:pPr>
                      <w:r>
                        <w:rPr>
                          <w:rFonts w:hint="eastAsia"/>
                          <w:b/>
                          <w:bCs/>
                          <w:color w:val="FF0000"/>
                          <w:lang w:val="en-US" w:eastAsia="zh-CN"/>
                        </w:rPr>
                        <w:t>隆胜村小四队</w:t>
                      </w:r>
                    </w:p>
                  </w:txbxContent>
                </v:textbox>
              </v:shape>
            </w:pict>
          </mc:Fallback>
        </mc:AlternateContent>
      </w:r>
      <w:r>
        <w:rPr>
          <w:sz w:val="24"/>
        </w:rPr>
        <mc:AlternateContent>
          <mc:Choice Requires="wps">
            <w:drawing>
              <wp:anchor distT="0" distB="0" distL="114300" distR="114300" simplePos="0" relativeHeight="251714560" behindDoc="0" locked="0" layoutInCell="1" allowOverlap="1">
                <wp:simplePos x="0" y="0"/>
                <wp:positionH relativeFrom="column">
                  <wp:posOffset>2397760</wp:posOffset>
                </wp:positionH>
                <wp:positionV relativeFrom="paragraph">
                  <wp:posOffset>4390390</wp:posOffset>
                </wp:positionV>
                <wp:extent cx="1162050" cy="33401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162050" cy="334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001763">
                            <w:pPr>
                              <w:ind w:left="0" w:leftChars="0" w:firstLine="0" w:firstLineChars="0"/>
                              <w:rPr>
                                <w:rFonts w:hint="default" w:eastAsia="宋体"/>
                                <w:b/>
                                <w:bCs/>
                                <w:color w:val="FF0000"/>
                                <w:lang w:val="en-US" w:eastAsia="zh-CN"/>
                              </w:rPr>
                            </w:pPr>
                            <w:r>
                              <w:rPr>
                                <w:rFonts w:hint="eastAsia"/>
                                <w:b/>
                                <w:bCs/>
                                <w:color w:val="FF0000"/>
                                <w:lang w:val="en-US" w:eastAsia="zh-CN"/>
                              </w:rPr>
                              <w:t>原种场三队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8.8pt;margin-top:345.7pt;height:26.3pt;width:91.5pt;z-index:251714560;mso-width-relative:page;mso-height-relative:page;" filled="f" stroked="f" coordsize="21600,21600" o:gfxdata="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g6SrLNwAAAALAQAADwAAAAAAAAABACAAAAAiAAAAZHJz&#10;L2Rvd25yZXYueG1sUEsBAhQAFAAAAAgAh07iQFcIN0M5AgAAaAQAAA4AAAAAAAAAAQAgAAAAKwEA&#10;AGRycy9lMm9Eb2MueG1sUEsFBgAAAAAGAAYAWQEAANYFAAAAAA==&#10;">
                <v:fill on="f" focussize="0,0"/>
                <v:stroke on="f" weight="0.5pt"/>
                <v:imagedata o:title=""/>
                <o:lock v:ext="edit" aspectratio="f"/>
                <v:textbox>
                  <w:txbxContent>
                    <w:p w14:paraId="1A001763">
                      <w:pPr>
                        <w:ind w:left="0" w:leftChars="0" w:firstLine="0" w:firstLineChars="0"/>
                        <w:rPr>
                          <w:rFonts w:hint="default" w:eastAsia="宋体"/>
                          <w:b/>
                          <w:bCs/>
                          <w:color w:val="FF0000"/>
                          <w:lang w:val="en-US" w:eastAsia="zh-CN"/>
                        </w:rPr>
                      </w:pPr>
                      <w:r>
                        <w:rPr>
                          <w:rFonts w:hint="eastAsia"/>
                          <w:b/>
                          <w:bCs/>
                          <w:color w:val="FF0000"/>
                          <w:lang w:val="en-US" w:eastAsia="zh-CN"/>
                        </w:rPr>
                        <w:t>原种场三队</w:t>
                      </w:r>
                    </w:p>
                  </w:txbxContent>
                </v:textbox>
              </v:shape>
            </w:pict>
          </mc:Fallback>
        </mc:AlternateContent>
      </w:r>
    </w:p>
    <w:p w14:paraId="55416F74">
      <w:pPr>
        <w:pStyle w:val="6"/>
        <w:spacing w:line="240" w:lineRule="auto"/>
        <w:rPr>
          <w:rFonts w:cs="Times New Roman"/>
          <w:snapToGrid w:val="0"/>
          <w:color w:val="000000" w:themeColor="text1"/>
          <w14:textFill>
            <w14:solidFill>
              <w14:schemeClr w14:val="tx1"/>
            </w14:solidFill>
          </w14:textFill>
        </w:rPr>
      </w:pPr>
      <w:bookmarkStart w:id="496" w:name="_Toc17466917"/>
      <w:bookmarkStart w:id="497" w:name="_Toc519186777"/>
      <w:bookmarkStart w:id="498" w:name="_Toc46227700"/>
      <w:bookmarkStart w:id="499" w:name="_Toc22221"/>
      <w:r>
        <w:rPr>
          <w:rFonts w:cs="Times New Roman"/>
          <w:snapToGrid w:val="0"/>
          <w:color w:val="000000" w:themeColor="text1"/>
          <w14:textFill>
            <w14:solidFill>
              <w14:schemeClr w14:val="tx1"/>
            </w14:solidFill>
          </w14:textFill>
        </w:rPr>
        <w:t>附图4</w:t>
      </w:r>
      <w:bookmarkEnd w:id="496"/>
      <w:bookmarkEnd w:id="497"/>
      <w:bookmarkEnd w:id="498"/>
      <w:r>
        <w:rPr>
          <w:rFonts w:hint="eastAsia" w:cs="Times New Roman"/>
          <w:snapToGrid w:val="0"/>
          <w:color w:val="000000" w:themeColor="text1"/>
          <w14:textFill>
            <w14:solidFill>
              <w14:schemeClr w14:val="tx1"/>
            </w14:solidFill>
          </w14:textFill>
        </w:rPr>
        <w:t>本项目总</w:t>
      </w:r>
      <w:r>
        <w:rPr>
          <w:rFonts w:cs="Times New Roman"/>
          <w:snapToGrid w:val="0"/>
          <w:color w:val="000000" w:themeColor="text1"/>
          <w14:textFill>
            <w14:solidFill>
              <w14:schemeClr w14:val="tx1"/>
            </w14:solidFill>
          </w14:textFill>
        </w:rPr>
        <w:t>平面布置图</w:t>
      </w:r>
      <w:bookmarkEnd w:id="499"/>
    </w:p>
    <w:p w14:paraId="4A5D89A9">
      <w:pPr>
        <w:spacing w:line="240" w:lineRule="auto"/>
        <w:ind w:firstLine="0" w:firstLineChars="0"/>
        <w:jc w:val="center"/>
        <w:rPr>
          <w:rFonts w:cs="Times New Roman"/>
          <w:snapToGrid w:val="0"/>
          <w:color w:val="000000" w:themeColor="text1"/>
          <w:kern w:val="0"/>
          <w:szCs w:val="24"/>
          <w14:textFill>
            <w14:solidFill>
              <w14:schemeClr w14:val="tx1"/>
            </w14:solidFill>
          </w14:textFill>
        </w:rPr>
      </w:pPr>
      <w:r>
        <w:rPr>
          <w:sz w:val="24"/>
        </w:rPr>
        <mc:AlternateContent>
          <mc:Choice Requires="wps">
            <w:drawing>
              <wp:anchor distT="0" distB="0" distL="114300" distR="114300" simplePos="0" relativeHeight="251745280" behindDoc="0" locked="0" layoutInCell="1" allowOverlap="1">
                <wp:simplePos x="0" y="0"/>
                <wp:positionH relativeFrom="column">
                  <wp:posOffset>3404235</wp:posOffset>
                </wp:positionH>
                <wp:positionV relativeFrom="paragraph">
                  <wp:posOffset>3427730</wp:posOffset>
                </wp:positionV>
                <wp:extent cx="795655" cy="304800"/>
                <wp:effectExtent l="0" t="0" r="4445" b="0"/>
                <wp:wrapNone/>
                <wp:docPr id="133" name="文本框 133"/>
                <wp:cNvGraphicFramePr/>
                <a:graphic xmlns:a="http://schemas.openxmlformats.org/drawingml/2006/main">
                  <a:graphicData uri="http://schemas.microsoft.com/office/word/2010/wordprocessingShape">
                    <wps:wsp>
                      <wps:cNvSpPr txBox="1"/>
                      <wps:spPr>
                        <a:xfrm>
                          <a:off x="4393565" y="4741545"/>
                          <a:ext cx="79565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1AE116">
                            <w:pPr>
                              <w:ind w:left="0" w:leftChars="0" w:firstLine="0" w:firstLineChars="0"/>
                              <w:rPr>
                                <w:rFonts w:hint="default" w:eastAsia="宋体"/>
                                <w:b/>
                                <w:bCs/>
                                <w:color w:val="FF0000"/>
                                <w:sz w:val="18"/>
                                <w:szCs w:val="16"/>
                                <w:lang w:val="en-US" w:eastAsia="zh-CN"/>
                              </w:rPr>
                            </w:pPr>
                            <w:r>
                              <w:rPr>
                                <w:rFonts w:hint="eastAsia"/>
                                <w:b/>
                                <w:bCs/>
                                <w:color w:val="FF0000"/>
                                <w:sz w:val="18"/>
                                <w:szCs w:val="16"/>
                                <w:lang w:val="en-US" w:eastAsia="zh-CN"/>
                              </w:rPr>
                              <w:t>DA003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05pt;margin-top:269.9pt;height:24pt;width:62.65pt;z-index:251745280;mso-width-relative:page;mso-height-relative:page;" filled="f" stroked="f" coordsize="21600,21600" o:gfxdata="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r0nc5dsAAAALAQAADwAAAAAA&#10;AAABACAAAAAiAAAAZHJzL2Rvd25yZXYueG1sUEsBAhQAFAAAAAgAh07iQHK6MOBJAgAAdQQAAA4A&#10;AAAAAAAAAQAgAAAAKgEAAGRycy9lMm9Eb2MueG1sUEsFBgAAAAAGAAYAWQEAAOUFAAAAAA==&#10;">
                <v:fill on="f" focussize="0,0"/>
                <v:stroke on="f" weight="0.5pt"/>
                <v:imagedata o:title=""/>
                <o:lock v:ext="edit" aspectratio="f"/>
                <v:textbox>
                  <w:txbxContent>
                    <w:p w14:paraId="5A1AE116">
                      <w:pPr>
                        <w:ind w:left="0" w:leftChars="0" w:firstLine="0" w:firstLineChars="0"/>
                        <w:rPr>
                          <w:rFonts w:hint="default" w:eastAsia="宋体"/>
                          <w:b/>
                          <w:bCs/>
                          <w:color w:val="FF0000"/>
                          <w:sz w:val="18"/>
                          <w:szCs w:val="16"/>
                          <w:lang w:val="en-US" w:eastAsia="zh-CN"/>
                        </w:rPr>
                      </w:pPr>
                      <w:r>
                        <w:rPr>
                          <w:rFonts w:hint="eastAsia"/>
                          <w:b/>
                          <w:bCs/>
                          <w:color w:val="FF0000"/>
                          <w:sz w:val="18"/>
                          <w:szCs w:val="16"/>
                          <w:lang w:val="en-US" w:eastAsia="zh-CN"/>
                        </w:rPr>
                        <w:t>DA003</w:t>
                      </w:r>
                    </w:p>
                  </w:txbxContent>
                </v:textbox>
              </v:shape>
            </w:pict>
          </mc:Fallback>
        </mc:AlternateContent>
      </w:r>
      <w:r>
        <w:rPr>
          <w:sz w:val="24"/>
        </w:rPr>
        <mc:AlternateContent>
          <mc:Choice Requires="wps">
            <w:drawing>
              <wp:anchor distT="0" distB="0" distL="114300" distR="114300" simplePos="0" relativeHeight="251744256" behindDoc="0" locked="0" layoutInCell="1" allowOverlap="1">
                <wp:simplePos x="0" y="0"/>
                <wp:positionH relativeFrom="column">
                  <wp:posOffset>3588385</wp:posOffset>
                </wp:positionH>
                <wp:positionV relativeFrom="paragraph">
                  <wp:posOffset>3642995</wp:posOffset>
                </wp:positionV>
                <wp:extent cx="81915" cy="75565"/>
                <wp:effectExtent l="12700" t="12700" r="19685" b="26035"/>
                <wp:wrapNone/>
                <wp:docPr id="132" name="椭圆 132"/>
                <wp:cNvGraphicFramePr/>
                <a:graphic xmlns:a="http://schemas.openxmlformats.org/drawingml/2006/main">
                  <a:graphicData uri="http://schemas.microsoft.com/office/word/2010/wordprocessingShape">
                    <wps:wsp>
                      <wps:cNvSpPr/>
                      <wps:spPr>
                        <a:xfrm>
                          <a:off x="4516120" y="5004435"/>
                          <a:ext cx="81915" cy="75565"/>
                        </a:xfrm>
                        <a:prstGeom prst="ellipse">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82.55pt;margin-top:286.85pt;height:5.95pt;width:6.45pt;z-index:251744256;v-text-anchor:middle;mso-width-relative:page;mso-height-relative:page;" fillcolor="#FF0000" filled="t" stroked="t" coordsize="21600,21600" o:gfxdata="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CRPP8PWAAAACwEAAA8AAAAAAAAAAQAgAAAAIgAAAGRycy9kb3ducmV2&#10;LnhtbFBLAQIUABQAAAAIAIdO4kBsiqQTcAIAAO0EAAAOAAAAAAAAAAEAIAAAACUBAABkcnMvZTJv&#10;RG9jLnhtbFBLBQYAAAAABgAGAFkBAAAHBgAAAAA=&#10;">
                <v:fill on="t" focussize="0,0"/>
                <v:stroke weight="2pt" color="#FF0000 [2404]" joinstyle="round"/>
                <v:imagedata o:title=""/>
                <o:lock v:ext="edit" aspectratio="f"/>
              </v:shape>
            </w:pict>
          </mc:Fallback>
        </mc:AlternateContent>
      </w:r>
      <w:r>
        <w:drawing>
          <wp:anchor distT="0" distB="0" distL="114300" distR="114300" simplePos="0" relativeHeight="251743232" behindDoc="1" locked="0" layoutInCell="1" allowOverlap="1">
            <wp:simplePos x="0" y="0"/>
            <wp:positionH relativeFrom="column">
              <wp:posOffset>297180</wp:posOffset>
            </wp:positionH>
            <wp:positionV relativeFrom="paragraph">
              <wp:posOffset>6350</wp:posOffset>
            </wp:positionV>
            <wp:extent cx="8182610" cy="5069205"/>
            <wp:effectExtent l="9525" t="9525" r="18415" b="26670"/>
            <wp:wrapNone/>
            <wp:docPr id="1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7"/>
                    <pic:cNvPicPr>
                      <a:picLocks noChangeAspect="1"/>
                    </pic:cNvPicPr>
                  </pic:nvPicPr>
                  <pic:blipFill>
                    <a:blip r:embed="rId170"/>
                    <a:stretch>
                      <a:fillRect/>
                    </a:stretch>
                  </pic:blipFill>
                  <pic:spPr>
                    <a:xfrm>
                      <a:off x="0" y="0"/>
                      <a:ext cx="8182610" cy="5069205"/>
                    </a:xfrm>
                    <a:prstGeom prst="rect">
                      <a:avLst/>
                    </a:prstGeom>
                    <a:noFill/>
                    <a:ln>
                      <a:solidFill>
                        <a:schemeClr val="tx1"/>
                      </a:solidFill>
                    </a:ln>
                  </pic:spPr>
                </pic:pic>
              </a:graphicData>
            </a:graphic>
          </wp:anchor>
        </w:drawing>
      </w:r>
    </w:p>
    <w:p w14:paraId="0176EE0B">
      <w:pPr>
        <w:spacing w:line="240" w:lineRule="auto"/>
        <w:ind w:firstLine="0" w:firstLineChars="0"/>
        <w:jc w:val="center"/>
        <w:rPr>
          <w:rFonts w:cs="Times New Roman"/>
          <w:snapToGrid w:val="0"/>
          <w:color w:val="000000" w:themeColor="text1"/>
          <w:kern w:val="0"/>
          <w:szCs w:val="24"/>
          <w14:textFill>
            <w14:solidFill>
              <w14:schemeClr w14:val="tx1"/>
            </w14:solidFill>
          </w14:textFill>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pPr>
      <w:r>
        <w:rPr>
          <w:sz w:val="24"/>
        </w:rPr>
        <mc:AlternateContent>
          <mc:Choice Requires="wps">
            <w:drawing>
              <wp:anchor distT="0" distB="0" distL="114300" distR="114300" simplePos="0" relativeHeight="251747328" behindDoc="0" locked="0" layoutInCell="1" allowOverlap="1">
                <wp:simplePos x="0" y="0"/>
                <wp:positionH relativeFrom="column">
                  <wp:posOffset>7294880</wp:posOffset>
                </wp:positionH>
                <wp:positionV relativeFrom="paragraph">
                  <wp:posOffset>2326005</wp:posOffset>
                </wp:positionV>
                <wp:extent cx="795655" cy="30480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79565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B64615">
                            <w:pPr>
                              <w:ind w:left="0" w:leftChars="0" w:firstLine="0" w:firstLineChars="0"/>
                              <w:rPr>
                                <w:rFonts w:hint="default" w:eastAsia="宋体"/>
                                <w:b/>
                                <w:bCs/>
                                <w:color w:val="FF0000"/>
                                <w:sz w:val="18"/>
                                <w:szCs w:val="16"/>
                                <w:lang w:val="en-US" w:eastAsia="zh-CN"/>
                              </w:rPr>
                            </w:pPr>
                            <w:r>
                              <w:rPr>
                                <w:rFonts w:hint="eastAsia"/>
                                <w:b/>
                                <w:bCs/>
                                <w:color w:val="FF0000"/>
                                <w:sz w:val="18"/>
                                <w:szCs w:val="16"/>
                                <w:lang w:val="en-US" w:eastAsia="zh-CN"/>
                              </w:rPr>
                              <w:t>DA001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4.4pt;margin-top:183.15pt;height:24pt;width:62.65pt;z-index:251747328;mso-width-relative:page;mso-height-relative:page;" filled="f" stroked="f" coordsize="21600,21600" o:gfxdata="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shV23N0AAAANAQAADwAAAAAAAAABACAAAAAi&#10;AAAAZHJzL2Rvd25yZXYueG1sUEsBAhQAFAAAAAgAh07iQHeGtDw+AgAAaQQAAA4AAAAAAAAAAQAg&#10;AAAALAEAAGRycy9lMm9Eb2MueG1sUEsFBgAAAAAGAAYAWQEAANwFAAAAAA==&#10;">
                <v:fill on="f" focussize="0,0"/>
                <v:stroke on="f" weight="0.5pt"/>
                <v:imagedata o:title=""/>
                <o:lock v:ext="edit" aspectratio="f"/>
                <v:textbox>
                  <w:txbxContent>
                    <w:p w14:paraId="75B64615">
                      <w:pPr>
                        <w:ind w:left="0" w:leftChars="0" w:firstLine="0" w:firstLineChars="0"/>
                        <w:rPr>
                          <w:rFonts w:hint="default" w:eastAsia="宋体"/>
                          <w:b/>
                          <w:bCs/>
                          <w:color w:val="FF0000"/>
                          <w:sz w:val="18"/>
                          <w:szCs w:val="16"/>
                          <w:lang w:val="en-US" w:eastAsia="zh-CN"/>
                        </w:rPr>
                      </w:pPr>
                      <w:r>
                        <w:rPr>
                          <w:rFonts w:hint="eastAsia"/>
                          <w:b/>
                          <w:bCs/>
                          <w:color w:val="FF0000"/>
                          <w:sz w:val="18"/>
                          <w:szCs w:val="16"/>
                          <w:lang w:val="en-US" w:eastAsia="zh-CN"/>
                        </w:rPr>
                        <w:t>DA001</w:t>
                      </w:r>
                    </w:p>
                  </w:txbxContent>
                </v:textbox>
              </v:shape>
            </w:pict>
          </mc:Fallback>
        </mc:AlternateContent>
      </w:r>
      <w:r>
        <w:rPr>
          <w:sz w:val="24"/>
        </w:rPr>
        <mc:AlternateContent>
          <mc:Choice Requires="wps">
            <w:drawing>
              <wp:anchor distT="0" distB="0" distL="114300" distR="114300" simplePos="0" relativeHeight="251731968" behindDoc="0" locked="0" layoutInCell="1" allowOverlap="1">
                <wp:simplePos x="0" y="0"/>
                <wp:positionH relativeFrom="column">
                  <wp:posOffset>7310755</wp:posOffset>
                </wp:positionH>
                <wp:positionV relativeFrom="paragraph">
                  <wp:posOffset>2520315</wp:posOffset>
                </wp:positionV>
                <wp:extent cx="88265" cy="81280"/>
                <wp:effectExtent l="12700" t="12700" r="13335" b="20320"/>
                <wp:wrapNone/>
                <wp:docPr id="138" name="流程图: 联系 138"/>
                <wp:cNvGraphicFramePr/>
                <a:graphic xmlns:a="http://schemas.openxmlformats.org/drawingml/2006/main">
                  <a:graphicData uri="http://schemas.microsoft.com/office/word/2010/wordprocessingShape">
                    <wps:wsp>
                      <wps:cNvSpPr/>
                      <wps:spPr>
                        <a:xfrm>
                          <a:off x="0" y="0"/>
                          <a:ext cx="88265" cy="81280"/>
                        </a:xfrm>
                        <a:prstGeom prst="flowChartConnector">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20" type="#_x0000_t120" style="position:absolute;left:0pt;margin-left:575.65pt;margin-top:198.45pt;height:6.4pt;width:6.95pt;z-index:251731968;v-text-anchor:middle;mso-width-relative:page;mso-height-relative:page;" fillcolor="#FF0000" filled="t" stroked="t" coordsize="21600,21600" o:gfxdata="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Pmmlk/bAAAADQEAAA8AAAAAAAAAAQAgAAAA&#10;IgAAAGRycy9kb3ducmV2LnhtbFBLAQIUABQAAAAIAIdO4kBbIfjgegIAAPcEAAAOAAAAAAAAAAEA&#10;IAAAACoBAABkcnMvZTJvRG9jLnhtbFBLBQYAAAAABgAGAFkBAAAWBgAAAAA=&#10;">
                <v:fill on="t" focussize="0,0"/>
                <v:stroke weight="2pt" color="#FF0000 [2404]" joinstyle="round"/>
                <v:imagedata o:title=""/>
                <o:lock v:ext="edit" aspectratio="f"/>
              </v:shape>
            </w:pict>
          </mc:Fallback>
        </mc:AlternateContent>
      </w:r>
      <w:r>
        <w:rPr>
          <w:sz w:val="24"/>
        </w:rPr>
        <mc:AlternateContent>
          <mc:Choice Requires="wps">
            <w:drawing>
              <wp:anchor distT="0" distB="0" distL="114300" distR="114300" simplePos="0" relativeHeight="251746304" behindDoc="0" locked="0" layoutInCell="1" allowOverlap="1">
                <wp:simplePos x="0" y="0"/>
                <wp:positionH relativeFrom="column">
                  <wp:posOffset>6852285</wp:posOffset>
                </wp:positionH>
                <wp:positionV relativeFrom="paragraph">
                  <wp:posOffset>2545080</wp:posOffset>
                </wp:positionV>
                <wp:extent cx="88265" cy="81280"/>
                <wp:effectExtent l="12700" t="12700" r="13335" b="20320"/>
                <wp:wrapNone/>
                <wp:docPr id="135" name="流程图: 联系 135"/>
                <wp:cNvGraphicFramePr/>
                <a:graphic xmlns:a="http://schemas.openxmlformats.org/drawingml/2006/main">
                  <a:graphicData uri="http://schemas.microsoft.com/office/word/2010/wordprocessingShape">
                    <wps:wsp>
                      <wps:cNvSpPr/>
                      <wps:spPr>
                        <a:xfrm>
                          <a:off x="7630795" y="4074795"/>
                          <a:ext cx="88265" cy="81280"/>
                        </a:xfrm>
                        <a:prstGeom prst="flowChartConnector">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20" type="#_x0000_t120" style="position:absolute;left:0pt;margin-left:539.55pt;margin-top:200.4pt;height:6.4pt;width:6.95pt;z-index:251746304;v-text-anchor:middle;mso-width-relative:page;mso-height-relative:page;" fillcolor="#FF0000" filled="t" stroked="t" coordsize="21600,21600" o:gfxdata="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D+b/M12gAAAA0BAAAP&#10;AAAAAAAAAAEAIAAAACIAAABkcnMvZG93bnJldi54bWxQSwECFAAUAAAACACHTuJAm6xP2YgCAAAD&#10;BQAADgAAAAAAAAABACAAAAApAQAAZHJzL2Uyb0RvYy54bWxQSwUGAAAAAAYABgBZAQAAIwYAAAAA&#10;">
                <v:fill on="t" focussize="0,0"/>
                <v:stroke weight="2pt" color="#FF0000 [2404]" joinstyle="round"/>
                <v:imagedata o:title=""/>
                <o:lock v:ext="edit" aspectratio="f"/>
              </v:shape>
            </w:pict>
          </mc:Fallback>
        </mc:AlternateContent>
      </w:r>
      <w:r>
        <w:rPr>
          <w:sz w:val="24"/>
        </w:rPr>
        <mc:AlternateContent>
          <mc:Choice Requires="wps">
            <w:drawing>
              <wp:anchor distT="0" distB="0" distL="114300" distR="114300" simplePos="0" relativeHeight="251729920" behindDoc="0" locked="0" layoutInCell="1" allowOverlap="1">
                <wp:simplePos x="0" y="0"/>
                <wp:positionH relativeFrom="column">
                  <wp:posOffset>6672580</wp:posOffset>
                </wp:positionH>
                <wp:positionV relativeFrom="paragraph">
                  <wp:posOffset>2364740</wp:posOffset>
                </wp:positionV>
                <wp:extent cx="795655" cy="304800"/>
                <wp:effectExtent l="0" t="0" r="0" b="0"/>
                <wp:wrapNone/>
                <wp:docPr id="134" name="文本框 134"/>
                <wp:cNvGraphicFramePr/>
                <a:graphic xmlns:a="http://schemas.openxmlformats.org/drawingml/2006/main">
                  <a:graphicData uri="http://schemas.microsoft.com/office/word/2010/wordprocessingShape">
                    <wps:wsp>
                      <wps:cNvSpPr txBox="1"/>
                      <wps:spPr>
                        <a:xfrm>
                          <a:off x="0" y="0"/>
                          <a:ext cx="79565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965C1F">
                            <w:pPr>
                              <w:ind w:left="0" w:leftChars="0" w:firstLine="0" w:firstLineChars="0"/>
                              <w:rPr>
                                <w:rFonts w:hint="default" w:eastAsia="宋体"/>
                                <w:b/>
                                <w:bCs/>
                                <w:color w:val="FF0000"/>
                                <w:sz w:val="18"/>
                                <w:szCs w:val="16"/>
                                <w:lang w:val="en-US" w:eastAsia="zh-CN"/>
                              </w:rPr>
                            </w:pPr>
                            <w:r>
                              <w:rPr>
                                <w:rFonts w:hint="eastAsia"/>
                                <w:b/>
                                <w:bCs/>
                                <w:color w:val="FF0000"/>
                                <w:sz w:val="18"/>
                                <w:szCs w:val="16"/>
                                <w:lang w:val="en-US" w:eastAsia="zh-CN"/>
                              </w:rPr>
                              <w:t>DA002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5.4pt;margin-top:186.2pt;height:24pt;width:62.65pt;z-index:251729920;mso-width-relative:page;mso-height-relative:page;" filled="f" stroked="f" coordsize="21600,21600" o:gfxdata="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tW1CE90AAAANAQAADwAAAAAAAAABACAAAAAi&#10;AAAAZHJzL2Rvd25yZXYueG1sUEsBAhQAFAAAAAgAh07iQG2ZhFA+AgAAaQQAAA4AAAAAAAAAAQAg&#10;AAAALAEAAGRycy9lMm9Eb2MueG1sUEsFBgAAAAAGAAYAWQEAANwFAAAAAA==&#10;">
                <v:fill on="f" focussize="0,0"/>
                <v:stroke on="f" weight="0.5pt"/>
                <v:imagedata o:title=""/>
                <o:lock v:ext="edit" aspectratio="f"/>
                <v:textbox>
                  <w:txbxContent>
                    <w:p w14:paraId="0F965C1F">
                      <w:pPr>
                        <w:ind w:left="0" w:leftChars="0" w:firstLine="0" w:firstLineChars="0"/>
                        <w:rPr>
                          <w:rFonts w:hint="default" w:eastAsia="宋体"/>
                          <w:b/>
                          <w:bCs/>
                          <w:color w:val="FF0000"/>
                          <w:sz w:val="18"/>
                          <w:szCs w:val="16"/>
                          <w:lang w:val="en-US" w:eastAsia="zh-CN"/>
                        </w:rPr>
                      </w:pPr>
                      <w:r>
                        <w:rPr>
                          <w:rFonts w:hint="eastAsia"/>
                          <w:b/>
                          <w:bCs/>
                          <w:color w:val="FF0000"/>
                          <w:sz w:val="18"/>
                          <w:szCs w:val="16"/>
                          <w:lang w:val="en-US" w:eastAsia="zh-CN"/>
                        </w:rPr>
                        <w:t>DA002</w:t>
                      </w:r>
                    </w:p>
                  </w:txbxContent>
                </v:textbox>
              </v:shape>
            </w:pict>
          </mc:Fallback>
        </mc:AlternateContent>
      </w:r>
    </w:p>
    <w:p w14:paraId="4A96C0B6">
      <w:pPr>
        <w:pStyle w:val="6"/>
        <w:spacing w:line="240" w:lineRule="auto"/>
        <w:rPr>
          <w:rFonts w:hint="default" w:eastAsia="黑体" w:cs="Times New Roman"/>
          <w:snapToGrid w:val="0"/>
          <w:color w:val="000000" w:themeColor="text1"/>
          <w:lang w:val="en-US" w:eastAsia="zh-CN"/>
          <w14:textFill>
            <w14:solidFill>
              <w14:schemeClr w14:val="tx1"/>
            </w14:solidFill>
          </w14:textFill>
        </w:rPr>
      </w:pPr>
      <w:bookmarkStart w:id="500" w:name="_Toc17466918"/>
      <w:bookmarkStart w:id="501" w:name="_Toc46227701"/>
      <w:bookmarkStart w:id="502" w:name="_Toc519186778"/>
      <w:bookmarkStart w:id="503" w:name="_Toc6872"/>
      <w:r>
        <w:rPr>
          <w:rFonts w:cs="Times New Roman"/>
          <w:snapToGrid w:val="0"/>
          <w:color w:val="000000" w:themeColor="text1"/>
          <w14:textFill>
            <w14:solidFill>
              <w14:schemeClr w14:val="tx1"/>
            </w14:solidFill>
          </w14:textFill>
        </w:rPr>
        <w:t>附图5</w:t>
      </w:r>
      <w:bookmarkEnd w:id="500"/>
      <w:bookmarkEnd w:id="501"/>
      <w:bookmarkEnd w:id="502"/>
      <w:r>
        <w:rPr>
          <w:rFonts w:hint="eastAsia" w:cs="Times New Roman"/>
          <w:snapToGrid w:val="0"/>
          <w:color w:val="000000" w:themeColor="text1"/>
          <w:lang w:val="en-US" w:eastAsia="zh-CN"/>
          <w14:textFill>
            <w14:solidFill>
              <w14:schemeClr w14:val="tx1"/>
            </w14:solidFill>
          </w14:textFill>
        </w:rPr>
        <w:t>本项目在</w:t>
      </w:r>
      <w:r>
        <w:rPr>
          <w:lang w:val="en-US" w:eastAsia="zh-CN"/>
        </w:rPr>
        <w:t>桦南经济开发区</w:t>
      </w:r>
      <w:r>
        <w:rPr>
          <w:rFonts w:hint="eastAsia"/>
          <w:lang w:val="en-US" w:eastAsia="zh-CN"/>
        </w:rPr>
        <w:t>位置图</w:t>
      </w:r>
      <w:bookmarkEnd w:id="503"/>
    </w:p>
    <w:p w14:paraId="267C09C5">
      <w:pPr>
        <w:pStyle w:val="143"/>
        <w:rPr>
          <w:color w:val="000000" w:themeColor="text1"/>
          <w14:textFill>
            <w14:solidFill>
              <w14:schemeClr w14:val="tx1"/>
            </w14:solidFill>
          </w14:textFill>
        </w:rPr>
      </w:pPr>
      <w:r>
        <w:rPr>
          <w:sz w:val="21"/>
        </w:rPr>
        <mc:AlternateContent>
          <mc:Choice Requires="wps">
            <w:drawing>
              <wp:anchor distT="0" distB="0" distL="114300" distR="114300" simplePos="0" relativeHeight="251750400" behindDoc="0" locked="0" layoutInCell="1" allowOverlap="1">
                <wp:simplePos x="0" y="0"/>
                <wp:positionH relativeFrom="column">
                  <wp:posOffset>825500</wp:posOffset>
                </wp:positionH>
                <wp:positionV relativeFrom="paragraph">
                  <wp:posOffset>7898130</wp:posOffset>
                </wp:positionV>
                <wp:extent cx="1203960" cy="243205"/>
                <wp:effectExtent l="0" t="0" r="0" b="0"/>
                <wp:wrapNone/>
                <wp:docPr id="148" name="文本框 148"/>
                <wp:cNvGraphicFramePr/>
                <a:graphic xmlns:a="http://schemas.openxmlformats.org/drawingml/2006/main">
                  <a:graphicData uri="http://schemas.microsoft.com/office/word/2010/wordprocessingShape">
                    <wps:wsp>
                      <wps:cNvSpPr txBox="1"/>
                      <wps:spPr>
                        <a:xfrm>
                          <a:off x="1633855" y="8899525"/>
                          <a:ext cx="1203960" cy="2432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E8B1EB">
                            <w:pPr>
                              <w:ind w:left="0" w:leftChars="0" w:firstLine="0" w:firstLineChars="0"/>
                              <w:rPr>
                                <w:rFonts w:hint="default" w:eastAsia="宋体"/>
                                <w:sz w:val="13"/>
                                <w:szCs w:val="11"/>
                                <w:lang w:val="en-US" w:eastAsia="zh-CN"/>
                              </w:rPr>
                            </w:pPr>
                            <w:r>
                              <w:rPr>
                                <w:rFonts w:hint="eastAsia"/>
                                <w:sz w:val="13"/>
                                <w:szCs w:val="11"/>
                                <w:lang w:val="en-US" w:eastAsia="zh-CN"/>
                              </w:rPr>
                              <w:t>本项目位置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5pt;margin-top:621.9pt;height:19.15pt;width:94.8pt;z-index:251750400;mso-width-relative:page;mso-height-relative:page;" filled="f" stroked="f" coordsize="21600,21600" o:gfxdata="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wqzr23AAAAA0BAAAPAAAA&#10;AAAAAAEAIAAAACIAAABkcnMvZG93bnJldi54bWxQSwECFAAUAAAACACHTuJAHRtA70oCAAB2BAAA&#10;DgAAAAAAAAABACAAAAArAQAAZHJzL2Uyb0RvYy54bWxQSwUGAAAAAAYABgBZAQAA5wUAAAAA&#10;">
                <v:fill on="f" focussize="0,0"/>
                <v:stroke on="f" weight="0.5pt"/>
                <v:imagedata o:title=""/>
                <o:lock v:ext="edit" aspectratio="f"/>
                <v:textbox>
                  <w:txbxContent>
                    <w:p w14:paraId="10E8B1EB">
                      <w:pPr>
                        <w:ind w:left="0" w:leftChars="0" w:firstLine="0" w:firstLineChars="0"/>
                        <w:rPr>
                          <w:rFonts w:hint="default" w:eastAsia="宋体"/>
                          <w:sz w:val="13"/>
                          <w:szCs w:val="11"/>
                          <w:lang w:val="en-US" w:eastAsia="zh-CN"/>
                        </w:rPr>
                      </w:pPr>
                      <w:r>
                        <w:rPr>
                          <w:rFonts w:hint="eastAsia"/>
                          <w:sz w:val="13"/>
                          <w:szCs w:val="11"/>
                          <w:lang w:val="en-US" w:eastAsia="zh-CN"/>
                        </w:rPr>
                        <w:t>本项目位置</w:t>
                      </w:r>
                    </w:p>
                  </w:txbxContent>
                </v:textbox>
              </v:shape>
            </w:pict>
          </mc:Fallback>
        </mc:AlternateContent>
      </w:r>
      <w:r>
        <w:rPr>
          <w:sz w:val="21"/>
        </w:rPr>
        <mc:AlternateContent>
          <mc:Choice Requires="wps">
            <w:drawing>
              <wp:anchor distT="0" distB="0" distL="114300" distR="114300" simplePos="0" relativeHeight="251749376" behindDoc="0" locked="0" layoutInCell="1" allowOverlap="1">
                <wp:simplePos x="0" y="0"/>
                <wp:positionH relativeFrom="column">
                  <wp:posOffset>655320</wp:posOffset>
                </wp:positionH>
                <wp:positionV relativeFrom="paragraph">
                  <wp:posOffset>7938770</wp:posOffset>
                </wp:positionV>
                <wp:extent cx="210820" cy="102235"/>
                <wp:effectExtent l="12700" t="12700" r="24130" b="18415"/>
                <wp:wrapNone/>
                <wp:docPr id="147" name="矩形 147"/>
                <wp:cNvGraphicFramePr/>
                <a:graphic xmlns:a="http://schemas.openxmlformats.org/drawingml/2006/main">
                  <a:graphicData uri="http://schemas.microsoft.com/office/word/2010/wordprocessingShape">
                    <wps:wsp>
                      <wps:cNvSpPr/>
                      <wps:spPr>
                        <a:xfrm>
                          <a:off x="1375410" y="8940165"/>
                          <a:ext cx="210820" cy="10223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6pt;margin-top:625.1pt;height:8.05pt;width:16.6pt;z-index:251749376;v-text-anchor:middle;mso-width-relative:page;mso-height-relative:page;" filled="f" stroked="t" coordsize="21600,21600" o:gfxdata="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4l1Ev2QAAAA0BAAAPAAAAAAAAAAEAIAAAACIAAABkcnMvZG93bnJldi54&#10;bWxQSwECFAAUAAAACACHTuJABuaK0msCAADDBAAADgAAAAAAAAABACAAAAAoAQAAZHJzL2Uyb0Rv&#10;Yy54bWxQSwUGAAAAAAYABgBZAQAABQYAAAAA&#10;">
                <v:fill on="f" focussize="0,0"/>
                <v:stroke weight="2pt" color="#FF0000 [2404]" joinstyle="round"/>
                <v:imagedata o:title=""/>
                <o:lock v:ext="edit" aspectratio="f"/>
              </v:rect>
            </w:pict>
          </mc:Fallback>
        </mc:AlternateContent>
      </w:r>
      <w:r>
        <w:rPr>
          <w:sz w:val="21"/>
        </w:rPr>
        <mc:AlternateContent>
          <mc:Choice Requires="wps">
            <w:drawing>
              <wp:anchor distT="0" distB="0" distL="114300" distR="114300" simplePos="0" relativeHeight="251748352" behindDoc="0" locked="0" layoutInCell="1" allowOverlap="1">
                <wp:simplePos x="0" y="0"/>
                <wp:positionH relativeFrom="column">
                  <wp:posOffset>3440430</wp:posOffset>
                </wp:positionH>
                <wp:positionV relativeFrom="paragraph">
                  <wp:posOffset>4665345</wp:posOffset>
                </wp:positionV>
                <wp:extent cx="306070" cy="238125"/>
                <wp:effectExtent l="12700" t="12700" r="24130" b="15875"/>
                <wp:wrapNone/>
                <wp:docPr id="146" name="任意多边形 146"/>
                <wp:cNvGraphicFramePr/>
                <a:graphic xmlns:a="http://schemas.openxmlformats.org/drawingml/2006/main">
                  <a:graphicData uri="http://schemas.microsoft.com/office/word/2010/wordprocessingShape">
                    <wps:wsp>
                      <wps:cNvSpPr/>
                      <wps:spPr>
                        <a:xfrm>
                          <a:off x="4160520" y="5666740"/>
                          <a:ext cx="306070" cy="238125"/>
                        </a:xfrm>
                        <a:custGeom>
                          <a:avLst/>
                          <a:gdLst>
                            <a:gd name="connisteX0" fmla="*/ 0 w 306070"/>
                            <a:gd name="connsiteY0" fmla="*/ 40640 h 238125"/>
                            <a:gd name="connisteX1" fmla="*/ 265430 w 306070"/>
                            <a:gd name="connsiteY1" fmla="*/ 0 h 238125"/>
                            <a:gd name="connisteX2" fmla="*/ 306070 w 306070"/>
                            <a:gd name="connsiteY2" fmla="*/ 183515 h 238125"/>
                            <a:gd name="connisteX3" fmla="*/ 27305 w 306070"/>
                            <a:gd name="connsiteY3" fmla="*/ 238125 h 238125"/>
                            <a:gd name="connisteX4" fmla="*/ 0 w 306070"/>
                            <a:gd name="connsiteY4" fmla="*/ 40640 h 23812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306070" h="238125">
                              <a:moveTo>
                                <a:pt x="0" y="40640"/>
                              </a:moveTo>
                              <a:lnTo>
                                <a:pt x="265430" y="0"/>
                              </a:lnTo>
                              <a:lnTo>
                                <a:pt x="306070" y="183515"/>
                              </a:lnTo>
                              <a:lnTo>
                                <a:pt x="27305" y="238125"/>
                              </a:lnTo>
                              <a:lnTo>
                                <a:pt x="0" y="40640"/>
                              </a:lnTo>
                              <a:close/>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70.9pt;margin-top:367.35pt;height:18.75pt;width:24.1pt;z-index:251748352;mso-width-relative:page;mso-height-relative:page;" filled="f" stroked="t" coordsize="306070,238125" o:gfxdata="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JELYldoAAAALAQAADwAAAAAAAAABACAAAAAiAAAAZHJzL2Rvd25yZXYueG1sUEsBAhQA&#10;FAAAAAgAh07iQAYiVywNAwAAMwgAAA4AAAAAAAAAAQAgAAAAKQEAAGRycy9lMm9Eb2MueG1sUEsF&#10;BgAAAAAGAAYAWQEAAKgGAAAAAA==&#10;" path="m0,40640l265430,0,306070,183515,27305,238125,0,40640xe">
                <v:path o:connectlocs="0,40640;265430,0;306070,183515;27305,238125;0,40640" o:connectangles="0,0,0,0,0"/>
                <v:fill on="f" focussize="0,0"/>
                <v:stroke weight="2pt" color="#FF0000 [2404]" joinstyle="round"/>
                <v:imagedata o:title=""/>
                <o:lock v:ext="edit" aspectratio="f"/>
              </v:shape>
            </w:pict>
          </mc:Fallback>
        </mc:AlternateContent>
      </w:r>
      <w:r>
        <w:drawing>
          <wp:inline distT="0" distB="0" distL="114300" distR="114300">
            <wp:extent cx="5876925" cy="8077200"/>
            <wp:effectExtent l="9525" t="9525" r="19050" b="9525"/>
            <wp:docPr id="1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8"/>
                    <pic:cNvPicPr>
                      <a:picLocks noChangeAspect="1"/>
                    </pic:cNvPicPr>
                  </pic:nvPicPr>
                  <pic:blipFill>
                    <a:blip r:embed="rId171"/>
                    <a:stretch>
                      <a:fillRect/>
                    </a:stretch>
                  </pic:blipFill>
                  <pic:spPr>
                    <a:xfrm>
                      <a:off x="0" y="0"/>
                      <a:ext cx="5876925" cy="8077200"/>
                    </a:xfrm>
                    <a:prstGeom prst="rect">
                      <a:avLst/>
                    </a:prstGeom>
                    <a:noFill/>
                    <a:ln>
                      <a:solidFill>
                        <a:schemeClr val="tx1"/>
                      </a:solidFill>
                    </a:ln>
                  </pic:spPr>
                </pic:pic>
              </a:graphicData>
            </a:graphic>
          </wp:inline>
        </w:drawing>
      </w:r>
    </w:p>
    <w:p w14:paraId="645D00BB">
      <w:pPr>
        <w:pStyle w:val="143"/>
        <w:rPr>
          <w:color w:val="000000" w:themeColor="text1"/>
          <w14:textFill>
            <w14:solidFill>
              <w14:schemeClr w14:val="tx1"/>
            </w14:solidFill>
          </w14:textFill>
        </w:rPr>
      </w:pPr>
    </w:p>
    <w:p w14:paraId="6B87C351">
      <w:pPr>
        <w:pStyle w:val="143"/>
        <w:rPr>
          <w:color w:val="000000" w:themeColor="text1"/>
          <w14:textFill>
            <w14:solidFill>
              <w14:schemeClr w14:val="tx1"/>
            </w14:solidFill>
          </w14:textFill>
        </w:rPr>
      </w:pPr>
    </w:p>
    <w:p w14:paraId="2C70895D">
      <w:pPr>
        <w:pStyle w:val="143"/>
        <w:rPr>
          <w:color w:val="000000" w:themeColor="text1"/>
          <w14:textFill>
            <w14:solidFill>
              <w14:schemeClr w14:val="tx1"/>
            </w14:solidFill>
          </w14:textFill>
        </w:rPr>
      </w:pPr>
    </w:p>
    <w:p w14:paraId="7F8F9DCF">
      <w:pPr>
        <w:pStyle w:val="206"/>
        <w:jc w:val="both"/>
        <w:rPr>
          <w:color w:val="000000" w:themeColor="text1"/>
          <w14:textFill>
            <w14:solidFill>
              <w14:schemeClr w14:val="tx1"/>
            </w14:solidFill>
          </w14:textFill>
        </w:rPr>
      </w:pPr>
    </w:p>
    <w:p w14:paraId="43A606D5">
      <w:pPr>
        <w:ind w:firstLine="600"/>
        <w:jc w:val="center"/>
        <w:rPr>
          <w:rFonts w:eastAsia="黑体"/>
          <w:color w:val="000000" w:themeColor="text1"/>
          <w:sz w:val="30"/>
          <w:szCs w:val="30"/>
          <w14:textFill>
            <w14:solidFill>
              <w14:schemeClr w14:val="tx1"/>
            </w14:solidFill>
          </w14:textFill>
        </w:rPr>
        <w:sectPr>
          <w:pgSz w:w="11906" w:h="16838"/>
          <w:pgMar w:top="1134" w:right="1134" w:bottom="1134" w:left="1134" w:header="851" w:footer="992" w:gutter="0"/>
          <w:pgBorders>
            <w:top w:val="none" w:sz="0" w:space="0"/>
            <w:left w:val="none" w:sz="0" w:space="0"/>
            <w:bottom w:val="none" w:sz="0" w:space="0"/>
            <w:right w:val="none" w:sz="0" w:space="0"/>
          </w:pgBorders>
          <w:cols w:space="425" w:num="1"/>
          <w:docGrid w:type="lines" w:linePitch="312" w:charSpace="0"/>
        </w:sectPr>
      </w:pPr>
    </w:p>
    <w:p w14:paraId="4C60AB30">
      <w:pPr>
        <w:pStyle w:val="6"/>
        <w:spacing w:line="240" w:lineRule="auto"/>
        <w:rPr>
          <w:rFonts w:hint="default" w:cs="Times New Roman"/>
          <w:snapToGrid w:val="0"/>
          <w:color w:val="000000" w:themeColor="text1"/>
          <w:lang w:val="en-US"/>
          <w14:textFill>
            <w14:solidFill>
              <w14:schemeClr w14:val="tx1"/>
            </w14:solidFill>
          </w14:textFill>
        </w:rPr>
      </w:pPr>
      <w:bookmarkStart w:id="504" w:name="_Toc15708"/>
      <w:r>
        <w:rPr>
          <w:rFonts w:cs="Times New Roman"/>
          <w:snapToGrid w:val="0"/>
          <w:color w:val="000000" w:themeColor="text1"/>
          <w14:textFill>
            <w14:solidFill>
              <w14:schemeClr w14:val="tx1"/>
            </w14:solidFill>
          </w14:textFill>
        </w:rPr>
        <w:t>附图</w:t>
      </w:r>
      <w:r>
        <w:rPr>
          <w:rFonts w:hint="eastAsia" w:cs="Times New Roman"/>
          <w:snapToGrid w:val="0"/>
          <w:color w:val="000000" w:themeColor="text1"/>
          <w:lang w:val="en-US" w:eastAsia="zh-CN"/>
          <w14:textFill>
            <w14:solidFill>
              <w14:schemeClr w14:val="tx1"/>
            </w14:solidFill>
          </w14:textFill>
        </w:rPr>
        <w:t>6</w:t>
      </w:r>
      <w:r>
        <w:rPr>
          <w:rFonts w:hint="eastAsia" w:cs="Times New Roman"/>
          <w:snapToGrid w:val="0"/>
          <w:color w:val="000000" w:themeColor="text1"/>
          <w14:textFill>
            <w14:solidFill>
              <w14:schemeClr w14:val="tx1"/>
            </w14:solidFill>
          </w14:textFill>
        </w:rPr>
        <w:t>本项目</w:t>
      </w:r>
      <w:r>
        <w:rPr>
          <w:rFonts w:hint="eastAsia" w:cs="Times New Roman"/>
          <w:snapToGrid w:val="0"/>
          <w:color w:val="000000" w:themeColor="text1"/>
          <w:lang w:val="en-US" w:eastAsia="zh-CN"/>
          <w14:textFill>
            <w14:solidFill>
              <w14:schemeClr w14:val="tx1"/>
            </w14:solidFill>
          </w14:textFill>
        </w:rPr>
        <w:t>周围环境照片</w:t>
      </w:r>
      <w:bookmarkEnd w:id="504"/>
    </w:p>
    <w:tbl>
      <w:tblPr>
        <w:tblStyle w:val="49"/>
        <w:tblW w:w="0" w:type="auto"/>
        <w:tblInd w:w="18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2"/>
        <w:gridCol w:w="4536"/>
      </w:tblGrid>
      <w:tr w14:paraId="4BD98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7" w:hRule="atLeast"/>
        </w:trPr>
        <w:tc>
          <w:tcPr>
            <w:tcW w:w="4582" w:type="dxa"/>
            <w:noWrap w:val="0"/>
            <w:vAlign w:val="center"/>
          </w:tcPr>
          <w:p w14:paraId="21549A13">
            <w:pPr>
              <w:pStyle w:val="18"/>
              <w:ind w:left="0" w:leftChars="0" w:firstLine="0" w:firstLineChars="0"/>
              <w:jc w:val="center"/>
              <w:rPr>
                <w:rFonts w:hint="eastAsia"/>
                <w:color w:val="000000"/>
              </w:rPr>
            </w:pPr>
            <w:r>
              <w:drawing>
                <wp:anchor distT="0" distB="0" distL="114300" distR="114300" simplePos="0" relativeHeight="251751424" behindDoc="1" locked="0" layoutInCell="1" allowOverlap="1">
                  <wp:simplePos x="0" y="0"/>
                  <wp:positionH relativeFrom="column">
                    <wp:posOffset>60325</wp:posOffset>
                  </wp:positionH>
                  <wp:positionV relativeFrom="paragraph">
                    <wp:posOffset>15240</wp:posOffset>
                  </wp:positionV>
                  <wp:extent cx="2667635" cy="2012950"/>
                  <wp:effectExtent l="0" t="0" r="18415" b="6350"/>
                  <wp:wrapNone/>
                  <wp:docPr id="14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9"/>
                          <pic:cNvPicPr>
                            <a:picLocks noChangeAspect="1"/>
                          </pic:cNvPicPr>
                        </pic:nvPicPr>
                        <pic:blipFill>
                          <a:blip r:embed="rId172"/>
                          <a:stretch>
                            <a:fillRect/>
                          </a:stretch>
                        </pic:blipFill>
                        <pic:spPr>
                          <a:xfrm>
                            <a:off x="0" y="0"/>
                            <a:ext cx="2667635" cy="2012950"/>
                          </a:xfrm>
                          <a:prstGeom prst="rect">
                            <a:avLst/>
                          </a:prstGeom>
                          <a:noFill/>
                          <a:ln>
                            <a:noFill/>
                          </a:ln>
                        </pic:spPr>
                      </pic:pic>
                    </a:graphicData>
                  </a:graphic>
                </wp:anchor>
              </w:drawing>
            </w:r>
          </w:p>
          <w:p w14:paraId="7D3EA36E">
            <w:pPr>
              <w:pStyle w:val="18"/>
              <w:ind w:left="0" w:leftChars="0" w:firstLine="0" w:firstLineChars="0"/>
              <w:jc w:val="center"/>
              <w:rPr>
                <w:rFonts w:hint="eastAsia"/>
                <w:color w:val="000000"/>
              </w:rPr>
            </w:pPr>
          </w:p>
          <w:p w14:paraId="57BD65EE">
            <w:pPr>
              <w:pStyle w:val="18"/>
              <w:ind w:left="0" w:leftChars="0" w:firstLine="0" w:firstLineChars="0"/>
              <w:jc w:val="center"/>
              <w:rPr>
                <w:rFonts w:hint="eastAsia"/>
                <w:color w:val="000000"/>
              </w:rPr>
            </w:pPr>
          </w:p>
          <w:p w14:paraId="22402F88">
            <w:pPr>
              <w:pStyle w:val="18"/>
              <w:ind w:left="0" w:leftChars="0" w:firstLine="0" w:firstLineChars="0"/>
              <w:jc w:val="center"/>
              <w:rPr>
                <w:rFonts w:hint="eastAsia"/>
                <w:color w:val="000000"/>
              </w:rPr>
            </w:pPr>
          </w:p>
          <w:p w14:paraId="0381C19C">
            <w:pPr>
              <w:rPr>
                <w:rFonts w:hint="eastAsia"/>
              </w:rPr>
            </w:pPr>
          </w:p>
          <w:p w14:paraId="3EC25689">
            <w:pPr>
              <w:pStyle w:val="18"/>
              <w:ind w:left="0" w:leftChars="0" w:firstLine="0" w:firstLineChars="0"/>
              <w:jc w:val="both"/>
              <w:rPr>
                <w:rFonts w:hint="eastAsia"/>
                <w:color w:val="000000"/>
              </w:rPr>
            </w:pPr>
          </w:p>
        </w:tc>
        <w:tc>
          <w:tcPr>
            <w:tcW w:w="4536" w:type="dxa"/>
            <w:noWrap w:val="0"/>
            <w:vAlign w:val="top"/>
          </w:tcPr>
          <w:p w14:paraId="59DF4762">
            <w:pPr>
              <w:pStyle w:val="18"/>
              <w:rPr>
                <w:rFonts w:hint="eastAsia"/>
                <w:color w:val="000000"/>
              </w:rPr>
            </w:pPr>
            <w:r>
              <w:drawing>
                <wp:anchor distT="0" distB="0" distL="114300" distR="114300" simplePos="0" relativeHeight="251751424" behindDoc="1" locked="0" layoutInCell="1" allowOverlap="1">
                  <wp:simplePos x="0" y="0"/>
                  <wp:positionH relativeFrom="column">
                    <wp:posOffset>-55245</wp:posOffset>
                  </wp:positionH>
                  <wp:positionV relativeFrom="paragraph">
                    <wp:posOffset>14605</wp:posOffset>
                  </wp:positionV>
                  <wp:extent cx="2652395" cy="1976755"/>
                  <wp:effectExtent l="0" t="0" r="14605" b="4445"/>
                  <wp:wrapNone/>
                  <wp:docPr id="15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0"/>
                          <pic:cNvPicPr>
                            <a:picLocks noChangeAspect="1"/>
                          </pic:cNvPicPr>
                        </pic:nvPicPr>
                        <pic:blipFill>
                          <a:blip r:embed="rId173"/>
                          <a:stretch>
                            <a:fillRect/>
                          </a:stretch>
                        </pic:blipFill>
                        <pic:spPr>
                          <a:xfrm>
                            <a:off x="0" y="0"/>
                            <a:ext cx="2652395" cy="1976755"/>
                          </a:xfrm>
                          <a:prstGeom prst="rect">
                            <a:avLst/>
                          </a:prstGeom>
                          <a:noFill/>
                          <a:ln>
                            <a:noFill/>
                          </a:ln>
                        </pic:spPr>
                      </pic:pic>
                    </a:graphicData>
                  </a:graphic>
                </wp:anchor>
              </w:drawing>
            </w:r>
          </w:p>
        </w:tc>
      </w:tr>
      <w:tr w14:paraId="2ACA1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4582" w:type="dxa"/>
            <w:noWrap w:val="0"/>
            <w:vAlign w:val="top"/>
          </w:tcPr>
          <w:p w14:paraId="0EAF8B04">
            <w:pPr>
              <w:pStyle w:val="18"/>
              <w:ind w:left="0" w:leftChars="0" w:firstLine="0" w:firstLineChars="0"/>
              <w:jc w:val="center"/>
              <w:rPr>
                <w:color w:val="000000"/>
              </w:rPr>
            </w:pPr>
            <w:r>
              <w:rPr>
                <w:rFonts w:hint="eastAsia"/>
                <w:color w:val="000000"/>
              </w:rPr>
              <w:t>东侧</w:t>
            </w:r>
          </w:p>
        </w:tc>
        <w:tc>
          <w:tcPr>
            <w:tcW w:w="4536" w:type="dxa"/>
            <w:noWrap w:val="0"/>
            <w:vAlign w:val="top"/>
          </w:tcPr>
          <w:p w14:paraId="0BD93CD5">
            <w:pPr>
              <w:pStyle w:val="18"/>
              <w:ind w:left="0" w:leftChars="0" w:firstLine="0" w:firstLineChars="0"/>
              <w:jc w:val="center"/>
              <w:rPr>
                <w:color w:val="000000"/>
              </w:rPr>
            </w:pPr>
            <w:r>
              <w:rPr>
                <w:rFonts w:hint="eastAsia"/>
                <w:color w:val="000000"/>
              </w:rPr>
              <w:t>南侧</w:t>
            </w:r>
          </w:p>
        </w:tc>
      </w:tr>
      <w:tr w14:paraId="7BA6F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6" w:hRule="atLeast"/>
        </w:trPr>
        <w:tc>
          <w:tcPr>
            <w:tcW w:w="4582" w:type="dxa"/>
            <w:noWrap w:val="0"/>
            <w:vAlign w:val="top"/>
          </w:tcPr>
          <w:p w14:paraId="154187DB">
            <w:pPr>
              <w:pStyle w:val="18"/>
              <w:rPr>
                <w:rFonts w:hint="eastAsia"/>
                <w:color w:val="000000"/>
              </w:rPr>
            </w:pPr>
            <w:r>
              <w:drawing>
                <wp:anchor distT="0" distB="0" distL="114300" distR="114300" simplePos="0" relativeHeight="251751424" behindDoc="1" locked="0" layoutInCell="1" allowOverlap="1">
                  <wp:simplePos x="0" y="0"/>
                  <wp:positionH relativeFrom="column">
                    <wp:posOffset>19050</wp:posOffset>
                  </wp:positionH>
                  <wp:positionV relativeFrom="paragraph">
                    <wp:posOffset>28575</wp:posOffset>
                  </wp:positionV>
                  <wp:extent cx="2700020" cy="2027555"/>
                  <wp:effectExtent l="0" t="0" r="5080" b="10795"/>
                  <wp:wrapNone/>
                  <wp:docPr id="15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41"/>
                          <pic:cNvPicPr>
                            <a:picLocks noChangeAspect="1"/>
                          </pic:cNvPicPr>
                        </pic:nvPicPr>
                        <pic:blipFill>
                          <a:blip r:embed="rId174"/>
                          <a:stretch>
                            <a:fillRect/>
                          </a:stretch>
                        </pic:blipFill>
                        <pic:spPr>
                          <a:xfrm>
                            <a:off x="0" y="0"/>
                            <a:ext cx="2700020" cy="2027555"/>
                          </a:xfrm>
                          <a:prstGeom prst="rect">
                            <a:avLst/>
                          </a:prstGeom>
                          <a:noFill/>
                          <a:ln>
                            <a:noFill/>
                          </a:ln>
                        </pic:spPr>
                      </pic:pic>
                    </a:graphicData>
                  </a:graphic>
                </wp:anchor>
              </w:drawing>
            </w:r>
          </w:p>
        </w:tc>
        <w:tc>
          <w:tcPr>
            <w:tcW w:w="4536" w:type="dxa"/>
            <w:noWrap w:val="0"/>
            <w:vAlign w:val="top"/>
          </w:tcPr>
          <w:p w14:paraId="232EF721">
            <w:pPr>
              <w:pStyle w:val="18"/>
              <w:ind w:left="0" w:leftChars="0" w:firstLine="0" w:firstLineChars="0"/>
              <w:rPr>
                <w:rFonts w:hint="eastAsia"/>
                <w:color w:val="000000"/>
              </w:rPr>
            </w:pPr>
            <w:r>
              <w:drawing>
                <wp:anchor distT="0" distB="0" distL="114300" distR="114300" simplePos="0" relativeHeight="251751424" behindDoc="1" locked="0" layoutInCell="1" allowOverlap="1">
                  <wp:simplePos x="0" y="0"/>
                  <wp:positionH relativeFrom="column">
                    <wp:posOffset>-6985</wp:posOffset>
                  </wp:positionH>
                  <wp:positionV relativeFrom="paragraph">
                    <wp:posOffset>28575</wp:posOffset>
                  </wp:positionV>
                  <wp:extent cx="2661285" cy="2004695"/>
                  <wp:effectExtent l="0" t="0" r="5715" b="14605"/>
                  <wp:wrapNone/>
                  <wp:docPr id="15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42"/>
                          <pic:cNvPicPr>
                            <a:picLocks noChangeAspect="1"/>
                          </pic:cNvPicPr>
                        </pic:nvPicPr>
                        <pic:blipFill>
                          <a:blip r:embed="rId175"/>
                          <a:stretch>
                            <a:fillRect/>
                          </a:stretch>
                        </pic:blipFill>
                        <pic:spPr>
                          <a:xfrm>
                            <a:off x="0" y="0"/>
                            <a:ext cx="2661285" cy="2004695"/>
                          </a:xfrm>
                          <a:prstGeom prst="rect">
                            <a:avLst/>
                          </a:prstGeom>
                          <a:noFill/>
                          <a:ln>
                            <a:noFill/>
                          </a:ln>
                        </pic:spPr>
                      </pic:pic>
                    </a:graphicData>
                  </a:graphic>
                </wp:anchor>
              </w:drawing>
            </w:r>
          </w:p>
          <w:p w14:paraId="755D465A">
            <w:pPr>
              <w:rPr>
                <w:rFonts w:hint="eastAsia"/>
                <w:color w:val="000000"/>
              </w:rPr>
            </w:pPr>
          </w:p>
          <w:p w14:paraId="60A25FE5">
            <w:pPr>
              <w:rPr>
                <w:rFonts w:hint="eastAsia"/>
                <w:color w:val="000000"/>
              </w:rPr>
            </w:pPr>
          </w:p>
          <w:p w14:paraId="2A2D067F">
            <w:pPr>
              <w:rPr>
                <w:rFonts w:hint="eastAsia"/>
                <w:color w:val="000000"/>
              </w:rPr>
            </w:pPr>
          </w:p>
          <w:p w14:paraId="7EA8FE14">
            <w:pPr>
              <w:rPr>
                <w:rFonts w:hint="eastAsia"/>
                <w:color w:val="000000"/>
              </w:rPr>
            </w:pPr>
          </w:p>
          <w:p w14:paraId="4E9FA580">
            <w:pPr>
              <w:rPr>
                <w:rFonts w:hint="eastAsia"/>
                <w:color w:val="000000"/>
              </w:rPr>
            </w:pPr>
          </w:p>
          <w:p w14:paraId="33198D21">
            <w:pPr>
              <w:ind w:left="0" w:leftChars="0" w:firstLine="0" w:firstLineChars="0"/>
              <w:rPr>
                <w:rFonts w:hint="eastAsia"/>
                <w:color w:val="000000"/>
              </w:rPr>
            </w:pPr>
          </w:p>
        </w:tc>
      </w:tr>
      <w:tr w14:paraId="7BFC3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582" w:type="dxa"/>
            <w:noWrap w:val="0"/>
            <w:vAlign w:val="top"/>
          </w:tcPr>
          <w:p w14:paraId="3C34A3C9">
            <w:pPr>
              <w:pStyle w:val="18"/>
              <w:ind w:left="0" w:leftChars="0" w:firstLine="0" w:firstLineChars="0"/>
              <w:jc w:val="center"/>
              <w:rPr>
                <w:color w:val="000000"/>
              </w:rPr>
            </w:pPr>
            <w:r>
              <w:rPr>
                <w:rFonts w:hint="eastAsia"/>
                <w:color w:val="000000"/>
              </w:rPr>
              <w:t>西侧</w:t>
            </w:r>
          </w:p>
        </w:tc>
        <w:tc>
          <w:tcPr>
            <w:tcW w:w="4536" w:type="dxa"/>
            <w:noWrap w:val="0"/>
            <w:vAlign w:val="top"/>
          </w:tcPr>
          <w:p w14:paraId="5F16CCAC">
            <w:pPr>
              <w:pStyle w:val="18"/>
              <w:ind w:left="0" w:leftChars="0" w:firstLine="0" w:firstLineChars="0"/>
              <w:jc w:val="center"/>
              <w:rPr>
                <w:color w:val="000000"/>
              </w:rPr>
            </w:pPr>
            <w:r>
              <w:rPr>
                <w:rFonts w:hint="eastAsia"/>
                <w:color w:val="000000"/>
              </w:rPr>
              <w:t>北侧</w:t>
            </w:r>
          </w:p>
        </w:tc>
      </w:tr>
    </w:tbl>
    <w:p w14:paraId="58043FA2">
      <w:pPr>
        <w:keepNext w:val="0"/>
        <w:keepLines w:val="0"/>
        <w:pageBreakBefore w:val="0"/>
        <w:widowControl w:val="0"/>
        <w:kinsoku/>
        <w:wordWrap/>
        <w:overflowPunct/>
        <w:topLinePunct w:val="0"/>
        <w:autoSpaceDE/>
        <w:autoSpaceDN/>
        <w:bidi w:val="0"/>
        <w:adjustRightInd w:val="0"/>
        <w:snapToGrid w:val="0"/>
        <w:spacing w:line="20" w:lineRule="exact"/>
        <w:ind w:left="0" w:leftChars="0" w:firstLine="0" w:firstLineChars="0"/>
        <w:jc w:val="both"/>
        <w:textAlignment w:val="auto"/>
        <w:rPr>
          <w:snapToGrid w:val="0"/>
          <w:color w:val="000000" w:themeColor="text1"/>
          <w:kern w:val="0"/>
          <w:szCs w:val="21"/>
          <w:lang w:val="zh-CN"/>
          <w14:textFill>
            <w14:solidFill>
              <w14:schemeClr w14:val="tx1"/>
            </w14:solidFill>
          </w14:textFill>
        </w:rPr>
      </w:pPr>
    </w:p>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美黑简体">
    <w:altName w:val="宋体"/>
    <w:panose1 w:val="00000000000000000000"/>
    <w:charset w:val="86"/>
    <w:family w:val="script"/>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Microsoft YaHei UI">
    <w:panose1 w:val="020B0503020204020204"/>
    <w:charset w:val="86"/>
    <w:family w:val="swiss"/>
    <w:pitch w:val="default"/>
    <w:sig w:usb0="80000287" w:usb1="2ACF3C50" w:usb2="00000016" w:usb3="00000000" w:csb0="0004001F" w:csb1="00000000"/>
  </w:font>
  <w:font w:name="Arial Unicode MS">
    <w:panose1 w:val="020B0604020202020204"/>
    <w:charset w:val="86"/>
    <w:family w:val="swiss"/>
    <w:pitch w:val="default"/>
    <w:sig w:usb0="F7FFAEFF" w:usb1="F9DFFFFF" w:usb2="0000007F" w:usb3="00000000" w:csb0="203F01FF" w:csb1="DFFF0000"/>
  </w:font>
  <w:font w:name="楷体_GB2312">
    <w:panose1 w:val="02010609030101010101"/>
    <w:charset w:val="86"/>
    <w:family w:val="modern"/>
    <w:pitch w:val="default"/>
    <w:sig w:usb0="00000001" w:usb1="080E0000" w:usb2="00000000" w:usb3="00000000" w:csb0="00040000" w:csb1="00000000"/>
  </w:font>
  <w:font w:name="汉仪仿宋简">
    <w:panose1 w:val="02010600000101010101"/>
    <w:charset w:val="86"/>
    <w:family w:val="decorative"/>
    <w:pitch w:val="default"/>
    <w:sig w:usb0="800002BF" w:usb1="184F6CF8" w:usb2="00000012" w:usb3="00000000" w:csb0="00020001" w:csb1="00000000"/>
  </w:font>
  <w:font w:name="新宋体">
    <w:panose1 w:val="02010609030101010101"/>
    <w:charset w:val="86"/>
    <w:family w:val="modern"/>
    <w:pitch w:val="default"/>
    <w:sig w:usb0="00000203" w:usb1="288F0000" w:usb2="00000006" w:usb3="00000000" w:csb0="00040001" w:csb1="00000000"/>
  </w:font>
  <w:font w:name="Verdana">
    <w:panose1 w:val="020B0604030504040204"/>
    <w:charset w:val="00"/>
    <w:family w:val="swiss"/>
    <w:pitch w:val="default"/>
    <w:sig w:usb0="A00006FF" w:usb1="4000205B" w:usb2="00000010" w:usb3="00000000" w:csb0="2000019F"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Segoe UI Emoji">
    <w:panose1 w:val="020B0502040204020203"/>
    <w:charset w:val="00"/>
    <w:family w:val="auto"/>
    <w:pitch w:val="default"/>
    <w:sig w:usb0="00000001" w:usb1="02000000" w:usb2="08000000" w:usb3="00000000" w:csb0="00000001"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Wingdings 2">
    <w:panose1 w:val="05020102010507070707"/>
    <w:charset w:val="02"/>
    <w:family w:val="roman"/>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9CD88">
    <w:pPr>
      <w:pStyle w:val="31"/>
      <w:ind w:firstLine="360"/>
      <w:jc w:val="center"/>
    </w:pPr>
  </w:p>
  <w:p w14:paraId="049E9827">
    <w:pPr>
      <w:pStyle w:val="31"/>
      <w:ind w:firstLine="0" w:firstLineChars="0"/>
      <w:rPr>
        <w:rFonts w:ascii="华文仿宋" w:hAnsi="华文仿宋" w:eastAsia="华文仿宋"/>
        <w:b/>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7596C">
    <w:pPr>
      <w:pStyle w:val="31"/>
      <w:ind w:firstLine="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04AC5">
    <w:pPr>
      <w:pStyle w:val="31"/>
      <w:ind w:firstLine="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08911220"/>
      <w:docPartObj>
        <w:docPartGallery w:val="autotext"/>
      </w:docPartObj>
    </w:sdtPr>
    <w:sdtContent>
      <w:p w14:paraId="4F1C717A">
        <w:pPr>
          <w:pStyle w:val="31"/>
          <w:ind w:firstLine="360"/>
          <w:jc w:val="center"/>
        </w:pPr>
        <w:r>
          <w:fldChar w:fldCharType="begin"/>
        </w:r>
        <w:r>
          <w:instrText xml:space="preserve">PAGE   \* MERGEFORMAT</w:instrText>
        </w:r>
        <w:r>
          <w:fldChar w:fldCharType="separate"/>
        </w:r>
        <w:r>
          <w:rPr>
            <w:lang w:val="zh-CN"/>
          </w:rPr>
          <w:t>2</w:t>
        </w:r>
        <w:r>
          <w:fldChar w:fldCharType="end"/>
        </w:r>
      </w:p>
    </w:sdtContent>
  </w:sdt>
  <w:p w14:paraId="113A2679">
    <w:pPr>
      <w:pStyle w:val="31"/>
      <w:tabs>
        <w:tab w:val="left" w:pos="3960"/>
        <w:tab w:val="center" w:pos="4333"/>
        <w:tab w:val="left" w:pos="5049"/>
      </w:tabs>
      <w:ind w:firstLine="0" w:firstLineChars="0"/>
      <w:rPr>
        <w:rFonts w:eastAsia="仿宋"/>
        <w:b/>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9EECDC">
    <w:pPr>
      <w:pStyle w:val="3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2F53C3">
    <w:pPr>
      <w:pStyle w:val="3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1B587B">
    <w:pPr>
      <w:pStyle w:val="31"/>
      <w:tabs>
        <w:tab w:val="left" w:pos="3960"/>
        <w:tab w:val="center" w:pos="4333"/>
        <w:tab w:val="left" w:pos="5049"/>
      </w:tabs>
      <w:ind w:firstLine="0" w:firstLineChars="0"/>
      <w:jc w:val="center"/>
    </w:pPr>
    <w:sdt>
      <w:sdtPr>
        <w:id w:val="2011942250"/>
        <w:docPartObj>
          <w:docPartGallery w:val="autotext"/>
        </w:docPartObj>
      </w:sdtPr>
      <w:sdtContent>
        <w:r>
          <w:fldChar w:fldCharType="begin"/>
        </w:r>
        <w:r>
          <w:instrText xml:space="preserve">PAGE   \* MERGEFORMAT</w:instrText>
        </w:r>
        <w:r>
          <w:fldChar w:fldCharType="separate"/>
        </w:r>
        <w:r>
          <w:rPr>
            <w:lang w:val="zh-CN"/>
          </w:rPr>
          <w:t>55</w:t>
        </w:r>
        <w:r>
          <w:fldChar w:fldCharType="end"/>
        </w:r>
      </w:sdtContent>
    </w:sdt>
  </w:p>
  <w:p w14:paraId="771E1968">
    <w:pPr>
      <w:pStyle w:val="31"/>
      <w:tabs>
        <w:tab w:val="left" w:pos="3960"/>
        <w:tab w:val="center" w:pos="4333"/>
        <w:tab w:val="left" w:pos="5049"/>
      </w:tabs>
      <w:ind w:firstLine="0" w:firstLineChars="0"/>
      <w:rPr>
        <w:rFonts w:eastAsia="仿宋"/>
        <w:b/>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8DEEB">
    <w:pPr>
      <w:pStyle w:val="31"/>
      <w:tabs>
        <w:tab w:val="left" w:pos="3960"/>
        <w:tab w:val="center" w:pos="4333"/>
        <w:tab w:val="left" w:pos="5049"/>
      </w:tabs>
      <w:ind w:firstLine="0" w:firstLineChars="0"/>
      <w:jc w:val="center"/>
    </w:pPr>
    <w:sdt>
      <w:sdtPr>
        <w:id w:val="-278729051"/>
        <w:docPartObj>
          <w:docPartGallery w:val="autotext"/>
        </w:docPartObj>
      </w:sdtPr>
      <w:sdtContent>
        <w:r>
          <w:fldChar w:fldCharType="begin"/>
        </w:r>
        <w:r>
          <w:instrText xml:space="preserve">PAGE   \* MERGEFORMAT</w:instrText>
        </w:r>
        <w:r>
          <w:fldChar w:fldCharType="separate"/>
        </w:r>
        <w:r>
          <w:rPr>
            <w:lang w:val="zh-CN"/>
          </w:rPr>
          <w:t>55</w:t>
        </w:r>
        <w:r>
          <w:fldChar w:fldCharType="end"/>
        </w:r>
      </w:sdtContent>
    </w:sdt>
  </w:p>
  <w:p w14:paraId="0D8CB3EB">
    <w:pPr>
      <w:pStyle w:val="31"/>
      <w:tabs>
        <w:tab w:val="left" w:pos="3960"/>
        <w:tab w:val="center" w:pos="4333"/>
        <w:tab w:val="left" w:pos="5049"/>
      </w:tabs>
      <w:ind w:firstLine="0" w:firstLineChars="0"/>
      <w:rPr>
        <w:rFonts w:eastAsia="仿宋"/>
        <w:b/>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27756563"/>
      <w:docPartObj>
        <w:docPartGallery w:val="autotext"/>
      </w:docPartObj>
    </w:sdtPr>
    <w:sdtContent>
      <w:p w14:paraId="77C2E442">
        <w:pPr>
          <w:pStyle w:val="31"/>
          <w:ind w:firstLine="360"/>
          <w:jc w:val="center"/>
        </w:pPr>
        <w:r>
          <w:fldChar w:fldCharType="begin"/>
        </w:r>
        <w:r>
          <w:instrText xml:space="preserve">PAGE   \* MERGEFORMAT</w:instrText>
        </w:r>
        <w:r>
          <w:fldChar w:fldCharType="separate"/>
        </w:r>
        <w:r>
          <w:rPr>
            <w:lang w:val="zh-CN"/>
          </w:rPr>
          <w:t>2</w:t>
        </w:r>
        <w:r>
          <w:fldChar w:fldCharType="end"/>
        </w:r>
      </w:p>
    </w:sdtContent>
  </w:sdt>
  <w:p w14:paraId="304675F1">
    <w:pPr>
      <w:pStyle w:val="31"/>
      <w:tabs>
        <w:tab w:val="left" w:pos="3960"/>
        <w:tab w:val="center" w:pos="4333"/>
        <w:tab w:val="left" w:pos="5049"/>
      </w:tabs>
      <w:ind w:firstLine="0" w:firstLineChars="0"/>
      <w:rPr>
        <w:rFonts w:eastAsia="仿宋"/>
        <w:b/>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8264B5">
    <w:pPr>
      <w:pStyle w:val="31"/>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530C3">
    <w:pPr>
      <w:pStyle w:val="31"/>
      <w:ind w:firstLine="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21667851"/>
      <w:docPartObj>
        <w:docPartGallery w:val="autotext"/>
      </w:docPartObj>
    </w:sdtPr>
    <w:sdtContent>
      <w:p w14:paraId="3CA20078">
        <w:pPr>
          <w:pStyle w:val="31"/>
          <w:ind w:firstLine="360"/>
          <w:jc w:val="center"/>
        </w:pPr>
        <w:r>
          <w:fldChar w:fldCharType="begin"/>
        </w:r>
        <w:r>
          <w:instrText xml:space="preserve">PAGE   \* MERGEFORMAT</w:instrText>
        </w:r>
        <w:r>
          <w:fldChar w:fldCharType="separate"/>
        </w:r>
        <w:r>
          <w:rPr>
            <w:lang w:val="zh-CN"/>
          </w:rPr>
          <w:t>2</w:t>
        </w:r>
        <w:r>
          <w:fldChar w:fldCharType="end"/>
        </w:r>
      </w:p>
    </w:sdtContent>
  </w:sdt>
  <w:p w14:paraId="2DF8C4E0">
    <w:pPr>
      <w:pStyle w:val="31"/>
      <w:tabs>
        <w:tab w:val="left" w:pos="3960"/>
        <w:tab w:val="center" w:pos="4333"/>
        <w:tab w:val="left" w:pos="5049"/>
      </w:tabs>
      <w:ind w:firstLine="0" w:firstLineChars="0"/>
      <w:rPr>
        <w:rFonts w:eastAsia="仿宋"/>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8F4FC2">
    <w:pPr>
      <w:ind w:left="480" w:firstLine="0" w:firstLineChars="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E40412">
    <w:pPr>
      <w:ind w:left="48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FA6F8">
    <w:pPr>
      <w:pStyle w:val="3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E7857">
    <w:pPr>
      <w:pStyle w:val="32"/>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C5BF7A">
    <w:pPr>
      <w:ind w:left="480" w:firstLine="0" w:firstLineChars="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9E3929">
    <w:pPr>
      <w:pStyle w:val="32"/>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D691A">
    <w:pPr>
      <w:pStyle w:val="32"/>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6CFF1E">
    <w:pPr>
      <w:ind w:left="480" w:firstLine="0" w:firstLineChars="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C4D90">
    <w:pPr>
      <w:pStyle w:val="32"/>
      <w:ind w:firstLine="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CEAA30">
    <w:pPr>
      <w:pStyle w:val="3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E702DD"/>
    <w:multiLevelType w:val="singleLevel"/>
    <w:tmpl w:val="B3E702DD"/>
    <w:lvl w:ilvl="0" w:tentative="0">
      <w:start w:val="1"/>
      <w:numFmt w:val="decimal"/>
      <w:lvlText w:val="%1."/>
      <w:lvlJc w:val="left"/>
      <w:pPr>
        <w:tabs>
          <w:tab w:val="left" w:pos="312"/>
        </w:tabs>
      </w:pPr>
    </w:lvl>
  </w:abstractNum>
  <w:abstractNum w:abstractNumId="1">
    <w:nsid w:val="C9ADDCB9"/>
    <w:multiLevelType w:val="singleLevel"/>
    <w:tmpl w:val="C9ADDCB9"/>
    <w:lvl w:ilvl="0" w:tentative="0">
      <w:start w:val="3"/>
      <w:numFmt w:val="decimal"/>
      <w:suff w:val="nothing"/>
      <w:lvlText w:val="%1、"/>
      <w:lvlJc w:val="left"/>
    </w:lvl>
  </w:abstractNum>
  <w:abstractNum w:abstractNumId="2">
    <w:nsid w:val="E52772C4"/>
    <w:multiLevelType w:val="singleLevel"/>
    <w:tmpl w:val="E52772C4"/>
    <w:lvl w:ilvl="0" w:tentative="0">
      <w:start w:val="1"/>
      <w:numFmt w:val="decimal"/>
      <w:suff w:val="nothing"/>
      <w:lvlText w:val="%1、"/>
      <w:lvlJc w:val="left"/>
    </w:lvl>
  </w:abstractNum>
  <w:abstractNum w:abstractNumId="3">
    <w:nsid w:val="F6EAED28"/>
    <w:multiLevelType w:val="singleLevel"/>
    <w:tmpl w:val="F6EAED28"/>
    <w:lvl w:ilvl="0" w:tentative="0">
      <w:start w:val="6"/>
      <w:numFmt w:val="decimal"/>
      <w:suff w:val="nothing"/>
      <w:lvlText w:val="（%1）"/>
      <w:lvlJc w:val="left"/>
    </w:lvl>
  </w:abstractNum>
  <w:abstractNum w:abstractNumId="4">
    <w:nsid w:val="0000000F"/>
    <w:multiLevelType w:val="multilevel"/>
    <w:tmpl w:val="0000000F"/>
    <w:lvl w:ilvl="0" w:tentative="0">
      <w:start w:val="1"/>
      <w:numFmt w:val="decimal"/>
      <w:lvlText w:val="%1."/>
      <w:lvlJc w:val="left"/>
      <w:pPr>
        <w:tabs>
          <w:tab w:val="left" w:pos="360"/>
        </w:tabs>
        <w:ind w:left="360" w:hanging="360"/>
      </w:pPr>
      <w:rPr>
        <w:rFonts w:hint="eastAsia"/>
      </w:rPr>
    </w:lvl>
    <w:lvl w:ilvl="1" w:tentative="0">
      <w:start w:val="1"/>
      <w:numFmt w:val="lowerLetter"/>
      <w:pStyle w:val="369"/>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00000011"/>
    <w:multiLevelType w:val="multilevel"/>
    <w:tmpl w:val="00000011"/>
    <w:lvl w:ilvl="0" w:tentative="0">
      <w:start w:val="1"/>
      <w:numFmt w:val="decimalEnclosedCircle"/>
      <w:pStyle w:val="235"/>
      <w:lvlText w:val="%1"/>
      <w:lvlJc w:val="left"/>
      <w:pPr>
        <w:tabs>
          <w:tab w:val="left" w:pos="780"/>
        </w:tabs>
        <w:ind w:left="780" w:hanging="360"/>
      </w:pPr>
      <w:rPr>
        <w:rFonts w:hint="eastAsia"/>
      </w:rPr>
    </w:lvl>
    <w:lvl w:ilvl="1" w:tentative="0">
      <w:start w:val="1"/>
      <w:numFmt w:val="lowerLetter"/>
      <w:pStyle w:val="227"/>
      <w:lvlText w:val="%2)"/>
      <w:lvlJc w:val="left"/>
      <w:pPr>
        <w:tabs>
          <w:tab w:val="left" w:pos="1260"/>
        </w:tabs>
        <w:ind w:left="1260" w:hanging="420"/>
      </w:pPr>
    </w:lvl>
    <w:lvl w:ilvl="2" w:tentative="0">
      <w:start w:val="1"/>
      <w:numFmt w:val="lowerRoman"/>
      <w:pStyle w:val="250"/>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6">
    <w:nsid w:val="00000013"/>
    <w:multiLevelType w:val="multilevel"/>
    <w:tmpl w:val="00000013"/>
    <w:lvl w:ilvl="0" w:tentative="0">
      <w:start w:val="1"/>
      <w:numFmt w:val="decimal"/>
      <w:pStyle w:val="363"/>
      <w:lvlText w:val="%1．"/>
      <w:lvlJc w:val="left"/>
      <w:pPr>
        <w:tabs>
          <w:tab w:val="left" w:pos="720"/>
        </w:tabs>
        <w:ind w:left="720" w:hanging="720"/>
      </w:pPr>
      <w:rPr>
        <w:rFonts w:hint="default" w:ascii="宋体" w:hAnsi="Courier New" w:eastAsia="宋体"/>
        <w:sz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8CCA188"/>
    <w:multiLevelType w:val="singleLevel"/>
    <w:tmpl w:val="08CCA188"/>
    <w:lvl w:ilvl="0" w:tentative="0">
      <w:start w:val="2"/>
      <w:numFmt w:val="decimal"/>
      <w:suff w:val="nothing"/>
      <w:lvlText w:val="（%1）"/>
      <w:lvlJc w:val="left"/>
    </w:lvl>
  </w:abstractNum>
  <w:abstractNum w:abstractNumId="8">
    <w:nsid w:val="104A5680"/>
    <w:multiLevelType w:val="singleLevel"/>
    <w:tmpl w:val="104A5680"/>
    <w:lvl w:ilvl="0" w:tentative="0">
      <w:start w:val="1"/>
      <w:numFmt w:val="decimal"/>
      <w:suff w:val="nothing"/>
      <w:lvlText w:val="（%1）"/>
      <w:lvlJc w:val="left"/>
    </w:lvl>
  </w:abstractNum>
  <w:abstractNum w:abstractNumId="9">
    <w:nsid w:val="461A91F8"/>
    <w:multiLevelType w:val="singleLevel"/>
    <w:tmpl w:val="461A91F8"/>
    <w:lvl w:ilvl="0" w:tentative="0">
      <w:start w:val="6"/>
      <w:numFmt w:val="decimal"/>
      <w:suff w:val="nothing"/>
      <w:lvlText w:val="（%1）"/>
      <w:lvlJc w:val="left"/>
    </w:lvl>
  </w:abstractNum>
  <w:abstractNum w:abstractNumId="10">
    <w:nsid w:val="4B983A41"/>
    <w:multiLevelType w:val="singleLevel"/>
    <w:tmpl w:val="4B983A41"/>
    <w:lvl w:ilvl="0" w:tentative="0">
      <w:start w:val="5"/>
      <w:numFmt w:val="decimal"/>
      <w:suff w:val="nothing"/>
      <w:lvlText w:val="（%1）"/>
      <w:lvlJc w:val="left"/>
    </w:lvl>
  </w:abstractNum>
  <w:abstractNum w:abstractNumId="11">
    <w:nsid w:val="7E0FA856"/>
    <w:multiLevelType w:val="singleLevel"/>
    <w:tmpl w:val="7E0FA856"/>
    <w:lvl w:ilvl="0" w:tentative="0">
      <w:start w:val="11"/>
      <w:numFmt w:val="decimal"/>
      <w:suff w:val="nothing"/>
      <w:lvlText w:val="（%1）"/>
      <w:lvlJc w:val="left"/>
    </w:lvl>
  </w:abstractNum>
  <w:num w:numId="1">
    <w:abstractNumId w:val="5"/>
  </w:num>
  <w:num w:numId="2">
    <w:abstractNumId w:val="6"/>
  </w:num>
  <w:num w:numId="3">
    <w:abstractNumId w:val="4"/>
  </w:num>
  <w:num w:numId="4">
    <w:abstractNumId w:val="0"/>
  </w:num>
  <w:num w:numId="5">
    <w:abstractNumId w:val="7"/>
  </w:num>
  <w:num w:numId="6">
    <w:abstractNumId w:val="3"/>
  </w:num>
  <w:num w:numId="7">
    <w:abstractNumId w:val="8"/>
  </w:num>
  <w:num w:numId="8">
    <w:abstractNumId w:val="2"/>
  </w:num>
  <w:num w:numId="9">
    <w:abstractNumId w:val="9"/>
  </w:num>
  <w:num w:numId="10">
    <w:abstractNumId w:val="11"/>
  </w:num>
  <w:num w:numId="11">
    <w:abstractNumId w:val="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hideGrammaticalErrors/>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39DD"/>
    <w:rsid w:val="00000312"/>
    <w:rsid w:val="000006EE"/>
    <w:rsid w:val="00000AFA"/>
    <w:rsid w:val="00000B04"/>
    <w:rsid w:val="00000DB2"/>
    <w:rsid w:val="00000E0A"/>
    <w:rsid w:val="00001615"/>
    <w:rsid w:val="00001A75"/>
    <w:rsid w:val="00001AD1"/>
    <w:rsid w:val="00002214"/>
    <w:rsid w:val="000025C0"/>
    <w:rsid w:val="000028FD"/>
    <w:rsid w:val="0000290A"/>
    <w:rsid w:val="00002BBD"/>
    <w:rsid w:val="00002E6D"/>
    <w:rsid w:val="00002EBA"/>
    <w:rsid w:val="000031EE"/>
    <w:rsid w:val="0000344A"/>
    <w:rsid w:val="000034AE"/>
    <w:rsid w:val="000035EA"/>
    <w:rsid w:val="00003690"/>
    <w:rsid w:val="0000373B"/>
    <w:rsid w:val="00003875"/>
    <w:rsid w:val="00003E35"/>
    <w:rsid w:val="00003F40"/>
    <w:rsid w:val="00003F77"/>
    <w:rsid w:val="00004295"/>
    <w:rsid w:val="000045A6"/>
    <w:rsid w:val="000049D7"/>
    <w:rsid w:val="00004D54"/>
    <w:rsid w:val="00005FCF"/>
    <w:rsid w:val="00006028"/>
    <w:rsid w:val="000065FF"/>
    <w:rsid w:val="00006731"/>
    <w:rsid w:val="0000686F"/>
    <w:rsid w:val="00007233"/>
    <w:rsid w:val="00007623"/>
    <w:rsid w:val="00007742"/>
    <w:rsid w:val="00007883"/>
    <w:rsid w:val="00007945"/>
    <w:rsid w:val="00007C19"/>
    <w:rsid w:val="00007C74"/>
    <w:rsid w:val="00007D45"/>
    <w:rsid w:val="00007DF6"/>
    <w:rsid w:val="00007EF7"/>
    <w:rsid w:val="00007F7F"/>
    <w:rsid w:val="000103F9"/>
    <w:rsid w:val="0001060F"/>
    <w:rsid w:val="00010FB8"/>
    <w:rsid w:val="00010FE5"/>
    <w:rsid w:val="00012128"/>
    <w:rsid w:val="000124CC"/>
    <w:rsid w:val="0001271C"/>
    <w:rsid w:val="0001283C"/>
    <w:rsid w:val="000128B4"/>
    <w:rsid w:val="00012F12"/>
    <w:rsid w:val="00013359"/>
    <w:rsid w:val="00013987"/>
    <w:rsid w:val="00014220"/>
    <w:rsid w:val="00014303"/>
    <w:rsid w:val="00014439"/>
    <w:rsid w:val="000148BA"/>
    <w:rsid w:val="00015031"/>
    <w:rsid w:val="000153D9"/>
    <w:rsid w:val="000153EE"/>
    <w:rsid w:val="0001542A"/>
    <w:rsid w:val="0001548D"/>
    <w:rsid w:val="0001558A"/>
    <w:rsid w:val="00015A27"/>
    <w:rsid w:val="00015C70"/>
    <w:rsid w:val="00015EB2"/>
    <w:rsid w:val="00016112"/>
    <w:rsid w:val="00016438"/>
    <w:rsid w:val="00016517"/>
    <w:rsid w:val="00016962"/>
    <w:rsid w:val="000169DD"/>
    <w:rsid w:val="00017322"/>
    <w:rsid w:val="00017334"/>
    <w:rsid w:val="00017825"/>
    <w:rsid w:val="0001798D"/>
    <w:rsid w:val="000208B3"/>
    <w:rsid w:val="00021216"/>
    <w:rsid w:val="00021F44"/>
    <w:rsid w:val="00022435"/>
    <w:rsid w:val="00022499"/>
    <w:rsid w:val="000230A7"/>
    <w:rsid w:val="000236B8"/>
    <w:rsid w:val="000237A0"/>
    <w:rsid w:val="00023992"/>
    <w:rsid w:val="00023DE5"/>
    <w:rsid w:val="00024367"/>
    <w:rsid w:val="00024898"/>
    <w:rsid w:val="00024B85"/>
    <w:rsid w:val="00025440"/>
    <w:rsid w:val="00025734"/>
    <w:rsid w:val="00025E36"/>
    <w:rsid w:val="000267AE"/>
    <w:rsid w:val="00026F83"/>
    <w:rsid w:val="0002746E"/>
    <w:rsid w:val="00027B6C"/>
    <w:rsid w:val="00027F66"/>
    <w:rsid w:val="0003026D"/>
    <w:rsid w:val="000305BC"/>
    <w:rsid w:val="00030973"/>
    <w:rsid w:val="00030B7F"/>
    <w:rsid w:val="00030D3E"/>
    <w:rsid w:val="00031002"/>
    <w:rsid w:val="0003108B"/>
    <w:rsid w:val="00032D79"/>
    <w:rsid w:val="00032F1D"/>
    <w:rsid w:val="000332D4"/>
    <w:rsid w:val="00033496"/>
    <w:rsid w:val="00034529"/>
    <w:rsid w:val="00034B5B"/>
    <w:rsid w:val="00035101"/>
    <w:rsid w:val="000351E2"/>
    <w:rsid w:val="0003549D"/>
    <w:rsid w:val="00035EE0"/>
    <w:rsid w:val="000361CE"/>
    <w:rsid w:val="00036469"/>
    <w:rsid w:val="0003685D"/>
    <w:rsid w:val="00036C4C"/>
    <w:rsid w:val="00037146"/>
    <w:rsid w:val="00037E23"/>
    <w:rsid w:val="00037F14"/>
    <w:rsid w:val="00040296"/>
    <w:rsid w:val="00040FBD"/>
    <w:rsid w:val="0004157B"/>
    <w:rsid w:val="0004158C"/>
    <w:rsid w:val="000416F8"/>
    <w:rsid w:val="00041CE5"/>
    <w:rsid w:val="00041FED"/>
    <w:rsid w:val="00042000"/>
    <w:rsid w:val="00042085"/>
    <w:rsid w:val="000425C5"/>
    <w:rsid w:val="00042641"/>
    <w:rsid w:val="0004265F"/>
    <w:rsid w:val="00042CC3"/>
    <w:rsid w:val="0004342E"/>
    <w:rsid w:val="0004344D"/>
    <w:rsid w:val="00043489"/>
    <w:rsid w:val="0004351B"/>
    <w:rsid w:val="000436CD"/>
    <w:rsid w:val="00043760"/>
    <w:rsid w:val="00044417"/>
    <w:rsid w:val="000448ED"/>
    <w:rsid w:val="00044A0D"/>
    <w:rsid w:val="00044CB1"/>
    <w:rsid w:val="000456E3"/>
    <w:rsid w:val="0004581A"/>
    <w:rsid w:val="00045CEF"/>
    <w:rsid w:val="0004633D"/>
    <w:rsid w:val="00046465"/>
    <w:rsid w:val="00046620"/>
    <w:rsid w:val="000466D2"/>
    <w:rsid w:val="00046E15"/>
    <w:rsid w:val="00047AA7"/>
    <w:rsid w:val="00047EB8"/>
    <w:rsid w:val="00050941"/>
    <w:rsid w:val="00050CBA"/>
    <w:rsid w:val="00050CFE"/>
    <w:rsid w:val="00051222"/>
    <w:rsid w:val="00051472"/>
    <w:rsid w:val="00051950"/>
    <w:rsid w:val="00051F63"/>
    <w:rsid w:val="000520C1"/>
    <w:rsid w:val="000522A6"/>
    <w:rsid w:val="00052902"/>
    <w:rsid w:val="00052B3E"/>
    <w:rsid w:val="00052B84"/>
    <w:rsid w:val="000532C9"/>
    <w:rsid w:val="00053577"/>
    <w:rsid w:val="00053926"/>
    <w:rsid w:val="00054D5A"/>
    <w:rsid w:val="00055B94"/>
    <w:rsid w:val="00055BC4"/>
    <w:rsid w:val="00056122"/>
    <w:rsid w:val="0005615D"/>
    <w:rsid w:val="0005639F"/>
    <w:rsid w:val="00056479"/>
    <w:rsid w:val="000566FF"/>
    <w:rsid w:val="00056ABC"/>
    <w:rsid w:val="00056E36"/>
    <w:rsid w:val="00057141"/>
    <w:rsid w:val="000572B4"/>
    <w:rsid w:val="000573C1"/>
    <w:rsid w:val="000575E6"/>
    <w:rsid w:val="00057AD3"/>
    <w:rsid w:val="0006074C"/>
    <w:rsid w:val="00061175"/>
    <w:rsid w:val="000613A6"/>
    <w:rsid w:val="00061A38"/>
    <w:rsid w:val="0006266F"/>
    <w:rsid w:val="000626DB"/>
    <w:rsid w:val="00062720"/>
    <w:rsid w:val="00062BE5"/>
    <w:rsid w:val="00062E6A"/>
    <w:rsid w:val="00062FB3"/>
    <w:rsid w:val="000631BC"/>
    <w:rsid w:val="000633A2"/>
    <w:rsid w:val="0006371D"/>
    <w:rsid w:val="00063D9F"/>
    <w:rsid w:val="00063DFE"/>
    <w:rsid w:val="00063F20"/>
    <w:rsid w:val="000649A9"/>
    <w:rsid w:val="00064FEB"/>
    <w:rsid w:val="000651E6"/>
    <w:rsid w:val="00065278"/>
    <w:rsid w:val="00065298"/>
    <w:rsid w:val="0006560B"/>
    <w:rsid w:val="00065D1A"/>
    <w:rsid w:val="00065E10"/>
    <w:rsid w:val="000662BD"/>
    <w:rsid w:val="0006651E"/>
    <w:rsid w:val="00066C20"/>
    <w:rsid w:val="00066DF7"/>
    <w:rsid w:val="00067173"/>
    <w:rsid w:val="0006717A"/>
    <w:rsid w:val="0006740B"/>
    <w:rsid w:val="0006762D"/>
    <w:rsid w:val="00067A49"/>
    <w:rsid w:val="00067C70"/>
    <w:rsid w:val="00067C89"/>
    <w:rsid w:val="00067D0D"/>
    <w:rsid w:val="00067D78"/>
    <w:rsid w:val="00067E81"/>
    <w:rsid w:val="00067E84"/>
    <w:rsid w:val="00067EAB"/>
    <w:rsid w:val="000706BB"/>
    <w:rsid w:val="000706CE"/>
    <w:rsid w:val="00070830"/>
    <w:rsid w:val="000708C9"/>
    <w:rsid w:val="000708D4"/>
    <w:rsid w:val="00070974"/>
    <w:rsid w:val="00071217"/>
    <w:rsid w:val="000715D6"/>
    <w:rsid w:val="000717F7"/>
    <w:rsid w:val="0007232E"/>
    <w:rsid w:val="00072A54"/>
    <w:rsid w:val="00072C5A"/>
    <w:rsid w:val="00073956"/>
    <w:rsid w:val="0007431F"/>
    <w:rsid w:val="0007463B"/>
    <w:rsid w:val="00074F28"/>
    <w:rsid w:val="00074F58"/>
    <w:rsid w:val="0007505F"/>
    <w:rsid w:val="000757A6"/>
    <w:rsid w:val="00075D9A"/>
    <w:rsid w:val="00075F5E"/>
    <w:rsid w:val="00076057"/>
    <w:rsid w:val="000761A4"/>
    <w:rsid w:val="00076242"/>
    <w:rsid w:val="00076403"/>
    <w:rsid w:val="00076C41"/>
    <w:rsid w:val="00077228"/>
    <w:rsid w:val="00077300"/>
    <w:rsid w:val="000773F0"/>
    <w:rsid w:val="000804D1"/>
    <w:rsid w:val="00080E44"/>
    <w:rsid w:val="00080E66"/>
    <w:rsid w:val="000817D2"/>
    <w:rsid w:val="00081A2B"/>
    <w:rsid w:val="00081AE3"/>
    <w:rsid w:val="00081C44"/>
    <w:rsid w:val="00081C85"/>
    <w:rsid w:val="000820AD"/>
    <w:rsid w:val="00082268"/>
    <w:rsid w:val="00082606"/>
    <w:rsid w:val="00082B61"/>
    <w:rsid w:val="00082E89"/>
    <w:rsid w:val="00084205"/>
    <w:rsid w:val="00084727"/>
    <w:rsid w:val="000849DC"/>
    <w:rsid w:val="00084C6F"/>
    <w:rsid w:val="000853E0"/>
    <w:rsid w:val="00085664"/>
    <w:rsid w:val="000861DC"/>
    <w:rsid w:val="000862B4"/>
    <w:rsid w:val="000862BC"/>
    <w:rsid w:val="00086AF2"/>
    <w:rsid w:val="00086C2E"/>
    <w:rsid w:val="00086E4F"/>
    <w:rsid w:val="00086E96"/>
    <w:rsid w:val="00086F85"/>
    <w:rsid w:val="00087031"/>
    <w:rsid w:val="000874D5"/>
    <w:rsid w:val="000879C9"/>
    <w:rsid w:val="00087B94"/>
    <w:rsid w:val="00087EA2"/>
    <w:rsid w:val="00087F46"/>
    <w:rsid w:val="000907CD"/>
    <w:rsid w:val="00090C1E"/>
    <w:rsid w:val="00090F9A"/>
    <w:rsid w:val="000913C2"/>
    <w:rsid w:val="00091693"/>
    <w:rsid w:val="000916DC"/>
    <w:rsid w:val="0009185F"/>
    <w:rsid w:val="00091D06"/>
    <w:rsid w:val="00092469"/>
    <w:rsid w:val="000924CF"/>
    <w:rsid w:val="0009265B"/>
    <w:rsid w:val="0009272B"/>
    <w:rsid w:val="00092BC1"/>
    <w:rsid w:val="00092FC1"/>
    <w:rsid w:val="0009303A"/>
    <w:rsid w:val="000940E1"/>
    <w:rsid w:val="000942BC"/>
    <w:rsid w:val="0009437D"/>
    <w:rsid w:val="000944D0"/>
    <w:rsid w:val="0009482C"/>
    <w:rsid w:val="000948E9"/>
    <w:rsid w:val="00094BE4"/>
    <w:rsid w:val="00094DAA"/>
    <w:rsid w:val="00095646"/>
    <w:rsid w:val="000969A2"/>
    <w:rsid w:val="00096B56"/>
    <w:rsid w:val="00096DA8"/>
    <w:rsid w:val="00097464"/>
    <w:rsid w:val="000A01A0"/>
    <w:rsid w:val="000A09B5"/>
    <w:rsid w:val="000A1282"/>
    <w:rsid w:val="000A1790"/>
    <w:rsid w:val="000A17BF"/>
    <w:rsid w:val="000A1827"/>
    <w:rsid w:val="000A1B19"/>
    <w:rsid w:val="000A2614"/>
    <w:rsid w:val="000A298B"/>
    <w:rsid w:val="000A2B72"/>
    <w:rsid w:val="000A2D81"/>
    <w:rsid w:val="000A3A57"/>
    <w:rsid w:val="000A4035"/>
    <w:rsid w:val="000A417C"/>
    <w:rsid w:val="000A41A8"/>
    <w:rsid w:val="000A4452"/>
    <w:rsid w:val="000A49A7"/>
    <w:rsid w:val="000A4FB8"/>
    <w:rsid w:val="000A5029"/>
    <w:rsid w:val="000A50D6"/>
    <w:rsid w:val="000A54C9"/>
    <w:rsid w:val="000A5757"/>
    <w:rsid w:val="000A579E"/>
    <w:rsid w:val="000A5847"/>
    <w:rsid w:val="000A5A7B"/>
    <w:rsid w:val="000A5AB9"/>
    <w:rsid w:val="000A5CA5"/>
    <w:rsid w:val="000A5FD3"/>
    <w:rsid w:val="000A6344"/>
    <w:rsid w:val="000A64E6"/>
    <w:rsid w:val="000A666A"/>
    <w:rsid w:val="000A66DE"/>
    <w:rsid w:val="000A6B92"/>
    <w:rsid w:val="000A6CEF"/>
    <w:rsid w:val="000A6DC2"/>
    <w:rsid w:val="000A702C"/>
    <w:rsid w:val="000A752D"/>
    <w:rsid w:val="000A7883"/>
    <w:rsid w:val="000A7AD8"/>
    <w:rsid w:val="000A7D35"/>
    <w:rsid w:val="000A7F0C"/>
    <w:rsid w:val="000B018A"/>
    <w:rsid w:val="000B0218"/>
    <w:rsid w:val="000B1113"/>
    <w:rsid w:val="000B13D5"/>
    <w:rsid w:val="000B14D2"/>
    <w:rsid w:val="000B1761"/>
    <w:rsid w:val="000B1818"/>
    <w:rsid w:val="000B183E"/>
    <w:rsid w:val="000B1AD2"/>
    <w:rsid w:val="000B1E8F"/>
    <w:rsid w:val="000B1EDD"/>
    <w:rsid w:val="000B1EE7"/>
    <w:rsid w:val="000B252C"/>
    <w:rsid w:val="000B2CD6"/>
    <w:rsid w:val="000B2EC5"/>
    <w:rsid w:val="000B35B5"/>
    <w:rsid w:val="000B3E54"/>
    <w:rsid w:val="000B45D8"/>
    <w:rsid w:val="000B4B0D"/>
    <w:rsid w:val="000B4B9B"/>
    <w:rsid w:val="000B4BA0"/>
    <w:rsid w:val="000B5313"/>
    <w:rsid w:val="000B557F"/>
    <w:rsid w:val="000B55BF"/>
    <w:rsid w:val="000B580B"/>
    <w:rsid w:val="000B5A3A"/>
    <w:rsid w:val="000B7301"/>
    <w:rsid w:val="000B74EA"/>
    <w:rsid w:val="000B7B14"/>
    <w:rsid w:val="000B7B85"/>
    <w:rsid w:val="000C0689"/>
    <w:rsid w:val="000C07FB"/>
    <w:rsid w:val="000C0B09"/>
    <w:rsid w:val="000C0D62"/>
    <w:rsid w:val="000C18C6"/>
    <w:rsid w:val="000C31A1"/>
    <w:rsid w:val="000C3227"/>
    <w:rsid w:val="000C35C7"/>
    <w:rsid w:val="000C3793"/>
    <w:rsid w:val="000C3E95"/>
    <w:rsid w:val="000C4148"/>
    <w:rsid w:val="000C4986"/>
    <w:rsid w:val="000C4ABC"/>
    <w:rsid w:val="000C4D02"/>
    <w:rsid w:val="000C4ED8"/>
    <w:rsid w:val="000C5488"/>
    <w:rsid w:val="000C56B7"/>
    <w:rsid w:val="000C5910"/>
    <w:rsid w:val="000C5B13"/>
    <w:rsid w:val="000C5BFC"/>
    <w:rsid w:val="000C5DF2"/>
    <w:rsid w:val="000C61DA"/>
    <w:rsid w:val="000C64D9"/>
    <w:rsid w:val="000C694F"/>
    <w:rsid w:val="000C69A5"/>
    <w:rsid w:val="000C6AD7"/>
    <w:rsid w:val="000C730E"/>
    <w:rsid w:val="000C7AFE"/>
    <w:rsid w:val="000C7BF3"/>
    <w:rsid w:val="000D003D"/>
    <w:rsid w:val="000D0132"/>
    <w:rsid w:val="000D0206"/>
    <w:rsid w:val="000D0E0C"/>
    <w:rsid w:val="000D0FD8"/>
    <w:rsid w:val="000D1038"/>
    <w:rsid w:val="000D1552"/>
    <w:rsid w:val="000D2245"/>
    <w:rsid w:val="000D227F"/>
    <w:rsid w:val="000D2293"/>
    <w:rsid w:val="000D22DF"/>
    <w:rsid w:val="000D238D"/>
    <w:rsid w:val="000D2605"/>
    <w:rsid w:val="000D347C"/>
    <w:rsid w:val="000D383A"/>
    <w:rsid w:val="000D3E84"/>
    <w:rsid w:val="000D419B"/>
    <w:rsid w:val="000D4514"/>
    <w:rsid w:val="000D4AF4"/>
    <w:rsid w:val="000D4CD5"/>
    <w:rsid w:val="000D4DE2"/>
    <w:rsid w:val="000D4F5F"/>
    <w:rsid w:val="000D54DA"/>
    <w:rsid w:val="000D57C4"/>
    <w:rsid w:val="000D5A5D"/>
    <w:rsid w:val="000D5DBC"/>
    <w:rsid w:val="000D613D"/>
    <w:rsid w:val="000D63C7"/>
    <w:rsid w:val="000D6BA9"/>
    <w:rsid w:val="000D6E44"/>
    <w:rsid w:val="000D7328"/>
    <w:rsid w:val="000D746A"/>
    <w:rsid w:val="000D7629"/>
    <w:rsid w:val="000D7EE3"/>
    <w:rsid w:val="000E0219"/>
    <w:rsid w:val="000E0333"/>
    <w:rsid w:val="000E0622"/>
    <w:rsid w:val="000E1010"/>
    <w:rsid w:val="000E1204"/>
    <w:rsid w:val="000E15CC"/>
    <w:rsid w:val="000E17D7"/>
    <w:rsid w:val="000E1CFB"/>
    <w:rsid w:val="000E1DB5"/>
    <w:rsid w:val="000E1EB9"/>
    <w:rsid w:val="000E2131"/>
    <w:rsid w:val="000E2548"/>
    <w:rsid w:val="000E26BB"/>
    <w:rsid w:val="000E26E7"/>
    <w:rsid w:val="000E2735"/>
    <w:rsid w:val="000E2D26"/>
    <w:rsid w:val="000E2D53"/>
    <w:rsid w:val="000E2EBD"/>
    <w:rsid w:val="000E335B"/>
    <w:rsid w:val="000E38FF"/>
    <w:rsid w:val="000E3AC1"/>
    <w:rsid w:val="000E4129"/>
    <w:rsid w:val="000E4820"/>
    <w:rsid w:val="000E48D9"/>
    <w:rsid w:val="000E4DE6"/>
    <w:rsid w:val="000E50C9"/>
    <w:rsid w:val="000E57CE"/>
    <w:rsid w:val="000E5C6C"/>
    <w:rsid w:val="000E5E02"/>
    <w:rsid w:val="000E5E0F"/>
    <w:rsid w:val="000E5EF6"/>
    <w:rsid w:val="000E6065"/>
    <w:rsid w:val="000E635A"/>
    <w:rsid w:val="000E641E"/>
    <w:rsid w:val="000E745A"/>
    <w:rsid w:val="000E770C"/>
    <w:rsid w:val="000E7908"/>
    <w:rsid w:val="000E7D49"/>
    <w:rsid w:val="000E7E85"/>
    <w:rsid w:val="000E7EBB"/>
    <w:rsid w:val="000F014D"/>
    <w:rsid w:val="000F049E"/>
    <w:rsid w:val="000F0B5E"/>
    <w:rsid w:val="000F0D02"/>
    <w:rsid w:val="000F0DE9"/>
    <w:rsid w:val="000F0ED9"/>
    <w:rsid w:val="000F0EF4"/>
    <w:rsid w:val="000F1287"/>
    <w:rsid w:val="000F1301"/>
    <w:rsid w:val="000F155C"/>
    <w:rsid w:val="000F17F4"/>
    <w:rsid w:val="000F18CF"/>
    <w:rsid w:val="000F2027"/>
    <w:rsid w:val="000F27CA"/>
    <w:rsid w:val="000F28C7"/>
    <w:rsid w:val="000F29CE"/>
    <w:rsid w:val="000F2A23"/>
    <w:rsid w:val="000F2BFF"/>
    <w:rsid w:val="000F2E96"/>
    <w:rsid w:val="000F3083"/>
    <w:rsid w:val="000F30D0"/>
    <w:rsid w:val="000F31BF"/>
    <w:rsid w:val="000F321D"/>
    <w:rsid w:val="000F4048"/>
    <w:rsid w:val="000F47D3"/>
    <w:rsid w:val="000F4AEC"/>
    <w:rsid w:val="000F5188"/>
    <w:rsid w:val="000F529B"/>
    <w:rsid w:val="000F54D3"/>
    <w:rsid w:val="000F574D"/>
    <w:rsid w:val="000F5B05"/>
    <w:rsid w:val="000F5D80"/>
    <w:rsid w:val="000F5E3F"/>
    <w:rsid w:val="000F6869"/>
    <w:rsid w:val="000F6969"/>
    <w:rsid w:val="000F73C6"/>
    <w:rsid w:val="000F76F7"/>
    <w:rsid w:val="000F7A74"/>
    <w:rsid w:val="0010020A"/>
    <w:rsid w:val="00100271"/>
    <w:rsid w:val="00101978"/>
    <w:rsid w:val="00101B6B"/>
    <w:rsid w:val="00101E38"/>
    <w:rsid w:val="00101E9F"/>
    <w:rsid w:val="00102676"/>
    <w:rsid w:val="00102917"/>
    <w:rsid w:val="00102E24"/>
    <w:rsid w:val="001030A3"/>
    <w:rsid w:val="0010323E"/>
    <w:rsid w:val="001034AC"/>
    <w:rsid w:val="001038FD"/>
    <w:rsid w:val="00103F6C"/>
    <w:rsid w:val="00104074"/>
    <w:rsid w:val="00104700"/>
    <w:rsid w:val="0010473D"/>
    <w:rsid w:val="0010498A"/>
    <w:rsid w:val="00104D0A"/>
    <w:rsid w:val="00104DA2"/>
    <w:rsid w:val="00105585"/>
    <w:rsid w:val="00105A13"/>
    <w:rsid w:val="00105A45"/>
    <w:rsid w:val="00105C22"/>
    <w:rsid w:val="00105F86"/>
    <w:rsid w:val="001061B3"/>
    <w:rsid w:val="00106634"/>
    <w:rsid w:val="00106E99"/>
    <w:rsid w:val="001073A3"/>
    <w:rsid w:val="00107F58"/>
    <w:rsid w:val="00110255"/>
    <w:rsid w:val="0011051C"/>
    <w:rsid w:val="00110C6F"/>
    <w:rsid w:val="00111A5C"/>
    <w:rsid w:val="00111BBC"/>
    <w:rsid w:val="00111C26"/>
    <w:rsid w:val="00111D07"/>
    <w:rsid w:val="0011276F"/>
    <w:rsid w:val="00112E39"/>
    <w:rsid w:val="0011307E"/>
    <w:rsid w:val="00113243"/>
    <w:rsid w:val="0011359D"/>
    <w:rsid w:val="001139D3"/>
    <w:rsid w:val="00113A7D"/>
    <w:rsid w:val="00113E7B"/>
    <w:rsid w:val="0011427A"/>
    <w:rsid w:val="00114793"/>
    <w:rsid w:val="00114A4B"/>
    <w:rsid w:val="00114E3A"/>
    <w:rsid w:val="00115038"/>
    <w:rsid w:val="0011506A"/>
    <w:rsid w:val="00115D4B"/>
    <w:rsid w:val="00115DD1"/>
    <w:rsid w:val="00115FC0"/>
    <w:rsid w:val="00116195"/>
    <w:rsid w:val="0011715E"/>
    <w:rsid w:val="001171F9"/>
    <w:rsid w:val="00117288"/>
    <w:rsid w:val="00117648"/>
    <w:rsid w:val="00117BFB"/>
    <w:rsid w:val="00120561"/>
    <w:rsid w:val="00120843"/>
    <w:rsid w:val="00120897"/>
    <w:rsid w:val="00120ED9"/>
    <w:rsid w:val="00122052"/>
    <w:rsid w:val="00122089"/>
    <w:rsid w:val="0012218C"/>
    <w:rsid w:val="00122194"/>
    <w:rsid w:val="0012220F"/>
    <w:rsid w:val="001222ED"/>
    <w:rsid w:val="0012248C"/>
    <w:rsid w:val="001224FD"/>
    <w:rsid w:val="001227D4"/>
    <w:rsid w:val="00122EC7"/>
    <w:rsid w:val="00123156"/>
    <w:rsid w:val="00123191"/>
    <w:rsid w:val="00123FAF"/>
    <w:rsid w:val="00124D08"/>
    <w:rsid w:val="00124D8D"/>
    <w:rsid w:val="00125295"/>
    <w:rsid w:val="001256C8"/>
    <w:rsid w:val="0012579A"/>
    <w:rsid w:val="001258FF"/>
    <w:rsid w:val="00125ACD"/>
    <w:rsid w:val="00125C2F"/>
    <w:rsid w:val="00125F7F"/>
    <w:rsid w:val="001267C3"/>
    <w:rsid w:val="00126EB8"/>
    <w:rsid w:val="00127387"/>
    <w:rsid w:val="00127A6F"/>
    <w:rsid w:val="00127F76"/>
    <w:rsid w:val="0013084F"/>
    <w:rsid w:val="00130F9E"/>
    <w:rsid w:val="00131771"/>
    <w:rsid w:val="001319B4"/>
    <w:rsid w:val="001319CD"/>
    <w:rsid w:val="00131BDD"/>
    <w:rsid w:val="00131CF6"/>
    <w:rsid w:val="00131D18"/>
    <w:rsid w:val="00132334"/>
    <w:rsid w:val="0013234A"/>
    <w:rsid w:val="00132610"/>
    <w:rsid w:val="00132B55"/>
    <w:rsid w:val="00132D85"/>
    <w:rsid w:val="00132DDF"/>
    <w:rsid w:val="00133356"/>
    <w:rsid w:val="00133716"/>
    <w:rsid w:val="00133874"/>
    <w:rsid w:val="0013399C"/>
    <w:rsid w:val="001339CB"/>
    <w:rsid w:val="00133B43"/>
    <w:rsid w:val="00133C25"/>
    <w:rsid w:val="00134A12"/>
    <w:rsid w:val="00134A20"/>
    <w:rsid w:val="00134ECD"/>
    <w:rsid w:val="0013534A"/>
    <w:rsid w:val="00135630"/>
    <w:rsid w:val="00135EB9"/>
    <w:rsid w:val="00135FCF"/>
    <w:rsid w:val="00136183"/>
    <w:rsid w:val="0013655E"/>
    <w:rsid w:val="0013663E"/>
    <w:rsid w:val="00136A24"/>
    <w:rsid w:val="00136AD1"/>
    <w:rsid w:val="00136B31"/>
    <w:rsid w:val="00136EAC"/>
    <w:rsid w:val="001371AC"/>
    <w:rsid w:val="001372D8"/>
    <w:rsid w:val="0013736A"/>
    <w:rsid w:val="001375BD"/>
    <w:rsid w:val="0013768D"/>
    <w:rsid w:val="00137858"/>
    <w:rsid w:val="00137D19"/>
    <w:rsid w:val="00140097"/>
    <w:rsid w:val="001402C0"/>
    <w:rsid w:val="001403C4"/>
    <w:rsid w:val="00140842"/>
    <w:rsid w:val="00140BC0"/>
    <w:rsid w:val="00140D60"/>
    <w:rsid w:val="00140E7B"/>
    <w:rsid w:val="001410F7"/>
    <w:rsid w:val="001414D2"/>
    <w:rsid w:val="001415AB"/>
    <w:rsid w:val="00141690"/>
    <w:rsid w:val="00141892"/>
    <w:rsid w:val="00141BA2"/>
    <w:rsid w:val="00141EB3"/>
    <w:rsid w:val="0014206D"/>
    <w:rsid w:val="0014230A"/>
    <w:rsid w:val="00142487"/>
    <w:rsid w:val="001426CC"/>
    <w:rsid w:val="00142743"/>
    <w:rsid w:val="00142756"/>
    <w:rsid w:val="001428CD"/>
    <w:rsid w:val="0014298D"/>
    <w:rsid w:val="00142B93"/>
    <w:rsid w:val="00142F90"/>
    <w:rsid w:val="001434BC"/>
    <w:rsid w:val="001436D2"/>
    <w:rsid w:val="001439AE"/>
    <w:rsid w:val="00143A84"/>
    <w:rsid w:val="00143BC2"/>
    <w:rsid w:val="00143D2E"/>
    <w:rsid w:val="00144186"/>
    <w:rsid w:val="00144608"/>
    <w:rsid w:val="00144B8F"/>
    <w:rsid w:val="00144E72"/>
    <w:rsid w:val="00144E8D"/>
    <w:rsid w:val="00145344"/>
    <w:rsid w:val="00145547"/>
    <w:rsid w:val="0014597B"/>
    <w:rsid w:val="00145E75"/>
    <w:rsid w:val="00145E8A"/>
    <w:rsid w:val="001463C0"/>
    <w:rsid w:val="00146632"/>
    <w:rsid w:val="001466C1"/>
    <w:rsid w:val="001467CF"/>
    <w:rsid w:val="00147314"/>
    <w:rsid w:val="00147B52"/>
    <w:rsid w:val="00150713"/>
    <w:rsid w:val="00150F55"/>
    <w:rsid w:val="00151231"/>
    <w:rsid w:val="001512D9"/>
    <w:rsid w:val="001513C3"/>
    <w:rsid w:val="00151AA6"/>
    <w:rsid w:val="00151F3D"/>
    <w:rsid w:val="00152629"/>
    <w:rsid w:val="00153006"/>
    <w:rsid w:val="001531FA"/>
    <w:rsid w:val="001537D0"/>
    <w:rsid w:val="00153A64"/>
    <w:rsid w:val="00153C3B"/>
    <w:rsid w:val="00153E39"/>
    <w:rsid w:val="00153F02"/>
    <w:rsid w:val="00153FE3"/>
    <w:rsid w:val="0015409F"/>
    <w:rsid w:val="00154508"/>
    <w:rsid w:val="00154769"/>
    <w:rsid w:val="001548CD"/>
    <w:rsid w:val="00154A0C"/>
    <w:rsid w:val="00154CCF"/>
    <w:rsid w:val="00155424"/>
    <w:rsid w:val="001557F4"/>
    <w:rsid w:val="00155929"/>
    <w:rsid w:val="00155E3A"/>
    <w:rsid w:val="00156423"/>
    <w:rsid w:val="00156EB9"/>
    <w:rsid w:val="00156F4F"/>
    <w:rsid w:val="00156F88"/>
    <w:rsid w:val="00157DDE"/>
    <w:rsid w:val="00157F53"/>
    <w:rsid w:val="00160232"/>
    <w:rsid w:val="001602F7"/>
    <w:rsid w:val="00160F0E"/>
    <w:rsid w:val="0016133E"/>
    <w:rsid w:val="00162EF6"/>
    <w:rsid w:val="00163202"/>
    <w:rsid w:val="001634EF"/>
    <w:rsid w:val="001637E9"/>
    <w:rsid w:val="001638E7"/>
    <w:rsid w:val="001640C7"/>
    <w:rsid w:val="001644DA"/>
    <w:rsid w:val="00164772"/>
    <w:rsid w:val="001647FE"/>
    <w:rsid w:val="001649AB"/>
    <w:rsid w:val="00165797"/>
    <w:rsid w:val="001658C7"/>
    <w:rsid w:val="00166134"/>
    <w:rsid w:val="00166470"/>
    <w:rsid w:val="00166928"/>
    <w:rsid w:val="0016694E"/>
    <w:rsid w:val="00167A52"/>
    <w:rsid w:val="0017061D"/>
    <w:rsid w:val="001707F3"/>
    <w:rsid w:val="00170978"/>
    <w:rsid w:val="00170CC9"/>
    <w:rsid w:val="0017100B"/>
    <w:rsid w:val="00171052"/>
    <w:rsid w:val="001710CC"/>
    <w:rsid w:val="001712BE"/>
    <w:rsid w:val="00171463"/>
    <w:rsid w:val="001714D0"/>
    <w:rsid w:val="0017180B"/>
    <w:rsid w:val="00171A07"/>
    <w:rsid w:val="00171DB2"/>
    <w:rsid w:val="0017244E"/>
    <w:rsid w:val="001728D6"/>
    <w:rsid w:val="0017298A"/>
    <w:rsid w:val="00172E59"/>
    <w:rsid w:val="0017306D"/>
    <w:rsid w:val="001731A0"/>
    <w:rsid w:val="001731E2"/>
    <w:rsid w:val="0017363C"/>
    <w:rsid w:val="001737DF"/>
    <w:rsid w:val="00173929"/>
    <w:rsid w:val="00173E48"/>
    <w:rsid w:val="00174130"/>
    <w:rsid w:val="001747F8"/>
    <w:rsid w:val="00174AB5"/>
    <w:rsid w:val="00175E37"/>
    <w:rsid w:val="00175E3A"/>
    <w:rsid w:val="00175EF7"/>
    <w:rsid w:val="001769A4"/>
    <w:rsid w:val="00176A16"/>
    <w:rsid w:val="00176DE5"/>
    <w:rsid w:val="00176F9C"/>
    <w:rsid w:val="001771AA"/>
    <w:rsid w:val="00177738"/>
    <w:rsid w:val="001778D7"/>
    <w:rsid w:val="00177A1F"/>
    <w:rsid w:val="00177ADC"/>
    <w:rsid w:val="00180005"/>
    <w:rsid w:val="00180085"/>
    <w:rsid w:val="00180343"/>
    <w:rsid w:val="00180AFE"/>
    <w:rsid w:val="0018123E"/>
    <w:rsid w:val="00181871"/>
    <w:rsid w:val="00181EE1"/>
    <w:rsid w:val="00182063"/>
    <w:rsid w:val="0018227E"/>
    <w:rsid w:val="001825B9"/>
    <w:rsid w:val="00182677"/>
    <w:rsid w:val="00182AF5"/>
    <w:rsid w:val="001839CC"/>
    <w:rsid w:val="00183EEE"/>
    <w:rsid w:val="0018412D"/>
    <w:rsid w:val="00184665"/>
    <w:rsid w:val="0018468B"/>
    <w:rsid w:val="0018470E"/>
    <w:rsid w:val="00184741"/>
    <w:rsid w:val="00184CC2"/>
    <w:rsid w:val="00184D6B"/>
    <w:rsid w:val="00184ED0"/>
    <w:rsid w:val="00185265"/>
    <w:rsid w:val="001856D5"/>
    <w:rsid w:val="00186631"/>
    <w:rsid w:val="0018673F"/>
    <w:rsid w:val="00186A37"/>
    <w:rsid w:val="00186BF6"/>
    <w:rsid w:val="00186CB4"/>
    <w:rsid w:val="001875A7"/>
    <w:rsid w:val="00187CA2"/>
    <w:rsid w:val="00187CAD"/>
    <w:rsid w:val="00187E04"/>
    <w:rsid w:val="00187E65"/>
    <w:rsid w:val="00187FCE"/>
    <w:rsid w:val="00190167"/>
    <w:rsid w:val="0019033D"/>
    <w:rsid w:val="001908F7"/>
    <w:rsid w:val="00190FE1"/>
    <w:rsid w:val="0019100C"/>
    <w:rsid w:val="001918FD"/>
    <w:rsid w:val="00191B44"/>
    <w:rsid w:val="00192645"/>
    <w:rsid w:val="0019297B"/>
    <w:rsid w:val="001929B8"/>
    <w:rsid w:val="001929CD"/>
    <w:rsid w:val="00192CB3"/>
    <w:rsid w:val="00192E85"/>
    <w:rsid w:val="00192FA6"/>
    <w:rsid w:val="001931AE"/>
    <w:rsid w:val="001933E3"/>
    <w:rsid w:val="001933E5"/>
    <w:rsid w:val="00193610"/>
    <w:rsid w:val="00193C3E"/>
    <w:rsid w:val="00194103"/>
    <w:rsid w:val="00194173"/>
    <w:rsid w:val="00194179"/>
    <w:rsid w:val="00194369"/>
    <w:rsid w:val="00194E27"/>
    <w:rsid w:val="00194E71"/>
    <w:rsid w:val="00194FC6"/>
    <w:rsid w:val="00195080"/>
    <w:rsid w:val="001955AA"/>
    <w:rsid w:val="00195B24"/>
    <w:rsid w:val="00196321"/>
    <w:rsid w:val="00196702"/>
    <w:rsid w:val="00197231"/>
    <w:rsid w:val="00197533"/>
    <w:rsid w:val="00197910"/>
    <w:rsid w:val="00197ABC"/>
    <w:rsid w:val="00197C1C"/>
    <w:rsid w:val="00197D2C"/>
    <w:rsid w:val="00197F5E"/>
    <w:rsid w:val="001A0386"/>
    <w:rsid w:val="001A0D4A"/>
    <w:rsid w:val="001A104A"/>
    <w:rsid w:val="001A1138"/>
    <w:rsid w:val="001A136D"/>
    <w:rsid w:val="001A16DA"/>
    <w:rsid w:val="001A1B78"/>
    <w:rsid w:val="001A1C2B"/>
    <w:rsid w:val="001A1CBE"/>
    <w:rsid w:val="001A208D"/>
    <w:rsid w:val="001A2DE4"/>
    <w:rsid w:val="001A3183"/>
    <w:rsid w:val="001A3302"/>
    <w:rsid w:val="001A3914"/>
    <w:rsid w:val="001A3DA6"/>
    <w:rsid w:val="001A4179"/>
    <w:rsid w:val="001A41AF"/>
    <w:rsid w:val="001A432E"/>
    <w:rsid w:val="001A4716"/>
    <w:rsid w:val="001A4BCA"/>
    <w:rsid w:val="001A5E21"/>
    <w:rsid w:val="001A5E41"/>
    <w:rsid w:val="001A6434"/>
    <w:rsid w:val="001A6942"/>
    <w:rsid w:val="001A6B07"/>
    <w:rsid w:val="001A6F9B"/>
    <w:rsid w:val="001A7086"/>
    <w:rsid w:val="001A736B"/>
    <w:rsid w:val="001A777E"/>
    <w:rsid w:val="001B04A4"/>
    <w:rsid w:val="001B0747"/>
    <w:rsid w:val="001B0E28"/>
    <w:rsid w:val="001B14ED"/>
    <w:rsid w:val="001B2068"/>
    <w:rsid w:val="001B207C"/>
    <w:rsid w:val="001B22A4"/>
    <w:rsid w:val="001B259B"/>
    <w:rsid w:val="001B34E6"/>
    <w:rsid w:val="001B356B"/>
    <w:rsid w:val="001B35E3"/>
    <w:rsid w:val="001B3A65"/>
    <w:rsid w:val="001B3CBC"/>
    <w:rsid w:val="001B4242"/>
    <w:rsid w:val="001B4338"/>
    <w:rsid w:val="001B4664"/>
    <w:rsid w:val="001B4709"/>
    <w:rsid w:val="001B4AB0"/>
    <w:rsid w:val="001B585D"/>
    <w:rsid w:val="001B5A8F"/>
    <w:rsid w:val="001B6864"/>
    <w:rsid w:val="001B6994"/>
    <w:rsid w:val="001B7043"/>
    <w:rsid w:val="001B7816"/>
    <w:rsid w:val="001C0689"/>
    <w:rsid w:val="001C0831"/>
    <w:rsid w:val="001C08CF"/>
    <w:rsid w:val="001C10BE"/>
    <w:rsid w:val="001C1919"/>
    <w:rsid w:val="001C1AE8"/>
    <w:rsid w:val="001C1BEF"/>
    <w:rsid w:val="001C2254"/>
    <w:rsid w:val="001C23E8"/>
    <w:rsid w:val="001C25E6"/>
    <w:rsid w:val="001C2601"/>
    <w:rsid w:val="001C2638"/>
    <w:rsid w:val="001C3704"/>
    <w:rsid w:val="001C3844"/>
    <w:rsid w:val="001C4194"/>
    <w:rsid w:val="001C4267"/>
    <w:rsid w:val="001C4402"/>
    <w:rsid w:val="001C486E"/>
    <w:rsid w:val="001C56E1"/>
    <w:rsid w:val="001C5DF4"/>
    <w:rsid w:val="001C6703"/>
    <w:rsid w:val="001C67BB"/>
    <w:rsid w:val="001C67CB"/>
    <w:rsid w:val="001C6BD2"/>
    <w:rsid w:val="001C6C53"/>
    <w:rsid w:val="001C746E"/>
    <w:rsid w:val="001C7568"/>
    <w:rsid w:val="001C79C7"/>
    <w:rsid w:val="001C7FC4"/>
    <w:rsid w:val="001D09E2"/>
    <w:rsid w:val="001D0CA2"/>
    <w:rsid w:val="001D0CB3"/>
    <w:rsid w:val="001D0E5A"/>
    <w:rsid w:val="001D16C9"/>
    <w:rsid w:val="001D1DE2"/>
    <w:rsid w:val="001D1F89"/>
    <w:rsid w:val="001D2014"/>
    <w:rsid w:val="001D2430"/>
    <w:rsid w:val="001D244A"/>
    <w:rsid w:val="001D2670"/>
    <w:rsid w:val="001D2691"/>
    <w:rsid w:val="001D2C96"/>
    <w:rsid w:val="001D2D0C"/>
    <w:rsid w:val="001D3022"/>
    <w:rsid w:val="001D3441"/>
    <w:rsid w:val="001D359A"/>
    <w:rsid w:val="001D3722"/>
    <w:rsid w:val="001D3BF1"/>
    <w:rsid w:val="001D3F7E"/>
    <w:rsid w:val="001D4976"/>
    <w:rsid w:val="001D4983"/>
    <w:rsid w:val="001D509E"/>
    <w:rsid w:val="001D5423"/>
    <w:rsid w:val="001D5590"/>
    <w:rsid w:val="001D5892"/>
    <w:rsid w:val="001D5A4F"/>
    <w:rsid w:val="001D5F1A"/>
    <w:rsid w:val="001D6159"/>
    <w:rsid w:val="001D667E"/>
    <w:rsid w:val="001D68F5"/>
    <w:rsid w:val="001D6ECB"/>
    <w:rsid w:val="001D70CF"/>
    <w:rsid w:val="001D70F9"/>
    <w:rsid w:val="001D7775"/>
    <w:rsid w:val="001E0BEB"/>
    <w:rsid w:val="001E0D3A"/>
    <w:rsid w:val="001E0F7C"/>
    <w:rsid w:val="001E11AC"/>
    <w:rsid w:val="001E1492"/>
    <w:rsid w:val="001E1BEC"/>
    <w:rsid w:val="001E1CD1"/>
    <w:rsid w:val="001E1CFE"/>
    <w:rsid w:val="001E1DFF"/>
    <w:rsid w:val="001E1F18"/>
    <w:rsid w:val="001E1FBB"/>
    <w:rsid w:val="001E2E9E"/>
    <w:rsid w:val="001E30DC"/>
    <w:rsid w:val="001E36B9"/>
    <w:rsid w:val="001E3BC1"/>
    <w:rsid w:val="001E3F03"/>
    <w:rsid w:val="001E400B"/>
    <w:rsid w:val="001E4653"/>
    <w:rsid w:val="001E4C48"/>
    <w:rsid w:val="001E4CE0"/>
    <w:rsid w:val="001E4D1D"/>
    <w:rsid w:val="001E4D68"/>
    <w:rsid w:val="001E4DFB"/>
    <w:rsid w:val="001E50FD"/>
    <w:rsid w:val="001E5227"/>
    <w:rsid w:val="001E5363"/>
    <w:rsid w:val="001E5F89"/>
    <w:rsid w:val="001E607E"/>
    <w:rsid w:val="001E61FA"/>
    <w:rsid w:val="001E632B"/>
    <w:rsid w:val="001E6486"/>
    <w:rsid w:val="001E651A"/>
    <w:rsid w:val="001E6B36"/>
    <w:rsid w:val="001E70BC"/>
    <w:rsid w:val="001E7111"/>
    <w:rsid w:val="001E74B7"/>
    <w:rsid w:val="001E75A5"/>
    <w:rsid w:val="001F0288"/>
    <w:rsid w:val="001F031D"/>
    <w:rsid w:val="001F0BFC"/>
    <w:rsid w:val="001F0E7B"/>
    <w:rsid w:val="001F1244"/>
    <w:rsid w:val="001F155E"/>
    <w:rsid w:val="001F1694"/>
    <w:rsid w:val="001F183B"/>
    <w:rsid w:val="001F1F04"/>
    <w:rsid w:val="001F20A2"/>
    <w:rsid w:val="001F284F"/>
    <w:rsid w:val="001F290C"/>
    <w:rsid w:val="001F2AC7"/>
    <w:rsid w:val="001F2EF2"/>
    <w:rsid w:val="001F3210"/>
    <w:rsid w:val="001F3C84"/>
    <w:rsid w:val="001F403D"/>
    <w:rsid w:val="001F40B3"/>
    <w:rsid w:val="001F41CE"/>
    <w:rsid w:val="001F44C8"/>
    <w:rsid w:val="001F4CA8"/>
    <w:rsid w:val="001F4F5F"/>
    <w:rsid w:val="001F5563"/>
    <w:rsid w:val="001F55CB"/>
    <w:rsid w:val="001F565B"/>
    <w:rsid w:val="001F5733"/>
    <w:rsid w:val="001F5A5C"/>
    <w:rsid w:val="001F5D07"/>
    <w:rsid w:val="001F5E67"/>
    <w:rsid w:val="001F623C"/>
    <w:rsid w:val="001F660B"/>
    <w:rsid w:val="001F661E"/>
    <w:rsid w:val="001F66BA"/>
    <w:rsid w:val="001F67BE"/>
    <w:rsid w:val="001F68B9"/>
    <w:rsid w:val="001F7A06"/>
    <w:rsid w:val="001F7ACF"/>
    <w:rsid w:val="002005D0"/>
    <w:rsid w:val="002010E9"/>
    <w:rsid w:val="00201187"/>
    <w:rsid w:val="0020200E"/>
    <w:rsid w:val="00202138"/>
    <w:rsid w:val="00202445"/>
    <w:rsid w:val="00202468"/>
    <w:rsid w:val="00202951"/>
    <w:rsid w:val="00202EE8"/>
    <w:rsid w:val="002031DB"/>
    <w:rsid w:val="00203833"/>
    <w:rsid w:val="00203940"/>
    <w:rsid w:val="002039E3"/>
    <w:rsid w:val="0020440B"/>
    <w:rsid w:val="00204606"/>
    <w:rsid w:val="00204633"/>
    <w:rsid w:val="00204678"/>
    <w:rsid w:val="002047E1"/>
    <w:rsid w:val="00204E8F"/>
    <w:rsid w:val="002053AF"/>
    <w:rsid w:val="0020591D"/>
    <w:rsid w:val="002059F2"/>
    <w:rsid w:val="0020683D"/>
    <w:rsid w:val="00207370"/>
    <w:rsid w:val="002078F3"/>
    <w:rsid w:val="00207A4D"/>
    <w:rsid w:val="00207C1F"/>
    <w:rsid w:val="00207D5C"/>
    <w:rsid w:val="00210024"/>
    <w:rsid w:val="002103E7"/>
    <w:rsid w:val="00210441"/>
    <w:rsid w:val="0021121E"/>
    <w:rsid w:val="0021199D"/>
    <w:rsid w:val="0021201F"/>
    <w:rsid w:val="00212108"/>
    <w:rsid w:val="002121B5"/>
    <w:rsid w:val="0021293F"/>
    <w:rsid w:val="00213140"/>
    <w:rsid w:val="0021345C"/>
    <w:rsid w:val="00213912"/>
    <w:rsid w:val="0021391D"/>
    <w:rsid w:val="00213B6C"/>
    <w:rsid w:val="00213D1C"/>
    <w:rsid w:val="00214114"/>
    <w:rsid w:val="002142B9"/>
    <w:rsid w:val="00214D83"/>
    <w:rsid w:val="00215A76"/>
    <w:rsid w:val="0021600A"/>
    <w:rsid w:val="0021623B"/>
    <w:rsid w:val="00216390"/>
    <w:rsid w:val="00216905"/>
    <w:rsid w:val="00216A53"/>
    <w:rsid w:val="00216B13"/>
    <w:rsid w:val="00216B16"/>
    <w:rsid w:val="00216E3E"/>
    <w:rsid w:val="0021796B"/>
    <w:rsid w:val="00220046"/>
    <w:rsid w:val="0022029B"/>
    <w:rsid w:val="00220722"/>
    <w:rsid w:val="002207F3"/>
    <w:rsid w:val="00220E59"/>
    <w:rsid w:val="00220FEB"/>
    <w:rsid w:val="00221186"/>
    <w:rsid w:val="002216E9"/>
    <w:rsid w:val="00221B03"/>
    <w:rsid w:val="0022208D"/>
    <w:rsid w:val="00222BAB"/>
    <w:rsid w:val="00222C00"/>
    <w:rsid w:val="00222F7E"/>
    <w:rsid w:val="002231B0"/>
    <w:rsid w:val="00223232"/>
    <w:rsid w:val="002232C7"/>
    <w:rsid w:val="002234D4"/>
    <w:rsid w:val="00223663"/>
    <w:rsid w:val="0022369B"/>
    <w:rsid w:val="00223DBB"/>
    <w:rsid w:val="0022416B"/>
    <w:rsid w:val="00224417"/>
    <w:rsid w:val="00224B0A"/>
    <w:rsid w:val="00224F02"/>
    <w:rsid w:val="002252B5"/>
    <w:rsid w:val="0022546A"/>
    <w:rsid w:val="00225863"/>
    <w:rsid w:val="00225A9C"/>
    <w:rsid w:val="00225B62"/>
    <w:rsid w:val="002260AE"/>
    <w:rsid w:val="0022642F"/>
    <w:rsid w:val="002271C2"/>
    <w:rsid w:val="00227365"/>
    <w:rsid w:val="00227987"/>
    <w:rsid w:val="00227E02"/>
    <w:rsid w:val="00227EB0"/>
    <w:rsid w:val="00230658"/>
    <w:rsid w:val="00231D95"/>
    <w:rsid w:val="00232179"/>
    <w:rsid w:val="00232903"/>
    <w:rsid w:val="00232925"/>
    <w:rsid w:val="0023316B"/>
    <w:rsid w:val="0023351D"/>
    <w:rsid w:val="0023380D"/>
    <w:rsid w:val="00233D24"/>
    <w:rsid w:val="00233F2D"/>
    <w:rsid w:val="002343CA"/>
    <w:rsid w:val="00234CB4"/>
    <w:rsid w:val="00234FF7"/>
    <w:rsid w:val="00235192"/>
    <w:rsid w:val="002357DC"/>
    <w:rsid w:val="00235A72"/>
    <w:rsid w:val="00235C5F"/>
    <w:rsid w:val="00235C82"/>
    <w:rsid w:val="00235EF0"/>
    <w:rsid w:val="002366BF"/>
    <w:rsid w:val="002368B8"/>
    <w:rsid w:val="0023708B"/>
    <w:rsid w:val="00237508"/>
    <w:rsid w:val="00237743"/>
    <w:rsid w:val="002377E9"/>
    <w:rsid w:val="00237E6A"/>
    <w:rsid w:val="002411DB"/>
    <w:rsid w:val="0024126E"/>
    <w:rsid w:val="002413A2"/>
    <w:rsid w:val="002414CF"/>
    <w:rsid w:val="00241639"/>
    <w:rsid w:val="00241A3C"/>
    <w:rsid w:val="00242209"/>
    <w:rsid w:val="00242562"/>
    <w:rsid w:val="00243309"/>
    <w:rsid w:val="002433DF"/>
    <w:rsid w:val="002434C5"/>
    <w:rsid w:val="00243C7B"/>
    <w:rsid w:val="00243CC3"/>
    <w:rsid w:val="00243F6A"/>
    <w:rsid w:val="002441E1"/>
    <w:rsid w:val="0024454C"/>
    <w:rsid w:val="00244D1C"/>
    <w:rsid w:val="00244F1B"/>
    <w:rsid w:val="0024537A"/>
    <w:rsid w:val="002456C6"/>
    <w:rsid w:val="00245F23"/>
    <w:rsid w:val="0024679C"/>
    <w:rsid w:val="00247343"/>
    <w:rsid w:val="002474E9"/>
    <w:rsid w:val="002479AB"/>
    <w:rsid w:val="00247C30"/>
    <w:rsid w:val="00247DC2"/>
    <w:rsid w:val="0025008F"/>
    <w:rsid w:val="00250125"/>
    <w:rsid w:val="0025085E"/>
    <w:rsid w:val="00250BA1"/>
    <w:rsid w:val="00250F94"/>
    <w:rsid w:val="00251366"/>
    <w:rsid w:val="00251529"/>
    <w:rsid w:val="00251690"/>
    <w:rsid w:val="0025187E"/>
    <w:rsid w:val="00251952"/>
    <w:rsid w:val="00252306"/>
    <w:rsid w:val="0025298D"/>
    <w:rsid w:val="00252B50"/>
    <w:rsid w:val="002531DA"/>
    <w:rsid w:val="00253339"/>
    <w:rsid w:val="002537D5"/>
    <w:rsid w:val="00253978"/>
    <w:rsid w:val="002541DE"/>
    <w:rsid w:val="002541E6"/>
    <w:rsid w:val="00254C6C"/>
    <w:rsid w:val="002553F5"/>
    <w:rsid w:val="00255828"/>
    <w:rsid w:val="00255D91"/>
    <w:rsid w:val="002563B6"/>
    <w:rsid w:val="0025640C"/>
    <w:rsid w:val="0025641F"/>
    <w:rsid w:val="002565C3"/>
    <w:rsid w:val="00256846"/>
    <w:rsid w:val="00256A1C"/>
    <w:rsid w:val="00256A73"/>
    <w:rsid w:val="00256DBB"/>
    <w:rsid w:val="00256DD3"/>
    <w:rsid w:val="002573B8"/>
    <w:rsid w:val="00257485"/>
    <w:rsid w:val="00260343"/>
    <w:rsid w:val="0026055E"/>
    <w:rsid w:val="00261077"/>
    <w:rsid w:val="002611AE"/>
    <w:rsid w:val="0026127C"/>
    <w:rsid w:val="00261380"/>
    <w:rsid w:val="00261ABF"/>
    <w:rsid w:val="00261DAD"/>
    <w:rsid w:val="00262305"/>
    <w:rsid w:val="002629F2"/>
    <w:rsid w:val="00262C90"/>
    <w:rsid w:val="00262FB0"/>
    <w:rsid w:val="00263075"/>
    <w:rsid w:val="002630C0"/>
    <w:rsid w:val="00263182"/>
    <w:rsid w:val="00263B38"/>
    <w:rsid w:val="00263DE6"/>
    <w:rsid w:val="00263E4B"/>
    <w:rsid w:val="00264522"/>
    <w:rsid w:val="002645A0"/>
    <w:rsid w:val="00264663"/>
    <w:rsid w:val="0026470B"/>
    <w:rsid w:val="002649A4"/>
    <w:rsid w:val="00264B92"/>
    <w:rsid w:val="00265684"/>
    <w:rsid w:val="002658B9"/>
    <w:rsid w:val="00265D76"/>
    <w:rsid w:val="0026631A"/>
    <w:rsid w:val="0026635D"/>
    <w:rsid w:val="00266453"/>
    <w:rsid w:val="00266F86"/>
    <w:rsid w:val="00266F8B"/>
    <w:rsid w:val="00266FC5"/>
    <w:rsid w:val="0026742E"/>
    <w:rsid w:val="002674F0"/>
    <w:rsid w:val="00267597"/>
    <w:rsid w:val="00267686"/>
    <w:rsid w:val="00267707"/>
    <w:rsid w:val="0026785A"/>
    <w:rsid w:val="00267AC6"/>
    <w:rsid w:val="00267C27"/>
    <w:rsid w:val="00267CF2"/>
    <w:rsid w:val="00267D9F"/>
    <w:rsid w:val="00270071"/>
    <w:rsid w:val="002700FC"/>
    <w:rsid w:val="002707DF"/>
    <w:rsid w:val="00270D49"/>
    <w:rsid w:val="002715A5"/>
    <w:rsid w:val="00271682"/>
    <w:rsid w:val="00271806"/>
    <w:rsid w:val="00271B4B"/>
    <w:rsid w:val="00271F8A"/>
    <w:rsid w:val="0027275D"/>
    <w:rsid w:val="0027282F"/>
    <w:rsid w:val="0027293E"/>
    <w:rsid w:val="00272987"/>
    <w:rsid w:val="00272A6C"/>
    <w:rsid w:val="00273A22"/>
    <w:rsid w:val="00273B2F"/>
    <w:rsid w:val="002740E8"/>
    <w:rsid w:val="0027418E"/>
    <w:rsid w:val="0027444B"/>
    <w:rsid w:val="0027457D"/>
    <w:rsid w:val="002745DE"/>
    <w:rsid w:val="00274839"/>
    <w:rsid w:val="00274E20"/>
    <w:rsid w:val="00274FA8"/>
    <w:rsid w:val="002753B9"/>
    <w:rsid w:val="00275476"/>
    <w:rsid w:val="0027561A"/>
    <w:rsid w:val="0027563F"/>
    <w:rsid w:val="002759B1"/>
    <w:rsid w:val="00275E45"/>
    <w:rsid w:val="0027610D"/>
    <w:rsid w:val="00276183"/>
    <w:rsid w:val="00276D5C"/>
    <w:rsid w:val="002771EE"/>
    <w:rsid w:val="002773D8"/>
    <w:rsid w:val="0027748F"/>
    <w:rsid w:val="002777E6"/>
    <w:rsid w:val="00277865"/>
    <w:rsid w:val="00277B09"/>
    <w:rsid w:val="00277EA8"/>
    <w:rsid w:val="002803F4"/>
    <w:rsid w:val="00280586"/>
    <w:rsid w:val="00280627"/>
    <w:rsid w:val="00280727"/>
    <w:rsid w:val="002807E0"/>
    <w:rsid w:val="00280A1E"/>
    <w:rsid w:val="00280E5B"/>
    <w:rsid w:val="00281610"/>
    <w:rsid w:val="00281BEA"/>
    <w:rsid w:val="0028213A"/>
    <w:rsid w:val="00282568"/>
    <w:rsid w:val="00282E40"/>
    <w:rsid w:val="00283932"/>
    <w:rsid w:val="0028395A"/>
    <w:rsid w:val="00283BEC"/>
    <w:rsid w:val="00283F6B"/>
    <w:rsid w:val="00284002"/>
    <w:rsid w:val="00284B76"/>
    <w:rsid w:val="00284BB4"/>
    <w:rsid w:val="00284EE5"/>
    <w:rsid w:val="00285118"/>
    <w:rsid w:val="002851F0"/>
    <w:rsid w:val="00285240"/>
    <w:rsid w:val="00285257"/>
    <w:rsid w:val="00285455"/>
    <w:rsid w:val="002859B8"/>
    <w:rsid w:val="00285E29"/>
    <w:rsid w:val="00285F68"/>
    <w:rsid w:val="00286070"/>
    <w:rsid w:val="0028646A"/>
    <w:rsid w:val="00286986"/>
    <w:rsid w:val="002869F2"/>
    <w:rsid w:val="00286E17"/>
    <w:rsid w:val="00287132"/>
    <w:rsid w:val="002871D6"/>
    <w:rsid w:val="0028739A"/>
    <w:rsid w:val="002875F6"/>
    <w:rsid w:val="00287E58"/>
    <w:rsid w:val="002900FB"/>
    <w:rsid w:val="0029072E"/>
    <w:rsid w:val="0029087D"/>
    <w:rsid w:val="0029091B"/>
    <w:rsid w:val="00290A05"/>
    <w:rsid w:val="00290CA7"/>
    <w:rsid w:val="0029163D"/>
    <w:rsid w:val="002917EC"/>
    <w:rsid w:val="00291B2D"/>
    <w:rsid w:val="00292BD9"/>
    <w:rsid w:val="00293269"/>
    <w:rsid w:val="0029382B"/>
    <w:rsid w:val="00293B41"/>
    <w:rsid w:val="00293B43"/>
    <w:rsid w:val="00293BEF"/>
    <w:rsid w:val="00293D6D"/>
    <w:rsid w:val="00294390"/>
    <w:rsid w:val="0029477C"/>
    <w:rsid w:val="002948D2"/>
    <w:rsid w:val="00294969"/>
    <w:rsid w:val="00294C2B"/>
    <w:rsid w:val="00294E11"/>
    <w:rsid w:val="0029504A"/>
    <w:rsid w:val="00295329"/>
    <w:rsid w:val="002954D0"/>
    <w:rsid w:val="0029592F"/>
    <w:rsid w:val="00295A3C"/>
    <w:rsid w:val="00295A51"/>
    <w:rsid w:val="00296083"/>
    <w:rsid w:val="00296138"/>
    <w:rsid w:val="00297348"/>
    <w:rsid w:val="00297524"/>
    <w:rsid w:val="002A0175"/>
    <w:rsid w:val="002A0283"/>
    <w:rsid w:val="002A03F6"/>
    <w:rsid w:val="002A0405"/>
    <w:rsid w:val="002A04CE"/>
    <w:rsid w:val="002A0D60"/>
    <w:rsid w:val="002A126A"/>
    <w:rsid w:val="002A1A07"/>
    <w:rsid w:val="002A1A9B"/>
    <w:rsid w:val="002A1CF0"/>
    <w:rsid w:val="002A2547"/>
    <w:rsid w:val="002A2672"/>
    <w:rsid w:val="002A26C0"/>
    <w:rsid w:val="002A2980"/>
    <w:rsid w:val="002A2C50"/>
    <w:rsid w:val="002A2CA7"/>
    <w:rsid w:val="002A3BB9"/>
    <w:rsid w:val="002A3EE0"/>
    <w:rsid w:val="002A43ED"/>
    <w:rsid w:val="002A4492"/>
    <w:rsid w:val="002A4582"/>
    <w:rsid w:val="002A4839"/>
    <w:rsid w:val="002A5D05"/>
    <w:rsid w:val="002A6348"/>
    <w:rsid w:val="002A642D"/>
    <w:rsid w:val="002A669F"/>
    <w:rsid w:val="002A680A"/>
    <w:rsid w:val="002A6CCD"/>
    <w:rsid w:val="002A6F91"/>
    <w:rsid w:val="002A7D11"/>
    <w:rsid w:val="002B081E"/>
    <w:rsid w:val="002B113A"/>
    <w:rsid w:val="002B1E9D"/>
    <w:rsid w:val="002B217A"/>
    <w:rsid w:val="002B24B7"/>
    <w:rsid w:val="002B29AA"/>
    <w:rsid w:val="002B2C8D"/>
    <w:rsid w:val="002B3229"/>
    <w:rsid w:val="002B3278"/>
    <w:rsid w:val="002B389E"/>
    <w:rsid w:val="002B3968"/>
    <w:rsid w:val="002B3F36"/>
    <w:rsid w:val="002B40B6"/>
    <w:rsid w:val="002B43E8"/>
    <w:rsid w:val="002B46B1"/>
    <w:rsid w:val="002B473D"/>
    <w:rsid w:val="002B476E"/>
    <w:rsid w:val="002B4A17"/>
    <w:rsid w:val="002B4BB0"/>
    <w:rsid w:val="002B4CE1"/>
    <w:rsid w:val="002B50C3"/>
    <w:rsid w:val="002B559C"/>
    <w:rsid w:val="002B5CA4"/>
    <w:rsid w:val="002B6229"/>
    <w:rsid w:val="002B6BDE"/>
    <w:rsid w:val="002B6EC8"/>
    <w:rsid w:val="002B7025"/>
    <w:rsid w:val="002B7334"/>
    <w:rsid w:val="002B75A9"/>
    <w:rsid w:val="002C02FE"/>
    <w:rsid w:val="002C0AFD"/>
    <w:rsid w:val="002C0CCF"/>
    <w:rsid w:val="002C0FDE"/>
    <w:rsid w:val="002C11F1"/>
    <w:rsid w:val="002C150C"/>
    <w:rsid w:val="002C15F1"/>
    <w:rsid w:val="002C17B2"/>
    <w:rsid w:val="002C191C"/>
    <w:rsid w:val="002C1C42"/>
    <w:rsid w:val="002C2086"/>
    <w:rsid w:val="002C20F6"/>
    <w:rsid w:val="002C216E"/>
    <w:rsid w:val="002C23C1"/>
    <w:rsid w:val="002C246B"/>
    <w:rsid w:val="002C273E"/>
    <w:rsid w:val="002C2807"/>
    <w:rsid w:val="002C289E"/>
    <w:rsid w:val="002C299C"/>
    <w:rsid w:val="002C2A1B"/>
    <w:rsid w:val="002C2D47"/>
    <w:rsid w:val="002C2F6E"/>
    <w:rsid w:val="002C35CB"/>
    <w:rsid w:val="002C36C0"/>
    <w:rsid w:val="002C4134"/>
    <w:rsid w:val="002C4935"/>
    <w:rsid w:val="002C495C"/>
    <w:rsid w:val="002C4964"/>
    <w:rsid w:val="002C4E1B"/>
    <w:rsid w:val="002C4F1E"/>
    <w:rsid w:val="002C6454"/>
    <w:rsid w:val="002C6AD8"/>
    <w:rsid w:val="002C6C55"/>
    <w:rsid w:val="002C6E06"/>
    <w:rsid w:val="002C6F96"/>
    <w:rsid w:val="002C70D9"/>
    <w:rsid w:val="002C7867"/>
    <w:rsid w:val="002C7F4E"/>
    <w:rsid w:val="002D0240"/>
    <w:rsid w:val="002D0CDC"/>
    <w:rsid w:val="002D1073"/>
    <w:rsid w:val="002D11D7"/>
    <w:rsid w:val="002D141B"/>
    <w:rsid w:val="002D1B24"/>
    <w:rsid w:val="002D1CE0"/>
    <w:rsid w:val="002D1D90"/>
    <w:rsid w:val="002D22A2"/>
    <w:rsid w:val="002D2351"/>
    <w:rsid w:val="002D2599"/>
    <w:rsid w:val="002D25B3"/>
    <w:rsid w:val="002D26ED"/>
    <w:rsid w:val="002D2B26"/>
    <w:rsid w:val="002D2DB7"/>
    <w:rsid w:val="002D34FD"/>
    <w:rsid w:val="002D356E"/>
    <w:rsid w:val="002D367C"/>
    <w:rsid w:val="002D376C"/>
    <w:rsid w:val="002D3FAF"/>
    <w:rsid w:val="002D44FB"/>
    <w:rsid w:val="002D4E90"/>
    <w:rsid w:val="002D4F3C"/>
    <w:rsid w:val="002D52B3"/>
    <w:rsid w:val="002D54B7"/>
    <w:rsid w:val="002D58E2"/>
    <w:rsid w:val="002D66DA"/>
    <w:rsid w:val="002D6A8F"/>
    <w:rsid w:val="002D6AF3"/>
    <w:rsid w:val="002D7102"/>
    <w:rsid w:val="002D7384"/>
    <w:rsid w:val="002E029C"/>
    <w:rsid w:val="002E0E94"/>
    <w:rsid w:val="002E0F5A"/>
    <w:rsid w:val="002E10C8"/>
    <w:rsid w:val="002E148E"/>
    <w:rsid w:val="002E1CD9"/>
    <w:rsid w:val="002E20B9"/>
    <w:rsid w:val="002E23F5"/>
    <w:rsid w:val="002E2A77"/>
    <w:rsid w:val="002E2D64"/>
    <w:rsid w:val="002E2DD0"/>
    <w:rsid w:val="002E30CA"/>
    <w:rsid w:val="002E323E"/>
    <w:rsid w:val="002E3676"/>
    <w:rsid w:val="002E413C"/>
    <w:rsid w:val="002E448E"/>
    <w:rsid w:val="002E504F"/>
    <w:rsid w:val="002E5339"/>
    <w:rsid w:val="002E5638"/>
    <w:rsid w:val="002E5D56"/>
    <w:rsid w:val="002E5FA3"/>
    <w:rsid w:val="002E6315"/>
    <w:rsid w:val="002E6579"/>
    <w:rsid w:val="002E6B23"/>
    <w:rsid w:val="002E6B95"/>
    <w:rsid w:val="002E72E6"/>
    <w:rsid w:val="002E76ED"/>
    <w:rsid w:val="002E7A15"/>
    <w:rsid w:val="002E7AB2"/>
    <w:rsid w:val="002E7FD1"/>
    <w:rsid w:val="002F005E"/>
    <w:rsid w:val="002F0215"/>
    <w:rsid w:val="002F04B1"/>
    <w:rsid w:val="002F0C14"/>
    <w:rsid w:val="002F0D5B"/>
    <w:rsid w:val="002F0E37"/>
    <w:rsid w:val="002F0E4F"/>
    <w:rsid w:val="002F1108"/>
    <w:rsid w:val="002F13EF"/>
    <w:rsid w:val="002F16FE"/>
    <w:rsid w:val="002F1874"/>
    <w:rsid w:val="002F1F03"/>
    <w:rsid w:val="002F2F0C"/>
    <w:rsid w:val="002F3217"/>
    <w:rsid w:val="002F3557"/>
    <w:rsid w:val="002F38EB"/>
    <w:rsid w:val="002F3B81"/>
    <w:rsid w:val="002F41D2"/>
    <w:rsid w:val="002F484F"/>
    <w:rsid w:val="002F49B7"/>
    <w:rsid w:val="002F511E"/>
    <w:rsid w:val="002F5453"/>
    <w:rsid w:val="002F5878"/>
    <w:rsid w:val="002F592D"/>
    <w:rsid w:val="002F5AB4"/>
    <w:rsid w:val="002F5F01"/>
    <w:rsid w:val="002F603B"/>
    <w:rsid w:val="002F6398"/>
    <w:rsid w:val="002F63EE"/>
    <w:rsid w:val="002F6406"/>
    <w:rsid w:val="002F6651"/>
    <w:rsid w:val="002F6D0B"/>
    <w:rsid w:val="002F7103"/>
    <w:rsid w:val="002F7D8C"/>
    <w:rsid w:val="003002C2"/>
    <w:rsid w:val="00300959"/>
    <w:rsid w:val="00301705"/>
    <w:rsid w:val="003019DD"/>
    <w:rsid w:val="00301B87"/>
    <w:rsid w:val="00301D66"/>
    <w:rsid w:val="00301DA1"/>
    <w:rsid w:val="00301FF3"/>
    <w:rsid w:val="0030275F"/>
    <w:rsid w:val="00302A9C"/>
    <w:rsid w:val="00303324"/>
    <w:rsid w:val="00303407"/>
    <w:rsid w:val="003034C0"/>
    <w:rsid w:val="003039E1"/>
    <w:rsid w:val="00303CE6"/>
    <w:rsid w:val="003041D6"/>
    <w:rsid w:val="00304222"/>
    <w:rsid w:val="003042D5"/>
    <w:rsid w:val="0030484F"/>
    <w:rsid w:val="00304F5E"/>
    <w:rsid w:val="00305301"/>
    <w:rsid w:val="003053DD"/>
    <w:rsid w:val="003054D0"/>
    <w:rsid w:val="00305D80"/>
    <w:rsid w:val="00306603"/>
    <w:rsid w:val="00306618"/>
    <w:rsid w:val="003067D0"/>
    <w:rsid w:val="0030694A"/>
    <w:rsid w:val="00306969"/>
    <w:rsid w:val="00306E51"/>
    <w:rsid w:val="003070C0"/>
    <w:rsid w:val="00307382"/>
    <w:rsid w:val="003076BA"/>
    <w:rsid w:val="00307D7B"/>
    <w:rsid w:val="003100AB"/>
    <w:rsid w:val="0031041B"/>
    <w:rsid w:val="003104A0"/>
    <w:rsid w:val="00311D56"/>
    <w:rsid w:val="003125BF"/>
    <w:rsid w:val="0031260B"/>
    <w:rsid w:val="0031307C"/>
    <w:rsid w:val="00313AE7"/>
    <w:rsid w:val="00313EB3"/>
    <w:rsid w:val="00313EC7"/>
    <w:rsid w:val="00314CD0"/>
    <w:rsid w:val="00314E38"/>
    <w:rsid w:val="0031586B"/>
    <w:rsid w:val="00315C48"/>
    <w:rsid w:val="00315CD6"/>
    <w:rsid w:val="00315D53"/>
    <w:rsid w:val="00315FCC"/>
    <w:rsid w:val="00316939"/>
    <w:rsid w:val="0031735C"/>
    <w:rsid w:val="003178C4"/>
    <w:rsid w:val="00320197"/>
    <w:rsid w:val="0032021F"/>
    <w:rsid w:val="003203FD"/>
    <w:rsid w:val="00320770"/>
    <w:rsid w:val="00320931"/>
    <w:rsid w:val="003209F5"/>
    <w:rsid w:val="003211C6"/>
    <w:rsid w:val="00321505"/>
    <w:rsid w:val="00321D69"/>
    <w:rsid w:val="00321E44"/>
    <w:rsid w:val="003224B0"/>
    <w:rsid w:val="0032281B"/>
    <w:rsid w:val="00322E35"/>
    <w:rsid w:val="003233A9"/>
    <w:rsid w:val="003237AD"/>
    <w:rsid w:val="003237FB"/>
    <w:rsid w:val="00323FDF"/>
    <w:rsid w:val="003242B6"/>
    <w:rsid w:val="00324884"/>
    <w:rsid w:val="003249F0"/>
    <w:rsid w:val="00324B6B"/>
    <w:rsid w:val="0032556A"/>
    <w:rsid w:val="00325744"/>
    <w:rsid w:val="00325BA0"/>
    <w:rsid w:val="003263DE"/>
    <w:rsid w:val="00326B1B"/>
    <w:rsid w:val="00326E69"/>
    <w:rsid w:val="00327250"/>
    <w:rsid w:val="003273A5"/>
    <w:rsid w:val="003273C1"/>
    <w:rsid w:val="00327433"/>
    <w:rsid w:val="00327447"/>
    <w:rsid w:val="00327A0D"/>
    <w:rsid w:val="00327AF7"/>
    <w:rsid w:val="00327E03"/>
    <w:rsid w:val="00327E52"/>
    <w:rsid w:val="00327F2F"/>
    <w:rsid w:val="00327F96"/>
    <w:rsid w:val="00330349"/>
    <w:rsid w:val="00330580"/>
    <w:rsid w:val="003312F9"/>
    <w:rsid w:val="003313F2"/>
    <w:rsid w:val="003318DB"/>
    <w:rsid w:val="00331CD4"/>
    <w:rsid w:val="00331D8A"/>
    <w:rsid w:val="00331F59"/>
    <w:rsid w:val="00332515"/>
    <w:rsid w:val="00332815"/>
    <w:rsid w:val="00332BFF"/>
    <w:rsid w:val="00332D70"/>
    <w:rsid w:val="00332D7D"/>
    <w:rsid w:val="00333312"/>
    <w:rsid w:val="0033363B"/>
    <w:rsid w:val="003336C5"/>
    <w:rsid w:val="00333D15"/>
    <w:rsid w:val="00334392"/>
    <w:rsid w:val="003345BF"/>
    <w:rsid w:val="00334CB4"/>
    <w:rsid w:val="0033556C"/>
    <w:rsid w:val="00335606"/>
    <w:rsid w:val="003356F0"/>
    <w:rsid w:val="003370E9"/>
    <w:rsid w:val="003371B1"/>
    <w:rsid w:val="00337363"/>
    <w:rsid w:val="003376F7"/>
    <w:rsid w:val="0033792A"/>
    <w:rsid w:val="00337EAA"/>
    <w:rsid w:val="00337F0B"/>
    <w:rsid w:val="00340860"/>
    <w:rsid w:val="00341110"/>
    <w:rsid w:val="00341BD1"/>
    <w:rsid w:val="00341FD2"/>
    <w:rsid w:val="0034298D"/>
    <w:rsid w:val="00342FC9"/>
    <w:rsid w:val="003431D5"/>
    <w:rsid w:val="0034366C"/>
    <w:rsid w:val="00344276"/>
    <w:rsid w:val="003442E9"/>
    <w:rsid w:val="00344452"/>
    <w:rsid w:val="003446F8"/>
    <w:rsid w:val="00344E71"/>
    <w:rsid w:val="00345030"/>
    <w:rsid w:val="0034519E"/>
    <w:rsid w:val="003454EE"/>
    <w:rsid w:val="0034597D"/>
    <w:rsid w:val="00345BD2"/>
    <w:rsid w:val="00345E5E"/>
    <w:rsid w:val="0034600D"/>
    <w:rsid w:val="003465A6"/>
    <w:rsid w:val="003465F0"/>
    <w:rsid w:val="00346672"/>
    <w:rsid w:val="00346B63"/>
    <w:rsid w:val="003502ED"/>
    <w:rsid w:val="003504E5"/>
    <w:rsid w:val="0035050A"/>
    <w:rsid w:val="00350569"/>
    <w:rsid w:val="003510DB"/>
    <w:rsid w:val="0035183F"/>
    <w:rsid w:val="00351C78"/>
    <w:rsid w:val="00352032"/>
    <w:rsid w:val="00352131"/>
    <w:rsid w:val="0035213C"/>
    <w:rsid w:val="003523FF"/>
    <w:rsid w:val="00352876"/>
    <w:rsid w:val="00352A1C"/>
    <w:rsid w:val="00352B98"/>
    <w:rsid w:val="00352C60"/>
    <w:rsid w:val="003538C7"/>
    <w:rsid w:val="00353BCE"/>
    <w:rsid w:val="00353E98"/>
    <w:rsid w:val="0035429E"/>
    <w:rsid w:val="00354426"/>
    <w:rsid w:val="00354431"/>
    <w:rsid w:val="00354674"/>
    <w:rsid w:val="00354DB1"/>
    <w:rsid w:val="00355088"/>
    <w:rsid w:val="00355C8A"/>
    <w:rsid w:val="00356440"/>
    <w:rsid w:val="00356B8D"/>
    <w:rsid w:val="00356BEB"/>
    <w:rsid w:val="00356D88"/>
    <w:rsid w:val="0035781D"/>
    <w:rsid w:val="0035788D"/>
    <w:rsid w:val="00357A18"/>
    <w:rsid w:val="00357D50"/>
    <w:rsid w:val="003600E2"/>
    <w:rsid w:val="003601C8"/>
    <w:rsid w:val="0036032D"/>
    <w:rsid w:val="003608A3"/>
    <w:rsid w:val="00360DBC"/>
    <w:rsid w:val="0036122C"/>
    <w:rsid w:val="00361386"/>
    <w:rsid w:val="003614F0"/>
    <w:rsid w:val="00361C9E"/>
    <w:rsid w:val="00361DE2"/>
    <w:rsid w:val="00362561"/>
    <w:rsid w:val="003625B2"/>
    <w:rsid w:val="003629F0"/>
    <w:rsid w:val="0036340B"/>
    <w:rsid w:val="003636C2"/>
    <w:rsid w:val="00363DB0"/>
    <w:rsid w:val="003640C3"/>
    <w:rsid w:val="003643BB"/>
    <w:rsid w:val="0036454B"/>
    <w:rsid w:val="00364881"/>
    <w:rsid w:val="003649F8"/>
    <w:rsid w:val="00364A28"/>
    <w:rsid w:val="00364C0B"/>
    <w:rsid w:val="003650E3"/>
    <w:rsid w:val="00365159"/>
    <w:rsid w:val="003653E1"/>
    <w:rsid w:val="00365575"/>
    <w:rsid w:val="00365E67"/>
    <w:rsid w:val="00366500"/>
    <w:rsid w:val="0036654D"/>
    <w:rsid w:val="003667DF"/>
    <w:rsid w:val="00366A13"/>
    <w:rsid w:val="00366AA4"/>
    <w:rsid w:val="00366EDD"/>
    <w:rsid w:val="00367019"/>
    <w:rsid w:val="0036738B"/>
    <w:rsid w:val="003679F8"/>
    <w:rsid w:val="003703A0"/>
    <w:rsid w:val="003706A1"/>
    <w:rsid w:val="00370AB0"/>
    <w:rsid w:val="00370BCC"/>
    <w:rsid w:val="00370C7A"/>
    <w:rsid w:val="00370F21"/>
    <w:rsid w:val="00371299"/>
    <w:rsid w:val="00371A26"/>
    <w:rsid w:val="00371B40"/>
    <w:rsid w:val="00371B84"/>
    <w:rsid w:val="003721EB"/>
    <w:rsid w:val="00372698"/>
    <w:rsid w:val="00372912"/>
    <w:rsid w:val="0037311C"/>
    <w:rsid w:val="003731E8"/>
    <w:rsid w:val="00373266"/>
    <w:rsid w:val="00373DC7"/>
    <w:rsid w:val="00373EF9"/>
    <w:rsid w:val="0037441B"/>
    <w:rsid w:val="0037558C"/>
    <w:rsid w:val="0037585B"/>
    <w:rsid w:val="0037611E"/>
    <w:rsid w:val="00376A53"/>
    <w:rsid w:val="00377151"/>
    <w:rsid w:val="0037715B"/>
    <w:rsid w:val="003772DF"/>
    <w:rsid w:val="00377324"/>
    <w:rsid w:val="003774FC"/>
    <w:rsid w:val="003776E0"/>
    <w:rsid w:val="003778A0"/>
    <w:rsid w:val="00377C1F"/>
    <w:rsid w:val="00377CE6"/>
    <w:rsid w:val="00377D70"/>
    <w:rsid w:val="00377F55"/>
    <w:rsid w:val="00380697"/>
    <w:rsid w:val="003806C9"/>
    <w:rsid w:val="00380AFB"/>
    <w:rsid w:val="00381311"/>
    <w:rsid w:val="0038145B"/>
    <w:rsid w:val="00381CCD"/>
    <w:rsid w:val="00382284"/>
    <w:rsid w:val="00382461"/>
    <w:rsid w:val="00382804"/>
    <w:rsid w:val="00382C28"/>
    <w:rsid w:val="00382DA2"/>
    <w:rsid w:val="00382E12"/>
    <w:rsid w:val="003831D0"/>
    <w:rsid w:val="0038341D"/>
    <w:rsid w:val="00383685"/>
    <w:rsid w:val="003837CC"/>
    <w:rsid w:val="00383DF2"/>
    <w:rsid w:val="003840C3"/>
    <w:rsid w:val="00384522"/>
    <w:rsid w:val="0038474B"/>
    <w:rsid w:val="00384BD4"/>
    <w:rsid w:val="00385D25"/>
    <w:rsid w:val="003868AF"/>
    <w:rsid w:val="0038692A"/>
    <w:rsid w:val="00386CF3"/>
    <w:rsid w:val="00386D21"/>
    <w:rsid w:val="00386DC9"/>
    <w:rsid w:val="003878B9"/>
    <w:rsid w:val="00387932"/>
    <w:rsid w:val="00390836"/>
    <w:rsid w:val="00390F94"/>
    <w:rsid w:val="00390FDB"/>
    <w:rsid w:val="00391166"/>
    <w:rsid w:val="00391302"/>
    <w:rsid w:val="00391D37"/>
    <w:rsid w:val="00392360"/>
    <w:rsid w:val="0039251D"/>
    <w:rsid w:val="00392648"/>
    <w:rsid w:val="00392A4A"/>
    <w:rsid w:val="003931EB"/>
    <w:rsid w:val="0039398E"/>
    <w:rsid w:val="00393BAB"/>
    <w:rsid w:val="00393C27"/>
    <w:rsid w:val="003940F9"/>
    <w:rsid w:val="00395214"/>
    <w:rsid w:val="0039530E"/>
    <w:rsid w:val="003953FA"/>
    <w:rsid w:val="00395458"/>
    <w:rsid w:val="0039567D"/>
    <w:rsid w:val="003959D6"/>
    <w:rsid w:val="00395A19"/>
    <w:rsid w:val="00395E4C"/>
    <w:rsid w:val="00395EEA"/>
    <w:rsid w:val="00395F4D"/>
    <w:rsid w:val="003960E0"/>
    <w:rsid w:val="0039695D"/>
    <w:rsid w:val="0039699D"/>
    <w:rsid w:val="00396B0C"/>
    <w:rsid w:val="00396B7B"/>
    <w:rsid w:val="00397606"/>
    <w:rsid w:val="003A0289"/>
    <w:rsid w:val="003A04F3"/>
    <w:rsid w:val="003A0500"/>
    <w:rsid w:val="003A07D9"/>
    <w:rsid w:val="003A0C38"/>
    <w:rsid w:val="003A0D4B"/>
    <w:rsid w:val="003A133C"/>
    <w:rsid w:val="003A1521"/>
    <w:rsid w:val="003A157E"/>
    <w:rsid w:val="003A18D4"/>
    <w:rsid w:val="003A1F4F"/>
    <w:rsid w:val="003A2252"/>
    <w:rsid w:val="003A2544"/>
    <w:rsid w:val="003A2AF1"/>
    <w:rsid w:val="003A2B38"/>
    <w:rsid w:val="003A3785"/>
    <w:rsid w:val="003A3792"/>
    <w:rsid w:val="003A3A40"/>
    <w:rsid w:val="003A3E53"/>
    <w:rsid w:val="003A3FD4"/>
    <w:rsid w:val="003A40DE"/>
    <w:rsid w:val="003A4173"/>
    <w:rsid w:val="003A41C6"/>
    <w:rsid w:val="003A4EF6"/>
    <w:rsid w:val="003A4FC3"/>
    <w:rsid w:val="003A5104"/>
    <w:rsid w:val="003A60A9"/>
    <w:rsid w:val="003A6843"/>
    <w:rsid w:val="003A7CC1"/>
    <w:rsid w:val="003B064C"/>
    <w:rsid w:val="003B07B5"/>
    <w:rsid w:val="003B0A8C"/>
    <w:rsid w:val="003B0EEC"/>
    <w:rsid w:val="003B0F36"/>
    <w:rsid w:val="003B0FF2"/>
    <w:rsid w:val="003B1199"/>
    <w:rsid w:val="003B1E21"/>
    <w:rsid w:val="003B1E42"/>
    <w:rsid w:val="003B1F65"/>
    <w:rsid w:val="003B2142"/>
    <w:rsid w:val="003B24A8"/>
    <w:rsid w:val="003B2842"/>
    <w:rsid w:val="003B2DBE"/>
    <w:rsid w:val="003B2F75"/>
    <w:rsid w:val="003B3914"/>
    <w:rsid w:val="003B39DD"/>
    <w:rsid w:val="003B47A8"/>
    <w:rsid w:val="003B4A75"/>
    <w:rsid w:val="003B4D44"/>
    <w:rsid w:val="003B5616"/>
    <w:rsid w:val="003B56EB"/>
    <w:rsid w:val="003B5720"/>
    <w:rsid w:val="003B5782"/>
    <w:rsid w:val="003B5CC9"/>
    <w:rsid w:val="003B61EE"/>
    <w:rsid w:val="003B623D"/>
    <w:rsid w:val="003B654E"/>
    <w:rsid w:val="003B6A9D"/>
    <w:rsid w:val="003B6F6E"/>
    <w:rsid w:val="003B6F79"/>
    <w:rsid w:val="003B6FBE"/>
    <w:rsid w:val="003B6FE8"/>
    <w:rsid w:val="003B7869"/>
    <w:rsid w:val="003B7914"/>
    <w:rsid w:val="003B7E8F"/>
    <w:rsid w:val="003C01C7"/>
    <w:rsid w:val="003C05D9"/>
    <w:rsid w:val="003C066C"/>
    <w:rsid w:val="003C08E8"/>
    <w:rsid w:val="003C0F0F"/>
    <w:rsid w:val="003C132B"/>
    <w:rsid w:val="003C1B76"/>
    <w:rsid w:val="003C1D40"/>
    <w:rsid w:val="003C1F05"/>
    <w:rsid w:val="003C1F68"/>
    <w:rsid w:val="003C21D9"/>
    <w:rsid w:val="003C2B0D"/>
    <w:rsid w:val="003C2B37"/>
    <w:rsid w:val="003C2F30"/>
    <w:rsid w:val="003C3293"/>
    <w:rsid w:val="003C34C7"/>
    <w:rsid w:val="003C3719"/>
    <w:rsid w:val="003C3C4A"/>
    <w:rsid w:val="003C3CA3"/>
    <w:rsid w:val="003C3F70"/>
    <w:rsid w:val="003C4A7D"/>
    <w:rsid w:val="003C4CB4"/>
    <w:rsid w:val="003C4DFD"/>
    <w:rsid w:val="003C4EF1"/>
    <w:rsid w:val="003C5AA2"/>
    <w:rsid w:val="003C6192"/>
    <w:rsid w:val="003C63EF"/>
    <w:rsid w:val="003C678C"/>
    <w:rsid w:val="003C6B13"/>
    <w:rsid w:val="003C6C96"/>
    <w:rsid w:val="003C78D3"/>
    <w:rsid w:val="003C7D58"/>
    <w:rsid w:val="003D0595"/>
    <w:rsid w:val="003D098B"/>
    <w:rsid w:val="003D0A4F"/>
    <w:rsid w:val="003D0C1C"/>
    <w:rsid w:val="003D1443"/>
    <w:rsid w:val="003D15F5"/>
    <w:rsid w:val="003D1A07"/>
    <w:rsid w:val="003D2012"/>
    <w:rsid w:val="003D217F"/>
    <w:rsid w:val="003D2327"/>
    <w:rsid w:val="003D23A2"/>
    <w:rsid w:val="003D2871"/>
    <w:rsid w:val="003D2B87"/>
    <w:rsid w:val="003D3051"/>
    <w:rsid w:val="003D3733"/>
    <w:rsid w:val="003D4148"/>
    <w:rsid w:val="003D4778"/>
    <w:rsid w:val="003D482C"/>
    <w:rsid w:val="003D4E3D"/>
    <w:rsid w:val="003D4FF0"/>
    <w:rsid w:val="003D5408"/>
    <w:rsid w:val="003D562D"/>
    <w:rsid w:val="003D619E"/>
    <w:rsid w:val="003D6542"/>
    <w:rsid w:val="003D66FC"/>
    <w:rsid w:val="003D67F7"/>
    <w:rsid w:val="003D6880"/>
    <w:rsid w:val="003D6CD4"/>
    <w:rsid w:val="003D7265"/>
    <w:rsid w:val="003D735C"/>
    <w:rsid w:val="003D7407"/>
    <w:rsid w:val="003D7888"/>
    <w:rsid w:val="003D7E2E"/>
    <w:rsid w:val="003E001B"/>
    <w:rsid w:val="003E00A0"/>
    <w:rsid w:val="003E0509"/>
    <w:rsid w:val="003E0745"/>
    <w:rsid w:val="003E0F30"/>
    <w:rsid w:val="003E10A9"/>
    <w:rsid w:val="003E10D7"/>
    <w:rsid w:val="003E1BDE"/>
    <w:rsid w:val="003E1C4B"/>
    <w:rsid w:val="003E1FB1"/>
    <w:rsid w:val="003E2227"/>
    <w:rsid w:val="003E2230"/>
    <w:rsid w:val="003E2380"/>
    <w:rsid w:val="003E25DA"/>
    <w:rsid w:val="003E2603"/>
    <w:rsid w:val="003E27F9"/>
    <w:rsid w:val="003E29C3"/>
    <w:rsid w:val="003E2BB7"/>
    <w:rsid w:val="003E2FFC"/>
    <w:rsid w:val="003E3818"/>
    <w:rsid w:val="003E3948"/>
    <w:rsid w:val="003E3E8D"/>
    <w:rsid w:val="003E3FEB"/>
    <w:rsid w:val="003E4A3C"/>
    <w:rsid w:val="003E4B57"/>
    <w:rsid w:val="003E52FE"/>
    <w:rsid w:val="003E586C"/>
    <w:rsid w:val="003E5A4E"/>
    <w:rsid w:val="003E5AB0"/>
    <w:rsid w:val="003E5B2C"/>
    <w:rsid w:val="003E5B51"/>
    <w:rsid w:val="003E5BF1"/>
    <w:rsid w:val="003E5CC2"/>
    <w:rsid w:val="003E7330"/>
    <w:rsid w:val="003E7676"/>
    <w:rsid w:val="003E7E58"/>
    <w:rsid w:val="003F0CAE"/>
    <w:rsid w:val="003F1285"/>
    <w:rsid w:val="003F1723"/>
    <w:rsid w:val="003F17DA"/>
    <w:rsid w:val="003F196C"/>
    <w:rsid w:val="003F1C7F"/>
    <w:rsid w:val="003F1D56"/>
    <w:rsid w:val="003F1D6F"/>
    <w:rsid w:val="003F1EED"/>
    <w:rsid w:val="003F2087"/>
    <w:rsid w:val="003F211F"/>
    <w:rsid w:val="003F2367"/>
    <w:rsid w:val="003F3269"/>
    <w:rsid w:val="003F33CC"/>
    <w:rsid w:val="003F4074"/>
    <w:rsid w:val="003F4078"/>
    <w:rsid w:val="003F40A5"/>
    <w:rsid w:val="003F45EB"/>
    <w:rsid w:val="003F464A"/>
    <w:rsid w:val="003F4A10"/>
    <w:rsid w:val="003F4C62"/>
    <w:rsid w:val="003F5091"/>
    <w:rsid w:val="003F51F4"/>
    <w:rsid w:val="003F53BF"/>
    <w:rsid w:val="003F5B2B"/>
    <w:rsid w:val="003F5F45"/>
    <w:rsid w:val="003F61F5"/>
    <w:rsid w:val="003F6455"/>
    <w:rsid w:val="003F6FC3"/>
    <w:rsid w:val="003F7205"/>
    <w:rsid w:val="00400402"/>
    <w:rsid w:val="00400912"/>
    <w:rsid w:val="0040194A"/>
    <w:rsid w:val="00402147"/>
    <w:rsid w:val="0040256C"/>
    <w:rsid w:val="004027C2"/>
    <w:rsid w:val="0040299C"/>
    <w:rsid w:val="00402D94"/>
    <w:rsid w:val="00402E3C"/>
    <w:rsid w:val="00402F6E"/>
    <w:rsid w:val="00403579"/>
    <w:rsid w:val="00403649"/>
    <w:rsid w:val="00403FFE"/>
    <w:rsid w:val="00404390"/>
    <w:rsid w:val="0040439B"/>
    <w:rsid w:val="004047F5"/>
    <w:rsid w:val="004048CE"/>
    <w:rsid w:val="004049EC"/>
    <w:rsid w:val="00404B73"/>
    <w:rsid w:val="004061D9"/>
    <w:rsid w:val="004067DF"/>
    <w:rsid w:val="00406A7B"/>
    <w:rsid w:val="00406C5F"/>
    <w:rsid w:val="00407146"/>
    <w:rsid w:val="004075BE"/>
    <w:rsid w:val="00407A8A"/>
    <w:rsid w:val="00407FC1"/>
    <w:rsid w:val="00410B69"/>
    <w:rsid w:val="004118D2"/>
    <w:rsid w:val="00411998"/>
    <w:rsid w:val="00411A6F"/>
    <w:rsid w:val="004124E1"/>
    <w:rsid w:val="0041284B"/>
    <w:rsid w:val="00412BAF"/>
    <w:rsid w:val="00412CC6"/>
    <w:rsid w:val="004139DB"/>
    <w:rsid w:val="00413D1C"/>
    <w:rsid w:val="004141F9"/>
    <w:rsid w:val="00414254"/>
    <w:rsid w:val="0041429C"/>
    <w:rsid w:val="004143F6"/>
    <w:rsid w:val="004148B9"/>
    <w:rsid w:val="00414B5D"/>
    <w:rsid w:val="00415295"/>
    <w:rsid w:val="004153EB"/>
    <w:rsid w:val="00416BD0"/>
    <w:rsid w:val="00416DB2"/>
    <w:rsid w:val="00416F19"/>
    <w:rsid w:val="004171B1"/>
    <w:rsid w:val="004179B6"/>
    <w:rsid w:val="00417C3F"/>
    <w:rsid w:val="004202EA"/>
    <w:rsid w:val="004206D0"/>
    <w:rsid w:val="004208AB"/>
    <w:rsid w:val="004209FE"/>
    <w:rsid w:val="00420D72"/>
    <w:rsid w:val="00420E9A"/>
    <w:rsid w:val="00421DDF"/>
    <w:rsid w:val="0042239B"/>
    <w:rsid w:val="004229E8"/>
    <w:rsid w:val="00422D4F"/>
    <w:rsid w:val="004230BC"/>
    <w:rsid w:val="00423825"/>
    <w:rsid w:val="00423F86"/>
    <w:rsid w:val="0042413B"/>
    <w:rsid w:val="004245CA"/>
    <w:rsid w:val="00424B6E"/>
    <w:rsid w:val="00424C02"/>
    <w:rsid w:val="00424CDE"/>
    <w:rsid w:val="00425800"/>
    <w:rsid w:val="00425C64"/>
    <w:rsid w:val="00426450"/>
    <w:rsid w:val="00426653"/>
    <w:rsid w:val="00426829"/>
    <w:rsid w:val="004279B1"/>
    <w:rsid w:val="00427FB0"/>
    <w:rsid w:val="00427FE2"/>
    <w:rsid w:val="0043003A"/>
    <w:rsid w:val="00430234"/>
    <w:rsid w:val="00430517"/>
    <w:rsid w:val="004306B8"/>
    <w:rsid w:val="00430920"/>
    <w:rsid w:val="004309EB"/>
    <w:rsid w:val="00430AEB"/>
    <w:rsid w:val="00430CC8"/>
    <w:rsid w:val="00430FCD"/>
    <w:rsid w:val="0043105A"/>
    <w:rsid w:val="00431564"/>
    <w:rsid w:val="004316FB"/>
    <w:rsid w:val="00431A99"/>
    <w:rsid w:val="00431AEC"/>
    <w:rsid w:val="00431C06"/>
    <w:rsid w:val="00431CD1"/>
    <w:rsid w:val="0043236A"/>
    <w:rsid w:val="00432D97"/>
    <w:rsid w:val="00432ED4"/>
    <w:rsid w:val="00433995"/>
    <w:rsid w:val="004339DB"/>
    <w:rsid w:val="00433DA1"/>
    <w:rsid w:val="00434062"/>
    <w:rsid w:val="00434559"/>
    <w:rsid w:val="00434A1D"/>
    <w:rsid w:val="00434ACF"/>
    <w:rsid w:val="00434C90"/>
    <w:rsid w:val="00434E32"/>
    <w:rsid w:val="00435396"/>
    <w:rsid w:val="0043544A"/>
    <w:rsid w:val="004355CA"/>
    <w:rsid w:val="00435676"/>
    <w:rsid w:val="004356AE"/>
    <w:rsid w:val="00435A1F"/>
    <w:rsid w:val="00436160"/>
    <w:rsid w:val="0043760E"/>
    <w:rsid w:val="004376D9"/>
    <w:rsid w:val="00437700"/>
    <w:rsid w:val="00437A57"/>
    <w:rsid w:val="00437B29"/>
    <w:rsid w:val="00437E03"/>
    <w:rsid w:val="004406F8"/>
    <w:rsid w:val="0044147C"/>
    <w:rsid w:val="00441DE4"/>
    <w:rsid w:val="00441FA2"/>
    <w:rsid w:val="00442246"/>
    <w:rsid w:val="00442381"/>
    <w:rsid w:val="004426C8"/>
    <w:rsid w:val="00442A4E"/>
    <w:rsid w:val="00442BA4"/>
    <w:rsid w:val="00442CC2"/>
    <w:rsid w:val="00442E4C"/>
    <w:rsid w:val="00443053"/>
    <w:rsid w:val="004431CB"/>
    <w:rsid w:val="0044338C"/>
    <w:rsid w:val="0044375F"/>
    <w:rsid w:val="004437A9"/>
    <w:rsid w:val="004437B7"/>
    <w:rsid w:val="004437CE"/>
    <w:rsid w:val="00443D41"/>
    <w:rsid w:val="00443DC8"/>
    <w:rsid w:val="00444035"/>
    <w:rsid w:val="0044418D"/>
    <w:rsid w:val="004442F2"/>
    <w:rsid w:val="00444954"/>
    <w:rsid w:val="00444C47"/>
    <w:rsid w:val="004450A9"/>
    <w:rsid w:val="00445A51"/>
    <w:rsid w:val="00445B4D"/>
    <w:rsid w:val="004461A7"/>
    <w:rsid w:val="00446F59"/>
    <w:rsid w:val="00447AE4"/>
    <w:rsid w:val="00447C2C"/>
    <w:rsid w:val="00447E4B"/>
    <w:rsid w:val="00447E8A"/>
    <w:rsid w:val="00447FE9"/>
    <w:rsid w:val="004500DF"/>
    <w:rsid w:val="0045043C"/>
    <w:rsid w:val="00450630"/>
    <w:rsid w:val="00450A23"/>
    <w:rsid w:val="00450E0F"/>
    <w:rsid w:val="00451100"/>
    <w:rsid w:val="00451647"/>
    <w:rsid w:val="0045197E"/>
    <w:rsid w:val="00451D92"/>
    <w:rsid w:val="00452485"/>
    <w:rsid w:val="00453196"/>
    <w:rsid w:val="004532B0"/>
    <w:rsid w:val="00454CEF"/>
    <w:rsid w:val="00454D62"/>
    <w:rsid w:val="004551F0"/>
    <w:rsid w:val="0045597E"/>
    <w:rsid w:val="00455C2B"/>
    <w:rsid w:val="00455DF2"/>
    <w:rsid w:val="00455E30"/>
    <w:rsid w:val="00456502"/>
    <w:rsid w:val="00456600"/>
    <w:rsid w:val="0045669B"/>
    <w:rsid w:val="004568DF"/>
    <w:rsid w:val="00456987"/>
    <w:rsid w:val="0045771E"/>
    <w:rsid w:val="00457CF1"/>
    <w:rsid w:val="00460088"/>
    <w:rsid w:val="004607C8"/>
    <w:rsid w:val="0046096B"/>
    <w:rsid w:val="00461140"/>
    <w:rsid w:val="004614A0"/>
    <w:rsid w:val="00461E9F"/>
    <w:rsid w:val="004621F1"/>
    <w:rsid w:val="00462B17"/>
    <w:rsid w:val="00462BE5"/>
    <w:rsid w:val="00462BFF"/>
    <w:rsid w:val="00462D8F"/>
    <w:rsid w:val="00462FAA"/>
    <w:rsid w:val="00462FEB"/>
    <w:rsid w:val="00463117"/>
    <w:rsid w:val="00463A86"/>
    <w:rsid w:val="004644D9"/>
    <w:rsid w:val="004645C6"/>
    <w:rsid w:val="00465114"/>
    <w:rsid w:val="00465E8B"/>
    <w:rsid w:val="00466156"/>
    <w:rsid w:val="00466612"/>
    <w:rsid w:val="004666C1"/>
    <w:rsid w:val="00466C64"/>
    <w:rsid w:val="00466CA3"/>
    <w:rsid w:val="00466F48"/>
    <w:rsid w:val="004673AC"/>
    <w:rsid w:val="004677E3"/>
    <w:rsid w:val="00467A15"/>
    <w:rsid w:val="00467B2E"/>
    <w:rsid w:val="004707F4"/>
    <w:rsid w:val="00470F8D"/>
    <w:rsid w:val="004710DA"/>
    <w:rsid w:val="00471E32"/>
    <w:rsid w:val="00471FD1"/>
    <w:rsid w:val="004721B3"/>
    <w:rsid w:val="00472602"/>
    <w:rsid w:val="00472A3B"/>
    <w:rsid w:val="004730EF"/>
    <w:rsid w:val="00473670"/>
    <w:rsid w:val="00473711"/>
    <w:rsid w:val="0047469C"/>
    <w:rsid w:val="00474769"/>
    <w:rsid w:val="0047480D"/>
    <w:rsid w:val="00474E71"/>
    <w:rsid w:val="00474E96"/>
    <w:rsid w:val="00474F26"/>
    <w:rsid w:val="004754B0"/>
    <w:rsid w:val="004757AA"/>
    <w:rsid w:val="00475956"/>
    <w:rsid w:val="00475CDF"/>
    <w:rsid w:val="00475CFE"/>
    <w:rsid w:val="004760CD"/>
    <w:rsid w:val="00476484"/>
    <w:rsid w:val="00476764"/>
    <w:rsid w:val="00476A6A"/>
    <w:rsid w:val="00476BFF"/>
    <w:rsid w:val="00476D7D"/>
    <w:rsid w:val="00476D99"/>
    <w:rsid w:val="00476EA4"/>
    <w:rsid w:val="004772C9"/>
    <w:rsid w:val="00477544"/>
    <w:rsid w:val="004775C7"/>
    <w:rsid w:val="00480087"/>
    <w:rsid w:val="004802A1"/>
    <w:rsid w:val="00480318"/>
    <w:rsid w:val="0048066A"/>
    <w:rsid w:val="004807B9"/>
    <w:rsid w:val="00480847"/>
    <w:rsid w:val="00480A0C"/>
    <w:rsid w:val="00480CAF"/>
    <w:rsid w:val="00480DAA"/>
    <w:rsid w:val="00480E12"/>
    <w:rsid w:val="00481740"/>
    <w:rsid w:val="00481B6B"/>
    <w:rsid w:val="00481CBF"/>
    <w:rsid w:val="00481CEA"/>
    <w:rsid w:val="004821B7"/>
    <w:rsid w:val="00482499"/>
    <w:rsid w:val="00482525"/>
    <w:rsid w:val="004825F9"/>
    <w:rsid w:val="004827B6"/>
    <w:rsid w:val="00483584"/>
    <w:rsid w:val="004838AC"/>
    <w:rsid w:val="00483F33"/>
    <w:rsid w:val="00483F52"/>
    <w:rsid w:val="0048439D"/>
    <w:rsid w:val="004846CC"/>
    <w:rsid w:val="004847AA"/>
    <w:rsid w:val="00484B38"/>
    <w:rsid w:val="00484CEB"/>
    <w:rsid w:val="00484D66"/>
    <w:rsid w:val="00484DD5"/>
    <w:rsid w:val="004856F1"/>
    <w:rsid w:val="004860D6"/>
    <w:rsid w:val="00486793"/>
    <w:rsid w:val="00486BA3"/>
    <w:rsid w:val="00486D4D"/>
    <w:rsid w:val="00486F95"/>
    <w:rsid w:val="004871D9"/>
    <w:rsid w:val="004872FA"/>
    <w:rsid w:val="004875B8"/>
    <w:rsid w:val="00487685"/>
    <w:rsid w:val="004876E0"/>
    <w:rsid w:val="004877E8"/>
    <w:rsid w:val="00487A80"/>
    <w:rsid w:val="0049024D"/>
    <w:rsid w:val="00490620"/>
    <w:rsid w:val="00490CA1"/>
    <w:rsid w:val="00491465"/>
    <w:rsid w:val="00491574"/>
    <w:rsid w:val="004916BC"/>
    <w:rsid w:val="004927CF"/>
    <w:rsid w:val="00492858"/>
    <w:rsid w:val="00492AF3"/>
    <w:rsid w:val="00492C91"/>
    <w:rsid w:val="00493338"/>
    <w:rsid w:val="004933D9"/>
    <w:rsid w:val="004937FB"/>
    <w:rsid w:val="00493EE6"/>
    <w:rsid w:val="0049415A"/>
    <w:rsid w:val="00494674"/>
    <w:rsid w:val="00495068"/>
    <w:rsid w:val="00495375"/>
    <w:rsid w:val="00495748"/>
    <w:rsid w:val="00495BFA"/>
    <w:rsid w:val="00495E3E"/>
    <w:rsid w:val="00495F80"/>
    <w:rsid w:val="00495FE2"/>
    <w:rsid w:val="00497044"/>
    <w:rsid w:val="004971CD"/>
    <w:rsid w:val="00497A91"/>
    <w:rsid w:val="00497FAF"/>
    <w:rsid w:val="004A04AB"/>
    <w:rsid w:val="004A0E86"/>
    <w:rsid w:val="004A0EF6"/>
    <w:rsid w:val="004A1448"/>
    <w:rsid w:val="004A1454"/>
    <w:rsid w:val="004A1A3B"/>
    <w:rsid w:val="004A22CA"/>
    <w:rsid w:val="004A2484"/>
    <w:rsid w:val="004A26E4"/>
    <w:rsid w:val="004A27CF"/>
    <w:rsid w:val="004A2895"/>
    <w:rsid w:val="004A298D"/>
    <w:rsid w:val="004A2AF0"/>
    <w:rsid w:val="004A2EDF"/>
    <w:rsid w:val="004A3062"/>
    <w:rsid w:val="004A31CA"/>
    <w:rsid w:val="004A39E4"/>
    <w:rsid w:val="004A3A69"/>
    <w:rsid w:val="004A4447"/>
    <w:rsid w:val="004A4A8C"/>
    <w:rsid w:val="004A4BC4"/>
    <w:rsid w:val="004A4D84"/>
    <w:rsid w:val="004A4FC1"/>
    <w:rsid w:val="004A4FCC"/>
    <w:rsid w:val="004A51D4"/>
    <w:rsid w:val="004A599C"/>
    <w:rsid w:val="004A6234"/>
    <w:rsid w:val="004A6593"/>
    <w:rsid w:val="004A6A12"/>
    <w:rsid w:val="004A745C"/>
    <w:rsid w:val="004A7666"/>
    <w:rsid w:val="004A781D"/>
    <w:rsid w:val="004A7CF3"/>
    <w:rsid w:val="004A7F47"/>
    <w:rsid w:val="004B0038"/>
    <w:rsid w:val="004B036D"/>
    <w:rsid w:val="004B060C"/>
    <w:rsid w:val="004B07F9"/>
    <w:rsid w:val="004B1472"/>
    <w:rsid w:val="004B213C"/>
    <w:rsid w:val="004B2E32"/>
    <w:rsid w:val="004B31C2"/>
    <w:rsid w:val="004B3B17"/>
    <w:rsid w:val="004B410C"/>
    <w:rsid w:val="004B4526"/>
    <w:rsid w:val="004B4BFF"/>
    <w:rsid w:val="004B4D2D"/>
    <w:rsid w:val="004B4D8B"/>
    <w:rsid w:val="004B4E9D"/>
    <w:rsid w:val="004B56CB"/>
    <w:rsid w:val="004B5BF3"/>
    <w:rsid w:val="004B5D8D"/>
    <w:rsid w:val="004B5DE6"/>
    <w:rsid w:val="004B65A4"/>
    <w:rsid w:val="004B65E5"/>
    <w:rsid w:val="004B669D"/>
    <w:rsid w:val="004B6E8A"/>
    <w:rsid w:val="004B775B"/>
    <w:rsid w:val="004B7ACD"/>
    <w:rsid w:val="004B7F67"/>
    <w:rsid w:val="004B7FE6"/>
    <w:rsid w:val="004C0628"/>
    <w:rsid w:val="004C0755"/>
    <w:rsid w:val="004C0D82"/>
    <w:rsid w:val="004C0EE4"/>
    <w:rsid w:val="004C0EEE"/>
    <w:rsid w:val="004C0F26"/>
    <w:rsid w:val="004C0F2D"/>
    <w:rsid w:val="004C0F7F"/>
    <w:rsid w:val="004C1574"/>
    <w:rsid w:val="004C15CB"/>
    <w:rsid w:val="004C1D21"/>
    <w:rsid w:val="004C255D"/>
    <w:rsid w:val="004C2F98"/>
    <w:rsid w:val="004C3023"/>
    <w:rsid w:val="004C30E7"/>
    <w:rsid w:val="004C3A44"/>
    <w:rsid w:val="004C4364"/>
    <w:rsid w:val="004C474B"/>
    <w:rsid w:val="004C4DA2"/>
    <w:rsid w:val="004C4E0D"/>
    <w:rsid w:val="004C52A1"/>
    <w:rsid w:val="004C52FB"/>
    <w:rsid w:val="004C5B43"/>
    <w:rsid w:val="004C63A5"/>
    <w:rsid w:val="004C64BE"/>
    <w:rsid w:val="004C6642"/>
    <w:rsid w:val="004C68DA"/>
    <w:rsid w:val="004C71AE"/>
    <w:rsid w:val="004C7337"/>
    <w:rsid w:val="004C7399"/>
    <w:rsid w:val="004C7411"/>
    <w:rsid w:val="004C7B4F"/>
    <w:rsid w:val="004D018A"/>
    <w:rsid w:val="004D0274"/>
    <w:rsid w:val="004D03C4"/>
    <w:rsid w:val="004D03E0"/>
    <w:rsid w:val="004D09CA"/>
    <w:rsid w:val="004D0B0F"/>
    <w:rsid w:val="004D0D98"/>
    <w:rsid w:val="004D12AD"/>
    <w:rsid w:val="004D134C"/>
    <w:rsid w:val="004D1471"/>
    <w:rsid w:val="004D165B"/>
    <w:rsid w:val="004D1A92"/>
    <w:rsid w:val="004D1ABB"/>
    <w:rsid w:val="004D1CD7"/>
    <w:rsid w:val="004D1F24"/>
    <w:rsid w:val="004D2D3A"/>
    <w:rsid w:val="004D2EE0"/>
    <w:rsid w:val="004D3740"/>
    <w:rsid w:val="004D3AD3"/>
    <w:rsid w:val="004D3E98"/>
    <w:rsid w:val="004D3F00"/>
    <w:rsid w:val="004D4706"/>
    <w:rsid w:val="004D476A"/>
    <w:rsid w:val="004D5A1D"/>
    <w:rsid w:val="004D5ACD"/>
    <w:rsid w:val="004D5B22"/>
    <w:rsid w:val="004D5C09"/>
    <w:rsid w:val="004D5CCF"/>
    <w:rsid w:val="004D5D48"/>
    <w:rsid w:val="004D5D6F"/>
    <w:rsid w:val="004D6009"/>
    <w:rsid w:val="004D62DB"/>
    <w:rsid w:val="004D6378"/>
    <w:rsid w:val="004D652C"/>
    <w:rsid w:val="004D6A3E"/>
    <w:rsid w:val="004D6D5B"/>
    <w:rsid w:val="004D7027"/>
    <w:rsid w:val="004D71B9"/>
    <w:rsid w:val="004D723C"/>
    <w:rsid w:val="004D7427"/>
    <w:rsid w:val="004D773C"/>
    <w:rsid w:val="004E004C"/>
    <w:rsid w:val="004E0397"/>
    <w:rsid w:val="004E06DC"/>
    <w:rsid w:val="004E0CEE"/>
    <w:rsid w:val="004E0D03"/>
    <w:rsid w:val="004E0DB2"/>
    <w:rsid w:val="004E1238"/>
    <w:rsid w:val="004E15A4"/>
    <w:rsid w:val="004E15A5"/>
    <w:rsid w:val="004E244B"/>
    <w:rsid w:val="004E271C"/>
    <w:rsid w:val="004E2EBD"/>
    <w:rsid w:val="004E3340"/>
    <w:rsid w:val="004E34D2"/>
    <w:rsid w:val="004E35F2"/>
    <w:rsid w:val="004E38D3"/>
    <w:rsid w:val="004E3E4C"/>
    <w:rsid w:val="004E41BE"/>
    <w:rsid w:val="004E4587"/>
    <w:rsid w:val="004E550E"/>
    <w:rsid w:val="004E5614"/>
    <w:rsid w:val="004E576B"/>
    <w:rsid w:val="004E6150"/>
    <w:rsid w:val="004E6560"/>
    <w:rsid w:val="004E68C2"/>
    <w:rsid w:val="004E68D3"/>
    <w:rsid w:val="004E68FE"/>
    <w:rsid w:val="004E6E49"/>
    <w:rsid w:val="004E7126"/>
    <w:rsid w:val="004E74FC"/>
    <w:rsid w:val="004E7547"/>
    <w:rsid w:val="004E7553"/>
    <w:rsid w:val="004E76EE"/>
    <w:rsid w:val="004E772F"/>
    <w:rsid w:val="004E7A47"/>
    <w:rsid w:val="004E7EC0"/>
    <w:rsid w:val="004F1673"/>
    <w:rsid w:val="004F16C6"/>
    <w:rsid w:val="004F2C33"/>
    <w:rsid w:val="004F2D54"/>
    <w:rsid w:val="004F2F6D"/>
    <w:rsid w:val="004F3013"/>
    <w:rsid w:val="004F332C"/>
    <w:rsid w:val="004F3351"/>
    <w:rsid w:val="004F4024"/>
    <w:rsid w:val="004F4620"/>
    <w:rsid w:val="004F4D55"/>
    <w:rsid w:val="004F5522"/>
    <w:rsid w:val="004F5667"/>
    <w:rsid w:val="004F5AC1"/>
    <w:rsid w:val="004F5B81"/>
    <w:rsid w:val="004F688F"/>
    <w:rsid w:val="004F7372"/>
    <w:rsid w:val="004F7442"/>
    <w:rsid w:val="004F7558"/>
    <w:rsid w:val="004F7567"/>
    <w:rsid w:val="004F7B25"/>
    <w:rsid w:val="004F7D00"/>
    <w:rsid w:val="00500142"/>
    <w:rsid w:val="0050039C"/>
    <w:rsid w:val="005007A2"/>
    <w:rsid w:val="005007D8"/>
    <w:rsid w:val="0050165A"/>
    <w:rsid w:val="00501A78"/>
    <w:rsid w:val="00501C4A"/>
    <w:rsid w:val="00501E6F"/>
    <w:rsid w:val="00501FDB"/>
    <w:rsid w:val="0050257E"/>
    <w:rsid w:val="00502A99"/>
    <w:rsid w:val="00502DEC"/>
    <w:rsid w:val="00502F8B"/>
    <w:rsid w:val="005031AD"/>
    <w:rsid w:val="0050332E"/>
    <w:rsid w:val="0050359E"/>
    <w:rsid w:val="00503650"/>
    <w:rsid w:val="005037C7"/>
    <w:rsid w:val="00503A44"/>
    <w:rsid w:val="00503F2A"/>
    <w:rsid w:val="00503F4B"/>
    <w:rsid w:val="0050401B"/>
    <w:rsid w:val="00504534"/>
    <w:rsid w:val="00504960"/>
    <w:rsid w:val="00504B23"/>
    <w:rsid w:val="00504FBA"/>
    <w:rsid w:val="005051FB"/>
    <w:rsid w:val="005054E8"/>
    <w:rsid w:val="00505601"/>
    <w:rsid w:val="005056B2"/>
    <w:rsid w:val="00505831"/>
    <w:rsid w:val="00505A5B"/>
    <w:rsid w:val="00506091"/>
    <w:rsid w:val="00506272"/>
    <w:rsid w:val="00506AC0"/>
    <w:rsid w:val="00507331"/>
    <w:rsid w:val="005076EE"/>
    <w:rsid w:val="0050777E"/>
    <w:rsid w:val="00507955"/>
    <w:rsid w:val="00510588"/>
    <w:rsid w:val="005105F3"/>
    <w:rsid w:val="00510FEF"/>
    <w:rsid w:val="00511159"/>
    <w:rsid w:val="00511705"/>
    <w:rsid w:val="005121FD"/>
    <w:rsid w:val="0051278E"/>
    <w:rsid w:val="0051314A"/>
    <w:rsid w:val="00513219"/>
    <w:rsid w:val="00513696"/>
    <w:rsid w:val="005136E9"/>
    <w:rsid w:val="00513824"/>
    <w:rsid w:val="00513889"/>
    <w:rsid w:val="00513899"/>
    <w:rsid w:val="005138C3"/>
    <w:rsid w:val="005138D7"/>
    <w:rsid w:val="00513ACF"/>
    <w:rsid w:val="00514C36"/>
    <w:rsid w:val="00515400"/>
    <w:rsid w:val="005155BD"/>
    <w:rsid w:val="0051584A"/>
    <w:rsid w:val="0051635B"/>
    <w:rsid w:val="005168AE"/>
    <w:rsid w:val="00517576"/>
    <w:rsid w:val="005175EC"/>
    <w:rsid w:val="0051773A"/>
    <w:rsid w:val="00517EFE"/>
    <w:rsid w:val="00520061"/>
    <w:rsid w:val="0052053E"/>
    <w:rsid w:val="005206E1"/>
    <w:rsid w:val="00520A7A"/>
    <w:rsid w:val="00520D15"/>
    <w:rsid w:val="00521300"/>
    <w:rsid w:val="0052178C"/>
    <w:rsid w:val="00521C96"/>
    <w:rsid w:val="00521CFF"/>
    <w:rsid w:val="005226AF"/>
    <w:rsid w:val="00522979"/>
    <w:rsid w:val="00522D1F"/>
    <w:rsid w:val="00522DE6"/>
    <w:rsid w:val="005236F4"/>
    <w:rsid w:val="00523EF7"/>
    <w:rsid w:val="0052418C"/>
    <w:rsid w:val="00524347"/>
    <w:rsid w:val="00524FB9"/>
    <w:rsid w:val="00525065"/>
    <w:rsid w:val="00525247"/>
    <w:rsid w:val="005252C4"/>
    <w:rsid w:val="005253E0"/>
    <w:rsid w:val="005259F9"/>
    <w:rsid w:val="00525CA6"/>
    <w:rsid w:val="00526219"/>
    <w:rsid w:val="00526D87"/>
    <w:rsid w:val="00526D9A"/>
    <w:rsid w:val="00527620"/>
    <w:rsid w:val="00527AF4"/>
    <w:rsid w:val="005304A2"/>
    <w:rsid w:val="00530AFE"/>
    <w:rsid w:val="00530B16"/>
    <w:rsid w:val="005311D1"/>
    <w:rsid w:val="005318EE"/>
    <w:rsid w:val="00531C4E"/>
    <w:rsid w:val="00531CC2"/>
    <w:rsid w:val="00531CEF"/>
    <w:rsid w:val="00532126"/>
    <w:rsid w:val="00532198"/>
    <w:rsid w:val="0053239A"/>
    <w:rsid w:val="0053277F"/>
    <w:rsid w:val="00532BA5"/>
    <w:rsid w:val="00532BE8"/>
    <w:rsid w:val="00532EA5"/>
    <w:rsid w:val="0053303E"/>
    <w:rsid w:val="00533290"/>
    <w:rsid w:val="00533412"/>
    <w:rsid w:val="005338A8"/>
    <w:rsid w:val="00533E16"/>
    <w:rsid w:val="0053428C"/>
    <w:rsid w:val="00534437"/>
    <w:rsid w:val="005346E4"/>
    <w:rsid w:val="00534D9F"/>
    <w:rsid w:val="00535188"/>
    <w:rsid w:val="0053536D"/>
    <w:rsid w:val="00535630"/>
    <w:rsid w:val="00535E80"/>
    <w:rsid w:val="00536060"/>
    <w:rsid w:val="00536CE9"/>
    <w:rsid w:val="005376BD"/>
    <w:rsid w:val="00537F84"/>
    <w:rsid w:val="0054058B"/>
    <w:rsid w:val="00540BA4"/>
    <w:rsid w:val="00541226"/>
    <w:rsid w:val="00541282"/>
    <w:rsid w:val="0054128D"/>
    <w:rsid w:val="005412BC"/>
    <w:rsid w:val="00541CBE"/>
    <w:rsid w:val="00541D33"/>
    <w:rsid w:val="0054232B"/>
    <w:rsid w:val="00542549"/>
    <w:rsid w:val="0054268C"/>
    <w:rsid w:val="00542876"/>
    <w:rsid w:val="00542E8D"/>
    <w:rsid w:val="0054322F"/>
    <w:rsid w:val="005436E8"/>
    <w:rsid w:val="00543796"/>
    <w:rsid w:val="00543EB2"/>
    <w:rsid w:val="0054408B"/>
    <w:rsid w:val="0054417C"/>
    <w:rsid w:val="005444CA"/>
    <w:rsid w:val="00544909"/>
    <w:rsid w:val="005450B0"/>
    <w:rsid w:val="0054514B"/>
    <w:rsid w:val="00545756"/>
    <w:rsid w:val="00545D78"/>
    <w:rsid w:val="00545E60"/>
    <w:rsid w:val="00545E70"/>
    <w:rsid w:val="00546880"/>
    <w:rsid w:val="005469B6"/>
    <w:rsid w:val="00547088"/>
    <w:rsid w:val="00547170"/>
    <w:rsid w:val="005475B9"/>
    <w:rsid w:val="00547F64"/>
    <w:rsid w:val="0055051E"/>
    <w:rsid w:val="00550869"/>
    <w:rsid w:val="00550BA8"/>
    <w:rsid w:val="0055172F"/>
    <w:rsid w:val="0055190A"/>
    <w:rsid w:val="00552649"/>
    <w:rsid w:val="0055277F"/>
    <w:rsid w:val="00552931"/>
    <w:rsid w:val="00552C91"/>
    <w:rsid w:val="00553069"/>
    <w:rsid w:val="0055329B"/>
    <w:rsid w:val="005536B1"/>
    <w:rsid w:val="005536C8"/>
    <w:rsid w:val="00553700"/>
    <w:rsid w:val="00554488"/>
    <w:rsid w:val="005545CD"/>
    <w:rsid w:val="00554A1C"/>
    <w:rsid w:val="00554C6A"/>
    <w:rsid w:val="00554DCD"/>
    <w:rsid w:val="00555A0C"/>
    <w:rsid w:val="00555AD3"/>
    <w:rsid w:val="005571BF"/>
    <w:rsid w:val="0055731A"/>
    <w:rsid w:val="0055731C"/>
    <w:rsid w:val="005574AF"/>
    <w:rsid w:val="0055797C"/>
    <w:rsid w:val="005603A7"/>
    <w:rsid w:val="005603B6"/>
    <w:rsid w:val="0056076D"/>
    <w:rsid w:val="00560C43"/>
    <w:rsid w:val="00560C79"/>
    <w:rsid w:val="00560DC8"/>
    <w:rsid w:val="00560FDD"/>
    <w:rsid w:val="0056140F"/>
    <w:rsid w:val="005617F6"/>
    <w:rsid w:val="00561A52"/>
    <w:rsid w:val="00561AE9"/>
    <w:rsid w:val="00561C91"/>
    <w:rsid w:val="005620A0"/>
    <w:rsid w:val="005621EA"/>
    <w:rsid w:val="00562A17"/>
    <w:rsid w:val="005632D5"/>
    <w:rsid w:val="00563616"/>
    <w:rsid w:val="005642E2"/>
    <w:rsid w:val="0056453C"/>
    <w:rsid w:val="00564DC7"/>
    <w:rsid w:val="005652A2"/>
    <w:rsid w:val="00565FCA"/>
    <w:rsid w:val="0056637F"/>
    <w:rsid w:val="005663BC"/>
    <w:rsid w:val="005666CE"/>
    <w:rsid w:val="0056689A"/>
    <w:rsid w:val="00566A3C"/>
    <w:rsid w:val="00566E36"/>
    <w:rsid w:val="0056708F"/>
    <w:rsid w:val="00567292"/>
    <w:rsid w:val="00567BB6"/>
    <w:rsid w:val="00567DAF"/>
    <w:rsid w:val="00570452"/>
    <w:rsid w:val="00570627"/>
    <w:rsid w:val="00570C26"/>
    <w:rsid w:val="00571069"/>
    <w:rsid w:val="00571288"/>
    <w:rsid w:val="00571799"/>
    <w:rsid w:val="00571AEF"/>
    <w:rsid w:val="00571B53"/>
    <w:rsid w:val="00571BB5"/>
    <w:rsid w:val="00571C4B"/>
    <w:rsid w:val="00571F7C"/>
    <w:rsid w:val="00571FA0"/>
    <w:rsid w:val="0057282C"/>
    <w:rsid w:val="00572A80"/>
    <w:rsid w:val="00572B59"/>
    <w:rsid w:val="00572E04"/>
    <w:rsid w:val="00572EC8"/>
    <w:rsid w:val="00573202"/>
    <w:rsid w:val="005733E4"/>
    <w:rsid w:val="0057374A"/>
    <w:rsid w:val="00573B6C"/>
    <w:rsid w:val="00574102"/>
    <w:rsid w:val="0057421D"/>
    <w:rsid w:val="00574254"/>
    <w:rsid w:val="005743A4"/>
    <w:rsid w:val="00574729"/>
    <w:rsid w:val="005749F0"/>
    <w:rsid w:val="00574C65"/>
    <w:rsid w:val="0057549A"/>
    <w:rsid w:val="00575A43"/>
    <w:rsid w:val="005761EF"/>
    <w:rsid w:val="0057621E"/>
    <w:rsid w:val="0057673D"/>
    <w:rsid w:val="00576BAF"/>
    <w:rsid w:val="00577733"/>
    <w:rsid w:val="005777A2"/>
    <w:rsid w:val="00577907"/>
    <w:rsid w:val="00580A09"/>
    <w:rsid w:val="00580FD2"/>
    <w:rsid w:val="0058133A"/>
    <w:rsid w:val="0058162B"/>
    <w:rsid w:val="00581904"/>
    <w:rsid w:val="00581974"/>
    <w:rsid w:val="00581F64"/>
    <w:rsid w:val="0058202B"/>
    <w:rsid w:val="00582138"/>
    <w:rsid w:val="00582643"/>
    <w:rsid w:val="00582AB9"/>
    <w:rsid w:val="00582B56"/>
    <w:rsid w:val="00582F5E"/>
    <w:rsid w:val="00583378"/>
    <w:rsid w:val="0058358D"/>
    <w:rsid w:val="005839AC"/>
    <w:rsid w:val="00583BB7"/>
    <w:rsid w:val="00584187"/>
    <w:rsid w:val="005841C5"/>
    <w:rsid w:val="00584272"/>
    <w:rsid w:val="005843EB"/>
    <w:rsid w:val="005844F6"/>
    <w:rsid w:val="00584D2A"/>
    <w:rsid w:val="00584D7E"/>
    <w:rsid w:val="005851DE"/>
    <w:rsid w:val="0058567A"/>
    <w:rsid w:val="00585CDD"/>
    <w:rsid w:val="00585FD6"/>
    <w:rsid w:val="005860DC"/>
    <w:rsid w:val="005871E6"/>
    <w:rsid w:val="00587A64"/>
    <w:rsid w:val="005900B6"/>
    <w:rsid w:val="005901AE"/>
    <w:rsid w:val="00590306"/>
    <w:rsid w:val="00590C18"/>
    <w:rsid w:val="005911F9"/>
    <w:rsid w:val="0059123A"/>
    <w:rsid w:val="00591E0B"/>
    <w:rsid w:val="005923E5"/>
    <w:rsid w:val="0059271E"/>
    <w:rsid w:val="005928FF"/>
    <w:rsid w:val="00592996"/>
    <w:rsid w:val="005929BD"/>
    <w:rsid w:val="00592D85"/>
    <w:rsid w:val="00592E83"/>
    <w:rsid w:val="00592FE2"/>
    <w:rsid w:val="00594104"/>
    <w:rsid w:val="0059488C"/>
    <w:rsid w:val="005958E8"/>
    <w:rsid w:val="005959DC"/>
    <w:rsid w:val="00595ADF"/>
    <w:rsid w:val="00595AF9"/>
    <w:rsid w:val="005967D4"/>
    <w:rsid w:val="00596B91"/>
    <w:rsid w:val="005970D9"/>
    <w:rsid w:val="005974A9"/>
    <w:rsid w:val="00597ECD"/>
    <w:rsid w:val="00597F34"/>
    <w:rsid w:val="005A02CE"/>
    <w:rsid w:val="005A0973"/>
    <w:rsid w:val="005A0F01"/>
    <w:rsid w:val="005A143B"/>
    <w:rsid w:val="005A14F1"/>
    <w:rsid w:val="005A151A"/>
    <w:rsid w:val="005A1B39"/>
    <w:rsid w:val="005A1B53"/>
    <w:rsid w:val="005A2078"/>
    <w:rsid w:val="005A218A"/>
    <w:rsid w:val="005A2557"/>
    <w:rsid w:val="005A27A2"/>
    <w:rsid w:val="005A2884"/>
    <w:rsid w:val="005A299B"/>
    <w:rsid w:val="005A2CB6"/>
    <w:rsid w:val="005A2FAE"/>
    <w:rsid w:val="005A317C"/>
    <w:rsid w:val="005A400D"/>
    <w:rsid w:val="005A412A"/>
    <w:rsid w:val="005A4705"/>
    <w:rsid w:val="005A4760"/>
    <w:rsid w:val="005A4DB9"/>
    <w:rsid w:val="005A5574"/>
    <w:rsid w:val="005A564E"/>
    <w:rsid w:val="005A56DC"/>
    <w:rsid w:val="005A5892"/>
    <w:rsid w:val="005A5899"/>
    <w:rsid w:val="005A5953"/>
    <w:rsid w:val="005A5EE3"/>
    <w:rsid w:val="005A69BB"/>
    <w:rsid w:val="005A768E"/>
    <w:rsid w:val="005A76DB"/>
    <w:rsid w:val="005A7AEF"/>
    <w:rsid w:val="005A7B00"/>
    <w:rsid w:val="005B01AC"/>
    <w:rsid w:val="005B03EF"/>
    <w:rsid w:val="005B0733"/>
    <w:rsid w:val="005B0D06"/>
    <w:rsid w:val="005B10CF"/>
    <w:rsid w:val="005B156F"/>
    <w:rsid w:val="005B181D"/>
    <w:rsid w:val="005B222E"/>
    <w:rsid w:val="005B313C"/>
    <w:rsid w:val="005B3298"/>
    <w:rsid w:val="005B3821"/>
    <w:rsid w:val="005B38E2"/>
    <w:rsid w:val="005B434F"/>
    <w:rsid w:val="005B4E16"/>
    <w:rsid w:val="005B5091"/>
    <w:rsid w:val="005B520C"/>
    <w:rsid w:val="005B587D"/>
    <w:rsid w:val="005B595D"/>
    <w:rsid w:val="005B595F"/>
    <w:rsid w:val="005B5D13"/>
    <w:rsid w:val="005B5D27"/>
    <w:rsid w:val="005B5D68"/>
    <w:rsid w:val="005B5EE8"/>
    <w:rsid w:val="005B64DD"/>
    <w:rsid w:val="005B6AB6"/>
    <w:rsid w:val="005B6C0A"/>
    <w:rsid w:val="005B7BD7"/>
    <w:rsid w:val="005C00BA"/>
    <w:rsid w:val="005C00FD"/>
    <w:rsid w:val="005C01A7"/>
    <w:rsid w:val="005C045F"/>
    <w:rsid w:val="005C04F0"/>
    <w:rsid w:val="005C05DD"/>
    <w:rsid w:val="005C0698"/>
    <w:rsid w:val="005C0ACE"/>
    <w:rsid w:val="005C0E26"/>
    <w:rsid w:val="005C0EA9"/>
    <w:rsid w:val="005C1000"/>
    <w:rsid w:val="005C13B5"/>
    <w:rsid w:val="005C1654"/>
    <w:rsid w:val="005C1D6C"/>
    <w:rsid w:val="005C1FD9"/>
    <w:rsid w:val="005C2378"/>
    <w:rsid w:val="005C292B"/>
    <w:rsid w:val="005C33F4"/>
    <w:rsid w:val="005C3664"/>
    <w:rsid w:val="005C3851"/>
    <w:rsid w:val="005C4B0D"/>
    <w:rsid w:val="005C5490"/>
    <w:rsid w:val="005C577C"/>
    <w:rsid w:val="005C59EC"/>
    <w:rsid w:val="005C5AC1"/>
    <w:rsid w:val="005C5E0D"/>
    <w:rsid w:val="005C630A"/>
    <w:rsid w:val="005C6712"/>
    <w:rsid w:val="005C6D05"/>
    <w:rsid w:val="005C7033"/>
    <w:rsid w:val="005C73C0"/>
    <w:rsid w:val="005C74C5"/>
    <w:rsid w:val="005C7730"/>
    <w:rsid w:val="005C796B"/>
    <w:rsid w:val="005C7CBD"/>
    <w:rsid w:val="005C7CC8"/>
    <w:rsid w:val="005C7F98"/>
    <w:rsid w:val="005D0143"/>
    <w:rsid w:val="005D0145"/>
    <w:rsid w:val="005D04EE"/>
    <w:rsid w:val="005D0975"/>
    <w:rsid w:val="005D0B54"/>
    <w:rsid w:val="005D0BCE"/>
    <w:rsid w:val="005D11BB"/>
    <w:rsid w:val="005D1252"/>
    <w:rsid w:val="005D141A"/>
    <w:rsid w:val="005D177E"/>
    <w:rsid w:val="005D1935"/>
    <w:rsid w:val="005D1A69"/>
    <w:rsid w:val="005D1BFF"/>
    <w:rsid w:val="005D2268"/>
    <w:rsid w:val="005D2330"/>
    <w:rsid w:val="005D2B44"/>
    <w:rsid w:val="005D3489"/>
    <w:rsid w:val="005D3715"/>
    <w:rsid w:val="005D384D"/>
    <w:rsid w:val="005D3B57"/>
    <w:rsid w:val="005D3C9B"/>
    <w:rsid w:val="005D42D8"/>
    <w:rsid w:val="005D4977"/>
    <w:rsid w:val="005D4A1C"/>
    <w:rsid w:val="005D5040"/>
    <w:rsid w:val="005D506C"/>
    <w:rsid w:val="005D5634"/>
    <w:rsid w:val="005D5774"/>
    <w:rsid w:val="005D5D27"/>
    <w:rsid w:val="005D6344"/>
    <w:rsid w:val="005D66C4"/>
    <w:rsid w:val="005D7EC3"/>
    <w:rsid w:val="005E01BB"/>
    <w:rsid w:val="005E0B26"/>
    <w:rsid w:val="005E0DB6"/>
    <w:rsid w:val="005E11A5"/>
    <w:rsid w:val="005E2CE4"/>
    <w:rsid w:val="005E2D0F"/>
    <w:rsid w:val="005E320C"/>
    <w:rsid w:val="005E37DB"/>
    <w:rsid w:val="005E3AEC"/>
    <w:rsid w:val="005E3BBD"/>
    <w:rsid w:val="005E4FC5"/>
    <w:rsid w:val="005E5582"/>
    <w:rsid w:val="005E5597"/>
    <w:rsid w:val="005E573B"/>
    <w:rsid w:val="005E58AA"/>
    <w:rsid w:val="005E595F"/>
    <w:rsid w:val="005E5E6E"/>
    <w:rsid w:val="005E666B"/>
    <w:rsid w:val="005E6AA1"/>
    <w:rsid w:val="005E7008"/>
    <w:rsid w:val="005E7FFC"/>
    <w:rsid w:val="005F0126"/>
    <w:rsid w:val="005F0201"/>
    <w:rsid w:val="005F09E6"/>
    <w:rsid w:val="005F0E29"/>
    <w:rsid w:val="005F1243"/>
    <w:rsid w:val="005F1355"/>
    <w:rsid w:val="005F1E43"/>
    <w:rsid w:val="005F2854"/>
    <w:rsid w:val="005F2C22"/>
    <w:rsid w:val="005F3BC8"/>
    <w:rsid w:val="005F4376"/>
    <w:rsid w:val="005F4B8C"/>
    <w:rsid w:val="005F4BC6"/>
    <w:rsid w:val="005F4C66"/>
    <w:rsid w:val="005F4D56"/>
    <w:rsid w:val="005F5062"/>
    <w:rsid w:val="005F53BB"/>
    <w:rsid w:val="005F5ADD"/>
    <w:rsid w:val="005F5DD3"/>
    <w:rsid w:val="005F6037"/>
    <w:rsid w:val="005F650E"/>
    <w:rsid w:val="005F6524"/>
    <w:rsid w:val="005F65FD"/>
    <w:rsid w:val="005F6D69"/>
    <w:rsid w:val="005F7543"/>
    <w:rsid w:val="005F7DF5"/>
    <w:rsid w:val="006002CF"/>
    <w:rsid w:val="00600493"/>
    <w:rsid w:val="00600AE9"/>
    <w:rsid w:val="0060147B"/>
    <w:rsid w:val="0060164B"/>
    <w:rsid w:val="0060194D"/>
    <w:rsid w:val="006019B3"/>
    <w:rsid w:val="00601C10"/>
    <w:rsid w:val="00601D66"/>
    <w:rsid w:val="00602483"/>
    <w:rsid w:val="00602559"/>
    <w:rsid w:val="00602901"/>
    <w:rsid w:val="00602D5E"/>
    <w:rsid w:val="00603099"/>
    <w:rsid w:val="00603321"/>
    <w:rsid w:val="00603458"/>
    <w:rsid w:val="00603A12"/>
    <w:rsid w:val="00604157"/>
    <w:rsid w:val="00604D13"/>
    <w:rsid w:val="00604F03"/>
    <w:rsid w:val="0060513A"/>
    <w:rsid w:val="006059CC"/>
    <w:rsid w:val="00605A88"/>
    <w:rsid w:val="00605CE7"/>
    <w:rsid w:val="00605DD7"/>
    <w:rsid w:val="00605DDA"/>
    <w:rsid w:val="00605E77"/>
    <w:rsid w:val="006063F9"/>
    <w:rsid w:val="00607343"/>
    <w:rsid w:val="00607ED4"/>
    <w:rsid w:val="006102DF"/>
    <w:rsid w:val="00610A5C"/>
    <w:rsid w:val="00610A6C"/>
    <w:rsid w:val="00610E28"/>
    <w:rsid w:val="00611637"/>
    <w:rsid w:val="00611930"/>
    <w:rsid w:val="00611D96"/>
    <w:rsid w:val="00611E2F"/>
    <w:rsid w:val="00612121"/>
    <w:rsid w:val="006121DF"/>
    <w:rsid w:val="00612B0D"/>
    <w:rsid w:val="00612D25"/>
    <w:rsid w:val="00613361"/>
    <w:rsid w:val="006136A7"/>
    <w:rsid w:val="00613C5A"/>
    <w:rsid w:val="00613CA9"/>
    <w:rsid w:val="00613E6B"/>
    <w:rsid w:val="006140C4"/>
    <w:rsid w:val="006143E6"/>
    <w:rsid w:val="006149D8"/>
    <w:rsid w:val="00614C7A"/>
    <w:rsid w:val="0061510E"/>
    <w:rsid w:val="00615793"/>
    <w:rsid w:val="006162AF"/>
    <w:rsid w:val="0061672B"/>
    <w:rsid w:val="00617224"/>
    <w:rsid w:val="0061727B"/>
    <w:rsid w:val="0061751D"/>
    <w:rsid w:val="006176C0"/>
    <w:rsid w:val="00620253"/>
    <w:rsid w:val="00620580"/>
    <w:rsid w:val="00620F88"/>
    <w:rsid w:val="00621268"/>
    <w:rsid w:val="00621663"/>
    <w:rsid w:val="00621CDA"/>
    <w:rsid w:val="00622479"/>
    <w:rsid w:val="00622587"/>
    <w:rsid w:val="00622A40"/>
    <w:rsid w:val="00622AC9"/>
    <w:rsid w:val="00622D2C"/>
    <w:rsid w:val="00624281"/>
    <w:rsid w:val="0062429D"/>
    <w:rsid w:val="00624546"/>
    <w:rsid w:val="00624745"/>
    <w:rsid w:val="006249C5"/>
    <w:rsid w:val="006249FE"/>
    <w:rsid w:val="00624AD3"/>
    <w:rsid w:val="00625571"/>
    <w:rsid w:val="006257FB"/>
    <w:rsid w:val="006259F3"/>
    <w:rsid w:val="00625AF1"/>
    <w:rsid w:val="00625BFC"/>
    <w:rsid w:val="00625DEC"/>
    <w:rsid w:val="00625E17"/>
    <w:rsid w:val="00626024"/>
    <w:rsid w:val="0062605B"/>
    <w:rsid w:val="006261C2"/>
    <w:rsid w:val="00626445"/>
    <w:rsid w:val="00627144"/>
    <w:rsid w:val="00627A85"/>
    <w:rsid w:val="00630212"/>
    <w:rsid w:val="00630760"/>
    <w:rsid w:val="006311E4"/>
    <w:rsid w:val="006314CF"/>
    <w:rsid w:val="0063158A"/>
    <w:rsid w:val="006315DF"/>
    <w:rsid w:val="006318A9"/>
    <w:rsid w:val="00631A12"/>
    <w:rsid w:val="00631CBE"/>
    <w:rsid w:val="00632656"/>
    <w:rsid w:val="00632895"/>
    <w:rsid w:val="006329A9"/>
    <w:rsid w:val="00632A41"/>
    <w:rsid w:val="006332A8"/>
    <w:rsid w:val="00633426"/>
    <w:rsid w:val="0063373A"/>
    <w:rsid w:val="0063382F"/>
    <w:rsid w:val="00633B2E"/>
    <w:rsid w:val="00633DA4"/>
    <w:rsid w:val="006343AD"/>
    <w:rsid w:val="00634437"/>
    <w:rsid w:val="006345E3"/>
    <w:rsid w:val="00634C28"/>
    <w:rsid w:val="00634CEE"/>
    <w:rsid w:val="00635AE0"/>
    <w:rsid w:val="006360A4"/>
    <w:rsid w:val="0063644E"/>
    <w:rsid w:val="00636815"/>
    <w:rsid w:val="0063684D"/>
    <w:rsid w:val="00636B70"/>
    <w:rsid w:val="00636CE5"/>
    <w:rsid w:val="0063740F"/>
    <w:rsid w:val="0063765A"/>
    <w:rsid w:val="00637A86"/>
    <w:rsid w:val="00637E91"/>
    <w:rsid w:val="006400F2"/>
    <w:rsid w:val="006405A2"/>
    <w:rsid w:val="006406F2"/>
    <w:rsid w:val="00640822"/>
    <w:rsid w:val="00640C99"/>
    <w:rsid w:val="00641A3A"/>
    <w:rsid w:val="00641BDF"/>
    <w:rsid w:val="00641D82"/>
    <w:rsid w:val="00641E35"/>
    <w:rsid w:val="00642055"/>
    <w:rsid w:val="00642220"/>
    <w:rsid w:val="006422AB"/>
    <w:rsid w:val="00642E6A"/>
    <w:rsid w:val="00643259"/>
    <w:rsid w:val="00643997"/>
    <w:rsid w:val="00643AD2"/>
    <w:rsid w:val="00643F4A"/>
    <w:rsid w:val="00643FE9"/>
    <w:rsid w:val="006441EC"/>
    <w:rsid w:val="006444D5"/>
    <w:rsid w:val="00644BAC"/>
    <w:rsid w:val="00644DE0"/>
    <w:rsid w:val="00645173"/>
    <w:rsid w:val="00645311"/>
    <w:rsid w:val="00645659"/>
    <w:rsid w:val="00645DD5"/>
    <w:rsid w:val="00646DA9"/>
    <w:rsid w:val="0064747E"/>
    <w:rsid w:val="00647729"/>
    <w:rsid w:val="00647A54"/>
    <w:rsid w:val="00647DF4"/>
    <w:rsid w:val="00647EE4"/>
    <w:rsid w:val="00650057"/>
    <w:rsid w:val="00650474"/>
    <w:rsid w:val="00650803"/>
    <w:rsid w:val="00650935"/>
    <w:rsid w:val="00650C1E"/>
    <w:rsid w:val="00650E89"/>
    <w:rsid w:val="00650F9F"/>
    <w:rsid w:val="00651347"/>
    <w:rsid w:val="00651BD4"/>
    <w:rsid w:val="00651CA1"/>
    <w:rsid w:val="00651D60"/>
    <w:rsid w:val="00651DDF"/>
    <w:rsid w:val="00651FA4"/>
    <w:rsid w:val="006520A8"/>
    <w:rsid w:val="006521A5"/>
    <w:rsid w:val="0065249F"/>
    <w:rsid w:val="006524A3"/>
    <w:rsid w:val="006533A0"/>
    <w:rsid w:val="00653C4D"/>
    <w:rsid w:val="00654017"/>
    <w:rsid w:val="00654B52"/>
    <w:rsid w:val="0065589C"/>
    <w:rsid w:val="00655AE0"/>
    <w:rsid w:val="00655C1C"/>
    <w:rsid w:val="00655FBB"/>
    <w:rsid w:val="0065658B"/>
    <w:rsid w:val="0065683E"/>
    <w:rsid w:val="0065694C"/>
    <w:rsid w:val="00657F1F"/>
    <w:rsid w:val="00660517"/>
    <w:rsid w:val="00660E9E"/>
    <w:rsid w:val="0066118E"/>
    <w:rsid w:val="0066120D"/>
    <w:rsid w:val="006613A9"/>
    <w:rsid w:val="00661542"/>
    <w:rsid w:val="00661971"/>
    <w:rsid w:val="00661B3C"/>
    <w:rsid w:val="00661DA5"/>
    <w:rsid w:val="00661F40"/>
    <w:rsid w:val="006620FB"/>
    <w:rsid w:val="00662262"/>
    <w:rsid w:val="006625BF"/>
    <w:rsid w:val="00662C82"/>
    <w:rsid w:val="00662DE0"/>
    <w:rsid w:val="00662FEA"/>
    <w:rsid w:val="006632CF"/>
    <w:rsid w:val="006634BF"/>
    <w:rsid w:val="006634CD"/>
    <w:rsid w:val="00663BAF"/>
    <w:rsid w:val="00663F93"/>
    <w:rsid w:val="00664098"/>
    <w:rsid w:val="00664401"/>
    <w:rsid w:val="0066488F"/>
    <w:rsid w:val="006650E2"/>
    <w:rsid w:val="0066518B"/>
    <w:rsid w:val="006651C0"/>
    <w:rsid w:val="00665316"/>
    <w:rsid w:val="00665751"/>
    <w:rsid w:val="00665801"/>
    <w:rsid w:val="006659D0"/>
    <w:rsid w:val="00665FAD"/>
    <w:rsid w:val="00665FBC"/>
    <w:rsid w:val="00666273"/>
    <w:rsid w:val="00666402"/>
    <w:rsid w:val="00666A92"/>
    <w:rsid w:val="00666BE3"/>
    <w:rsid w:val="00666CAF"/>
    <w:rsid w:val="00667927"/>
    <w:rsid w:val="006705C5"/>
    <w:rsid w:val="00671AA4"/>
    <w:rsid w:val="006727AB"/>
    <w:rsid w:val="00672870"/>
    <w:rsid w:val="006728CE"/>
    <w:rsid w:val="00673819"/>
    <w:rsid w:val="00673AEE"/>
    <w:rsid w:val="00673EFF"/>
    <w:rsid w:val="00675229"/>
    <w:rsid w:val="0067571F"/>
    <w:rsid w:val="006757C5"/>
    <w:rsid w:val="00675EF6"/>
    <w:rsid w:val="006765EC"/>
    <w:rsid w:val="006768F8"/>
    <w:rsid w:val="00677F2D"/>
    <w:rsid w:val="006804DA"/>
    <w:rsid w:val="006805C5"/>
    <w:rsid w:val="00680F37"/>
    <w:rsid w:val="0068147E"/>
    <w:rsid w:val="006814EC"/>
    <w:rsid w:val="0068192E"/>
    <w:rsid w:val="00681C67"/>
    <w:rsid w:val="00682063"/>
    <w:rsid w:val="006822B4"/>
    <w:rsid w:val="006822F2"/>
    <w:rsid w:val="0068247E"/>
    <w:rsid w:val="006825B0"/>
    <w:rsid w:val="00682B72"/>
    <w:rsid w:val="00682BC3"/>
    <w:rsid w:val="00682C67"/>
    <w:rsid w:val="00683007"/>
    <w:rsid w:val="00683378"/>
    <w:rsid w:val="0068363E"/>
    <w:rsid w:val="00683BDB"/>
    <w:rsid w:val="0068416C"/>
    <w:rsid w:val="0068448E"/>
    <w:rsid w:val="00684519"/>
    <w:rsid w:val="00685598"/>
    <w:rsid w:val="00685DE9"/>
    <w:rsid w:val="006865A5"/>
    <w:rsid w:val="00686A95"/>
    <w:rsid w:val="00686BC3"/>
    <w:rsid w:val="00687283"/>
    <w:rsid w:val="00687901"/>
    <w:rsid w:val="00687BD6"/>
    <w:rsid w:val="00690028"/>
    <w:rsid w:val="00690163"/>
    <w:rsid w:val="00690297"/>
    <w:rsid w:val="006904A5"/>
    <w:rsid w:val="0069091A"/>
    <w:rsid w:val="00690B5E"/>
    <w:rsid w:val="00690DCB"/>
    <w:rsid w:val="00691207"/>
    <w:rsid w:val="0069132D"/>
    <w:rsid w:val="006915DE"/>
    <w:rsid w:val="00691AC5"/>
    <w:rsid w:val="00691CAB"/>
    <w:rsid w:val="0069250D"/>
    <w:rsid w:val="00692C52"/>
    <w:rsid w:val="00692F9C"/>
    <w:rsid w:val="00692FCA"/>
    <w:rsid w:val="00693466"/>
    <w:rsid w:val="00693777"/>
    <w:rsid w:val="00693E31"/>
    <w:rsid w:val="00693F4C"/>
    <w:rsid w:val="006947DE"/>
    <w:rsid w:val="0069497B"/>
    <w:rsid w:val="00694B5D"/>
    <w:rsid w:val="00694C70"/>
    <w:rsid w:val="00694CE8"/>
    <w:rsid w:val="00694D47"/>
    <w:rsid w:val="00695683"/>
    <w:rsid w:val="006957D8"/>
    <w:rsid w:val="00695B67"/>
    <w:rsid w:val="00696014"/>
    <w:rsid w:val="00696719"/>
    <w:rsid w:val="00696A24"/>
    <w:rsid w:val="00696C80"/>
    <w:rsid w:val="00696F22"/>
    <w:rsid w:val="00697005"/>
    <w:rsid w:val="006970C1"/>
    <w:rsid w:val="00697B35"/>
    <w:rsid w:val="00697BA3"/>
    <w:rsid w:val="006A2693"/>
    <w:rsid w:val="006A2A3B"/>
    <w:rsid w:val="006A2CF7"/>
    <w:rsid w:val="006A2DCD"/>
    <w:rsid w:val="006A333B"/>
    <w:rsid w:val="006A33F6"/>
    <w:rsid w:val="006A3482"/>
    <w:rsid w:val="006A351E"/>
    <w:rsid w:val="006A3A1B"/>
    <w:rsid w:val="006A3DF2"/>
    <w:rsid w:val="006A40A1"/>
    <w:rsid w:val="006A40FA"/>
    <w:rsid w:val="006A48E9"/>
    <w:rsid w:val="006A4978"/>
    <w:rsid w:val="006A4E57"/>
    <w:rsid w:val="006A4EB6"/>
    <w:rsid w:val="006A51E1"/>
    <w:rsid w:val="006A52B9"/>
    <w:rsid w:val="006A550C"/>
    <w:rsid w:val="006A588F"/>
    <w:rsid w:val="006A5DEB"/>
    <w:rsid w:val="006A6CDA"/>
    <w:rsid w:val="006A6D97"/>
    <w:rsid w:val="006A7540"/>
    <w:rsid w:val="006A7DC4"/>
    <w:rsid w:val="006B00BC"/>
    <w:rsid w:val="006B0AC8"/>
    <w:rsid w:val="006B0BBE"/>
    <w:rsid w:val="006B1611"/>
    <w:rsid w:val="006B1960"/>
    <w:rsid w:val="006B1E67"/>
    <w:rsid w:val="006B26C8"/>
    <w:rsid w:val="006B27E8"/>
    <w:rsid w:val="006B286B"/>
    <w:rsid w:val="006B3533"/>
    <w:rsid w:val="006B35D6"/>
    <w:rsid w:val="006B39E1"/>
    <w:rsid w:val="006B3E31"/>
    <w:rsid w:val="006B3EF1"/>
    <w:rsid w:val="006B4283"/>
    <w:rsid w:val="006B46D2"/>
    <w:rsid w:val="006B4C04"/>
    <w:rsid w:val="006B4E3B"/>
    <w:rsid w:val="006B51F9"/>
    <w:rsid w:val="006B5453"/>
    <w:rsid w:val="006B5684"/>
    <w:rsid w:val="006B57B8"/>
    <w:rsid w:val="006B5A40"/>
    <w:rsid w:val="006B5C7A"/>
    <w:rsid w:val="006B6065"/>
    <w:rsid w:val="006B6071"/>
    <w:rsid w:val="006B607C"/>
    <w:rsid w:val="006B6F60"/>
    <w:rsid w:val="006B7B35"/>
    <w:rsid w:val="006B7D7E"/>
    <w:rsid w:val="006C0021"/>
    <w:rsid w:val="006C006C"/>
    <w:rsid w:val="006C0252"/>
    <w:rsid w:val="006C07E8"/>
    <w:rsid w:val="006C1384"/>
    <w:rsid w:val="006C1532"/>
    <w:rsid w:val="006C1B06"/>
    <w:rsid w:val="006C1D8F"/>
    <w:rsid w:val="006C21C6"/>
    <w:rsid w:val="006C2DD6"/>
    <w:rsid w:val="006C326F"/>
    <w:rsid w:val="006C3786"/>
    <w:rsid w:val="006C3958"/>
    <w:rsid w:val="006C3A1C"/>
    <w:rsid w:val="006C3AA3"/>
    <w:rsid w:val="006C411F"/>
    <w:rsid w:val="006C4A6C"/>
    <w:rsid w:val="006C4F03"/>
    <w:rsid w:val="006C53AC"/>
    <w:rsid w:val="006C5404"/>
    <w:rsid w:val="006C68D6"/>
    <w:rsid w:val="006C6AF3"/>
    <w:rsid w:val="006C75FE"/>
    <w:rsid w:val="006D0439"/>
    <w:rsid w:val="006D05CE"/>
    <w:rsid w:val="006D0AC5"/>
    <w:rsid w:val="006D0DA3"/>
    <w:rsid w:val="006D1531"/>
    <w:rsid w:val="006D16B9"/>
    <w:rsid w:val="006D174C"/>
    <w:rsid w:val="006D175A"/>
    <w:rsid w:val="006D193C"/>
    <w:rsid w:val="006D2665"/>
    <w:rsid w:val="006D2678"/>
    <w:rsid w:val="006D2B26"/>
    <w:rsid w:val="006D2CA6"/>
    <w:rsid w:val="006D31CA"/>
    <w:rsid w:val="006D3E61"/>
    <w:rsid w:val="006D4F83"/>
    <w:rsid w:val="006D5492"/>
    <w:rsid w:val="006D55A2"/>
    <w:rsid w:val="006D5E27"/>
    <w:rsid w:val="006D6198"/>
    <w:rsid w:val="006D622D"/>
    <w:rsid w:val="006D62FE"/>
    <w:rsid w:val="006D6DF1"/>
    <w:rsid w:val="006D6F69"/>
    <w:rsid w:val="006D78C6"/>
    <w:rsid w:val="006D7938"/>
    <w:rsid w:val="006D79B7"/>
    <w:rsid w:val="006D7B4A"/>
    <w:rsid w:val="006D7F49"/>
    <w:rsid w:val="006E023C"/>
    <w:rsid w:val="006E0347"/>
    <w:rsid w:val="006E0370"/>
    <w:rsid w:val="006E03F2"/>
    <w:rsid w:val="006E07BC"/>
    <w:rsid w:val="006E0A5B"/>
    <w:rsid w:val="006E10B1"/>
    <w:rsid w:val="006E1139"/>
    <w:rsid w:val="006E11D7"/>
    <w:rsid w:val="006E13DC"/>
    <w:rsid w:val="006E1921"/>
    <w:rsid w:val="006E1D59"/>
    <w:rsid w:val="006E2EAA"/>
    <w:rsid w:val="006E3079"/>
    <w:rsid w:val="006E3575"/>
    <w:rsid w:val="006E3775"/>
    <w:rsid w:val="006E3C26"/>
    <w:rsid w:val="006E4754"/>
    <w:rsid w:val="006E49E1"/>
    <w:rsid w:val="006E4E13"/>
    <w:rsid w:val="006E53AB"/>
    <w:rsid w:val="006E549D"/>
    <w:rsid w:val="006E569A"/>
    <w:rsid w:val="006E57FB"/>
    <w:rsid w:val="006E5A05"/>
    <w:rsid w:val="006E5AEB"/>
    <w:rsid w:val="006E639F"/>
    <w:rsid w:val="006E6629"/>
    <w:rsid w:val="006E666D"/>
    <w:rsid w:val="006E6700"/>
    <w:rsid w:val="006E6766"/>
    <w:rsid w:val="006E678B"/>
    <w:rsid w:val="006E692E"/>
    <w:rsid w:val="006E6B35"/>
    <w:rsid w:val="006E6EA3"/>
    <w:rsid w:val="006E71AB"/>
    <w:rsid w:val="006E7810"/>
    <w:rsid w:val="006E7A6F"/>
    <w:rsid w:val="006E7C7E"/>
    <w:rsid w:val="006F009B"/>
    <w:rsid w:val="006F08E6"/>
    <w:rsid w:val="006F14B0"/>
    <w:rsid w:val="006F1A56"/>
    <w:rsid w:val="006F1CE1"/>
    <w:rsid w:val="006F1F68"/>
    <w:rsid w:val="006F1FA0"/>
    <w:rsid w:val="006F2174"/>
    <w:rsid w:val="006F21E3"/>
    <w:rsid w:val="006F2538"/>
    <w:rsid w:val="006F25E1"/>
    <w:rsid w:val="006F277F"/>
    <w:rsid w:val="006F2ADA"/>
    <w:rsid w:val="006F2BB5"/>
    <w:rsid w:val="006F2D4F"/>
    <w:rsid w:val="006F3902"/>
    <w:rsid w:val="006F3D16"/>
    <w:rsid w:val="006F3E75"/>
    <w:rsid w:val="006F3FB7"/>
    <w:rsid w:val="006F46A4"/>
    <w:rsid w:val="006F48C7"/>
    <w:rsid w:val="006F5161"/>
    <w:rsid w:val="006F5259"/>
    <w:rsid w:val="006F55CE"/>
    <w:rsid w:val="006F6850"/>
    <w:rsid w:val="006F6861"/>
    <w:rsid w:val="006F6FDC"/>
    <w:rsid w:val="006F7618"/>
    <w:rsid w:val="006F78AC"/>
    <w:rsid w:val="006F7B80"/>
    <w:rsid w:val="006F7CF4"/>
    <w:rsid w:val="0070011C"/>
    <w:rsid w:val="007007E7"/>
    <w:rsid w:val="00700C54"/>
    <w:rsid w:val="00700FD7"/>
    <w:rsid w:val="00701087"/>
    <w:rsid w:val="007016C8"/>
    <w:rsid w:val="00701EF7"/>
    <w:rsid w:val="00701F3B"/>
    <w:rsid w:val="007025C1"/>
    <w:rsid w:val="00702A3E"/>
    <w:rsid w:val="00702C32"/>
    <w:rsid w:val="00702E40"/>
    <w:rsid w:val="00702F29"/>
    <w:rsid w:val="0070318D"/>
    <w:rsid w:val="007038C0"/>
    <w:rsid w:val="00703A3E"/>
    <w:rsid w:val="00703CF2"/>
    <w:rsid w:val="00703DA7"/>
    <w:rsid w:val="00703DE9"/>
    <w:rsid w:val="00704B8A"/>
    <w:rsid w:val="00704BEB"/>
    <w:rsid w:val="00704E75"/>
    <w:rsid w:val="00704F99"/>
    <w:rsid w:val="00705144"/>
    <w:rsid w:val="00705383"/>
    <w:rsid w:val="00705450"/>
    <w:rsid w:val="00705744"/>
    <w:rsid w:val="00705924"/>
    <w:rsid w:val="0070613E"/>
    <w:rsid w:val="0070677B"/>
    <w:rsid w:val="0070708E"/>
    <w:rsid w:val="00707430"/>
    <w:rsid w:val="00707530"/>
    <w:rsid w:val="00707D36"/>
    <w:rsid w:val="00707F40"/>
    <w:rsid w:val="00710635"/>
    <w:rsid w:val="00710B5C"/>
    <w:rsid w:val="00710BB6"/>
    <w:rsid w:val="00710C3F"/>
    <w:rsid w:val="00710D58"/>
    <w:rsid w:val="00711092"/>
    <w:rsid w:val="00711970"/>
    <w:rsid w:val="00711E26"/>
    <w:rsid w:val="0071220D"/>
    <w:rsid w:val="0071226E"/>
    <w:rsid w:val="0071274C"/>
    <w:rsid w:val="00712EC6"/>
    <w:rsid w:val="00712F0F"/>
    <w:rsid w:val="0071349F"/>
    <w:rsid w:val="007149DB"/>
    <w:rsid w:val="00714EA6"/>
    <w:rsid w:val="007153A5"/>
    <w:rsid w:val="00715637"/>
    <w:rsid w:val="00715A19"/>
    <w:rsid w:val="00715D54"/>
    <w:rsid w:val="00716797"/>
    <w:rsid w:val="0071701D"/>
    <w:rsid w:val="007172FE"/>
    <w:rsid w:val="00717663"/>
    <w:rsid w:val="00717CC2"/>
    <w:rsid w:val="0072014D"/>
    <w:rsid w:val="007202AB"/>
    <w:rsid w:val="007203C5"/>
    <w:rsid w:val="007204BF"/>
    <w:rsid w:val="00720BCE"/>
    <w:rsid w:val="0072128D"/>
    <w:rsid w:val="00721367"/>
    <w:rsid w:val="007214CC"/>
    <w:rsid w:val="00721808"/>
    <w:rsid w:val="007244D9"/>
    <w:rsid w:val="007248FB"/>
    <w:rsid w:val="00725111"/>
    <w:rsid w:val="00725796"/>
    <w:rsid w:val="00725C33"/>
    <w:rsid w:val="00725F7F"/>
    <w:rsid w:val="00725FD8"/>
    <w:rsid w:val="00726095"/>
    <w:rsid w:val="00726141"/>
    <w:rsid w:val="007261F0"/>
    <w:rsid w:val="00726326"/>
    <w:rsid w:val="0072670A"/>
    <w:rsid w:val="00726985"/>
    <w:rsid w:val="00726B23"/>
    <w:rsid w:val="007271F3"/>
    <w:rsid w:val="00727290"/>
    <w:rsid w:val="00727C86"/>
    <w:rsid w:val="00730448"/>
    <w:rsid w:val="00730580"/>
    <w:rsid w:val="007307D2"/>
    <w:rsid w:val="00730C07"/>
    <w:rsid w:val="0073136E"/>
    <w:rsid w:val="00731E03"/>
    <w:rsid w:val="007320B6"/>
    <w:rsid w:val="00732A68"/>
    <w:rsid w:val="00732F37"/>
    <w:rsid w:val="00733407"/>
    <w:rsid w:val="00733679"/>
    <w:rsid w:val="00733A42"/>
    <w:rsid w:val="00734018"/>
    <w:rsid w:val="007343E5"/>
    <w:rsid w:val="00734684"/>
    <w:rsid w:val="00734FCD"/>
    <w:rsid w:val="007350E7"/>
    <w:rsid w:val="007354DD"/>
    <w:rsid w:val="00735995"/>
    <w:rsid w:val="00735A75"/>
    <w:rsid w:val="00735AC4"/>
    <w:rsid w:val="00735B72"/>
    <w:rsid w:val="00735C2E"/>
    <w:rsid w:val="00735F5E"/>
    <w:rsid w:val="0073633B"/>
    <w:rsid w:val="0073638C"/>
    <w:rsid w:val="007363F1"/>
    <w:rsid w:val="007365F1"/>
    <w:rsid w:val="007366CD"/>
    <w:rsid w:val="00736907"/>
    <w:rsid w:val="00736D41"/>
    <w:rsid w:val="00736FC1"/>
    <w:rsid w:val="0073719A"/>
    <w:rsid w:val="00737478"/>
    <w:rsid w:val="0073750D"/>
    <w:rsid w:val="007375A6"/>
    <w:rsid w:val="00737633"/>
    <w:rsid w:val="007376D9"/>
    <w:rsid w:val="0073778D"/>
    <w:rsid w:val="00737ADF"/>
    <w:rsid w:val="00737B15"/>
    <w:rsid w:val="00737FFB"/>
    <w:rsid w:val="00740498"/>
    <w:rsid w:val="00740A91"/>
    <w:rsid w:val="00740B90"/>
    <w:rsid w:val="00741215"/>
    <w:rsid w:val="007416E3"/>
    <w:rsid w:val="00741727"/>
    <w:rsid w:val="00741854"/>
    <w:rsid w:val="007419A2"/>
    <w:rsid w:val="00741A09"/>
    <w:rsid w:val="00741BA3"/>
    <w:rsid w:val="00741C46"/>
    <w:rsid w:val="007426C9"/>
    <w:rsid w:val="00742A51"/>
    <w:rsid w:val="00742C1E"/>
    <w:rsid w:val="00743BB4"/>
    <w:rsid w:val="007442B3"/>
    <w:rsid w:val="00744794"/>
    <w:rsid w:val="007452AE"/>
    <w:rsid w:val="0074581C"/>
    <w:rsid w:val="007459A4"/>
    <w:rsid w:val="00745E7A"/>
    <w:rsid w:val="00746BB4"/>
    <w:rsid w:val="0075003C"/>
    <w:rsid w:val="00750B11"/>
    <w:rsid w:val="00750EF9"/>
    <w:rsid w:val="007510D1"/>
    <w:rsid w:val="00751C2B"/>
    <w:rsid w:val="007532FA"/>
    <w:rsid w:val="0075330B"/>
    <w:rsid w:val="00753B78"/>
    <w:rsid w:val="00754D69"/>
    <w:rsid w:val="00754E8C"/>
    <w:rsid w:val="00755116"/>
    <w:rsid w:val="007554B9"/>
    <w:rsid w:val="00755C31"/>
    <w:rsid w:val="00755C85"/>
    <w:rsid w:val="00755E9F"/>
    <w:rsid w:val="00756023"/>
    <w:rsid w:val="007565C9"/>
    <w:rsid w:val="00756B88"/>
    <w:rsid w:val="00756BC1"/>
    <w:rsid w:val="00756E9B"/>
    <w:rsid w:val="00756EBF"/>
    <w:rsid w:val="00756F1D"/>
    <w:rsid w:val="00757130"/>
    <w:rsid w:val="007575C2"/>
    <w:rsid w:val="00757EC0"/>
    <w:rsid w:val="00760168"/>
    <w:rsid w:val="0076028B"/>
    <w:rsid w:val="0076038B"/>
    <w:rsid w:val="00760962"/>
    <w:rsid w:val="00760C77"/>
    <w:rsid w:val="007611E4"/>
    <w:rsid w:val="007616BB"/>
    <w:rsid w:val="00761858"/>
    <w:rsid w:val="00761CD1"/>
    <w:rsid w:val="00761E41"/>
    <w:rsid w:val="00762227"/>
    <w:rsid w:val="007623FE"/>
    <w:rsid w:val="007628AE"/>
    <w:rsid w:val="00762B23"/>
    <w:rsid w:val="00762B47"/>
    <w:rsid w:val="00762D02"/>
    <w:rsid w:val="007637D9"/>
    <w:rsid w:val="00763BE0"/>
    <w:rsid w:val="00763FA8"/>
    <w:rsid w:val="0076431B"/>
    <w:rsid w:val="00764331"/>
    <w:rsid w:val="0076472B"/>
    <w:rsid w:val="00764A2D"/>
    <w:rsid w:val="007656AB"/>
    <w:rsid w:val="00765947"/>
    <w:rsid w:val="00765A1D"/>
    <w:rsid w:val="00765A96"/>
    <w:rsid w:val="00765FAB"/>
    <w:rsid w:val="007662CE"/>
    <w:rsid w:val="00766382"/>
    <w:rsid w:val="007667CC"/>
    <w:rsid w:val="00766B52"/>
    <w:rsid w:val="00767A31"/>
    <w:rsid w:val="00767D47"/>
    <w:rsid w:val="00767EA4"/>
    <w:rsid w:val="00770469"/>
    <w:rsid w:val="00770B3A"/>
    <w:rsid w:val="007713D5"/>
    <w:rsid w:val="0077159E"/>
    <w:rsid w:val="00771900"/>
    <w:rsid w:val="00771A83"/>
    <w:rsid w:val="00771BE7"/>
    <w:rsid w:val="007720DD"/>
    <w:rsid w:val="007724EB"/>
    <w:rsid w:val="00772A66"/>
    <w:rsid w:val="00772B4B"/>
    <w:rsid w:val="007734D1"/>
    <w:rsid w:val="0077350F"/>
    <w:rsid w:val="0077375C"/>
    <w:rsid w:val="007741D9"/>
    <w:rsid w:val="007747B3"/>
    <w:rsid w:val="00774918"/>
    <w:rsid w:val="00774D17"/>
    <w:rsid w:val="00775B8A"/>
    <w:rsid w:val="007761F3"/>
    <w:rsid w:val="00776414"/>
    <w:rsid w:val="007765EE"/>
    <w:rsid w:val="007765FC"/>
    <w:rsid w:val="007770D6"/>
    <w:rsid w:val="00777AE1"/>
    <w:rsid w:val="00777D60"/>
    <w:rsid w:val="00777E71"/>
    <w:rsid w:val="00777FF0"/>
    <w:rsid w:val="0078007D"/>
    <w:rsid w:val="007804BA"/>
    <w:rsid w:val="007805DB"/>
    <w:rsid w:val="007809A9"/>
    <w:rsid w:val="00780AC8"/>
    <w:rsid w:val="00780C62"/>
    <w:rsid w:val="00780E4C"/>
    <w:rsid w:val="0078151B"/>
    <w:rsid w:val="00781C1D"/>
    <w:rsid w:val="00781CF2"/>
    <w:rsid w:val="0078215F"/>
    <w:rsid w:val="00782245"/>
    <w:rsid w:val="0078270B"/>
    <w:rsid w:val="00782AA6"/>
    <w:rsid w:val="00782C67"/>
    <w:rsid w:val="007833D4"/>
    <w:rsid w:val="00783FE6"/>
    <w:rsid w:val="007841BF"/>
    <w:rsid w:val="00784DC8"/>
    <w:rsid w:val="00785920"/>
    <w:rsid w:val="00785CAC"/>
    <w:rsid w:val="0078664E"/>
    <w:rsid w:val="0078665F"/>
    <w:rsid w:val="007867E4"/>
    <w:rsid w:val="00786B88"/>
    <w:rsid w:val="00786E19"/>
    <w:rsid w:val="00786EA0"/>
    <w:rsid w:val="00787443"/>
    <w:rsid w:val="007877FA"/>
    <w:rsid w:val="0078782B"/>
    <w:rsid w:val="00787877"/>
    <w:rsid w:val="00790788"/>
    <w:rsid w:val="00790B78"/>
    <w:rsid w:val="00790DFD"/>
    <w:rsid w:val="00790FA6"/>
    <w:rsid w:val="007910EA"/>
    <w:rsid w:val="007913C0"/>
    <w:rsid w:val="007916D2"/>
    <w:rsid w:val="00791C96"/>
    <w:rsid w:val="007928DF"/>
    <w:rsid w:val="0079322C"/>
    <w:rsid w:val="00793773"/>
    <w:rsid w:val="00793E6E"/>
    <w:rsid w:val="0079550F"/>
    <w:rsid w:val="00795EA1"/>
    <w:rsid w:val="00795FCF"/>
    <w:rsid w:val="00796098"/>
    <w:rsid w:val="007960F9"/>
    <w:rsid w:val="007962C7"/>
    <w:rsid w:val="00796872"/>
    <w:rsid w:val="007969C8"/>
    <w:rsid w:val="007970E6"/>
    <w:rsid w:val="00797157"/>
    <w:rsid w:val="00797511"/>
    <w:rsid w:val="007A0098"/>
    <w:rsid w:val="007A0267"/>
    <w:rsid w:val="007A0F15"/>
    <w:rsid w:val="007A105E"/>
    <w:rsid w:val="007A1238"/>
    <w:rsid w:val="007A13D1"/>
    <w:rsid w:val="007A1849"/>
    <w:rsid w:val="007A196A"/>
    <w:rsid w:val="007A1C0A"/>
    <w:rsid w:val="007A1CBB"/>
    <w:rsid w:val="007A23B8"/>
    <w:rsid w:val="007A2D91"/>
    <w:rsid w:val="007A34E8"/>
    <w:rsid w:val="007A40D1"/>
    <w:rsid w:val="007A413B"/>
    <w:rsid w:val="007A4291"/>
    <w:rsid w:val="007A4DD2"/>
    <w:rsid w:val="007A5C34"/>
    <w:rsid w:val="007A5EFD"/>
    <w:rsid w:val="007A6097"/>
    <w:rsid w:val="007A6567"/>
    <w:rsid w:val="007A66D0"/>
    <w:rsid w:val="007A68AB"/>
    <w:rsid w:val="007A6A5A"/>
    <w:rsid w:val="007A7076"/>
    <w:rsid w:val="007A70C2"/>
    <w:rsid w:val="007A73D7"/>
    <w:rsid w:val="007A7592"/>
    <w:rsid w:val="007A78E8"/>
    <w:rsid w:val="007A7981"/>
    <w:rsid w:val="007B05AE"/>
    <w:rsid w:val="007B05DC"/>
    <w:rsid w:val="007B0752"/>
    <w:rsid w:val="007B07BF"/>
    <w:rsid w:val="007B0C7F"/>
    <w:rsid w:val="007B0F6F"/>
    <w:rsid w:val="007B26B7"/>
    <w:rsid w:val="007B2847"/>
    <w:rsid w:val="007B2957"/>
    <w:rsid w:val="007B2BB1"/>
    <w:rsid w:val="007B2C73"/>
    <w:rsid w:val="007B2E67"/>
    <w:rsid w:val="007B33A6"/>
    <w:rsid w:val="007B3749"/>
    <w:rsid w:val="007B3985"/>
    <w:rsid w:val="007B3C4D"/>
    <w:rsid w:val="007B443A"/>
    <w:rsid w:val="007B4AB6"/>
    <w:rsid w:val="007B51E3"/>
    <w:rsid w:val="007B58B2"/>
    <w:rsid w:val="007B5A22"/>
    <w:rsid w:val="007B61BD"/>
    <w:rsid w:val="007B67CF"/>
    <w:rsid w:val="007B6DBB"/>
    <w:rsid w:val="007B6E4F"/>
    <w:rsid w:val="007B7281"/>
    <w:rsid w:val="007B743A"/>
    <w:rsid w:val="007B7696"/>
    <w:rsid w:val="007B78E6"/>
    <w:rsid w:val="007B7B51"/>
    <w:rsid w:val="007B7FA0"/>
    <w:rsid w:val="007B7FD7"/>
    <w:rsid w:val="007C018D"/>
    <w:rsid w:val="007C01BD"/>
    <w:rsid w:val="007C08C8"/>
    <w:rsid w:val="007C1807"/>
    <w:rsid w:val="007C1B01"/>
    <w:rsid w:val="007C1E0D"/>
    <w:rsid w:val="007C1E62"/>
    <w:rsid w:val="007C2320"/>
    <w:rsid w:val="007C2414"/>
    <w:rsid w:val="007C24AC"/>
    <w:rsid w:val="007C2725"/>
    <w:rsid w:val="007C2A36"/>
    <w:rsid w:val="007C2B05"/>
    <w:rsid w:val="007C2B9D"/>
    <w:rsid w:val="007C2F96"/>
    <w:rsid w:val="007C30A7"/>
    <w:rsid w:val="007C31E9"/>
    <w:rsid w:val="007C3588"/>
    <w:rsid w:val="007C3F64"/>
    <w:rsid w:val="007C4587"/>
    <w:rsid w:val="007C4663"/>
    <w:rsid w:val="007C51C1"/>
    <w:rsid w:val="007C5620"/>
    <w:rsid w:val="007C5A76"/>
    <w:rsid w:val="007C5D64"/>
    <w:rsid w:val="007C5F2D"/>
    <w:rsid w:val="007C6032"/>
    <w:rsid w:val="007C65A7"/>
    <w:rsid w:val="007C6C96"/>
    <w:rsid w:val="007C6E00"/>
    <w:rsid w:val="007C711B"/>
    <w:rsid w:val="007C74F8"/>
    <w:rsid w:val="007D049C"/>
    <w:rsid w:val="007D04D5"/>
    <w:rsid w:val="007D08F4"/>
    <w:rsid w:val="007D0906"/>
    <w:rsid w:val="007D0CBD"/>
    <w:rsid w:val="007D0DBF"/>
    <w:rsid w:val="007D0E1B"/>
    <w:rsid w:val="007D14DF"/>
    <w:rsid w:val="007D209F"/>
    <w:rsid w:val="007D223F"/>
    <w:rsid w:val="007D2C05"/>
    <w:rsid w:val="007D34D5"/>
    <w:rsid w:val="007D39C9"/>
    <w:rsid w:val="007D3B6C"/>
    <w:rsid w:val="007D3BB4"/>
    <w:rsid w:val="007D4F47"/>
    <w:rsid w:val="007D5329"/>
    <w:rsid w:val="007D5F3A"/>
    <w:rsid w:val="007D64B4"/>
    <w:rsid w:val="007D686B"/>
    <w:rsid w:val="007D6DAD"/>
    <w:rsid w:val="007D7065"/>
    <w:rsid w:val="007D7072"/>
    <w:rsid w:val="007D75DF"/>
    <w:rsid w:val="007D7705"/>
    <w:rsid w:val="007D7BE4"/>
    <w:rsid w:val="007D7FD9"/>
    <w:rsid w:val="007E043A"/>
    <w:rsid w:val="007E06E4"/>
    <w:rsid w:val="007E0A31"/>
    <w:rsid w:val="007E0B6B"/>
    <w:rsid w:val="007E0CA4"/>
    <w:rsid w:val="007E1457"/>
    <w:rsid w:val="007E1644"/>
    <w:rsid w:val="007E16C4"/>
    <w:rsid w:val="007E175B"/>
    <w:rsid w:val="007E1ACB"/>
    <w:rsid w:val="007E20C6"/>
    <w:rsid w:val="007E20E4"/>
    <w:rsid w:val="007E2249"/>
    <w:rsid w:val="007E238C"/>
    <w:rsid w:val="007E23D6"/>
    <w:rsid w:val="007E2700"/>
    <w:rsid w:val="007E288D"/>
    <w:rsid w:val="007E2C52"/>
    <w:rsid w:val="007E2D19"/>
    <w:rsid w:val="007E30FA"/>
    <w:rsid w:val="007E311B"/>
    <w:rsid w:val="007E331C"/>
    <w:rsid w:val="007E37CD"/>
    <w:rsid w:val="007E395F"/>
    <w:rsid w:val="007E3A5E"/>
    <w:rsid w:val="007E3C3D"/>
    <w:rsid w:val="007E4974"/>
    <w:rsid w:val="007E4D3A"/>
    <w:rsid w:val="007E4FB7"/>
    <w:rsid w:val="007E520A"/>
    <w:rsid w:val="007E54D7"/>
    <w:rsid w:val="007E5539"/>
    <w:rsid w:val="007E58BA"/>
    <w:rsid w:val="007E594B"/>
    <w:rsid w:val="007E5CA2"/>
    <w:rsid w:val="007E5D27"/>
    <w:rsid w:val="007E5F6C"/>
    <w:rsid w:val="007E615F"/>
    <w:rsid w:val="007E63A4"/>
    <w:rsid w:val="007E648A"/>
    <w:rsid w:val="007E66F9"/>
    <w:rsid w:val="007E68A8"/>
    <w:rsid w:val="007E6F6C"/>
    <w:rsid w:val="007E725F"/>
    <w:rsid w:val="007E78D7"/>
    <w:rsid w:val="007E7903"/>
    <w:rsid w:val="007F0187"/>
    <w:rsid w:val="007F0306"/>
    <w:rsid w:val="007F0951"/>
    <w:rsid w:val="007F0B96"/>
    <w:rsid w:val="007F0ED4"/>
    <w:rsid w:val="007F1021"/>
    <w:rsid w:val="007F1078"/>
    <w:rsid w:val="007F1BFF"/>
    <w:rsid w:val="007F1D60"/>
    <w:rsid w:val="007F2618"/>
    <w:rsid w:val="007F2C5A"/>
    <w:rsid w:val="007F3665"/>
    <w:rsid w:val="007F3945"/>
    <w:rsid w:val="007F3BBE"/>
    <w:rsid w:val="007F3BDA"/>
    <w:rsid w:val="007F41A8"/>
    <w:rsid w:val="007F460D"/>
    <w:rsid w:val="007F4877"/>
    <w:rsid w:val="007F4C20"/>
    <w:rsid w:val="007F4E0A"/>
    <w:rsid w:val="007F5483"/>
    <w:rsid w:val="007F5515"/>
    <w:rsid w:val="007F55FA"/>
    <w:rsid w:val="007F59F6"/>
    <w:rsid w:val="007F5FA3"/>
    <w:rsid w:val="007F64E4"/>
    <w:rsid w:val="007F652D"/>
    <w:rsid w:val="007F7134"/>
    <w:rsid w:val="007F76D8"/>
    <w:rsid w:val="007F7929"/>
    <w:rsid w:val="007F7D33"/>
    <w:rsid w:val="007F7E4E"/>
    <w:rsid w:val="0080067E"/>
    <w:rsid w:val="008007A5"/>
    <w:rsid w:val="00800D0F"/>
    <w:rsid w:val="008016C4"/>
    <w:rsid w:val="00801AEE"/>
    <w:rsid w:val="00802168"/>
    <w:rsid w:val="00802A45"/>
    <w:rsid w:val="0080339E"/>
    <w:rsid w:val="00803AB4"/>
    <w:rsid w:val="00803F96"/>
    <w:rsid w:val="008040B7"/>
    <w:rsid w:val="0080453D"/>
    <w:rsid w:val="00804DBB"/>
    <w:rsid w:val="0080522F"/>
    <w:rsid w:val="0080554A"/>
    <w:rsid w:val="0080561A"/>
    <w:rsid w:val="00805A20"/>
    <w:rsid w:val="00805E32"/>
    <w:rsid w:val="00805E74"/>
    <w:rsid w:val="0080643E"/>
    <w:rsid w:val="0080654C"/>
    <w:rsid w:val="00806FD0"/>
    <w:rsid w:val="0080701E"/>
    <w:rsid w:val="0080708B"/>
    <w:rsid w:val="00807397"/>
    <w:rsid w:val="0080795B"/>
    <w:rsid w:val="008079B6"/>
    <w:rsid w:val="00807E22"/>
    <w:rsid w:val="00810520"/>
    <w:rsid w:val="0081055E"/>
    <w:rsid w:val="00810725"/>
    <w:rsid w:val="00810797"/>
    <w:rsid w:val="00810C11"/>
    <w:rsid w:val="0081154E"/>
    <w:rsid w:val="008116EA"/>
    <w:rsid w:val="00812051"/>
    <w:rsid w:val="00812C91"/>
    <w:rsid w:val="00812D8C"/>
    <w:rsid w:val="00812E04"/>
    <w:rsid w:val="00812E22"/>
    <w:rsid w:val="00813B2C"/>
    <w:rsid w:val="00813C1B"/>
    <w:rsid w:val="00813C72"/>
    <w:rsid w:val="00814143"/>
    <w:rsid w:val="008143DE"/>
    <w:rsid w:val="00814B36"/>
    <w:rsid w:val="00814EF9"/>
    <w:rsid w:val="008153DC"/>
    <w:rsid w:val="008159D8"/>
    <w:rsid w:val="008162AD"/>
    <w:rsid w:val="00816531"/>
    <w:rsid w:val="00816638"/>
    <w:rsid w:val="0081686C"/>
    <w:rsid w:val="00816EE1"/>
    <w:rsid w:val="00817867"/>
    <w:rsid w:val="00817C95"/>
    <w:rsid w:val="00817F27"/>
    <w:rsid w:val="008203E6"/>
    <w:rsid w:val="00820483"/>
    <w:rsid w:val="00820887"/>
    <w:rsid w:val="008211F8"/>
    <w:rsid w:val="008212D3"/>
    <w:rsid w:val="008216C8"/>
    <w:rsid w:val="00821A96"/>
    <w:rsid w:val="00822015"/>
    <w:rsid w:val="0082284F"/>
    <w:rsid w:val="0082310A"/>
    <w:rsid w:val="008239EB"/>
    <w:rsid w:val="00823F96"/>
    <w:rsid w:val="00824061"/>
    <w:rsid w:val="008244B9"/>
    <w:rsid w:val="00824703"/>
    <w:rsid w:val="0082482E"/>
    <w:rsid w:val="00824996"/>
    <w:rsid w:val="00824A67"/>
    <w:rsid w:val="00824BAA"/>
    <w:rsid w:val="00824C8F"/>
    <w:rsid w:val="00824D10"/>
    <w:rsid w:val="00824E9E"/>
    <w:rsid w:val="00825295"/>
    <w:rsid w:val="008253FF"/>
    <w:rsid w:val="00825600"/>
    <w:rsid w:val="008256B6"/>
    <w:rsid w:val="0082582A"/>
    <w:rsid w:val="0082586F"/>
    <w:rsid w:val="008261A2"/>
    <w:rsid w:val="00826233"/>
    <w:rsid w:val="00826A5D"/>
    <w:rsid w:val="00826BC6"/>
    <w:rsid w:val="00826BE9"/>
    <w:rsid w:val="00827ACC"/>
    <w:rsid w:val="00827E0D"/>
    <w:rsid w:val="00827FA1"/>
    <w:rsid w:val="0083066A"/>
    <w:rsid w:val="008307D1"/>
    <w:rsid w:val="00831122"/>
    <w:rsid w:val="00831796"/>
    <w:rsid w:val="008317F7"/>
    <w:rsid w:val="00831BC4"/>
    <w:rsid w:val="00831F3A"/>
    <w:rsid w:val="00831FA9"/>
    <w:rsid w:val="00832151"/>
    <w:rsid w:val="0083249E"/>
    <w:rsid w:val="008328DF"/>
    <w:rsid w:val="00832917"/>
    <w:rsid w:val="00832FD2"/>
    <w:rsid w:val="0083312C"/>
    <w:rsid w:val="0083314A"/>
    <w:rsid w:val="00833906"/>
    <w:rsid w:val="00834165"/>
    <w:rsid w:val="00835866"/>
    <w:rsid w:val="00835B94"/>
    <w:rsid w:val="00835C67"/>
    <w:rsid w:val="0083693D"/>
    <w:rsid w:val="00836B21"/>
    <w:rsid w:val="00836BC3"/>
    <w:rsid w:val="00836ED5"/>
    <w:rsid w:val="008378E1"/>
    <w:rsid w:val="00837902"/>
    <w:rsid w:val="00837D4F"/>
    <w:rsid w:val="008401FB"/>
    <w:rsid w:val="00840228"/>
    <w:rsid w:val="00840463"/>
    <w:rsid w:val="008405FF"/>
    <w:rsid w:val="0084072E"/>
    <w:rsid w:val="00840859"/>
    <w:rsid w:val="00840AA2"/>
    <w:rsid w:val="008412CE"/>
    <w:rsid w:val="0084140D"/>
    <w:rsid w:val="00841633"/>
    <w:rsid w:val="00843369"/>
    <w:rsid w:val="00843452"/>
    <w:rsid w:val="00843485"/>
    <w:rsid w:val="00843538"/>
    <w:rsid w:val="00843B77"/>
    <w:rsid w:val="00844CE8"/>
    <w:rsid w:val="00844D15"/>
    <w:rsid w:val="008455BD"/>
    <w:rsid w:val="00845BB8"/>
    <w:rsid w:val="00845D9F"/>
    <w:rsid w:val="008464D0"/>
    <w:rsid w:val="008465DA"/>
    <w:rsid w:val="008465F7"/>
    <w:rsid w:val="0084668B"/>
    <w:rsid w:val="008468B3"/>
    <w:rsid w:val="00846907"/>
    <w:rsid w:val="00846965"/>
    <w:rsid w:val="00846F67"/>
    <w:rsid w:val="00846F93"/>
    <w:rsid w:val="00847065"/>
    <w:rsid w:val="00847C82"/>
    <w:rsid w:val="00850169"/>
    <w:rsid w:val="008501FE"/>
    <w:rsid w:val="008505F1"/>
    <w:rsid w:val="00850E9A"/>
    <w:rsid w:val="0085109D"/>
    <w:rsid w:val="008517EB"/>
    <w:rsid w:val="00851AE8"/>
    <w:rsid w:val="008521E2"/>
    <w:rsid w:val="008525F0"/>
    <w:rsid w:val="00852CAE"/>
    <w:rsid w:val="008533DD"/>
    <w:rsid w:val="00853A4D"/>
    <w:rsid w:val="00854013"/>
    <w:rsid w:val="00854937"/>
    <w:rsid w:val="008550C1"/>
    <w:rsid w:val="00855231"/>
    <w:rsid w:val="008552F3"/>
    <w:rsid w:val="00855E67"/>
    <w:rsid w:val="00856050"/>
    <w:rsid w:val="00856495"/>
    <w:rsid w:val="0085681A"/>
    <w:rsid w:val="00856A5C"/>
    <w:rsid w:val="00856AFD"/>
    <w:rsid w:val="0085708B"/>
    <w:rsid w:val="00857589"/>
    <w:rsid w:val="008575B1"/>
    <w:rsid w:val="008575DE"/>
    <w:rsid w:val="008604B7"/>
    <w:rsid w:val="00860605"/>
    <w:rsid w:val="00861374"/>
    <w:rsid w:val="008615C1"/>
    <w:rsid w:val="00861F9D"/>
    <w:rsid w:val="00862144"/>
    <w:rsid w:val="0086232C"/>
    <w:rsid w:val="0086235C"/>
    <w:rsid w:val="00862A76"/>
    <w:rsid w:val="00862AC4"/>
    <w:rsid w:val="0086324E"/>
    <w:rsid w:val="008632FF"/>
    <w:rsid w:val="00863A12"/>
    <w:rsid w:val="00863EED"/>
    <w:rsid w:val="008654EA"/>
    <w:rsid w:val="008663CE"/>
    <w:rsid w:val="0086645E"/>
    <w:rsid w:val="008667EE"/>
    <w:rsid w:val="008667FD"/>
    <w:rsid w:val="00866C09"/>
    <w:rsid w:val="00866C1D"/>
    <w:rsid w:val="00866C67"/>
    <w:rsid w:val="008672C4"/>
    <w:rsid w:val="00867567"/>
    <w:rsid w:val="00867F55"/>
    <w:rsid w:val="00870413"/>
    <w:rsid w:val="008705E0"/>
    <w:rsid w:val="00870B43"/>
    <w:rsid w:val="008711FE"/>
    <w:rsid w:val="008712A9"/>
    <w:rsid w:val="00871328"/>
    <w:rsid w:val="00871642"/>
    <w:rsid w:val="0087169B"/>
    <w:rsid w:val="00871704"/>
    <w:rsid w:val="00871AF1"/>
    <w:rsid w:val="00871FDF"/>
    <w:rsid w:val="0087200F"/>
    <w:rsid w:val="00872210"/>
    <w:rsid w:val="00872D45"/>
    <w:rsid w:val="00872E15"/>
    <w:rsid w:val="00873090"/>
    <w:rsid w:val="008731E2"/>
    <w:rsid w:val="008732C0"/>
    <w:rsid w:val="00873463"/>
    <w:rsid w:val="00873533"/>
    <w:rsid w:val="00873AF3"/>
    <w:rsid w:val="00873BF8"/>
    <w:rsid w:val="00873EFE"/>
    <w:rsid w:val="00874261"/>
    <w:rsid w:val="0087439A"/>
    <w:rsid w:val="00874692"/>
    <w:rsid w:val="00874DBD"/>
    <w:rsid w:val="00875052"/>
    <w:rsid w:val="008755BC"/>
    <w:rsid w:val="008757D5"/>
    <w:rsid w:val="00875989"/>
    <w:rsid w:val="0087598C"/>
    <w:rsid w:val="00875CD2"/>
    <w:rsid w:val="00875F59"/>
    <w:rsid w:val="00876ADA"/>
    <w:rsid w:val="00876AE9"/>
    <w:rsid w:val="00876B55"/>
    <w:rsid w:val="00876D95"/>
    <w:rsid w:val="00876EA4"/>
    <w:rsid w:val="00876F74"/>
    <w:rsid w:val="00877AEE"/>
    <w:rsid w:val="00880020"/>
    <w:rsid w:val="00880577"/>
    <w:rsid w:val="00880648"/>
    <w:rsid w:val="00880BE2"/>
    <w:rsid w:val="00880DF3"/>
    <w:rsid w:val="00881615"/>
    <w:rsid w:val="00881AC9"/>
    <w:rsid w:val="00881E54"/>
    <w:rsid w:val="00881FFF"/>
    <w:rsid w:val="008825C0"/>
    <w:rsid w:val="00882D24"/>
    <w:rsid w:val="00882EFF"/>
    <w:rsid w:val="00882FD6"/>
    <w:rsid w:val="008831D9"/>
    <w:rsid w:val="0088398E"/>
    <w:rsid w:val="00883AF8"/>
    <w:rsid w:val="00883C0C"/>
    <w:rsid w:val="00883C23"/>
    <w:rsid w:val="00883E5C"/>
    <w:rsid w:val="008842FE"/>
    <w:rsid w:val="0088467E"/>
    <w:rsid w:val="008848C2"/>
    <w:rsid w:val="00885395"/>
    <w:rsid w:val="0088541E"/>
    <w:rsid w:val="00885610"/>
    <w:rsid w:val="00886235"/>
    <w:rsid w:val="00887558"/>
    <w:rsid w:val="00887E83"/>
    <w:rsid w:val="00890266"/>
    <w:rsid w:val="00890A3A"/>
    <w:rsid w:val="00891587"/>
    <w:rsid w:val="0089162F"/>
    <w:rsid w:val="00891826"/>
    <w:rsid w:val="0089190C"/>
    <w:rsid w:val="00892841"/>
    <w:rsid w:val="00892D5F"/>
    <w:rsid w:val="0089321B"/>
    <w:rsid w:val="00893230"/>
    <w:rsid w:val="00893418"/>
    <w:rsid w:val="00893735"/>
    <w:rsid w:val="00893A4A"/>
    <w:rsid w:val="00893C04"/>
    <w:rsid w:val="008944BF"/>
    <w:rsid w:val="00894981"/>
    <w:rsid w:val="00894A06"/>
    <w:rsid w:val="00894F83"/>
    <w:rsid w:val="00895BF3"/>
    <w:rsid w:val="00895DD1"/>
    <w:rsid w:val="00896FD1"/>
    <w:rsid w:val="008975D1"/>
    <w:rsid w:val="00897674"/>
    <w:rsid w:val="00897851"/>
    <w:rsid w:val="008978D6"/>
    <w:rsid w:val="00897FB0"/>
    <w:rsid w:val="008A066F"/>
    <w:rsid w:val="008A0A50"/>
    <w:rsid w:val="008A0ADA"/>
    <w:rsid w:val="008A11CF"/>
    <w:rsid w:val="008A1CB5"/>
    <w:rsid w:val="008A22E9"/>
    <w:rsid w:val="008A2564"/>
    <w:rsid w:val="008A2916"/>
    <w:rsid w:val="008A29E3"/>
    <w:rsid w:val="008A2DE3"/>
    <w:rsid w:val="008A2E71"/>
    <w:rsid w:val="008A3454"/>
    <w:rsid w:val="008A358B"/>
    <w:rsid w:val="008A424D"/>
    <w:rsid w:val="008A4298"/>
    <w:rsid w:val="008A434E"/>
    <w:rsid w:val="008A479C"/>
    <w:rsid w:val="008A4947"/>
    <w:rsid w:val="008A4EEB"/>
    <w:rsid w:val="008A540B"/>
    <w:rsid w:val="008A5557"/>
    <w:rsid w:val="008A5845"/>
    <w:rsid w:val="008A61F4"/>
    <w:rsid w:val="008A6B7E"/>
    <w:rsid w:val="008A6BCA"/>
    <w:rsid w:val="008A6E89"/>
    <w:rsid w:val="008A6F94"/>
    <w:rsid w:val="008A7485"/>
    <w:rsid w:val="008A74E4"/>
    <w:rsid w:val="008A7576"/>
    <w:rsid w:val="008A7EF4"/>
    <w:rsid w:val="008B056D"/>
    <w:rsid w:val="008B085F"/>
    <w:rsid w:val="008B1196"/>
    <w:rsid w:val="008B1254"/>
    <w:rsid w:val="008B14E2"/>
    <w:rsid w:val="008B1B16"/>
    <w:rsid w:val="008B1CC8"/>
    <w:rsid w:val="008B1EBD"/>
    <w:rsid w:val="008B22AB"/>
    <w:rsid w:val="008B2929"/>
    <w:rsid w:val="008B297D"/>
    <w:rsid w:val="008B30A3"/>
    <w:rsid w:val="008B3311"/>
    <w:rsid w:val="008B352F"/>
    <w:rsid w:val="008B3A66"/>
    <w:rsid w:val="008B3AD4"/>
    <w:rsid w:val="008B3B76"/>
    <w:rsid w:val="008B3C1E"/>
    <w:rsid w:val="008B3D8D"/>
    <w:rsid w:val="008B4571"/>
    <w:rsid w:val="008B4FB5"/>
    <w:rsid w:val="008B5482"/>
    <w:rsid w:val="008B549F"/>
    <w:rsid w:val="008B56F7"/>
    <w:rsid w:val="008B5955"/>
    <w:rsid w:val="008B5E0B"/>
    <w:rsid w:val="008B5F41"/>
    <w:rsid w:val="008B620D"/>
    <w:rsid w:val="008B69F3"/>
    <w:rsid w:val="008B7358"/>
    <w:rsid w:val="008B74F4"/>
    <w:rsid w:val="008B7631"/>
    <w:rsid w:val="008B78A2"/>
    <w:rsid w:val="008B7925"/>
    <w:rsid w:val="008B7CB1"/>
    <w:rsid w:val="008B7F80"/>
    <w:rsid w:val="008C00EC"/>
    <w:rsid w:val="008C0279"/>
    <w:rsid w:val="008C02BB"/>
    <w:rsid w:val="008C02C1"/>
    <w:rsid w:val="008C0AD3"/>
    <w:rsid w:val="008C104F"/>
    <w:rsid w:val="008C1469"/>
    <w:rsid w:val="008C1855"/>
    <w:rsid w:val="008C1942"/>
    <w:rsid w:val="008C2A77"/>
    <w:rsid w:val="008C2DB6"/>
    <w:rsid w:val="008C314B"/>
    <w:rsid w:val="008C41A6"/>
    <w:rsid w:val="008C4959"/>
    <w:rsid w:val="008C4CFE"/>
    <w:rsid w:val="008C4D35"/>
    <w:rsid w:val="008C5479"/>
    <w:rsid w:val="008C5601"/>
    <w:rsid w:val="008C57AE"/>
    <w:rsid w:val="008C58CD"/>
    <w:rsid w:val="008C5A50"/>
    <w:rsid w:val="008C5BCF"/>
    <w:rsid w:val="008C656B"/>
    <w:rsid w:val="008C65FE"/>
    <w:rsid w:val="008C68AB"/>
    <w:rsid w:val="008C6BD2"/>
    <w:rsid w:val="008C6C26"/>
    <w:rsid w:val="008C714B"/>
    <w:rsid w:val="008C72EC"/>
    <w:rsid w:val="008C79B1"/>
    <w:rsid w:val="008C7A37"/>
    <w:rsid w:val="008C7B4A"/>
    <w:rsid w:val="008C7F91"/>
    <w:rsid w:val="008D085B"/>
    <w:rsid w:val="008D089E"/>
    <w:rsid w:val="008D097D"/>
    <w:rsid w:val="008D0A11"/>
    <w:rsid w:val="008D0AB4"/>
    <w:rsid w:val="008D0C06"/>
    <w:rsid w:val="008D0F53"/>
    <w:rsid w:val="008D0FD5"/>
    <w:rsid w:val="008D1155"/>
    <w:rsid w:val="008D1162"/>
    <w:rsid w:val="008D13C8"/>
    <w:rsid w:val="008D16CF"/>
    <w:rsid w:val="008D1A55"/>
    <w:rsid w:val="008D1C6E"/>
    <w:rsid w:val="008D1CC4"/>
    <w:rsid w:val="008D1D64"/>
    <w:rsid w:val="008D1DFF"/>
    <w:rsid w:val="008D269E"/>
    <w:rsid w:val="008D2A36"/>
    <w:rsid w:val="008D41BB"/>
    <w:rsid w:val="008D4558"/>
    <w:rsid w:val="008D45FF"/>
    <w:rsid w:val="008D4AF8"/>
    <w:rsid w:val="008D4BB3"/>
    <w:rsid w:val="008D4E86"/>
    <w:rsid w:val="008D5407"/>
    <w:rsid w:val="008D5A49"/>
    <w:rsid w:val="008D5A81"/>
    <w:rsid w:val="008D5DF3"/>
    <w:rsid w:val="008D5FD6"/>
    <w:rsid w:val="008D67C0"/>
    <w:rsid w:val="008D6E83"/>
    <w:rsid w:val="008D74D5"/>
    <w:rsid w:val="008D7B1B"/>
    <w:rsid w:val="008D7B2D"/>
    <w:rsid w:val="008D7FC0"/>
    <w:rsid w:val="008E0461"/>
    <w:rsid w:val="008E0B3D"/>
    <w:rsid w:val="008E0BE1"/>
    <w:rsid w:val="008E10C4"/>
    <w:rsid w:val="008E1560"/>
    <w:rsid w:val="008E1610"/>
    <w:rsid w:val="008E237B"/>
    <w:rsid w:val="008E239A"/>
    <w:rsid w:val="008E2E0D"/>
    <w:rsid w:val="008E3949"/>
    <w:rsid w:val="008E3ED5"/>
    <w:rsid w:val="008E4332"/>
    <w:rsid w:val="008E49BC"/>
    <w:rsid w:val="008E583D"/>
    <w:rsid w:val="008E59BB"/>
    <w:rsid w:val="008E5CEB"/>
    <w:rsid w:val="008E6417"/>
    <w:rsid w:val="008E65D0"/>
    <w:rsid w:val="008E65F8"/>
    <w:rsid w:val="008E73F0"/>
    <w:rsid w:val="008E7D0C"/>
    <w:rsid w:val="008F02E7"/>
    <w:rsid w:val="008F0AB9"/>
    <w:rsid w:val="008F0B2F"/>
    <w:rsid w:val="008F0DBE"/>
    <w:rsid w:val="008F127D"/>
    <w:rsid w:val="008F22EC"/>
    <w:rsid w:val="008F248C"/>
    <w:rsid w:val="008F271D"/>
    <w:rsid w:val="008F27A9"/>
    <w:rsid w:val="008F28AB"/>
    <w:rsid w:val="008F2C26"/>
    <w:rsid w:val="008F2CB2"/>
    <w:rsid w:val="008F36A6"/>
    <w:rsid w:val="008F46CD"/>
    <w:rsid w:val="008F477A"/>
    <w:rsid w:val="008F487D"/>
    <w:rsid w:val="008F4A9A"/>
    <w:rsid w:val="008F4D68"/>
    <w:rsid w:val="008F532F"/>
    <w:rsid w:val="008F53AF"/>
    <w:rsid w:val="008F6082"/>
    <w:rsid w:val="008F60DF"/>
    <w:rsid w:val="008F642A"/>
    <w:rsid w:val="008F642F"/>
    <w:rsid w:val="008F65D0"/>
    <w:rsid w:val="008F6B70"/>
    <w:rsid w:val="008F6D23"/>
    <w:rsid w:val="008F70A9"/>
    <w:rsid w:val="008F70DD"/>
    <w:rsid w:val="008F7210"/>
    <w:rsid w:val="008F7991"/>
    <w:rsid w:val="008F7F76"/>
    <w:rsid w:val="0090013C"/>
    <w:rsid w:val="00900418"/>
    <w:rsid w:val="009006FF"/>
    <w:rsid w:val="00900A65"/>
    <w:rsid w:val="00900E38"/>
    <w:rsid w:val="009010B9"/>
    <w:rsid w:val="009010E8"/>
    <w:rsid w:val="00901755"/>
    <w:rsid w:val="0090175C"/>
    <w:rsid w:val="00901848"/>
    <w:rsid w:val="00901CDF"/>
    <w:rsid w:val="0090269E"/>
    <w:rsid w:val="009029A5"/>
    <w:rsid w:val="00902BE8"/>
    <w:rsid w:val="00902C48"/>
    <w:rsid w:val="00902FBD"/>
    <w:rsid w:val="0090303D"/>
    <w:rsid w:val="00903261"/>
    <w:rsid w:val="00903562"/>
    <w:rsid w:val="00903C4A"/>
    <w:rsid w:val="00903D62"/>
    <w:rsid w:val="00904037"/>
    <w:rsid w:val="009045E5"/>
    <w:rsid w:val="009047C6"/>
    <w:rsid w:val="00904D2E"/>
    <w:rsid w:val="00905962"/>
    <w:rsid w:val="009059C7"/>
    <w:rsid w:val="00905B4A"/>
    <w:rsid w:val="00905E3D"/>
    <w:rsid w:val="00906215"/>
    <w:rsid w:val="009068F8"/>
    <w:rsid w:val="009069EF"/>
    <w:rsid w:val="00906E3A"/>
    <w:rsid w:val="009071D1"/>
    <w:rsid w:val="00907363"/>
    <w:rsid w:val="009077DB"/>
    <w:rsid w:val="00907906"/>
    <w:rsid w:val="00907A9A"/>
    <w:rsid w:val="00907D0D"/>
    <w:rsid w:val="00907DF3"/>
    <w:rsid w:val="00907EAB"/>
    <w:rsid w:val="009104F1"/>
    <w:rsid w:val="00910941"/>
    <w:rsid w:val="00910A6A"/>
    <w:rsid w:val="00910AE4"/>
    <w:rsid w:val="0091176F"/>
    <w:rsid w:val="00911B23"/>
    <w:rsid w:val="00911C47"/>
    <w:rsid w:val="0091231C"/>
    <w:rsid w:val="0091249E"/>
    <w:rsid w:val="009125E0"/>
    <w:rsid w:val="009126D8"/>
    <w:rsid w:val="0091273A"/>
    <w:rsid w:val="00912D89"/>
    <w:rsid w:val="00912EA9"/>
    <w:rsid w:val="00913113"/>
    <w:rsid w:val="009133DA"/>
    <w:rsid w:val="00913415"/>
    <w:rsid w:val="00913671"/>
    <w:rsid w:val="009139D6"/>
    <w:rsid w:val="00913AD3"/>
    <w:rsid w:val="00913AFB"/>
    <w:rsid w:val="00914D7A"/>
    <w:rsid w:val="0091527E"/>
    <w:rsid w:val="00915EAA"/>
    <w:rsid w:val="0091652D"/>
    <w:rsid w:val="0091652E"/>
    <w:rsid w:val="0091662F"/>
    <w:rsid w:val="009166E3"/>
    <w:rsid w:val="009171D9"/>
    <w:rsid w:val="00917558"/>
    <w:rsid w:val="0091791E"/>
    <w:rsid w:val="00917B21"/>
    <w:rsid w:val="0092009F"/>
    <w:rsid w:val="00920563"/>
    <w:rsid w:val="0092067E"/>
    <w:rsid w:val="009206B7"/>
    <w:rsid w:val="009209C6"/>
    <w:rsid w:val="00920A07"/>
    <w:rsid w:val="00921329"/>
    <w:rsid w:val="0092169E"/>
    <w:rsid w:val="0092189B"/>
    <w:rsid w:val="00921E45"/>
    <w:rsid w:val="009220E3"/>
    <w:rsid w:val="009224AD"/>
    <w:rsid w:val="009225D0"/>
    <w:rsid w:val="00922748"/>
    <w:rsid w:val="00922CA6"/>
    <w:rsid w:val="009232A4"/>
    <w:rsid w:val="00923CAA"/>
    <w:rsid w:val="00923ED7"/>
    <w:rsid w:val="00924268"/>
    <w:rsid w:val="009244F4"/>
    <w:rsid w:val="00924C86"/>
    <w:rsid w:val="00924CE2"/>
    <w:rsid w:val="00925284"/>
    <w:rsid w:val="009255E6"/>
    <w:rsid w:val="0092569D"/>
    <w:rsid w:val="00925A75"/>
    <w:rsid w:val="00925B22"/>
    <w:rsid w:val="00925B83"/>
    <w:rsid w:val="00926240"/>
    <w:rsid w:val="00926316"/>
    <w:rsid w:val="009263A2"/>
    <w:rsid w:val="0092656D"/>
    <w:rsid w:val="00926A57"/>
    <w:rsid w:val="00926CFE"/>
    <w:rsid w:val="00926DFF"/>
    <w:rsid w:val="00926FB1"/>
    <w:rsid w:val="00927050"/>
    <w:rsid w:val="00927974"/>
    <w:rsid w:val="00927FDF"/>
    <w:rsid w:val="00930200"/>
    <w:rsid w:val="00930BE5"/>
    <w:rsid w:val="00930F92"/>
    <w:rsid w:val="00931109"/>
    <w:rsid w:val="009311F2"/>
    <w:rsid w:val="00931C6D"/>
    <w:rsid w:val="00931D98"/>
    <w:rsid w:val="00931E13"/>
    <w:rsid w:val="00932618"/>
    <w:rsid w:val="00932BAA"/>
    <w:rsid w:val="00932CC7"/>
    <w:rsid w:val="00932D66"/>
    <w:rsid w:val="00932D71"/>
    <w:rsid w:val="00933426"/>
    <w:rsid w:val="009334BB"/>
    <w:rsid w:val="009334BD"/>
    <w:rsid w:val="009336D3"/>
    <w:rsid w:val="00933B7F"/>
    <w:rsid w:val="00934292"/>
    <w:rsid w:val="00934934"/>
    <w:rsid w:val="00934C42"/>
    <w:rsid w:val="00934FA9"/>
    <w:rsid w:val="0093557C"/>
    <w:rsid w:val="009358E2"/>
    <w:rsid w:val="00935AA5"/>
    <w:rsid w:val="00935FCC"/>
    <w:rsid w:val="00936646"/>
    <w:rsid w:val="009375F2"/>
    <w:rsid w:val="0093762E"/>
    <w:rsid w:val="0093766C"/>
    <w:rsid w:val="00937E53"/>
    <w:rsid w:val="00937E83"/>
    <w:rsid w:val="00940345"/>
    <w:rsid w:val="00940B62"/>
    <w:rsid w:val="009420F4"/>
    <w:rsid w:val="00942110"/>
    <w:rsid w:val="00942B9C"/>
    <w:rsid w:val="00942BE1"/>
    <w:rsid w:val="00942C77"/>
    <w:rsid w:val="00942D7B"/>
    <w:rsid w:val="00942E3E"/>
    <w:rsid w:val="00942ED5"/>
    <w:rsid w:val="00942FAA"/>
    <w:rsid w:val="00943381"/>
    <w:rsid w:val="009439A3"/>
    <w:rsid w:val="00943CF8"/>
    <w:rsid w:val="00943D85"/>
    <w:rsid w:val="00943E19"/>
    <w:rsid w:val="0094405E"/>
    <w:rsid w:val="0094478C"/>
    <w:rsid w:val="00944903"/>
    <w:rsid w:val="00944A5A"/>
    <w:rsid w:val="00944BF6"/>
    <w:rsid w:val="00944DBA"/>
    <w:rsid w:val="009450B9"/>
    <w:rsid w:val="00945130"/>
    <w:rsid w:val="00945262"/>
    <w:rsid w:val="0094554C"/>
    <w:rsid w:val="009455A7"/>
    <w:rsid w:val="00945A43"/>
    <w:rsid w:val="00945AAA"/>
    <w:rsid w:val="00945E77"/>
    <w:rsid w:val="009467F2"/>
    <w:rsid w:val="00946930"/>
    <w:rsid w:val="00946977"/>
    <w:rsid w:val="0094737D"/>
    <w:rsid w:val="009476DE"/>
    <w:rsid w:val="00947AF0"/>
    <w:rsid w:val="00947ED6"/>
    <w:rsid w:val="009503D8"/>
    <w:rsid w:val="009512F7"/>
    <w:rsid w:val="00951736"/>
    <w:rsid w:val="00951841"/>
    <w:rsid w:val="00951B3D"/>
    <w:rsid w:val="00951C30"/>
    <w:rsid w:val="00951C91"/>
    <w:rsid w:val="00951D2A"/>
    <w:rsid w:val="00952552"/>
    <w:rsid w:val="009525C6"/>
    <w:rsid w:val="009526AE"/>
    <w:rsid w:val="00952F1D"/>
    <w:rsid w:val="00953185"/>
    <w:rsid w:val="00953732"/>
    <w:rsid w:val="00953DF3"/>
    <w:rsid w:val="00954521"/>
    <w:rsid w:val="009548FA"/>
    <w:rsid w:val="00954BB3"/>
    <w:rsid w:val="00954E23"/>
    <w:rsid w:val="0095553C"/>
    <w:rsid w:val="00955B0D"/>
    <w:rsid w:val="00955B45"/>
    <w:rsid w:val="00955C1C"/>
    <w:rsid w:val="00955E9F"/>
    <w:rsid w:val="00955F3A"/>
    <w:rsid w:val="00956550"/>
    <w:rsid w:val="00956C07"/>
    <w:rsid w:val="00956E6D"/>
    <w:rsid w:val="0095778F"/>
    <w:rsid w:val="009577BE"/>
    <w:rsid w:val="00957DE9"/>
    <w:rsid w:val="00960A74"/>
    <w:rsid w:val="00960B30"/>
    <w:rsid w:val="009611EE"/>
    <w:rsid w:val="00961D23"/>
    <w:rsid w:val="00961D75"/>
    <w:rsid w:val="00962223"/>
    <w:rsid w:val="0096223B"/>
    <w:rsid w:val="00962503"/>
    <w:rsid w:val="00962C6C"/>
    <w:rsid w:val="00962E73"/>
    <w:rsid w:val="00962F46"/>
    <w:rsid w:val="00963486"/>
    <w:rsid w:val="009636FB"/>
    <w:rsid w:val="00963B09"/>
    <w:rsid w:val="00963B7C"/>
    <w:rsid w:val="00964243"/>
    <w:rsid w:val="0096430F"/>
    <w:rsid w:val="009643B3"/>
    <w:rsid w:val="009645A4"/>
    <w:rsid w:val="009647F5"/>
    <w:rsid w:val="009653BA"/>
    <w:rsid w:val="0096573D"/>
    <w:rsid w:val="00965C67"/>
    <w:rsid w:val="009660B4"/>
    <w:rsid w:val="00966431"/>
    <w:rsid w:val="009666B0"/>
    <w:rsid w:val="00966812"/>
    <w:rsid w:val="00966BC7"/>
    <w:rsid w:val="009671E4"/>
    <w:rsid w:val="0096721B"/>
    <w:rsid w:val="009673AF"/>
    <w:rsid w:val="00967561"/>
    <w:rsid w:val="009678FD"/>
    <w:rsid w:val="00970458"/>
    <w:rsid w:val="00970648"/>
    <w:rsid w:val="009708BC"/>
    <w:rsid w:val="00971267"/>
    <w:rsid w:val="009712DE"/>
    <w:rsid w:val="00971326"/>
    <w:rsid w:val="00971D23"/>
    <w:rsid w:val="00971ED4"/>
    <w:rsid w:val="00972355"/>
    <w:rsid w:val="009724B8"/>
    <w:rsid w:val="009725F0"/>
    <w:rsid w:val="009734DD"/>
    <w:rsid w:val="0097358F"/>
    <w:rsid w:val="00973D51"/>
    <w:rsid w:val="0097401B"/>
    <w:rsid w:val="009741EE"/>
    <w:rsid w:val="009744A7"/>
    <w:rsid w:val="00974949"/>
    <w:rsid w:val="00974A2A"/>
    <w:rsid w:val="00974E73"/>
    <w:rsid w:val="00975336"/>
    <w:rsid w:val="009753A3"/>
    <w:rsid w:val="0097545D"/>
    <w:rsid w:val="00975751"/>
    <w:rsid w:val="009757AD"/>
    <w:rsid w:val="00975ABD"/>
    <w:rsid w:val="00976C52"/>
    <w:rsid w:val="00976C7E"/>
    <w:rsid w:val="00976CC4"/>
    <w:rsid w:val="00977188"/>
    <w:rsid w:val="0097760D"/>
    <w:rsid w:val="00977C56"/>
    <w:rsid w:val="00977D28"/>
    <w:rsid w:val="00980024"/>
    <w:rsid w:val="0098068B"/>
    <w:rsid w:val="0098089D"/>
    <w:rsid w:val="00980949"/>
    <w:rsid w:val="0098094F"/>
    <w:rsid w:val="0098115E"/>
    <w:rsid w:val="0098127E"/>
    <w:rsid w:val="009814D7"/>
    <w:rsid w:val="009814E0"/>
    <w:rsid w:val="009818B2"/>
    <w:rsid w:val="0098214E"/>
    <w:rsid w:val="00982164"/>
    <w:rsid w:val="00982564"/>
    <w:rsid w:val="00982792"/>
    <w:rsid w:val="00982E8E"/>
    <w:rsid w:val="00983A70"/>
    <w:rsid w:val="00983C77"/>
    <w:rsid w:val="00984420"/>
    <w:rsid w:val="00984440"/>
    <w:rsid w:val="00984925"/>
    <w:rsid w:val="00984979"/>
    <w:rsid w:val="00984CE2"/>
    <w:rsid w:val="00984F60"/>
    <w:rsid w:val="0098520E"/>
    <w:rsid w:val="009859C3"/>
    <w:rsid w:val="009864A7"/>
    <w:rsid w:val="0098689B"/>
    <w:rsid w:val="009871E9"/>
    <w:rsid w:val="00987313"/>
    <w:rsid w:val="00987530"/>
    <w:rsid w:val="00990111"/>
    <w:rsid w:val="00990278"/>
    <w:rsid w:val="00990551"/>
    <w:rsid w:val="009906BA"/>
    <w:rsid w:val="009922A9"/>
    <w:rsid w:val="009926E8"/>
    <w:rsid w:val="00992942"/>
    <w:rsid w:val="00992D09"/>
    <w:rsid w:val="009930B1"/>
    <w:rsid w:val="00993371"/>
    <w:rsid w:val="0099442D"/>
    <w:rsid w:val="009948ED"/>
    <w:rsid w:val="009951E4"/>
    <w:rsid w:val="0099540A"/>
    <w:rsid w:val="00995537"/>
    <w:rsid w:val="0099601F"/>
    <w:rsid w:val="009970E0"/>
    <w:rsid w:val="00997466"/>
    <w:rsid w:val="0099781C"/>
    <w:rsid w:val="009978E1"/>
    <w:rsid w:val="00997C27"/>
    <w:rsid w:val="00997CA9"/>
    <w:rsid w:val="009A0212"/>
    <w:rsid w:val="009A0350"/>
    <w:rsid w:val="009A04AC"/>
    <w:rsid w:val="009A11A7"/>
    <w:rsid w:val="009A1B95"/>
    <w:rsid w:val="009A24EE"/>
    <w:rsid w:val="009A2BE2"/>
    <w:rsid w:val="009A2DA3"/>
    <w:rsid w:val="009A2E35"/>
    <w:rsid w:val="009A34AB"/>
    <w:rsid w:val="009A3622"/>
    <w:rsid w:val="009A3BAA"/>
    <w:rsid w:val="009A3D05"/>
    <w:rsid w:val="009A523D"/>
    <w:rsid w:val="009A5416"/>
    <w:rsid w:val="009A59F9"/>
    <w:rsid w:val="009A5C28"/>
    <w:rsid w:val="009A60A7"/>
    <w:rsid w:val="009A63C6"/>
    <w:rsid w:val="009A6434"/>
    <w:rsid w:val="009A64C9"/>
    <w:rsid w:val="009A64FA"/>
    <w:rsid w:val="009A679A"/>
    <w:rsid w:val="009A73A4"/>
    <w:rsid w:val="009A7A5A"/>
    <w:rsid w:val="009A7C92"/>
    <w:rsid w:val="009B0373"/>
    <w:rsid w:val="009B0543"/>
    <w:rsid w:val="009B0714"/>
    <w:rsid w:val="009B0894"/>
    <w:rsid w:val="009B0B42"/>
    <w:rsid w:val="009B174A"/>
    <w:rsid w:val="009B1BA9"/>
    <w:rsid w:val="009B22D4"/>
    <w:rsid w:val="009B2593"/>
    <w:rsid w:val="009B2632"/>
    <w:rsid w:val="009B28F9"/>
    <w:rsid w:val="009B2A1C"/>
    <w:rsid w:val="009B2A62"/>
    <w:rsid w:val="009B2C91"/>
    <w:rsid w:val="009B2CB3"/>
    <w:rsid w:val="009B2E19"/>
    <w:rsid w:val="009B2E47"/>
    <w:rsid w:val="009B3180"/>
    <w:rsid w:val="009B390E"/>
    <w:rsid w:val="009B3958"/>
    <w:rsid w:val="009B3D3A"/>
    <w:rsid w:val="009B42AA"/>
    <w:rsid w:val="009B4D2B"/>
    <w:rsid w:val="009B4F3D"/>
    <w:rsid w:val="009B4F8F"/>
    <w:rsid w:val="009B571E"/>
    <w:rsid w:val="009B5800"/>
    <w:rsid w:val="009B5F91"/>
    <w:rsid w:val="009B63C0"/>
    <w:rsid w:val="009B669A"/>
    <w:rsid w:val="009B677A"/>
    <w:rsid w:val="009B68C4"/>
    <w:rsid w:val="009B6CE7"/>
    <w:rsid w:val="009B6D5B"/>
    <w:rsid w:val="009B6ED9"/>
    <w:rsid w:val="009B7236"/>
    <w:rsid w:val="009B7246"/>
    <w:rsid w:val="009B72FF"/>
    <w:rsid w:val="009B78A5"/>
    <w:rsid w:val="009B78FB"/>
    <w:rsid w:val="009B7E37"/>
    <w:rsid w:val="009C0A34"/>
    <w:rsid w:val="009C0CA6"/>
    <w:rsid w:val="009C133E"/>
    <w:rsid w:val="009C1A19"/>
    <w:rsid w:val="009C1EF3"/>
    <w:rsid w:val="009C1F10"/>
    <w:rsid w:val="009C2187"/>
    <w:rsid w:val="009C2490"/>
    <w:rsid w:val="009C258D"/>
    <w:rsid w:val="009C2AB5"/>
    <w:rsid w:val="009C2B69"/>
    <w:rsid w:val="009C2B99"/>
    <w:rsid w:val="009C2D2D"/>
    <w:rsid w:val="009C2DA5"/>
    <w:rsid w:val="009C2E7B"/>
    <w:rsid w:val="009C3065"/>
    <w:rsid w:val="009C32CF"/>
    <w:rsid w:val="009C32DA"/>
    <w:rsid w:val="009C3419"/>
    <w:rsid w:val="009C346C"/>
    <w:rsid w:val="009C3917"/>
    <w:rsid w:val="009C3C65"/>
    <w:rsid w:val="009C4340"/>
    <w:rsid w:val="009C48DA"/>
    <w:rsid w:val="009C4950"/>
    <w:rsid w:val="009C4A78"/>
    <w:rsid w:val="009C4B8C"/>
    <w:rsid w:val="009C590E"/>
    <w:rsid w:val="009C5A63"/>
    <w:rsid w:val="009C65DB"/>
    <w:rsid w:val="009C6CEB"/>
    <w:rsid w:val="009C6F53"/>
    <w:rsid w:val="009C7487"/>
    <w:rsid w:val="009C7DC4"/>
    <w:rsid w:val="009D0062"/>
    <w:rsid w:val="009D06C8"/>
    <w:rsid w:val="009D08F5"/>
    <w:rsid w:val="009D0AD1"/>
    <w:rsid w:val="009D0B5B"/>
    <w:rsid w:val="009D0F45"/>
    <w:rsid w:val="009D10FC"/>
    <w:rsid w:val="009D128E"/>
    <w:rsid w:val="009D1459"/>
    <w:rsid w:val="009D15EE"/>
    <w:rsid w:val="009D1772"/>
    <w:rsid w:val="009D1BF4"/>
    <w:rsid w:val="009D2B4A"/>
    <w:rsid w:val="009D326D"/>
    <w:rsid w:val="009D37C7"/>
    <w:rsid w:val="009D38FD"/>
    <w:rsid w:val="009D4007"/>
    <w:rsid w:val="009D4159"/>
    <w:rsid w:val="009D4D29"/>
    <w:rsid w:val="009D51D5"/>
    <w:rsid w:val="009D52F8"/>
    <w:rsid w:val="009D581C"/>
    <w:rsid w:val="009D5B9A"/>
    <w:rsid w:val="009D6002"/>
    <w:rsid w:val="009D61A8"/>
    <w:rsid w:val="009D6320"/>
    <w:rsid w:val="009D6609"/>
    <w:rsid w:val="009D6C0A"/>
    <w:rsid w:val="009D6CF5"/>
    <w:rsid w:val="009D7078"/>
    <w:rsid w:val="009D7303"/>
    <w:rsid w:val="009D7545"/>
    <w:rsid w:val="009D78E4"/>
    <w:rsid w:val="009D7E25"/>
    <w:rsid w:val="009D7F92"/>
    <w:rsid w:val="009E0006"/>
    <w:rsid w:val="009E0213"/>
    <w:rsid w:val="009E0493"/>
    <w:rsid w:val="009E0B33"/>
    <w:rsid w:val="009E0E22"/>
    <w:rsid w:val="009E125C"/>
    <w:rsid w:val="009E1473"/>
    <w:rsid w:val="009E19FB"/>
    <w:rsid w:val="009E1A89"/>
    <w:rsid w:val="009E1C53"/>
    <w:rsid w:val="009E2332"/>
    <w:rsid w:val="009E278D"/>
    <w:rsid w:val="009E2D64"/>
    <w:rsid w:val="009E304B"/>
    <w:rsid w:val="009E3435"/>
    <w:rsid w:val="009E395A"/>
    <w:rsid w:val="009E3DB4"/>
    <w:rsid w:val="009E3F15"/>
    <w:rsid w:val="009E41F1"/>
    <w:rsid w:val="009E44B9"/>
    <w:rsid w:val="009E47D8"/>
    <w:rsid w:val="009E4A34"/>
    <w:rsid w:val="009E4BA4"/>
    <w:rsid w:val="009E4FEC"/>
    <w:rsid w:val="009E5D18"/>
    <w:rsid w:val="009E5DDF"/>
    <w:rsid w:val="009E5E1D"/>
    <w:rsid w:val="009E6382"/>
    <w:rsid w:val="009E68C4"/>
    <w:rsid w:val="009E6F86"/>
    <w:rsid w:val="009E715F"/>
    <w:rsid w:val="009E7737"/>
    <w:rsid w:val="009E7880"/>
    <w:rsid w:val="009E7B62"/>
    <w:rsid w:val="009E7E5E"/>
    <w:rsid w:val="009F0178"/>
    <w:rsid w:val="009F0478"/>
    <w:rsid w:val="009F04C9"/>
    <w:rsid w:val="009F0723"/>
    <w:rsid w:val="009F0CAF"/>
    <w:rsid w:val="009F13CE"/>
    <w:rsid w:val="009F14E0"/>
    <w:rsid w:val="009F15F8"/>
    <w:rsid w:val="009F17E1"/>
    <w:rsid w:val="009F23C5"/>
    <w:rsid w:val="009F2528"/>
    <w:rsid w:val="009F25C4"/>
    <w:rsid w:val="009F2C8D"/>
    <w:rsid w:val="009F2EAB"/>
    <w:rsid w:val="009F3129"/>
    <w:rsid w:val="009F33E3"/>
    <w:rsid w:val="009F36AC"/>
    <w:rsid w:val="009F3868"/>
    <w:rsid w:val="009F3AED"/>
    <w:rsid w:val="009F4044"/>
    <w:rsid w:val="009F48EC"/>
    <w:rsid w:val="009F4929"/>
    <w:rsid w:val="009F4A94"/>
    <w:rsid w:val="009F5695"/>
    <w:rsid w:val="009F5A0C"/>
    <w:rsid w:val="009F5D6A"/>
    <w:rsid w:val="009F5E15"/>
    <w:rsid w:val="009F6563"/>
    <w:rsid w:val="009F65F5"/>
    <w:rsid w:val="009F66DE"/>
    <w:rsid w:val="009F6A2A"/>
    <w:rsid w:val="009F7246"/>
    <w:rsid w:val="009F75AC"/>
    <w:rsid w:val="009F7652"/>
    <w:rsid w:val="009F77AC"/>
    <w:rsid w:val="009F7C01"/>
    <w:rsid w:val="009F7D1D"/>
    <w:rsid w:val="00A00183"/>
    <w:rsid w:val="00A008A3"/>
    <w:rsid w:val="00A00F22"/>
    <w:rsid w:val="00A0165E"/>
    <w:rsid w:val="00A01745"/>
    <w:rsid w:val="00A01A35"/>
    <w:rsid w:val="00A01B37"/>
    <w:rsid w:val="00A01BD3"/>
    <w:rsid w:val="00A01C91"/>
    <w:rsid w:val="00A0249D"/>
    <w:rsid w:val="00A02BED"/>
    <w:rsid w:val="00A02F86"/>
    <w:rsid w:val="00A02FC3"/>
    <w:rsid w:val="00A034E5"/>
    <w:rsid w:val="00A0366A"/>
    <w:rsid w:val="00A0375F"/>
    <w:rsid w:val="00A0385F"/>
    <w:rsid w:val="00A03F8B"/>
    <w:rsid w:val="00A03FFC"/>
    <w:rsid w:val="00A0444A"/>
    <w:rsid w:val="00A04C8E"/>
    <w:rsid w:val="00A04C9A"/>
    <w:rsid w:val="00A0514A"/>
    <w:rsid w:val="00A054FC"/>
    <w:rsid w:val="00A0574A"/>
    <w:rsid w:val="00A05898"/>
    <w:rsid w:val="00A05A25"/>
    <w:rsid w:val="00A05E07"/>
    <w:rsid w:val="00A06408"/>
    <w:rsid w:val="00A06B5A"/>
    <w:rsid w:val="00A07064"/>
    <w:rsid w:val="00A07199"/>
    <w:rsid w:val="00A072F8"/>
    <w:rsid w:val="00A0777D"/>
    <w:rsid w:val="00A07971"/>
    <w:rsid w:val="00A07F44"/>
    <w:rsid w:val="00A103E5"/>
    <w:rsid w:val="00A1087C"/>
    <w:rsid w:val="00A10EAD"/>
    <w:rsid w:val="00A115CE"/>
    <w:rsid w:val="00A11F53"/>
    <w:rsid w:val="00A121B2"/>
    <w:rsid w:val="00A122D8"/>
    <w:rsid w:val="00A125E4"/>
    <w:rsid w:val="00A12620"/>
    <w:rsid w:val="00A12690"/>
    <w:rsid w:val="00A12A62"/>
    <w:rsid w:val="00A130CF"/>
    <w:rsid w:val="00A1358B"/>
    <w:rsid w:val="00A13749"/>
    <w:rsid w:val="00A1381E"/>
    <w:rsid w:val="00A13987"/>
    <w:rsid w:val="00A13BC6"/>
    <w:rsid w:val="00A13BFD"/>
    <w:rsid w:val="00A13F35"/>
    <w:rsid w:val="00A14577"/>
    <w:rsid w:val="00A14D04"/>
    <w:rsid w:val="00A15259"/>
    <w:rsid w:val="00A1533A"/>
    <w:rsid w:val="00A15482"/>
    <w:rsid w:val="00A154D9"/>
    <w:rsid w:val="00A15DD0"/>
    <w:rsid w:val="00A162A7"/>
    <w:rsid w:val="00A162DB"/>
    <w:rsid w:val="00A165E6"/>
    <w:rsid w:val="00A169F6"/>
    <w:rsid w:val="00A169FE"/>
    <w:rsid w:val="00A16F0F"/>
    <w:rsid w:val="00A17053"/>
    <w:rsid w:val="00A17062"/>
    <w:rsid w:val="00A178EF"/>
    <w:rsid w:val="00A17D63"/>
    <w:rsid w:val="00A2038E"/>
    <w:rsid w:val="00A204CF"/>
    <w:rsid w:val="00A206E9"/>
    <w:rsid w:val="00A20928"/>
    <w:rsid w:val="00A20B73"/>
    <w:rsid w:val="00A20DBC"/>
    <w:rsid w:val="00A20E1A"/>
    <w:rsid w:val="00A20E9D"/>
    <w:rsid w:val="00A21C80"/>
    <w:rsid w:val="00A22264"/>
    <w:rsid w:val="00A22548"/>
    <w:rsid w:val="00A2269F"/>
    <w:rsid w:val="00A2289D"/>
    <w:rsid w:val="00A22DAA"/>
    <w:rsid w:val="00A230C7"/>
    <w:rsid w:val="00A2374E"/>
    <w:rsid w:val="00A237B8"/>
    <w:rsid w:val="00A238F3"/>
    <w:rsid w:val="00A24B75"/>
    <w:rsid w:val="00A24C93"/>
    <w:rsid w:val="00A255C3"/>
    <w:rsid w:val="00A25921"/>
    <w:rsid w:val="00A2596D"/>
    <w:rsid w:val="00A25B1E"/>
    <w:rsid w:val="00A26360"/>
    <w:rsid w:val="00A2659D"/>
    <w:rsid w:val="00A26675"/>
    <w:rsid w:val="00A2692D"/>
    <w:rsid w:val="00A26E7D"/>
    <w:rsid w:val="00A26FB1"/>
    <w:rsid w:val="00A2728A"/>
    <w:rsid w:val="00A2779D"/>
    <w:rsid w:val="00A30006"/>
    <w:rsid w:val="00A315DF"/>
    <w:rsid w:val="00A31947"/>
    <w:rsid w:val="00A3275E"/>
    <w:rsid w:val="00A32B8E"/>
    <w:rsid w:val="00A32CA4"/>
    <w:rsid w:val="00A32F5C"/>
    <w:rsid w:val="00A33CC2"/>
    <w:rsid w:val="00A33F22"/>
    <w:rsid w:val="00A34177"/>
    <w:rsid w:val="00A3444C"/>
    <w:rsid w:val="00A345C0"/>
    <w:rsid w:val="00A34D9C"/>
    <w:rsid w:val="00A35064"/>
    <w:rsid w:val="00A3512D"/>
    <w:rsid w:val="00A35914"/>
    <w:rsid w:val="00A35BB5"/>
    <w:rsid w:val="00A35D49"/>
    <w:rsid w:val="00A35F4C"/>
    <w:rsid w:val="00A3611D"/>
    <w:rsid w:val="00A36293"/>
    <w:rsid w:val="00A363EB"/>
    <w:rsid w:val="00A364F7"/>
    <w:rsid w:val="00A36651"/>
    <w:rsid w:val="00A368C2"/>
    <w:rsid w:val="00A36C8D"/>
    <w:rsid w:val="00A36F7B"/>
    <w:rsid w:val="00A400D2"/>
    <w:rsid w:val="00A4075A"/>
    <w:rsid w:val="00A4135F"/>
    <w:rsid w:val="00A41632"/>
    <w:rsid w:val="00A416F5"/>
    <w:rsid w:val="00A41D3D"/>
    <w:rsid w:val="00A42015"/>
    <w:rsid w:val="00A426D8"/>
    <w:rsid w:val="00A42A9A"/>
    <w:rsid w:val="00A43838"/>
    <w:rsid w:val="00A438EE"/>
    <w:rsid w:val="00A443B5"/>
    <w:rsid w:val="00A4455C"/>
    <w:rsid w:val="00A44AAD"/>
    <w:rsid w:val="00A4501E"/>
    <w:rsid w:val="00A45467"/>
    <w:rsid w:val="00A456C0"/>
    <w:rsid w:val="00A45A85"/>
    <w:rsid w:val="00A4660D"/>
    <w:rsid w:val="00A469D5"/>
    <w:rsid w:val="00A46BD1"/>
    <w:rsid w:val="00A470E8"/>
    <w:rsid w:val="00A47B51"/>
    <w:rsid w:val="00A47E18"/>
    <w:rsid w:val="00A47F9B"/>
    <w:rsid w:val="00A501EA"/>
    <w:rsid w:val="00A5091A"/>
    <w:rsid w:val="00A50939"/>
    <w:rsid w:val="00A51150"/>
    <w:rsid w:val="00A51365"/>
    <w:rsid w:val="00A51410"/>
    <w:rsid w:val="00A51738"/>
    <w:rsid w:val="00A52483"/>
    <w:rsid w:val="00A52A3E"/>
    <w:rsid w:val="00A53133"/>
    <w:rsid w:val="00A53514"/>
    <w:rsid w:val="00A53CBD"/>
    <w:rsid w:val="00A53FB5"/>
    <w:rsid w:val="00A54034"/>
    <w:rsid w:val="00A54206"/>
    <w:rsid w:val="00A54875"/>
    <w:rsid w:val="00A54AA1"/>
    <w:rsid w:val="00A55129"/>
    <w:rsid w:val="00A55781"/>
    <w:rsid w:val="00A5599F"/>
    <w:rsid w:val="00A56B0D"/>
    <w:rsid w:val="00A56FA6"/>
    <w:rsid w:val="00A57702"/>
    <w:rsid w:val="00A57E35"/>
    <w:rsid w:val="00A6016E"/>
    <w:rsid w:val="00A601F9"/>
    <w:rsid w:val="00A60442"/>
    <w:rsid w:val="00A60785"/>
    <w:rsid w:val="00A607D5"/>
    <w:rsid w:val="00A60D05"/>
    <w:rsid w:val="00A61437"/>
    <w:rsid w:val="00A61869"/>
    <w:rsid w:val="00A62178"/>
    <w:rsid w:val="00A62277"/>
    <w:rsid w:val="00A62298"/>
    <w:rsid w:val="00A6294F"/>
    <w:rsid w:val="00A63541"/>
    <w:rsid w:val="00A63928"/>
    <w:rsid w:val="00A64268"/>
    <w:rsid w:val="00A644C2"/>
    <w:rsid w:val="00A650B8"/>
    <w:rsid w:val="00A651C2"/>
    <w:rsid w:val="00A6554C"/>
    <w:rsid w:val="00A66174"/>
    <w:rsid w:val="00A668A3"/>
    <w:rsid w:val="00A669CD"/>
    <w:rsid w:val="00A66D4E"/>
    <w:rsid w:val="00A66E29"/>
    <w:rsid w:val="00A66EF6"/>
    <w:rsid w:val="00A67299"/>
    <w:rsid w:val="00A672C4"/>
    <w:rsid w:val="00A67D4F"/>
    <w:rsid w:val="00A7014C"/>
    <w:rsid w:val="00A70AFC"/>
    <w:rsid w:val="00A7136C"/>
    <w:rsid w:val="00A71724"/>
    <w:rsid w:val="00A7247E"/>
    <w:rsid w:val="00A72579"/>
    <w:rsid w:val="00A72796"/>
    <w:rsid w:val="00A727B4"/>
    <w:rsid w:val="00A72C0A"/>
    <w:rsid w:val="00A72D75"/>
    <w:rsid w:val="00A73555"/>
    <w:rsid w:val="00A737E4"/>
    <w:rsid w:val="00A74065"/>
    <w:rsid w:val="00A74105"/>
    <w:rsid w:val="00A7450B"/>
    <w:rsid w:val="00A7468F"/>
    <w:rsid w:val="00A7473E"/>
    <w:rsid w:val="00A748F1"/>
    <w:rsid w:val="00A74B0C"/>
    <w:rsid w:val="00A74B2A"/>
    <w:rsid w:val="00A75116"/>
    <w:rsid w:val="00A75252"/>
    <w:rsid w:val="00A75698"/>
    <w:rsid w:val="00A75751"/>
    <w:rsid w:val="00A759D2"/>
    <w:rsid w:val="00A77023"/>
    <w:rsid w:val="00A772E3"/>
    <w:rsid w:val="00A77305"/>
    <w:rsid w:val="00A7779B"/>
    <w:rsid w:val="00A77F70"/>
    <w:rsid w:val="00A802A1"/>
    <w:rsid w:val="00A804DE"/>
    <w:rsid w:val="00A806AC"/>
    <w:rsid w:val="00A80A5F"/>
    <w:rsid w:val="00A80CD7"/>
    <w:rsid w:val="00A818ED"/>
    <w:rsid w:val="00A81B0B"/>
    <w:rsid w:val="00A81BB4"/>
    <w:rsid w:val="00A81EC2"/>
    <w:rsid w:val="00A82361"/>
    <w:rsid w:val="00A8253A"/>
    <w:rsid w:val="00A8253B"/>
    <w:rsid w:val="00A8254F"/>
    <w:rsid w:val="00A825F8"/>
    <w:rsid w:val="00A826E5"/>
    <w:rsid w:val="00A8287A"/>
    <w:rsid w:val="00A82AD0"/>
    <w:rsid w:val="00A82DEA"/>
    <w:rsid w:val="00A835EF"/>
    <w:rsid w:val="00A839AF"/>
    <w:rsid w:val="00A83B2B"/>
    <w:rsid w:val="00A847B1"/>
    <w:rsid w:val="00A848D9"/>
    <w:rsid w:val="00A84F03"/>
    <w:rsid w:val="00A84F7C"/>
    <w:rsid w:val="00A851E6"/>
    <w:rsid w:val="00A8520D"/>
    <w:rsid w:val="00A85AD4"/>
    <w:rsid w:val="00A85D2B"/>
    <w:rsid w:val="00A8618E"/>
    <w:rsid w:val="00A874BC"/>
    <w:rsid w:val="00A87732"/>
    <w:rsid w:val="00A8798E"/>
    <w:rsid w:val="00A879FF"/>
    <w:rsid w:val="00A87C77"/>
    <w:rsid w:val="00A90253"/>
    <w:rsid w:val="00A90288"/>
    <w:rsid w:val="00A90B7A"/>
    <w:rsid w:val="00A91263"/>
    <w:rsid w:val="00A9126A"/>
    <w:rsid w:val="00A91373"/>
    <w:rsid w:val="00A914DE"/>
    <w:rsid w:val="00A9195A"/>
    <w:rsid w:val="00A9198F"/>
    <w:rsid w:val="00A91CA8"/>
    <w:rsid w:val="00A91E00"/>
    <w:rsid w:val="00A91E24"/>
    <w:rsid w:val="00A91E7B"/>
    <w:rsid w:val="00A91FAE"/>
    <w:rsid w:val="00A92320"/>
    <w:rsid w:val="00A925FD"/>
    <w:rsid w:val="00A92678"/>
    <w:rsid w:val="00A92816"/>
    <w:rsid w:val="00A92A15"/>
    <w:rsid w:val="00A932E8"/>
    <w:rsid w:val="00A93408"/>
    <w:rsid w:val="00A93576"/>
    <w:rsid w:val="00A938FE"/>
    <w:rsid w:val="00A93B1C"/>
    <w:rsid w:val="00A93B30"/>
    <w:rsid w:val="00A93FEE"/>
    <w:rsid w:val="00A9428D"/>
    <w:rsid w:val="00A9443D"/>
    <w:rsid w:val="00A9448F"/>
    <w:rsid w:val="00A94AE4"/>
    <w:rsid w:val="00A950B8"/>
    <w:rsid w:val="00A95134"/>
    <w:rsid w:val="00A952ED"/>
    <w:rsid w:val="00A95476"/>
    <w:rsid w:val="00A95E69"/>
    <w:rsid w:val="00A9658E"/>
    <w:rsid w:val="00A9676C"/>
    <w:rsid w:val="00A96EE4"/>
    <w:rsid w:val="00A97048"/>
    <w:rsid w:val="00A971A1"/>
    <w:rsid w:val="00A97C78"/>
    <w:rsid w:val="00A97F18"/>
    <w:rsid w:val="00AA08D5"/>
    <w:rsid w:val="00AA0A3D"/>
    <w:rsid w:val="00AA0D2C"/>
    <w:rsid w:val="00AA0F63"/>
    <w:rsid w:val="00AA180E"/>
    <w:rsid w:val="00AA1874"/>
    <w:rsid w:val="00AA1AAF"/>
    <w:rsid w:val="00AA1B6E"/>
    <w:rsid w:val="00AA1C2C"/>
    <w:rsid w:val="00AA2557"/>
    <w:rsid w:val="00AA303A"/>
    <w:rsid w:val="00AA3800"/>
    <w:rsid w:val="00AA4533"/>
    <w:rsid w:val="00AA4C76"/>
    <w:rsid w:val="00AA5518"/>
    <w:rsid w:val="00AA5804"/>
    <w:rsid w:val="00AA6E9E"/>
    <w:rsid w:val="00AA6F2D"/>
    <w:rsid w:val="00AA7201"/>
    <w:rsid w:val="00AA7A69"/>
    <w:rsid w:val="00AA7F1D"/>
    <w:rsid w:val="00AA7F5E"/>
    <w:rsid w:val="00AA7F92"/>
    <w:rsid w:val="00AB009E"/>
    <w:rsid w:val="00AB049C"/>
    <w:rsid w:val="00AB04F3"/>
    <w:rsid w:val="00AB0BE4"/>
    <w:rsid w:val="00AB0C8A"/>
    <w:rsid w:val="00AB108B"/>
    <w:rsid w:val="00AB10A2"/>
    <w:rsid w:val="00AB10A4"/>
    <w:rsid w:val="00AB1443"/>
    <w:rsid w:val="00AB1E6B"/>
    <w:rsid w:val="00AB2039"/>
    <w:rsid w:val="00AB21C9"/>
    <w:rsid w:val="00AB24A6"/>
    <w:rsid w:val="00AB2A63"/>
    <w:rsid w:val="00AB2BD9"/>
    <w:rsid w:val="00AB2EC9"/>
    <w:rsid w:val="00AB2FD8"/>
    <w:rsid w:val="00AB329F"/>
    <w:rsid w:val="00AB3396"/>
    <w:rsid w:val="00AB35FF"/>
    <w:rsid w:val="00AB3B85"/>
    <w:rsid w:val="00AB3E48"/>
    <w:rsid w:val="00AB3F4F"/>
    <w:rsid w:val="00AB4438"/>
    <w:rsid w:val="00AB4548"/>
    <w:rsid w:val="00AB45B6"/>
    <w:rsid w:val="00AB49FE"/>
    <w:rsid w:val="00AB4E09"/>
    <w:rsid w:val="00AB4E9E"/>
    <w:rsid w:val="00AB511E"/>
    <w:rsid w:val="00AB52B4"/>
    <w:rsid w:val="00AB59EF"/>
    <w:rsid w:val="00AB5E4A"/>
    <w:rsid w:val="00AB67C6"/>
    <w:rsid w:val="00AB7177"/>
    <w:rsid w:val="00AC029A"/>
    <w:rsid w:val="00AC06EB"/>
    <w:rsid w:val="00AC0C6F"/>
    <w:rsid w:val="00AC0EDF"/>
    <w:rsid w:val="00AC0EFD"/>
    <w:rsid w:val="00AC0F85"/>
    <w:rsid w:val="00AC18C6"/>
    <w:rsid w:val="00AC19BB"/>
    <w:rsid w:val="00AC1AA9"/>
    <w:rsid w:val="00AC1FF9"/>
    <w:rsid w:val="00AC225C"/>
    <w:rsid w:val="00AC283C"/>
    <w:rsid w:val="00AC2AC2"/>
    <w:rsid w:val="00AC2CB8"/>
    <w:rsid w:val="00AC2D0D"/>
    <w:rsid w:val="00AC2E10"/>
    <w:rsid w:val="00AC322D"/>
    <w:rsid w:val="00AC38E0"/>
    <w:rsid w:val="00AC3A7D"/>
    <w:rsid w:val="00AC4022"/>
    <w:rsid w:val="00AC4041"/>
    <w:rsid w:val="00AC4224"/>
    <w:rsid w:val="00AC43E1"/>
    <w:rsid w:val="00AC4457"/>
    <w:rsid w:val="00AC4B37"/>
    <w:rsid w:val="00AC4F0C"/>
    <w:rsid w:val="00AC5376"/>
    <w:rsid w:val="00AC56E4"/>
    <w:rsid w:val="00AC57BD"/>
    <w:rsid w:val="00AC6194"/>
    <w:rsid w:val="00AC6AC7"/>
    <w:rsid w:val="00AC6C07"/>
    <w:rsid w:val="00AC6CC1"/>
    <w:rsid w:val="00AC796D"/>
    <w:rsid w:val="00AC7E28"/>
    <w:rsid w:val="00AD0071"/>
    <w:rsid w:val="00AD02EF"/>
    <w:rsid w:val="00AD0306"/>
    <w:rsid w:val="00AD03BA"/>
    <w:rsid w:val="00AD078F"/>
    <w:rsid w:val="00AD08EC"/>
    <w:rsid w:val="00AD0990"/>
    <w:rsid w:val="00AD10E6"/>
    <w:rsid w:val="00AD1260"/>
    <w:rsid w:val="00AD150F"/>
    <w:rsid w:val="00AD162E"/>
    <w:rsid w:val="00AD1CF2"/>
    <w:rsid w:val="00AD2B6D"/>
    <w:rsid w:val="00AD33CF"/>
    <w:rsid w:val="00AD3483"/>
    <w:rsid w:val="00AD3728"/>
    <w:rsid w:val="00AD382B"/>
    <w:rsid w:val="00AD3878"/>
    <w:rsid w:val="00AD3959"/>
    <w:rsid w:val="00AD3DC2"/>
    <w:rsid w:val="00AD3E67"/>
    <w:rsid w:val="00AD4049"/>
    <w:rsid w:val="00AD46A8"/>
    <w:rsid w:val="00AD46DE"/>
    <w:rsid w:val="00AD5C5D"/>
    <w:rsid w:val="00AD5D32"/>
    <w:rsid w:val="00AD62A9"/>
    <w:rsid w:val="00AD69A6"/>
    <w:rsid w:val="00AD6B07"/>
    <w:rsid w:val="00AD6FF5"/>
    <w:rsid w:val="00AD6FF8"/>
    <w:rsid w:val="00AD7162"/>
    <w:rsid w:val="00AD716A"/>
    <w:rsid w:val="00AD726B"/>
    <w:rsid w:val="00AD7718"/>
    <w:rsid w:val="00AD78EC"/>
    <w:rsid w:val="00AD7C06"/>
    <w:rsid w:val="00AD7C52"/>
    <w:rsid w:val="00AD7CAE"/>
    <w:rsid w:val="00AD7CD3"/>
    <w:rsid w:val="00AD7CDB"/>
    <w:rsid w:val="00AD7E33"/>
    <w:rsid w:val="00AD7EB7"/>
    <w:rsid w:val="00AE01FC"/>
    <w:rsid w:val="00AE0254"/>
    <w:rsid w:val="00AE0380"/>
    <w:rsid w:val="00AE060D"/>
    <w:rsid w:val="00AE0AC0"/>
    <w:rsid w:val="00AE1449"/>
    <w:rsid w:val="00AE15F3"/>
    <w:rsid w:val="00AE189E"/>
    <w:rsid w:val="00AE1F37"/>
    <w:rsid w:val="00AE24FF"/>
    <w:rsid w:val="00AE2A05"/>
    <w:rsid w:val="00AE2BB5"/>
    <w:rsid w:val="00AE3045"/>
    <w:rsid w:val="00AE30AB"/>
    <w:rsid w:val="00AE323A"/>
    <w:rsid w:val="00AE37F1"/>
    <w:rsid w:val="00AE3C71"/>
    <w:rsid w:val="00AE3EE8"/>
    <w:rsid w:val="00AE42BA"/>
    <w:rsid w:val="00AE42D1"/>
    <w:rsid w:val="00AE46DD"/>
    <w:rsid w:val="00AE47C3"/>
    <w:rsid w:val="00AE50BE"/>
    <w:rsid w:val="00AE512B"/>
    <w:rsid w:val="00AE52B2"/>
    <w:rsid w:val="00AE53CE"/>
    <w:rsid w:val="00AE5CCA"/>
    <w:rsid w:val="00AE6CA0"/>
    <w:rsid w:val="00AE767D"/>
    <w:rsid w:val="00AE76FF"/>
    <w:rsid w:val="00AE7E5D"/>
    <w:rsid w:val="00AF054B"/>
    <w:rsid w:val="00AF0750"/>
    <w:rsid w:val="00AF077D"/>
    <w:rsid w:val="00AF0787"/>
    <w:rsid w:val="00AF0824"/>
    <w:rsid w:val="00AF0A1E"/>
    <w:rsid w:val="00AF0AEC"/>
    <w:rsid w:val="00AF0D36"/>
    <w:rsid w:val="00AF1255"/>
    <w:rsid w:val="00AF1733"/>
    <w:rsid w:val="00AF1C93"/>
    <w:rsid w:val="00AF1FC8"/>
    <w:rsid w:val="00AF200F"/>
    <w:rsid w:val="00AF2316"/>
    <w:rsid w:val="00AF261F"/>
    <w:rsid w:val="00AF2620"/>
    <w:rsid w:val="00AF395A"/>
    <w:rsid w:val="00AF3F27"/>
    <w:rsid w:val="00AF4339"/>
    <w:rsid w:val="00AF4809"/>
    <w:rsid w:val="00AF4905"/>
    <w:rsid w:val="00AF4FE8"/>
    <w:rsid w:val="00AF530B"/>
    <w:rsid w:val="00AF5769"/>
    <w:rsid w:val="00AF58BF"/>
    <w:rsid w:val="00AF5AAC"/>
    <w:rsid w:val="00AF5F0D"/>
    <w:rsid w:val="00AF60F3"/>
    <w:rsid w:val="00AF63F4"/>
    <w:rsid w:val="00AF67F7"/>
    <w:rsid w:val="00AF6CFF"/>
    <w:rsid w:val="00AF7198"/>
    <w:rsid w:val="00AF7203"/>
    <w:rsid w:val="00AF725E"/>
    <w:rsid w:val="00AF72EE"/>
    <w:rsid w:val="00AF74DB"/>
    <w:rsid w:val="00AF75B8"/>
    <w:rsid w:val="00AF76B6"/>
    <w:rsid w:val="00AF76DB"/>
    <w:rsid w:val="00AF7D1A"/>
    <w:rsid w:val="00AF7F2C"/>
    <w:rsid w:val="00B001BD"/>
    <w:rsid w:val="00B0023E"/>
    <w:rsid w:val="00B00536"/>
    <w:rsid w:val="00B00738"/>
    <w:rsid w:val="00B00DFF"/>
    <w:rsid w:val="00B016F3"/>
    <w:rsid w:val="00B01D48"/>
    <w:rsid w:val="00B0242C"/>
    <w:rsid w:val="00B02CF7"/>
    <w:rsid w:val="00B031ED"/>
    <w:rsid w:val="00B0395E"/>
    <w:rsid w:val="00B0402D"/>
    <w:rsid w:val="00B041A9"/>
    <w:rsid w:val="00B043C9"/>
    <w:rsid w:val="00B043F3"/>
    <w:rsid w:val="00B04798"/>
    <w:rsid w:val="00B048A0"/>
    <w:rsid w:val="00B04A00"/>
    <w:rsid w:val="00B04A42"/>
    <w:rsid w:val="00B05065"/>
    <w:rsid w:val="00B05188"/>
    <w:rsid w:val="00B0545D"/>
    <w:rsid w:val="00B05869"/>
    <w:rsid w:val="00B05AE9"/>
    <w:rsid w:val="00B0683F"/>
    <w:rsid w:val="00B06AD1"/>
    <w:rsid w:val="00B06B54"/>
    <w:rsid w:val="00B06B60"/>
    <w:rsid w:val="00B06D85"/>
    <w:rsid w:val="00B06F05"/>
    <w:rsid w:val="00B06F8E"/>
    <w:rsid w:val="00B073D8"/>
    <w:rsid w:val="00B07D4E"/>
    <w:rsid w:val="00B10653"/>
    <w:rsid w:val="00B1082E"/>
    <w:rsid w:val="00B11A4D"/>
    <w:rsid w:val="00B11EF7"/>
    <w:rsid w:val="00B128AC"/>
    <w:rsid w:val="00B12A88"/>
    <w:rsid w:val="00B13592"/>
    <w:rsid w:val="00B137AD"/>
    <w:rsid w:val="00B13A0A"/>
    <w:rsid w:val="00B13D73"/>
    <w:rsid w:val="00B13E46"/>
    <w:rsid w:val="00B1419B"/>
    <w:rsid w:val="00B145CC"/>
    <w:rsid w:val="00B14767"/>
    <w:rsid w:val="00B14911"/>
    <w:rsid w:val="00B155B0"/>
    <w:rsid w:val="00B155F0"/>
    <w:rsid w:val="00B15D6E"/>
    <w:rsid w:val="00B15DA6"/>
    <w:rsid w:val="00B1604F"/>
    <w:rsid w:val="00B1626C"/>
    <w:rsid w:val="00B16423"/>
    <w:rsid w:val="00B16546"/>
    <w:rsid w:val="00B16632"/>
    <w:rsid w:val="00B16686"/>
    <w:rsid w:val="00B16800"/>
    <w:rsid w:val="00B168C0"/>
    <w:rsid w:val="00B168ED"/>
    <w:rsid w:val="00B16B0D"/>
    <w:rsid w:val="00B1706D"/>
    <w:rsid w:val="00B17336"/>
    <w:rsid w:val="00B1739B"/>
    <w:rsid w:val="00B17596"/>
    <w:rsid w:val="00B17C65"/>
    <w:rsid w:val="00B17FB6"/>
    <w:rsid w:val="00B200B5"/>
    <w:rsid w:val="00B20387"/>
    <w:rsid w:val="00B2044D"/>
    <w:rsid w:val="00B20CDD"/>
    <w:rsid w:val="00B20DE0"/>
    <w:rsid w:val="00B2174E"/>
    <w:rsid w:val="00B21B93"/>
    <w:rsid w:val="00B222CC"/>
    <w:rsid w:val="00B22610"/>
    <w:rsid w:val="00B227C6"/>
    <w:rsid w:val="00B228AC"/>
    <w:rsid w:val="00B22A1A"/>
    <w:rsid w:val="00B22AD1"/>
    <w:rsid w:val="00B234E2"/>
    <w:rsid w:val="00B2394E"/>
    <w:rsid w:val="00B23BDE"/>
    <w:rsid w:val="00B240F0"/>
    <w:rsid w:val="00B241D8"/>
    <w:rsid w:val="00B2420F"/>
    <w:rsid w:val="00B24567"/>
    <w:rsid w:val="00B245E2"/>
    <w:rsid w:val="00B249D8"/>
    <w:rsid w:val="00B24A45"/>
    <w:rsid w:val="00B24A80"/>
    <w:rsid w:val="00B24D2C"/>
    <w:rsid w:val="00B25081"/>
    <w:rsid w:val="00B2515E"/>
    <w:rsid w:val="00B25525"/>
    <w:rsid w:val="00B2590F"/>
    <w:rsid w:val="00B25A33"/>
    <w:rsid w:val="00B25D68"/>
    <w:rsid w:val="00B26AD9"/>
    <w:rsid w:val="00B27DD4"/>
    <w:rsid w:val="00B27F44"/>
    <w:rsid w:val="00B27F82"/>
    <w:rsid w:val="00B30030"/>
    <w:rsid w:val="00B307FA"/>
    <w:rsid w:val="00B308C8"/>
    <w:rsid w:val="00B30A2B"/>
    <w:rsid w:val="00B30D65"/>
    <w:rsid w:val="00B31134"/>
    <w:rsid w:val="00B315DF"/>
    <w:rsid w:val="00B318FE"/>
    <w:rsid w:val="00B31CF0"/>
    <w:rsid w:val="00B31D29"/>
    <w:rsid w:val="00B32C08"/>
    <w:rsid w:val="00B32F15"/>
    <w:rsid w:val="00B330E6"/>
    <w:rsid w:val="00B33A47"/>
    <w:rsid w:val="00B33A8B"/>
    <w:rsid w:val="00B33B96"/>
    <w:rsid w:val="00B33BAA"/>
    <w:rsid w:val="00B33C78"/>
    <w:rsid w:val="00B34113"/>
    <w:rsid w:val="00B34180"/>
    <w:rsid w:val="00B347DE"/>
    <w:rsid w:val="00B34B29"/>
    <w:rsid w:val="00B34D81"/>
    <w:rsid w:val="00B34D91"/>
    <w:rsid w:val="00B34FF6"/>
    <w:rsid w:val="00B3585B"/>
    <w:rsid w:val="00B358E5"/>
    <w:rsid w:val="00B35CBF"/>
    <w:rsid w:val="00B36464"/>
    <w:rsid w:val="00B3682A"/>
    <w:rsid w:val="00B3696F"/>
    <w:rsid w:val="00B369BD"/>
    <w:rsid w:val="00B36F01"/>
    <w:rsid w:val="00B37065"/>
    <w:rsid w:val="00B3734D"/>
    <w:rsid w:val="00B37353"/>
    <w:rsid w:val="00B3792F"/>
    <w:rsid w:val="00B37F6E"/>
    <w:rsid w:val="00B402C3"/>
    <w:rsid w:val="00B40E3B"/>
    <w:rsid w:val="00B40FF0"/>
    <w:rsid w:val="00B414C0"/>
    <w:rsid w:val="00B41ABA"/>
    <w:rsid w:val="00B422BF"/>
    <w:rsid w:val="00B422C2"/>
    <w:rsid w:val="00B42342"/>
    <w:rsid w:val="00B4252E"/>
    <w:rsid w:val="00B42851"/>
    <w:rsid w:val="00B42AAB"/>
    <w:rsid w:val="00B42B24"/>
    <w:rsid w:val="00B433E4"/>
    <w:rsid w:val="00B434B4"/>
    <w:rsid w:val="00B437A1"/>
    <w:rsid w:val="00B4397F"/>
    <w:rsid w:val="00B43C6A"/>
    <w:rsid w:val="00B44190"/>
    <w:rsid w:val="00B44584"/>
    <w:rsid w:val="00B4461C"/>
    <w:rsid w:val="00B4509B"/>
    <w:rsid w:val="00B452DE"/>
    <w:rsid w:val="00B46586"/>
    <w:rsid w:val="00B46605"/>
    <w:rsid w:val="00B46832"/>
    <w:rsid w:val="00B46AE5"/>
    <w:rsid w:val="00B46D25"/>
    <w:rsid w:val="00B5046D"/>
    <w:rsid w:val="00B50A69"/>
    <w:rsid w:val="00B50F67"/>
    <w:rsid w:val="00B5125A"/>
    <w:rsid w:val="00B5148F"/>
    <w:rsid w:val="00B5149D"/>
    <w:rsid w:val="00B514A5"/>
    <w:rsid w:val="00B51520"/>
    <w:rsid w:val="00B515BF"/>
    <w:rsid w:val="00B519B4"/>
    <w:rsid w:val="00B519CF"/>
    <w:rsid w:val="00B51B4D"/>
    <w:rsid w:val="00B52283"/>
    <w:rsid w:val="00B526CD"/>
    <w:rsid w:val="00B533A8"/>
    <w:rsid w:val="00B535F0"/>
    <w:rsid w:val="00B5366E"/>
    <w:rsid w:val="00B538C4"/>
    <w:rsid w:val="00B5487C"/>
    <w:rsid w:val="00B548CC"/>
    <w:rsid w:val="00B54E78"/>
    <w:rsid w:val="00B554A2"/>
    <w:rsid w:val="00B554FD"/>
    <w:rsid w:val="00B55676"/>
    <w:rsid w:val="00B559E6"/>
    <w:rsid w:val="00B55AF1"/>
    <w:rsid w:val="00B56CC2"/>
    <w:rsid w:val="00B5709E"/>
    <w:rsid w:val="00B5730E"/>
    <w:rsid w:val="00B574D8"/>
    <w:rsid w:val="00B574ED"/>
    <w:rsid w:val="00B577A9"/>
    <w:rsid w:val="00B57809"/>
    <w:rsid w:val="00B601D3"/>
    <w:rsid w:val="00B605DE"/>
    <w:rsid w:val="00B610B3"/>
    <w:rsid w:val="00B611F5"/>
    <w:rsid w:val="00B612C2"/>
    <w:rsid w:val="00B61B3D"/>
    <w:rsid w:val="00B61BDE"/>
    <w:rsid w:val="00B61DFD"/>
    <w:rsid w:val="00B61EEF"/>
    <w:rsid w:val="00B61F16"/>
    <w:rsid w:val="00B62084"/>
    <w:rsid w:val="00B623A7"/>
    <w:rsid w:val="00B62467"/>
    <w:rsid w:val="00B62618"/>
    <w:rsid w:val="00B626AD"/>
    <w:rsid w:val="00B62C33"/>
    <w:rsid w:val="00B62D90"/>
    <w:rsid w:val="00B633D2"/>
    <w:rsid w:val="00B635C0"/>
    <w:rsid w:val="00B64184"/>
    <w:rsid w:val="00B642BC"/>
    <w:rsid w:val="00B648B2"/>
    <w:rsid w:val="00B65201"/>
    <w:rsid w:val="00B65346"/>
    <w:rsid w:val="00B65498"/>
    <w:rsid w:val="00B656B4"/>
    <w:rsid w:val="00B6578C"/>
    <w:rsid w:val="00B6594B"/>
    <w:rsid w:val="00B659B8"/>
    <w:rsid w:val="00B661A3"/>
    <w:rsid w:val="00B66818"/>
    <w:rsid w:val="00B6720C"/>
    <w:rsid w:val="00B672D9"/>
    <w:rsid w:val="00B6757A"/>
    <w:rsid w:val="00B67671"/>
    <w:rsid w:val="00B677F8"/>
    <w:rsid w:val="00B67BA5"/>
    <w:rsid w:val="00B67EB3"/>
    <w:rsid w:val="00B70198"/>
    <w:rsid w:val="00B704D9"/>
    <w:rsid w:val="00B70A01"/>
    <w:rsid w:val="00B70EB1"/>
    <w:rsid w:val="00B71A12"/>
    <w:rsid w:val="00B71B63"/>
    <w:rsid w:val="00B71BE2"/>
    <w:rsid w:val="00B71EBB"/>
    <w:rsid w:val="00B71F8F"/>
    <w:rsid w:val="00B7233F"/>
    <w:rsid w:val="00B7289A"/>
    <w:rsid w:val="00B72A71"/>
    <w:rsid w:val="00B73023"/>
    <w:rsid w:val="00B7303D"/>
    <w:rsid w:val="00B731B5"/>
    <w:rsid w:val="00B73F47"/>
    <w:rsid w:val="00B75136"/>
    <w:rsid w:val="00B754A3"/>
    <w:rsid w:val="00B75B8B"/>
    <w:rsid w:val="00B75DD2"/>
    <w:rsid w:val="00B7602C"/>
    <w:rsid w:val="00B7645D"/>
    <w:rsid w:val="00B765B4"/>
    <w:rsid w:val="00B773AD"/>
    <w:rsid w:val="00B7756F"/>
    <w:rsid w:val="00B7783F"/>
    <w:rsid w:val="00B7788B"/>
    <w:rsid w:val="00B77B7B"/>
    <w:rsid w:val="00B77EBC"/>
    <w:rsid w:val="00B801D0"/>
    <w:rsid w:val="00B80651"/>
    <w:rsid w:val="00B80B15"/>
    <w:rsid w:val="00B80B5D"/>
    <w:rsid w:val="00B80D46"/>
    <w:rsid w:val="00B80E76"/>
    <w:rsid w:val="00B8108A"/>
    <w:rsid w:val="00B8148C"/>
    <w:rsid w:val="00B8154F"/>
    <w:rsid w:val="00B81D1C"/>
    <w:rsid w:val="00B81FAD"/>
    <w:rsid w:val="00B820A1"/>
    <w:rsid w:val="00B820D3"/>
    <w:rsid w:val="00B822B4"/>
    <w:rsid w:val="00B824F6"/>
    <w:rsid w:val="00B82958"/>
    <w:rsid w:val="00B82BBA"/>
    <w:rsid w:val="00B82FF9"/>
    <w:rsid w:val="00B83045"/>
    <w:rsid w:val="00B832A2"/>
    <w:rsid w:val="00B83902"/>
    <w:rsid w:val="00B83D43"/>
    <w:rsid w:val="00B841DB"/>
    <w:rsid w:val="00B84527"/>
    <w:rsid w:val="00B84546"/>
    <w:rsid w:val="00B845AC"/>
    <w:rsid w:val="00B84A2D"/>
    <w:rsid w:val="00B84AAC"/>
    <w:rsid w:val="00B84CB9"/>
    <w:rsid w:val="00B85000"/>
    <w:rsid w:val="00B85074"/>
    <w:rsid w:val="00B85225"/>
    <w:rsid w:val="00B858A1"/>
    <w:rsid w:val="00B85944"/>
    <w:rsid w:val="00B85C6D"/>
    <w:rsid w:val="00B85D26"/>
    <w:rsid w:val="00B8600F"/>
    <w:rsid w:val="00B8636D"/>
    <w:rsid w:val="00B868BA"/>
    <w:rsid w:val="00B87465"/>
    <w:rsid w:val="00B875CD"/>
    <w:rsid w:val="00B87697"/>
    <w:rsid w:val="00B876C9"/>
    <w:rsid w:val="00B87A39"/>
    <w:rsid w:val="00B87B5B"/>
    <w:rsid w:val="00B87C76"/>
    <w:rsid w:val="00B904E6"/>
    <w:rsid w:val="00B9061F"/>
    <w:rsid w:val="00B907F8"/>
    <w:rsid w:val="00B90BC1"/>
    <w:rsid w:val="00B90E58"/>
    <w:rsid w:val="00B920FD"/>
    <w:rsid w:val="00B92539"/>
    <w:rsid w:val="00B92ABF"/>
    <w:rsid w:val="00B92F4E"/>
    <w:rsid w:val="00B92FB8"/>
    <w:rsid w:val="00B932FE"/>
    <w:rsid w:val="00B935FF"/>
    <w:rsid w:val="00B93AFC"/>
    <w:rsid w:val="00B93CB4"/>
    <w:rsid w:val="00B94384"/>
    <w:rsid w:val="00B94BAF"/>
    <w:rsid w:val="00B94CC2"/>
    <w:rsid w:val="00B9545A"/>
    <w:rsid w:val="00B9557E"/>
    <w:rsid w:val="00B95D30"/>
    <w:rsid w:val="00B95E32"/>
    <w:rsid w:val="00B9601C"/>
    <w:rsid w:val="00B96369"/>
    <w:rsid w:val="00B966CC"/>
    <w:rsid w:val="00B96BF6"/>
    <w:rsid w:val="00B96C24"/>
    <w:rsid w:val="00B96D9D"/>
    <w:rsid w:val="00B96DC0"/>
    <w:rsid w:val="00B96EA7"/>
    <w:rsid w:val="00B97799"/>
    <w:rsid w:val="00B978E0"/>
    <w:rsid w:val="00B979D3"/>
    <w:rsid w:val="00B97B05"/>
    <w:rsid w:val="00B97B5A"/>
    <w:rsid w:val="00B97F3D"/>
    <w:rsid w:val="00BA071D"/>
    <w:rsid w:val="00BA0B10"/>
    <w:rsid w:val="00BA0E7E"/>
    <w:rsid w:val="00BA1888"/>
    <w:rsid w:val="00BA192A"/>
    <w:rsid w:val="00BA284E"/>
    <w:rsid w:val="00BA289D"/>
    <w:rsid w:val="00BA28D1"/>
    <w:rsid w:val="00BA2A5B"/>
    <w:rsid w:val="00BA2D91"/>
    <w:rsid w:val="00BA323A"/>
    <w:rsid w:val="00BA3943"/>
    <w:rsid w:val="00BA3E8C"/>
    <w:rsid w:val="00BA3EDD"/>
    <w:rsid w:val="00BA3F37"/>
    <w:rsid w:val="00BA4126"/>
    <w:rsid w:val="00BA444A"/>
    <w:rsid w:val="00BA5004"/>
    <w:rsid w:val="00BA526D"/>
    <w:rsid w:val="00BA5291"/>
    <w:rsid w:val="00BA5511"/>
    <w:rsid w:val="00BA554F"/>
    <w:rsid w:val="00BA55FD"/>
    <w:rsid w:val="00BA5A7C"/>
    <w:rsid w:val="00BA5A85"/>
    <w:rsid w:val="00BA5F3A"/>
    <w:rsid w:val="00BA6189"/>
    <w:rsid w:val="00BA7115"/>
    <w:rsid w:val="00BA7239"/>
    <w:rsid w:val="00BA72B2"/>
    <w:rsid w:val="00BA7944"/>
    <w:rsid w:val="00BA7E53"/>
    <w:rsid w:val="00BA7F07"/>
    <w:rsid w:val="00BB0226"/>
    <w:rsid w:val="00BB09C4"/>
    <w:rsid w:val="00BB0AC8"/>
    <w:rsid w:val="00BB0B9A"/>
    <w:rsid w:val="00BB0D4B"/>
    <w:rsid w:val="00BB126E"/>
    <w:rsid w:val="00BB12BE"/>
    <w:rsid w:val="00BB1341"/>
    <w:rsid w:val="00BB1716"/>
    <w:rsid w:val="00BB219B"/>
    <w:rsid w:val="00BB2567"/>
    <w:rsid w:val="00BB28A7"/>
    <w:rsid w:val="00BB2C05"/>
    <w:rsid w:val="00BB2C2B"/>
    <w:rsid w:val="00BB3386"/>
    <w:rsid w:val="00BB35B7"/>
    <w:rsid w:val="00BB4480"/>
    <w:rsid w:val="00BB46CB"/>
    <w:rsid w:val="00BB514F"/>
    <w:rsid w:val="00BB5266"/>
    <w:rsid w:val="00BB5425"/>
    <w:rsid w:val="00BB5B4C"/>
    <w:rsid w:val="00BB5F16"/>
    <w:rsid w:val="00BB66DC"/>
    <w:rsid w:val="00BB685E"/>
    <w:rsid w:val="00BB68CC"/>
    <w:rsid w:val="00BB70A0"/>
    <w:rsid w:val="00BB7127"/>
    <w:rsid w:val="00BB720F"/>
    <w:rsid w:val="00BB731F"/>
    <w:rsid w:val="00BB76A0"/>
    <w:rsid w:val="00BB7D2E"/>
    <w:rsid w:val="00BB7DC2"/>
    <w:rsid w:val="00BB7EDC"/>
    <w:rsid w:val="00BB7FED"/>
    <w:rsid w:val="00BC039E"/>
    <w:rsid w:val="00BC086A"/>
    <w:rsid w:val="00BC0962"/>
    <w:rsid w:val="00BC1057"/>
    <w:rsid w:val="00BC110D"/>
    <w:rsid w:val="00BC11A2"/>
    <w:rsid w:val="00BC1DEC"/>
    <w:rsid w:val="00BC2223"/>
    <w:rsid w:val="00BC23F6"/>
    <w:rsid w:val="00BC2CEB"/>
    <w:rsid w:val="00BC2DDE"/>
    <w:rsid w:val="00BC2E5D"/>
    <w:rsid w:val="00BC3596"/>
    <w:rsid w:val="00BC384F"/>
    <w:rsid w:val="00BC3A6F"/>
    <w:rsid w:val="00BC3AA1"/>
    <w:rsid w:val="00BC41A3"/>
    <w:rsid w:val="00BC428D"/>
    <w:rsid w:val="00BC455A"/>
    <w:rsid w:val="00BC4A13"/>
    <w:rsid w:val="00BC5E8F"/>
    <w:rsid w:val="00BC619D"/>
    <w:rsid w:val="00BC6E2E"/>
    <w:rsid w:val="00BC6EC1"/>
    <w:rsid w:val="00BC6FFD"/>
    <w:rsid w:val="00BC719C"/>
    <w:rsid w:val="00BC72E4"/>
    <w:rsid w:val="00BC7786"/>
    <w:rsid w:val="00BD0131"/>
    <w:rsid w:val="00BD09A3"/>
    <w:rsid w:val="00BD0CC9"/>
    <w:rsid w:val="00BD0FA9"/>
    <w:rsid w:val="00BD1083"/>
    <w:rsid w:val="00BD19AF"/>
    <w:rsid w:val="00BD1E80"/>
    <w:rsid w:val="00BD2520"/>
    <w:rsid w:val="00BD2528"/>
    <w:rsid w:val="00BD269C"/>
    <w:rsid w:val="00BD2896"/>
    <w:rsid w:val="00BD3200"/>
    <w:rsid w:val="00BD4D35"/>
    <w:rsid w:val="00BD50B3"/>
    <w:rsid w:val="00BD5227"/>
    <w:rsid w:val="00BD54E1"/>
    <w:rsid w:val="00BD56C6"/>
    <w:rsid w:val="00BD6463"/>
    <w:rsid w:val="00BD65F9"/>
    <w:rsid w:val="00BD69A9"/>
    <w:rsid w:val="00BD6A4C"/>
    <w:rsid w:val="00BD6EF4"/>
    <w:rsid w:val="00BD6F36"/>
    <w:rsid w:val="00BD6FEC"/>
    <w:rsid w:val="00BD717C"/>
    <w:rsid w:val="00BD7688"/>
    <w:rsid w:val="00BD7BF6"/>
    <w:rsid w:val="00BE03ED"/>
    <w:rsid w:val="00BE0AE4"/>
    <w:rsid w:val="00BE0C37"/>
    <w:rsid w:val="00BE0D25"/>
    <w:rsid w:val="00BE11BF"/>
    <w:rsid w:val="00BE131F"/>
    <w:rsid w:val="00BE13FE"/>
    <w:rsid w:val="00BE15FD"/>
    <w:rsid w:val="00BE198D"/>
    <w:rsid w:val="00BE1B44"/>
    <w:rsid w:val="00BE1D03"/>
    <w:rsid w:val="00BE2436"/>
    <w:rsid w:val="00BE272B"/>
    <w:rsid w:val="00BE2A19"/>
    <w:rsid w:val="00BE2C53"/>
    <w:rsid w:val="00BE2F81"/>
    <w:rsid w:val="00BE2F87"/>
    <w:rsid w:val="00BE2FDD"/>
    <w:rsid w:val="00BE33EB"/>
    <w:rsid w:val="00BE3771"/>
    <w:rsid w:val="00BE37F8"/>
    <w:rsid w:val="00BE381C"/>
    <w:rsid w:val="00BE3C33"/>
    <w:rsid w:val="00BE43C0"/>
    <w:rsid w:val="00BE4633"/>
    <w:rsid w:val="00BE4678"/>
    <w:rsid w:val="00BE49B4"/>
    <w:rsid w:val="00BE49E8"/>
    <w:rsid w:val="00BE4D7F"/>
    <w:rsid w:val="00BE52E0"/>
    <w:rsid w:val="00BE53DD"/>
    <w:rsid w:val="00BE578A"/>
    <w:rsid w:val="00BE5A9A"/>
    <w:rsid w:val="00BE5CCB"/>
    <w:rsid w:val="00BE5DC2"/>
    <w:rsid w:val="00BE5F34"/>
    <w:rsid w:val="00BE6252"/>
    <w:rsid w:val="00BE6389"/>
    <w:rsid w:val="00BE6A42"/>
    <w:rsid w:val="00BE6CAB"/>
    <w:rsid w:val="00BE7289"/>
    <w:rsid w:val="00BE7366"/>
    <w:rsid w:val="00BE75E6"/>
    <w:rsid w:val="00BE78FA"/>
    <w:rsid w:val="00BE790A"/>
    <w:rsid w:val="00BE7C80"/>
    <w:rsid w:val="00BE7EB7"/>
    <w:rsid w:val="00BE7FBD"/>
    <w:rsid w:val="00BF0403"/>
    <w:rsid w:val="00BF090A"/>
    <w:rsid w:val="00BF0EA4"/>
    <w:rsid w:val="00BF140C"/>
    <w:rsid w:val="00BF15AC"/>
    <w:rsid w:val="00BF1BD3"/>
    <w:rsid w:val="00BF1C43"/>
    <w:rsid w:val="00BF1C5F"/>
    <w:rsid w:val="00BF1D51"/>
    <w:rsid w:val="00BF1E04"/>
    <w:rsid w:val="00BF1F71"/>
    <w:rsid w:val="00BF1F7A"/>
    <w:rsid w:val="00BF2565"/>
    <w:rsid w:val="00BF25DA"/>
    <w:rsid w:val="00BF329B"/>
    <w:rsid w:val="00BF33FF"/>
    <w:rsid w:val="00BF3500"/>
    <w:rsid w:val="00BF3898"/>
    <w:rsid w:val="00BF404A"/>
    <w:rsid w:val="00BF4239"/>
    <w:rsid w:val="00BF44A3"/>
    <w:rsid w:val="00BF49F0"/>
    <w:rsid w:val="00BF4AD1"/>
    <w:rsid w:val="00BF540F"/>
    <w:rsid w:val="00BF5B57"/>
    <w:rsid w:val="00BF5D9D"/>
    <w:rsid w:val="00BF5F35"/>
    <w:rsid w:val="00BF5FEC"/>
    <w:rsid w:val="00BF6119"/>
    <w:rsid w:val="00BF617D"/>
    <w:rsid w:val="00BF6340"/>
    <w:rsid w:val="00BF6501"/>
    <w:rsid w:val="00BF6609"/>
    <w:rsid w:val="00BF68C6"/>
    <w:rsid w:val="00BF74A4"/>
    <w:rsid w:val="00BF753C"/>
    <w:rsid w:val="00BF75F7"/>
    <w:rsid w:val="00BF78AB"/>
    <w:rsid w:val="00BF7DA6"/>
    <w:rsid w:val="00C00547"/>
    <w:rsid w:val="00C006F5"/>
    <w:rsid w:val="00C00811"/>
    <w:rsid w:val="00C00A17"/>
    <w:rsid w:val="00C00A37"/>
    <w:rsid w:val="00C00B74"/>
    <w:rsid w:val="00C00D4A"/>
    <w:rsid w:val="00C01399"/>
    <w:rsid w:val="00C018A9"/>
    <w:rsid w:val="00C018C5"/>
    <w:rsid w:val="00C021D4"/>
    <w:rsid w:val="00C022CC"/>
    <w:rsid w:val="00C030B8"/>
    <w:rsid w:val="00C03220"/>
    <w:rsid w:val="00C037AA"/>
    <w:rsid w:val="00C037F7"/>
    <w:rsid w:val="00C03B20"/>
    <w:rsid w:val="00C042B5"/>
    <w:rsid w:val="00C0440F"/>
    <w:rsid w:val="00C04726"/>
    <w:rsid w:val="00C048D3"/>
    <w:rsid w:val="00C04981"/>
    <w:rsid w:val="00C049BE"/>
    <w:rsid w:val="00C04C10"/>
    <w:rsid w:val="00C05423"/>
    <w:rsid w:val="00C0554B"/>
    <w:rsid w:val="00C056A1"/>
    <w:rsid w:val="00C05A98"/>
    <w:rsid w:val="00C05C72"/>
    <w:rsid w:val="00C05E53"/>
    <w:rsid w:val="00C0620E"/>
    <w:rsid w:val="00C0639A"/>
    <w:rsid w:val="00C06DAF"/>
    <w:rsid w:val="00C06E51"/>
    <w:rsid w:val="00C0712D"/>
    <w:rsid w:val="00C07550"/>
    <w:rsid w:val="00C07FD6"/>
    <w:rsid w:val="00C1044B"/>
    <w:rsid w:val="00C10737"/>
    <w:rsid w:val="00C10B8A"/>
    <w:rsid w:val="00C10F69"/>
    <w:rsid w:val="00C1185E"/>
    <w:rsid w:val="00C11B63"/>
    <w:rsid w:val="00C11E1B"/>
    <w:rsid w:val="00C123A5"/>
    <w:rsid w:val="00C125F1"/>
    <w:rsid w:val="00C12750"/>
    <w:rsid w:val="00C127B5"/>
    <w:rsid w:val="00C12900"/>
    <w:rsid w:val="00C1320A"/>
    <w:rsid w:val="00C132AE"/>
    <w:rsid w:val="00C13A32"/>
    <w:rsid w:val="00C13AC5"/>
    <w:rsid w:val="00C14101"/>
    <w:rsid w:val="00C14474"/>
    <w:rsid w:val="00C144B1"/>
    <w:rsid w:val="00C14835"/>
    <w:rsid w:val="00C14FB1"/>
    <w:rsid w:val="00C15365"/>
    <w:rsid w:val="00C15935"/>
    <w:rsid w:val="00C15A80"/>
    <w:rsid w:val="00C1614B"/>
    <w:rsid w:val="00C16518"/>
    <w:rsid w:val="00C16F79"/>
    <w:rsid w:val="00C1724C"/>
    <w:rsid w:val="00C17696"/>
    <w:rsid w:val="00C17A7A"/>
    <w:rsid w:val="00C17C85"/>
    <w:rsid w:val="00C202D4"/>
    <w:rsid w:val="00C20559"/>
    <w:rsid w:val="00C20602"/>
    <w:rsid w:val="00C208E5"/>
    <w:rsid w:val="00C20C8D"/>
    <w:rsid w:val="00C2150D"/>
    <w:rsid w:val="00C21601"/>
    <w:rsid w:val="00C21695"/>
    <w:rsid w:val="00C219DE"/>
    <w:rsid w:val="00C21B10"/>
    <w:rsid w:val="00C2217F"/>
    <w:rsid w:val="00C224D6"/>
    <w:rsid w:val="00C224F9"/>
    <w:rsid w:val="00C229F9"/>
    <w:rsid w:val="00C23AFA"/>
    <w:rsid w:val="00C23F83"/>
    <w:rsid w:val="00C242AB"/>
    <w:rsid w:val="00C24573"/>
    <w:rsid w:val="00C24618"/>
    <w:rsid w:val="00C24B78"/>
    <w:rsid w:val="00C24C60"/>
    <w:rsid w:val="00C24F5D"/>
    <w:rsid w:val="00C24FEF"/>
    <w:rsid w:val="00C25D4A"/>
    <w:rsid w:val="00C26A1C"/>
    <w:rsid w:val="00C26EF8"/>
    <w:rsid w:val="00C27364"/>
    <w:rsid w:val="00C3026E"/>
    <w:rsid w:val="00C30307"/>
    <w:rsid w:val="00C31086"/>
    <w:rsid w:val="00C312D6"/>
    <w:rsid w:val="00C3170D"/>
    <w:rsid w:val="00C31D26"/>
    <w:rsid w:val="00C32139"/>
    <w:rsid w:val="00C321E4"/>
    <w:rsid w:val="00C328F1"/>
    <w:rsid w:val="00C330D9"/>
    <w:rsid w:val="00C33365"/>
    <w:rsid w:val="00C336D2"/>
    <w:rsid w:val="00C33C41"/>
    <w:rsid w:val="00C33C80"/>
    <w:rsid w:val="00C33F1D"/>
    <w:rsid w:val="00C34427"/>
    <w:rsid w:val="00C3467D"/>
    <w:rsid w:val="00C34EC6"/>
    <w:rsid w:val="00C35380"/>
    <w:rsid w:val="00C359E7"/>
    <w:rsid w:val="00C3616B"/>
    <w:rsid w:val="00C3648F"/>
    <w:rsid w:val="00C36BA8"/>
    <w:rsid w:val="00C36E6A"/>
    <w:rsid w:val="00C370E2"/>
    <w:rsid w:val="00C372FA"/>
    <w:rsid w:val="00C379E5"/>
    <w:rsid w:val="00C37A3C"/>
    <w:rsid w:val="00C37EBB"/>
    <w:rsid w:val="00C401C3"/>
    <w:rsid w:val="00C408FB"/>
    <w:rsid w:val="00C4093A"/>
    <w:rsid w:val="00C409A6"/>
    <w:rsid w:val="00C412C5"/>
    <w:rsid w:val="00C41489"/>
    <w:rsid w:val="00C41851"/>
    <w:rsid w:val="00C420B2"/>
    <w:rsid w:val="00C42A14"/>
    <w:rsid w:val="00C436AB"/>
    <w:rsid w:val="00C437E4"/>
    <w:rsid w:val="00C43AD5"/>
    <w:rsid w:val="00C43EAE"/>
    <w:rsid w:val="00C440DE"/>
    <w:rsid w:val="00C44234"/>
    <w:rsid w:val="00C4426F"/>
    <w:rsid w:val="00C4455E"/>
    <w:rsid w:val="00C446C8"/>
    <w:rsid w:val="00C447E6"/>
    <w:rsid w:val="00C4480E"/>
    <w:rsid w:val="00C449A0"/>
    <w:rsid w:val="00C44A9D"/>
    <w:rsid w:val="00C45934"/>
    <w:rsid w:val="00C46297"/>
    <w:rsid w:val="00C4665B"/>
    <w:rsid w:val="00C46C93"/>
    <w:rsid w:val="00C47469"/>
    <w:rsid w:val="00C475D5"/>
    <w:rsid w:val="00C47747"/>
    <w:rsid w:val="00C47755"/>
    <w:rsid w:val="00C47823"/>
    <w:rsid w:val="00C503D1"/>
    <w:rsid w:val="00C50982"/>
    <w:rsid w:val="00C50A58"/>
    <w:rsid w:val="00C51145"/>
    <w:rsid w:val="00C52385"/>
    <w:rsid w:val="00C52490"/>
    <w:rsid w:val="00C525F2"/>
    <w:rsid w:val="00C529A6"/>
    <w:rsid w:val="00C52ED5"/>
    <w:rsid w:val="00C53267"/>
    <w:rsid w:val="00C534DB"/>
    <w:rsid w:val="00C5371D"/>
    <w:rsid w:val="00C54152"/>
    <w:rsid w:val="00C54183"/>
    <w:rsid w:val="00C546E4"/>
    <w:rsid w:val="00C54E8F"/>
    <w:rsid w:val="00C55162"/>
    <w:rsid w:val="00C55279"/>
    <w:rsid w:val="00C553F2"/>
    <w:rsid w:val="00C556AC"/>
    <w:rsid w:val="00C55850"/>
    <w:rsid w:val="00C55F96"/>
    <w:rsid w:val="00C56193"/>
    <w:rsid w:val="00C56467"/>
    <w:rsid w:val="00C56978"/>
    <w:rsid w:val="00C56A9A"/>
    <w:rsid w:val="00C56AB7"/>
    <w:rsid w:val="00C56D88"/>
    <w:rsid w:val="00C56E5B"/>
    <w:rsid w:val="00C56F8B"/>
    <w:rsid w:val="00C571C7"/>
    <w:rsid w:val="00C575F3"/>
    <w:rsid w:val="00C60206"/>
    <w:rsid w:val="00C60482"/>
    <w:rsid w:val="00C60938"/>
    <w:rsid w:val="00C6094C"/>
    <w:rsid w:val="00C60CB3"/>
    <w:rsid w:val="00C60EC4"/>
    <w:rsid w:val="00C60F0C"/>
    <w:rsid w:val="00C61151"/>
    <w:rsid w:val="00C61331"/>
    <w:rsid w:val="00C61A51"/>
    <w:rsid w:val="00C61C9E"/>
    <w:rsid w:val="00C61E2A"/>
    <w:rsid w:val="00C62208"/>
    <w:rsid w:val="00C6248F"/>
    <w:rsid w:val="00C629DB"/>
    <w:rsid w:val="00C62D54"/>
    <w:rsid w:val="00C62F67"/>
    <w:rsid w:val="00C63121"/>
    <w:rsid w:val="00C6342A"/>
    <w:rsid w:val="00C6360D"/>
    <w:rsid w:val="00C6389D"/>
    <w:rsid w:val="00C63985"/>
    <w:rsid w:val="00C63B45"/>
    <w:rsid w:val="00C63BE8"/>
    <w:rsid w:val="00C63C85"/>
    <w:rsid w:val="00C63CBA"/>
    <w:rsid w:val="00C644BD"/>
    <w:rsid w:val="00C6471D"/>
    <w:rsid w:val="00C64D8C"/>
    <w:rsid w:val="00C64E12"/>
    <w:rsid w:val="00C651E7"/>
    <w:rsid w:val="00C65572"/>
    <w:rsid w:val="00C65586"/>
    <w:rsid w:val="00C65E72"/>
    <w:rsid w:val="00C65F9E"/>
    <w:rsid w:val="00C66564"/>
    <w:rsid w:val="00C667D5"/>
    <w:rsid w:val="00C66A28"/>
    <w:rsid w:val="00C671AA"/>
    <w:rsid w:val="00C672F9"/>
    <w:rsid w:val="00C673A6"/>
    <w:rsid w:val="00C676DB"/>
    <w:rsid w:val="00C700AC"/>
    <w:rsid w:val="00C70180"/>
    <w:rsid w:val="00C70D68"/>
    <w:rsid w:val="00C70F3B"/>
    <w:rsid w:val="00C714D2"/>
    <w:rsid w:val="00C71548"/>
    <w:rsid w:val="00C71F5F"/>
    <w:rsid w:val="00C722C5"/>
    <w:rsid w:val="00C72715"/>
    <w:rsid w:val="00C727F3"/>
    <w:rsid w:val="00C729DD"/>
    <w:rsid w:val="00C73A12"/>
    <w:rsid w:val="00C73BA5"/>
    <w:rsid w:val="00C73C62"/>
    <w:rsid w:val="00C73F3A"/>
    <w:rsid w:val="00C7466D"/>
    <w:rsid w:val="00C74754"/>
    <w:rsid w:val="00C74CF2"/>
    <w:rsid w:val="00C74E54"/>
    <w:rsid w:val="00C75744"/>
    <w:rsid w:val="00C758C4"/>
    <w:rsid w:val="00C75BC6"/>
    <w:rsid w:val="00C75E10"/>
    <w:rsid w:val="00C75E90"/>
    <w:rsid w:val="00C75FAE"/>
    <w:rsid w:val="00C76425"/>
    <w:rsid w:val="00C76718"/>
    <w:rsid w:val="00C771C9"/>
    <w:rsid w:val="00C7722F"/>
    <w:rsid w:val="00C77E35"/>
    <w:rsid w:val="00C80395"/>
    <w:rsid w:val="00C80A09"/>
    <w:rsid w:val="00C80ADC"/>
    <w:rsid w:val="00C81058"/>
    <w:rsid w:val="00C81125"/>
    <w:rsid w:val="00C81402"/>
    <w:rsid w:val="00C8239A"/>
    <w:rsid w:val="00C82494"/>
    <w:rsid w:val="00C82C98"/>
    <w:rsid w:val="00C836C8"/>
    <w:rsid w:val="00C83A10"/>
    <w:rsid w:val="00C83A84"/>
    <w:rsid w:val="00C83BC1"/>
    <w:rsid w:val="00C83DF4"/>
    <w:rsid w:val="00C8412F"/>
    <w:rsid w:val="00C841C9"/>
    <w:rsid w:val="00C84C79"/>
    <w:rsid w:val="00C84ED5"/>
    <w:rsid w:val="00C85263"/>
    <w:rsid w:val="00C85B2E"/>
    <w:rsid w:val="00C85B8E"/>
    <w:rsid w:val="00C85C88"/>
    <w:rsid w:val="00C865C1"/>
    <w:rsid w:val="00C873A2"/>
    <w:rsid w:val="00C8772B"/>
    <w:rsid w:val="00C878CF"/>
    <w:rsid w:val="00C8794E"/>
    <w:rsid w:val="00C87EC4"/>
    <w:rsid w:val="00C90034"/>
    <w:rsid w:val="00C900CB"/>
    <w:rsid w:val="00C905A4"/>
    <w:rsid w:val="00C906D2"/>
    <w:rsid w:val="00C914B3"/>
    <w:rsid w:val="00C9166D"/>
    <w:rsid w:val="00C916D0"/>
    <w:rsid w:val="00C91900"/>
    <w:rsid w:val="00C91F68"/>
    <w:rsid w:val="00C924E9"/>
    <w:rsid w:val="00C929D6"/>
    <w:rsid w:val="00C92E83"/>
    <w:rsid w:val="00C938FC"/>
    <w:rsid w:val="00C93B84"/>
    <w:rsid w:val="00C94069"/>
    <w:rsid w:val="00C9438E"/>
    <w:rsid w:val="00C951AC"/>
    <w:rsid w:val="00C9531D"/>
    <w:rsid w:val="00C9585C"/>
    <w:rsid w:val="00C95C36"/>
    <w:rsid w:val="00C95D92"/>
    <w:rsid w:val="00C96250"/>
    <w:rsid w:val="00C964A9"/>
    <w:rsid w:val="00C9683B"/>
    <w:rsid w:val="00C968AE"/>
    <w:rsid w:val="00C96B82"/>
    <w:rsid w:val="00C96FB0"/>
    <w:rsid w:val="00C97534"/>
    <w:rsid w:val="00C977AF"/>
    <w:rsid w:val="00C97872"/>
    <w:rsid w:val="00C97CA3"/>
    <w:rsid w:val="00C97D31"/>
    <w:rsid w:val="00C97D3A"/>
    <w:rsid w:val="00CA037D"/>
    <w:rsid w:val="00CA0701"/>
    <w:rsid w:val="00CA07CF"/>
    <w:rsid w:val="00CA0DD2"/>
    <w:rsid w:val="00CA1A14"/>
    <w:rsid w:val="00CA1B22"/>
    <w:rsid w:val="00CA1B79"/>
    <w:rsid w:val="00CA1DE5"/>
    <w:rsid w:val="00CA1DF3"/>
    <w:rsid w:val="00CA1E7E"/>
    <w:rsid w:val="00CA2407"/>
    <w:rsid w:val="00CA2926"/>
    <w:rsid w:val="00CA2D8F"/>
    <w:rsid w:val="00CA2FA5"/>
    <w:rsid w:val="00CA34AA"/>
    <w:rsid w:val="00CA3887"/>
    <w:rsid w:val="00CA40B6"/>
    <w:rsid w:val="00CA41CC"/>
    <w:rsid w:val="00CA45A2"/>
    <w:rsid w:val="00CA47C4"/>
    <w:rsid w:val="00CA4B54"/>
    <w:rsid w:val="00CA53B9"/>
    <w:rsid w:val="00CA5A56"/>
    <w:rsid w:val="00CA5FF5"/>
    <w:rsid w:val="00CA65CF"/>
    <w:rsid w:val="00CA6752"/>
    <w:rsid w:val="00CA6BAC"/>
    <w:rsid w:val="00CA6EBC"/>
    <w:rsid w:val="00CA766C"/>
    <w:rsid w:val="00CA79FB"/>
    <w:rsid w:val="00CB0410"/>
    <w:rsid w:val="00CB06CA"/>
    <w:rsid w:val="00CB0961"/>
    <w:rsid w:val="00CB0B88"/>
    <w:rsid w:val="00CB1344"/>
    <w:rsid w:val="00CB198C"/>
    <w:rsid w:val="00CB1ADD"/>
    <w:rsid w:val="00CB1AFE"/>
    <w:rsid w:val="00CB1BAA"/>
    <w:rsid w:val="00CB1F2A"/>
    <w:rsid w:val="00CB216A"/>
    <w:rsid w:val="00CB276B"/>
    <w:rsid w:val="00CB2925"/>
    <w:rsid w:val="00CB296A"/>
    <w:rsid w:val="00CB2A85"/>
    <w:rsid w:val="00CB2B48"/>
    <w:rsid w:val="00CB3345"/>
    <w:rsid w:val="00CB3571"/>
    <w:rsid w:val="00CB38EC"/>
    <w:rsid w:val="00CB3A88"/>
    <w:rsid w:val="00CB3B9D"/>
    <w:rsid w:val="00CB4036"/>
    <w:rsid w:val="00CB48C4"/>
    <w:rsid w:val="00CB48F4"/>
    <w:rsid w:val="00CB4AA8"/>
    <w:rsid w:val="00CB51D1"/>
    <w:rsid w:val="00CB51E0"/>
    <w:rsid w:val="00CB561D"/>
    <w:rsid w:val="00CB57AA"/>
    <w:rsid w:val="00CB5A8C"/>
    <w:rsid w:val="00CB5AD4"/>
    <w:rsid w:val="00CB5FE9"/>
    <w:rsid w:val="00CB6100"/>
    <w:rsid w:val="00CB64B3"/>
    <w:rsid w:val="00CB672B"/>
    <w:rsid w:val="00CB67BA"/>
    <w:rsid w:val="00CB7033"/>
    <w:rsid w:val="00CB738A"/>
    <w:rsid w:val="00CB7AB3"/>
    <w:rsid w:val="00CB7EDB"/>
    <w:rsid w:val="00CC0542"/>
    <w:rsid w:val="00CC05E1"/>
    <w:rsid w:val="00CC0CBC"/>
    <w:rsid w:val="00CC0CC0"/>
    <w:rsid w:val="00CC1B55"/>
    <w:rsid w:val="00CC1F41"/>
    <w:rsid w:val="00CC227C"/>
    <w:rsid w:val="00CC25AD"/>
    <w:rsid w:val="00CC263E"/>
    <w:rsid w:val="00CC26BE"/>
    <w:rsid w:val="00CC270F"/>
    <w:rsid w:val="00CC27D7"/>
    <w:rsid w:val="00CC2BE9"/>
    <w:rsid w:val="00CC34DF"/>
    <w:rsid w:val="00CC37DE"/>
    <w:rsid w:val="00CC3A54"/>
    <w:rsid w:val="00CC3FB5"/>
    <w:rsid w:val="00CC4455"/>
    <w:rsid w:val="00CC4A4C"/>
    <w:rsid w:val="00CC4BDB"/>
    <w:rsid w:val="00CC4EED"/>
    <w:rsid w:val="00CC52A1"/>
    <w:rsid w:val="00CC5E27"/>
    <w:rsid w:val="00CC66B0"/>
    <w:rsid w:val="00CC6EA7"/>
    <w:rsid w:val="00CC71D7"/>
    <w:rsid w:val="00CC777F"/>
    <w:rsid w:val="00CC79BB"/>
    <w:rsid w:val="00CD00E1"/>
    <w:rsid w:val="00CD04E5"/>
    <w:rsid w:val="00CD05A2"/>
    <w:rsid w:val="00CD0BF3"/>
    <w:rsid w:val="00CD0D73"/>
    <w:rsid w:val="00CD0E08"/>
    <w:rsid w:val="00CD0F88"/>
    <w:rsid w:val="00CD174B"/>
    <w:rsid w:val="00CD188C"/>
    <w:rsid w:val="00CD243E"/>
    <w:rsid w:val="00CD2510"/>
    <w:rsid w:val="00CD2613"/>
    <w:rsid w:val="00CD29F0"/>
    <w:rsid w:val="00CD2BA0"/>
    <w:rsid w:val="00CD2E43"/>
    <w:rsid w:val="00CD2EB4"/>
    <w:rsid w:val="00CD33F0"/>
    <w:rsid w:val="00CD35E8"/>
    <w:rsid w:val="00CD382B"/>
    <w:rsid w:val="00CD3879"/>
    <w:rsid w:val="00CD3A4B"/>
    <w:rsid w:val="00CD3CE9"/>
    <w:rsid w:val="00CD3D50"/>
    <w:rsid w:val="00CD3DE0"/>
    <w:rsid w:val="00CD4831"/>
    <w:rsid w:val="00CD4901"/>
    <w:rsid w:val="00CD53EC"/>
    <w:rsid w:val="00CD562C"/>
    <w:rsid w:val="00CD63EF"/>
    <w:rsid w:val="00CD7A60"/>
    <w:rsid w:val="00CD7CE6"/>
    <w:rsid w:val="00CE00D7"/>
    <w:rsid w:val="00CE0F35"/>
    <w:rsid w:val="00CE0F6C"/>
    <w:rsid w:val="00CE12E6"/>
    <w:rsid w:val="00CE14F0"/>
    <w:rsid w:val="00CE1AB8"/>
    <w:rsid w:val="00CE231C"/>
    <w:rsid w:val="00CE23CD"/>
    <w:rsid w:val="00CE2483"/>
    <w:rsid w:val="00CE24DD"/>
    <w:rsid w:val="00CE2560"/>
    <w:rsid w:val="00CE2C3F"/>
    <w:rsid w:val="00CE2CC2"/>
    <w:rsid w:val="00CE32A5"/>
    <w:rsid w:val="00CE32E9"/>
    <w:rsid w:val="00CE34A2"/>
    <w:rsid w:val="00CE3607"/>
    <w:rsid w:val="00CE37B5"/>
    <w:rsid w:val="00CE3951"/>
    <w:rsid w:val="00CE3968"/>
    <w:rsid w:val="00CE3CA4"/>
    <w:rsid w:val="00CE3D1C"/>
    <w:rsid w:val="00CE4476"/>
    <w:rsid w:val="00CE45A9"/>
    <w:rsid w:val="00CE4891"/>
    <w:rsid w:val="00CE4973"/>
    <w:rsid w:val="00CE498D"/>
    <w:rsid w:val="00CE4C2F"/>
    <w:rsid w:val="00CE570C"/>
    <w:rsid w:val="00CE5970"/>
    <w:rsid w:val="00CE5A3C"/>
    <w:rsid w:val="00CE60CA"/>
    <w:rsid w:val="00CE629D"/>
    <w:rsid w:val="00CE67A2"/>
    <w:rsid w:val="00CE6815"/>
    <w:rsid w:val="00CE703D"/>
    <w:rsid w:val="00CE7117"/>
    <w:rsid w:val="00CF13D7"/>
    <w:rsid w:val="00CF21D0"/>
    <w:rsid w:val="00CF228C"/>
    <w:rsid w:val="00CF28EC"/>
    <w:rsid w:val="00CF37E2"/>
    <w:rsid w:val="00CF3B76"/>
    <w:rsid w:val="00CF4110"/>
    <w:rsid w:val="00CF41D3"/>
    <w:rsid w:val="00CF4340"/>
    <w:rsid w:val="00CF45E5"/>
    <w:rsid w:val="00CF45F0"/>
    <w:rsid w:val="00CF469A"/>
    <w:rsid w:val="00CF46F9"/>
    <w:rsid w:val="00CF470B"/>
    <w:rsid w:val="00CF4986"/>
    <w:rsid w:val="00CF4C72"/>
    <w:rsid w:val="00CF4F15"/>
    <w:rsid w:val="00CF51A0"/>
    <w:rsid w:val="00CF5BF1"/>
    <w:rsid w:val="00CF5C5B"/>
    <w:rsid w:val="00CF5C88"/>
    <w:rsid w:val="00CF5CAC"/>
    <w:rsid w:val="00CF5E4F"/>
    <w:rsid w:val="00CF6693"/>
    <w:rsid w:val="00CF67EC"/>
    <w:rsid w:val="00CF6832"/>
    <w:rsid w:val="00CF6861"/>
    <w:rsid w:val="00CF6B09"/>
    <w:rsid w:val="00CF6B4C"/>
    <w:rsid w:val="00CF6F36"/>
    <w:rsid w:val="00CF7B03"/>
    <w:rsid w:val="00CF7CAD"/>
    <w:rsid w:val="00D00CEC"/>
    <w:rsid w:val="00D00FF1"/>
    <w:rsid w:val="00D01662"/>
    <w:rsid w:val="00D0178A"/>
    <w:rsid w:val="00D01D35"/>
    <w:rsid w:val="00D020ED"/>
    <w:rsid w:val="00D02B46"/>
    <w:rsid w:val="00D02BEF"/>
    <w:rsid w:val="00D03077"/>
    <w:rsid w:val="00D032D9"/>
    <w:rsid w:val="00D034A2"/>
    <w:rsid w:val="00D03712"/>
    <w:rsid w:val="00D03B25"/>
    <w:rsid w:val="00D0471C"/>
    <w:rsid w:val="00D0473C"/>
    <w:rsid w:val="00D05117"/>
    <w:rsid w:val="00D05408"/>
    <w:rsid w:val="00D05482"/>
    <w:rsid w:val="00D05514"/>
    <w:rsid w:val="00D0578A"/>
    <w:rsid w:val="00D05BBC"/>
    <w:rsid w:val="00D06284"/>
    <w:rsid w:val="00D0637B"/>
    <w:rsid w:val="00D0665A"/>
    <w:rsid w:val="00D06858"/>
    <w:rsid w:val="00D0731D"/>
    <w:rsid w:val="00D076CA"/>
    <w:rsid w:val="00D0786D"/>
    <w:rsid w:val="00D078B9"/>
    <w:rsid w:val="00D07985"/>
    <w:rsid w:val="00D07D6E"/>
    <w:rsid w:val="00D10030"/>
    <w:rsid w:val="00D104C2"/>
    <w:rsid w:val="00D10F2B"/>
    <w:rsid w:val="00D10F35"/>
    <w:rsid w:val="00D11575"/>
    <w:rsid w:val="00D119EA"/>
    <w:rsid w:val="00D11D1C"/>
    <w:rsid w:val="00D11E9C"/>
    <w:rsid w:val="00D12021"/>
    <w:rsid w:val="00D12146"/>
    <w:rsid w:val="00D130AE"/>
    <w:rsid w:val="00D13238"/>
    <w:rsid w:val="00D13670"/>
    <w:rsid w:val="00D13C1E"/>
    <w:rsid w:val="00D14892"/>
    <w:rsid w:val="00D14BFF"/>
    <w:rsid w:val="00D151B3"/>
    <w:rsid w:val="00D153BD"/>
    <w:rsid w:val="00D15B1E"/>
    <w:rsid w:val="00D16041"/>
    <w:rsid w:val="00D170D9"/>
    <w:rsid w:val="00D17292"/>
    <w:rsid w:val="00D17773"/>
    <w:rsid w:val="00D17A3E"/>
    <w:rsid w:val="00D209C4"/>
    <w:rsid w:val="00D22274"/>
    <w:rsid w:val="00D227D9"/>
    <w:rsid w:val="00D23116"/>
    <w:rsid w:val="00D23280"/>
    <w:rsid w:val="00D2339F"/>
    <w:rsid w:val="00D2345A"/>
    <w:rsid w:val="00D23471"/>
    <w:rsid w:val="00D23864"/>
    <w:rsid w:val="00D23925"/>
    <w:rsid w:val="00D23DB0"/>
    <w:rsid w:val="00D23E4D"/>
    <w:rsid w:val="00D24363"/>
    <w:rsid w:val="00D25088"/>
    <w:rsid w:val="00D25287"/>
    <w:rsid w:val="00D256D3"/>
    <w:rsid w:val="00D25A6B"/>
    <w:rsid w:val="00D25C0D"/>
    <w:rsid w:val="00D25E7E"/>
    <w:rsid w:val="00D26349"/>
    <w:rsid w:val="00D26687"/>
    <w:rsid w:val="00D26A37"/>
    <w:rsid w:val="00D26D80"/>
    <w:rsid w:val="00D27058"/>
    <w:rsid w:val="00D27E61"/>
    <w:rsid w:val="00D30198"/>
    <w:rsid w:val="00D30668"/>
    <w:rsid w:val="00D30B07"/>
    <w:rsid w:val="00D31092"/>
    <w:rsid w:val="00D315A5"/>
    <w:rsid w:val="00D3197F"/>
    <w:rsid w:val="00D31EBD"/>
    <w:rsid w:val="00D32A86"/>
    <w:rsid w:val="00D33232"/>
    <w:rsid w:val="00D3349B"/>
    <w:rsid w:val="00D33A77"/>
    <w:rsid w:val="00D33DBE"/>
    <w:rsid w:val="00D34589"/>
    <w:rsid w:val="00D347F8"/>
    <w:rsid w:val="00D34855"/>
    <w:rsid w:val="00D34DA5"/>
    <w:rsid w:val="00D34FB5"/>
    <w:rsid w:val="00D35335"/>
    <w:rsid w:val="00D36D29"/>
    <w:rsid w:val="00D36F64"/>
    <w:rsid w:val="00D371B6"/>
    <w:rsid w:val="00D37F1B"/>
    <w:rsid w:val="00D40907"/>
    <w:rsid w:val="00D409AB"/>
    <w:rsid w:val="00D4145A"/>
    <w:rsid w:val="00D4147B"/>
    <w:rsid w:val="00D4174C"/>
    <w:rsid w:val="00D42114"/>
    <w:rsid w:val="00D425E3"/>
    <w:rsid w:val="00D428D1"/>
    <w:rsid w:val="00D42A19"/>
    <w:rsid w:val="00D42EB1"/>
    <w:rsid w:val="00D43173"/>
    <w:rsid w:val="00D43555"/>
    <w:rsid w:val="00D439F2"/>
    <w:rsid w:val="00D43A06"/>
    <w:rsid w:val="00D43E77"/>
    <w:rsid w:val="00D441B6"/>
    <w:rsid w:val="00D443CA"/>
    <w:rsid w:val="00D44900"/>
    <w:rsid w:val="00D4490B"/>
    <w:rsid w:val="00D44BB8"/>
    <w:rsid w:val="00D44C13"/>
    <w:rsid w:val="00D44E9F"/>
    <w:rsid w:val="00D44F9B"/>
    <w:rsid w:val="00D4506F"/>
    <w:rsid w:val="00D45123"/>
    <w:rsid w:val="00D45272"/>
    <w:rsid w:val="00D454B3"/>
    <w:rsid w:val="00D4553D"/>
    <w:rsid w:val="00D45871"/>
    <w:rsid w:val="00D45B57"/>
    <w:rsid w:val="00D45B84"/>
    <w:rsid w:val="00D46AFB"/>
    <w:rsid w:val="00D4738A"/>
    <w:rsid w:val="00D479CE"/>
    <w:rsid w:val="00D5003C"/>
    <w:rsid w:val="00D503CD"/>
    <w:rsid w:val="00D509D1"/>
    <w:rsid w:val="00D50ABA"/>
    <w:rsid w:val="00D511E0"/>
    <w:rsid w:val="00D518BF"/>
    <w:rsid w:val="00D519A9"/>
    <w:rsid w:val="00D51D43"/>
    <w:rsid w:val="00D52707"/>
    <w:rsid w:val="00D52A21"/>
    <w:rsid w:val="00D52C12"/>
    <w:rsid w:val="00D52D1B"/>
    <w:rsid w:val="00D531DC"/>
    <w:rsid w:val="00D53939"/>
    <w:rsid w:val="00D54136"/>
    <w:rsid w:val="00D54547"/>
    <w:rsid w:val="00D546E5"/>
    <w:rsid w:val="00D546F8"/>
    <w:rsid w:val="00D547F2"/>
    <w:rsid w:val="00D54ECA"/>
    <w:rsid w:val="00D54EDA"/>
    <w:rsid w:val="00D55212"/>
    <w:rsid w:val="00D555A4"/>
    <w:rsid w:val="00D56569"/>
    <w:rsid w:val="00D56F65"/>
    <w:rsid w:val="00D56F7F"/>
    <w:rsid w:val="00D57182"/>
    <w:rsid w:val="00D57AD9"/>
    <w:rsid w:val="00D57E0E"/>
    <w:rsid w:val="00D57EB3"/>
    <w:rsid w:val="00D60468"/>
    <w:rsid w:val="00D604EB"/>
    <w:rsid w:val="00D60597"/>
    <w:rsid w:val="00D6066F"/>
    <w:rsid w:val="00D60A90"/>
    <w:rsid w:val="00D60E83"/>
    <w:rsid w:val="00D60F87"/>
    <w:rsid w:val="00D610D3"/>
    <w:rsid w:val="00D613A2"/>
    <w:rsid w:val="00D613EC"/>
    <w:rsid w:val="00D613F7"/>
    <w:rsid w:val="00D61F48"/>
    <w:rsid w:val="00D622E7"/>
    <w:rsid w:val="00D624FC"/>
    <w:rsid w:val="00D62D17"/>
    <w:rsid w:val="00D63210"/>
    <w:rsid w:val="00D633B3"/>
    <w:rsid w:val="00D6350A"/>
    <w:rsid w:val="00D63861"/>
    <w:rsid w:val="00D63EF6"/>
    <w:rsid w:val="00D6406E"/>
    <w:rsid w:val="00D647FC"/>
    <w:rsid w:val="00D6500A"/>
    <w:rsid w:val="00D65868"/>
    <w:rsid w:val="00D65DC6"/>
    <w:rsid w:val="00D6682B"/>
    <w:rsid w:val="00D66DD4"/>
    <w:rsid w:val="00D66E84"/>
    <w:rsid w:val="00D66EEB"/>
    <w:rsid w:val="00D671B1"/>
    <w:rsid w:val="00D67452"/>
    <w:rsid w:val="00D67475"/>
    <w:rsid w:val="00D6796C"/>
    <w:rsid w:val="00D6799D"/>
    <w:rsid w:val="00D67AD9"/>
    <w:rsid w:val="00D67EF7"/>
    <w:rsid w:val="00D67FDA"/>
    <w:rsid w:val="00D706E2"/>
    <w:rsid w:val="00D70754"/>
    <w:rsid w:val="00D70A1F"/>
    <w:rsid w:val="00D70B60"/>
    <w:rsid w:val="00D70C65"/>
    <w:rsid w:val="00D7102B"/>
    <w:rsid w:val="00D712CC"/>
    <w:rsid w:val="00D71F7E"/>
    <w:rsid w:val="00D728B4"/>
    <w:rsid w:val="00D73651"/>
    <w:rsid w:val="00D737AC"/>
    <w:rsid w:val="00D73DC1"/>
    <w:rsid w:val="00D7412C"/>
    <w:rsid w:val="00D7429B"/>
    <w:rsid w:val="00D7475F"/>
    <w:rsid w:val="00D747BD"/>
    <w:rsid w:val="00D74B0C"/>
    <w:rsid w:val="00D74E79"/>
    <w:rsid w:val="00D7507F"/>
    <w:rsid w:val="00D75224"/>
    <w:rsid w:val="00D752F3"/>
    <w:rsid w:val="00D754FA"/>
    <w:rsid w:val="00D75665"/>
    <w:rsid w:val="00D7580B"/>
    <w:rsid w:val="00D75D08"/>
    <w:rsid w:val="00D75FA4"/>
    <w:rsid w:val="00D76201"/>
    <w:rsid w:val="00D7639A"/>
    <w:rsid w:val="00D766CB"/>
    <w:rsid w:val="00D76985"/>
    <w:rsid w:val="00D76B7F"/>
    <w:rsid w:val="00D77094"/>
    <w:rsid w:val="00D77151"/>
    <w:rsid w:val="00D77525"/>
    <w:rsid w:val="00D77568"/>
    <w:rsid w:val="00D77720"/>
    <w:rsid w:val="00D77852"/>
    <w:rsid w:val="00D779DB"/>
    <w:rsid w:val="00D77D56"/>
    <w:rsid w:val="00D8024C"/>
    <w:rsid w:val="00D80328"/>
    <w:rsid w:val="00D817AE"/>
    <w:rsid w:val="00D81B0D"/>
    <w:rsid w:val="00D81D75"/>
    <w:rsid w:val="00D821E3"/>
    <w:rsid w:val="00D82D6B"/>
    <w:rsid w:val="00D82E98"/>
    <w:rsid w:val="00D837E6"/>
    <w:rsid w:val="00D838DE"/>
    <w:rsid w:val="00D83928"/>
    <w:rsid w:val="00D84D58"/>
    <w:rsid w:val="00D85131"/>
    <w:rsid w:val="00D868E8"/>
    <w:rsid w:val="00D87995"/>
    <w:rsid w:val="00D9017F"/>
    <w:rsid w:val="00D90C9C"/>
    <w:rsid w:val="00D911B6"/>
    <w:rsid w:val="00D91205"/>
    <w:rsid w:val="00D91951"/>
    <w:rsid w:val="00D91C75"/>
    <w:rsid w:val="00D92009"/>
    <w:rsid w:val="00D921C9"/>
    <w:rsid w:val="00D928F5"/>
    <w:rsid w:val="00D92900"/>
    <w:rsid w:val="00D9373A"/>
    <w:rsid w:val="00D94109"/>
    <w:rsid w:val="00D94208"/>
    <w:rsid w:val="00D94244"/>
    <w:rsid w:val="00D94264"/>
    <w:rsid w:val="00D94364"/>
    <w:rsid w:val="00D94E7C"/>
    <w:rsid w:val="00D94F93"/>
    <w:rsid w:val="00D95862"/>
    <w:rsid w:val="00D959AB"/>
    <w:rsid w:val="00D95B42"/>
    <w:rsid w:val="00D95D2E"/>
    <w:rsid w:val="00D95D9F"/>
    <w:rsid w:val="00D960DB"/>
    <w:rsid w:val="00D9651B"/>
    <w:rsid w:val="00D96585"/>
    <w:rsid w:val="00D96728"/>
    <w:rsid w:val="00D968A4"/>
    <w:rsid w:val="00D968B1"/>
    <w:rsid w:val="00D96D3B"/>
    <w:rsid w:val="00D96E0C"/>
    <w:rsid w:val="00D97804"/>
    <w:rsid w:val="00D97991"/>
    <w:rsid w:val="00D97B28"/>
    <w:rsid w:val="00D97B74"/>
    <w:rsid w:val="00D97BFD"/>
    <w:rsid w:val="00D97C91"/>
    <w:rsid w:val="00D97E51"/>
    <w:rsid w:val="00DA00D4"/>
    <w:rsid w:val="00DA07DE"/>
    <w:rsid w:val="00DA08ED"/>
    <w:rsid w:val="00DA09CD"/>
    <w:rsid w:val="00DA0C70"/>
    <w:rsid w:val="00DA0E49"/>
    <w:rsid w:val="00DA12E6"/>
    <w:rsid w:val="00DA139B"/>
    <w:rsid w:val="00DA221B"/>
    <w:rsid w:val="00DA2B12"/>
    <w:rsid w:val="00DA3942"/>
    <w:rsid w:val="00DA41A1"/>
    <w:rsid w:val="00DA4D68"/>
    <w:rsid w:val="00DA4F7D"/>
    <w:rsid w:val="00DA4F8B"/>
    <w:rsid w:val="00DA5273"/>
    <w:rsid w:val="00DA55AB"/>
    <w:rsid w:val="00DA58F2"/>
    <w:rsid w:val="00DA59E9"/>
    <w:rsid w:val="00DA5AF9"/>
    <w:rsid w:val="00DA5CB4"/>
    <w:rsid w:val="00DA5D2B"/>
    <w:rsid w:val="00DA647B"/>
    <w:rsid w:val="00DA669B"/>
    <w:rsid w:val="00DA70F2"/>
    <w:rsid w:val="00DB0847"/>
    <w:rsid w:val="00DB0FEB"/>
    <w:rsid w:val="00DB1354"/>
    <w:rsid w:val="00DB190C"/>
    <w:rsid w:val="00DB1A9B"/>
    <w:rsid w:val="00DB2AA6"/>
    <w:rsid w:val="00DB2C7A"/>
    <w:rsid w:val="00DB3018"/>
    <w:rsid w:val="00DB3C0B"/>
    <w:rsid w:val="00DB3CC2"/>
    <w:rsid w:val="00DB403A"/>
    <w:rsid w:val="00DB43A7"/>
    <w:rsid w:val="00DB4807"/>
    <w:rsid w:val="00DB4899"/>
    <w:rsid w:val="00DB4CF9"/>
    <w:rsid w:val="00DB4DF9"/>
    <w:rsid w:val="00DB524D"/>
    <w:rsid w:val="00DB5350"/>
    <w:rsid w:val="00DB5680"/>
    <w:rsid w:val="00DB5C30"/>
    <w:rsid w:val="00DB62F7"/>
    <w:rsid w:val="00DB638C"/>
    <w:rsid w:val="00DB64AA"/>
    <w:rsid w:val="00DB6516"/>
    <w:rsid w:val="00DB689D"/>
    <w:rsid w:val="00DB6BFD"/>
    <w:rsid w:val="00DB7741"/>
    <w:rsid w:val="00DB7F05"/>
    <w:rsid w:val="00DC0184"/>
    <w:rsid w:val="00DC04DA"/>
    <w:rsid w:val="00DC092F"/>
    <w:rsid w:val="00DC0E41"/>
    <w:rsid w:val="00DC127B"/>
    <w:rsid w:val="00DC14AF"/>
    <w:rsid w:val="00DC1C65"/>
    <w:rsid w:val="00DC1CB4"/>
    <w:rsid w:val="00DC2516"/>
    <w:rsid w:val="00DC253F"/>
    <w:rsid w:val="00DC2CAD"/>
    <w:rsid w:val="00DC2F32"/>
    <w:rsid w:val="00DC2F52"/>
    <w:rsid w:val="00DC3338"/>
    <w:rsid w:val="00DC3351"/>
    <w:rsid w:val="00DC3B21"/>
    <w:rsid w:val="00DC3CDB"/>
    <w:rsid w:val="00DC3ECB"/>
    <w:rsid w:val="00DC3FEB"/>
    <w:rsid w:val="00DC4149"/>
    <w:rsid w:val="00DC424D"/>
    <w:rsid w:val="00DC52C2"/>
    <w:rsid w:val="00DC5384"/>
    <w:rsid w:val="00DC5467"/>
    <w:rsid w:val="00DC5718"/>
    <w:rsid w:val="00DC57D3"/>
    <w:rsid w:val="00DC5802"/>
    <w:rsid w:val="00DC58D2"/>
    <w:rsid w:val="00DC5BA8"/>
    <w:rsid w:val="00DC5EAC"/>
    <w:rsid w:val="00DC6059"/>
    <w:rsid w:val="00DC6164"/>
    <w:rsid w:val="00DC640F"/>
    <w:rsid w:val="00DC6540"/>
    <w:rsid w:val="00DC66D9"/>
    <w:rsid w:val="00DC7347"/>
    <w:rsid w:val="00DC7995"/>
    <w:rsid w:val="00DD096B"/>
    <w:rsid w:val="00DD12AD"/>
    <w:rsid w:val="00DD15E1"/>
    <w:rsid w:val="00DD1AFB"/>
    <w:rsid w:val="00DD1EE7"/>
    <w:rsid w:val="00DD228A"/>
    <w:rsid w:val="00DD28E2"/>
    <w:rsid w:val="00DD2B7E"/>
    <w:rsid w:val="00DD2F3A"/>
    <w:rsid w:val="00DD31CE"/>
    <w:rsid w:val="00DD32E0"/>
    <w:rsid w:val="00DD3752"/>
    <w:rsid w:val="00DD3992"/>
    <w:rsid w:val="00DD420D"/>
    <w:rsid w:val="00DD4AEF"/>
    <w:rsid w:val="00DD4C04"/>
    <w:rsid w:val="00DD4F61"/>
    <w:rsid w:val="00DD4FB1"/>
    <w:rsid w:val="00DD560F"/>
    <w:rsid w:val="00DD59CA"/>
    <w:rsid w:val="00DD5B09"/>
    <w:rsid w:val="00DD5F09"/>
    <w:rsid w:val="00DD6122"/>
    <w:rsid w:val="00DD65EA"/>
    <w:rsid w:val="00DD663D"/>
    <w:rsid w:val="00DD6727"/>
    <w:rsid w:val="00DD6D89"/>
    <w:rsid w:val="00DD7039"/>
    <w:rsid w:val="00DD7297"/>
    <w:rsid w:val="00DD7400"/>
    <w:rsid w:val="00DD7BA1"/>
    <w:rsid w:val="00DD7C48"/>
    <w:rsid w:val="00DE0186"/>
    <w:rsid w:val="00DE03AF"/>
    <w:rsid w:val="00DE0E0E"/>
    <w:rsid w:val="00DE1332"/>
    <w:rsid w:val="00DE1538"/>
    <w:rsid w:val="00DE16E7"/>
    <w:rsid w:val="00DE1E8D"/>
    <w:rsid w:val="00DE216F"/>
    <w:rsid w:val="00DE23F5"/>
    <w:rsid w:val="00DE27C3"/>
    <w:rsid w:val="00DE2A8E"/>
    <w:rsid w:val="00DE2D58"/>
    <w:rsid w:val="00DE2FDE"/>
    <w:rsid w:val="00DE36A4"/>
    <w:rsid w:val="00DE3A0E"/>
    <w:rsid w:val="00DE3F3D"/>
    <w:rsid w:val="00DE4162"/>
    <w:rsid w:val="00DE49C3"/>
    <w:rsid w:val="00DE4D0A"/>
    <w:rsid w:val="00DE4FE9"/>
    <w:rsid w:val="00DE5180"/>
    <w:rsid w:val="00DE5243"/>
    <w:rsid w:val="00DE534C"/>
    <w:rsid w:val="00DE5396"/>
    <w:rsid w:val="00DE55E4"/>
    <w:rsid w:val="00DE57AF"/>
    <w:rsid w:val="00DE58B8"/>
    <w:rsid w:val="00DE5D23"/>
    <w:rsid w:val="00DE6378"/>
    <w:rsid w:val="00DE646B"/>
    <w:rsid w:val="00DE6624"/>
    <w:rsid w:val="00DE67A3"/>
    <w:rsid w:val="00DE6979"/>
    <w:rsid w:val="00DE7183"/>
    <w:rsid w:val="00DE73E0"/>
    <w:rsid w:val="00DE79A5"/>
    <w:rsid w:val="00DE7A9D"/>
    <w:rsid w:val="00DE7FF5"/>
    <w:rsid w:val="00DF0364"/>
    <w:rsid w:val="00DF03F0"/>
    <w:rsid w:val="00DF079B"/>
    <w:rsid w:val="00DF0A78"/>
    <w:rsid w:val="00DF18A0"/>
    <w:rsid w:val="00DF1AB8"/>
    <w:rsid w:val="00DF1BAD"/>
    <w:rsid w:val="00DF23BE"/>
    <w:rsid w:val="00DF2484"/>
    <w:rsid w:val="00DF2A40"/>
    <w:rsid w:val="00DF2C80"/>
    <w:rsid w:val="00DF324F"/>
    <w:rsid w:val="00DF3437"/>
    <w:rsid w:val="00DF368A"/>
    <w:rsid w:val="00DF3690"/>
    <w:rsid w:val="00DF3B01"/>
    <w:rsid w:val="00DF3D00"/>
    <w:rsid w:val="00DF41F4"/>
    <w:rsid w:val="00DF489A"/>
    <w:rsid w:val="00DF4D06"/>
    <w:rsid w:val="00DF5171"/>
    <w:rsid w:val="00DF5599"/>
    <w:rsid w:val="00DF56DE"/>
    <w:rsid w:val="00DF58B5"/>
    <w:rsid w:val="00DF5B18"/>
    <w:rsid w:val="00DF5B61"/>
    <w:rsid w:val="00DF5C92"/>
    <w:rsid w:val="00DF69F0"/>
    <w:rsid w:val="00DF7E2E"/>
    <w:rsid w:val="00DF7E71"/>
    <w:rsid w:val="00E0034D"/>
    <w:rsid w:val="00E0038E"/>
    <w:rsid w:val="00E00A76"/>
    <w:rsid w:val="00E010BD"/>
    <w:rsid w:val="00E01173"/>
    <w:rsid w:val="00E0160B"/>
    <w:rsid w:val="00E018CB"/>
    <w:rsid w:val="00E01CAE"/>
    <w:rsid w:val="00E0285B"/>
    <w:rsid w:val="00E02B47"/>
    <w:rsid w:val="00E02FEB"/>
    <w:rsid w:val="00E02FF5"/>
    <w:rsid w:val="00E034C2"/>
    <w:rsid w:val="00E034CA"/>
    <w:rsid w:val="00E035B5"/>
    <w:rsid w:val="00E03E61"/>
    <w:rsid w:val="00E0401F"/>
    <w:rsid w:val="00E0448B"/>
    <w:rsid w:val="00E04839"/>
    <w:rsid w:val="00E04B51"/>
    <w:rsid w:val="00E04E14"/>
    <w:rsid w:val="00E053B6"/>
    <w:rsid w:val="00E05464"/>
    <w:rsid w:val="00E05525"/>
    <w:rsid w:val="00E05811"/>
    <w:rsid w:val="00E058FD"/>
    <w:rsid w:val="00E05E5C"/>
    <w:rsid w:val="00E06B25"/>
    <w:rsid w:val="00E06B8E"/>
    <w:rsid w:val="00E0702A"/>
    <w:rsid w:val="00E0746F"/>
    <w:rsid w:val="00E074EA"/>
    <w:rsid w:val="00E07624"/>
    <w:rsid w:val="00E07689"/>
    <w:rsid w:val="00E078EE"/>
    <w:rsid w:val="00E07962"/>
    <w:rsid w:val="00E07B63"/>
    <w:rsid w:val="00E07CD0"/>
    <w:rsid w:val="00E10674"/>
    <w:rsid w:val="00E10753"/>
    <w:rsid w:val="00E110A5"/>
    <w:rsid w:val="00E113BC"/>
    <w:rsid w:val="00E11800"/>
    <w:rsid w:val="00E119A3"/>
    <w:rsid w:val="00E1242A"/>
    <w:rsid w:val="00E137BA"/>
    <w:rsid w:val="00E13A07"/>
    <w:rsid w:val="00E13FC2"/>
    <w:rsid w:val="00E1411C"/>
    <w:rsid w:val="00E14336"/>
    <w:rsid w:val="00E14367"/>
    <w:rsid w:val="00E14DD5"/>
    <w:rsid w:val="00E153FB"/>
    <w:rsid w:val="00E15667"/>
    <w:rsid w:val="00E15915"/>
    <w:rsid w:val="00E15CC0"/>
    <w:rsid w:val="00E1656D"/>
    <w:rsid w:val="00E16ACC"/>
    <w:rsid w:val="00E16CD5"/>
    <w:rsid w:val="00E16F22"/>
    <w:rsid w:val="00E17A77"/>
    <w:rsid w:val="00E17C41"/>
    <w:rsid w:val="00E17D2A"/>
    <w:rsid w:val="00E202F7"/>
    <w:rsid w:val="00E206FB"/>
    <w:rsid w:val="00E2082F"/>
    <w:rsid w:val="00E208F0"/>
    <w:rsid w:val="00E20BC3"/>
    <w:rsid w:val="00E20BCE"/>
    <w:rsid w:val="00E211CE"/>
    <w:rsid w:val="00E212F6"/>
    <w:rsid w:val="00E21415"/>
    <w:rsid w:val="00E218C2"/>
    <w:rsid w:val="00E21A2B"/>
    <w:rsid w:val="00E21F85"/>
    <w:rsid w:val="00E2225F"/>
    <w:rsid w:val="00E223DC"/>
    <w:rsid w:val="00E2275A"/>
    <w:rsid w:val="00E22C9E"/>
    <w:rsid w:val="00E22D0E"/>
    <w:rsid w:val="00E22D75"/>
    <w:rsid w:val="00E23153"/>
    <w:rsid w:val="00E23CEB"/>
    <w:rsid w:val="00E23E6B"/>
    <w:rsid w:val="00E23EDA"/>
    <w:rsid w:val="00E24346"/>
    <w:rsid w:val="00E2491B"/>
    <w:rsid w:val="00E24959"/>
    <w:rsid w:val="00E24A60"/>
    <w:rsid w:val="00E24F2B"/>
    <w:rsid w:val="00E24FF0"/>
    <w:rsid w:val="00E25259"/>
    <w:rsid w:val="00E25369"/>
    <w:rsid w:val="00E253F7"/>
    <w:rsid w:val="00E25799"/>
    <w:rsid w:val="00E25975"/>
    <w:rsid w:val="00E260A0"/>
    <w:rsid w:val="00E261B8"/>
    <w:rsid w:val="00E26394"/>
    <w:rsid w:val="00E266CC"/>
    <w:rsid w:val="00E26775"/>
    <w:rsid w:val="00E273FF"/>
    <w:rsid w:val="00E27533"/>
    <w:rsid w:val="00E2785F"/>
    <w:rsid w:val="00E27B4E"/>
    <w:rsid w:val="00E27B65"/>
    <w:rsid w:val="00E3008D"/>
    <w:rsid w:val="00E303AE"/>
    <w:rsid w:val="00E3068E"/>
    <w:rsid w:val="00E30767"/>
    <w:rsid w:val="00E30D41"/>
    <w:rsid w:val="00E31FF2"/>
    <w:rsid w:val="00E32003"/>
    <w:rsid w:val="00E320A7"/>
    <w:rsid w:val="00E3222B"/>
    <w:rsid w:val="00E324C7"/>
    <w:rsid w:val="00E32705"/>
    <w:rsid w:val="00E329A8"/>
    <w:rsid w:val="00E32D9B"/>
    <w:rsid w:val="00E33237"/>
    <w:rsid w:val="00E3382E"/>
    <w:rsid w:val="00E339CD"/>
    <w:rsid w:val="00E33ABA"/>
    <w:rsid w:val="00E33F03"/>
    <w:rsid w:val="00E34E17"/>
    <w:rsid w:val="00E35B67"/>
    <w:rsid w:val="00E35CC5"/>
    <w:rsid w:val="00E3607D"/>
    <w:rsid w:val="00E36245"/>
    <w:rsid w:val="00E362C4"/>
    <w:rsid w:val="00E36665"/>
    <w:rsid w:val="00E36A45"/>
    <w:rsid w:val="00E36CCC"/>
    <w:rsid w:val="00E36EC9"/>
    <w:rsid w:val="00E37044"/>
    <w:rsid w:val="00E37103"/>
    <w:rsid w:val="00E373DA"/>
    <w:rsid w:val="00E3743D"/>
    <w:rsid w:val="00E376CD"/>
    <w:rsid w:val="00E379E4"/>
    <w:rsid w:val="00E37B4E"/>
    <w:rsid w:val="00E40649"/>
    <w:rsid w:val="00E4077B"/>
    <w:rsid w:val="00E407D9"/>
    <w:rsid w:val="00E414C3"/>
    <w:rsid w:val="00E41734"/>
    <w:rsid w:val="00E4189C"/>
    <w:rsid w:val="00E41985"/>
    <w:rsid w:val="00E419D2"/>
    <w:rsid w:val="00E41EEB"/>
    <w:rsid w:val="00E420AE"/>
    <w:rsid w:val="00E4259F"/>
    <w:rsid w:val="00E426E6"/>
    <w:rsid w:val="00E429D6"/>
    <w:rsid w:val="00E42AD5"/>
    <w:rsid w:val="00E431BB"/>
    <w:rsid w:val="00E432F2"/>
    <w:rsid w:val="00E4344C"/>
    <w:rsid w:val="00E43F53"/>
    <w:rsid w:val="00E4410C"/>
    <w:rsid w:val="00E4439B"/>
    <w:rsid w:val="00E443DE"/>
    <w:rsid w:val="00E44A42"/>
    <w:rsid w:val="00E45391"/>
    <w:rsid w:val="00E45503"/>
    <w:rsid w:val="00E4580A"/>
    <w:rsid w:val="00E45DA9"/>
    <w:rsid w:val="00E465FA"/>
    <w:rsid w:val="00E47C52"/>
    <w:rsid w:val="00E47F64"/>
    <w:rsid w:val="00E5028A"/>
    <w:rsid w:val="00E503C3"/>
    <w:rsid w:val="00E5104B"/>
    <w:rsid w:val="00E51B36"/>
    <w:rsid w:val="00E523D2"/>
    <w:rsid w:val="00E524B0"/>
    <w:rsid w:val="00E524FF"/>
    <w:rsid w:val="00E52585"/>
    <w:rsid w:val="00E52BAD"/>
    <w:rsid w:val="00E52E9C"/>
    <w:rsid w:val="00E52EE1"/>
    <w:rsid w:val="00E534D4"/>
    <w:rsid w:val="00E5441C"/>
    <w:rsid w:val="00E55330"/>
    <w:rsid w:val="00E55440"/>
    <w:rsid w:val="00E55D2F"/>
    <w:rsid w:val="00E55D4E"/>
    <w:rsid w:val="00E55D66"/>
    <w:rsid w:val="00E55FED"/>
    <w:rsid w:val="00E56269"/>
    <w:rsid w:val="00E56391"/>
    <w:rsid w:val="00E56779"/>
    <w:rsid w:val="00E5695A"/>
    <w:rsid w:val="00E57602"/>
    <w:rsid w:val="00E576F0"/>
    <w:rsid w:val="00E57907"/>
    <w:rsid w:val="00E57984"/>
    <w:rsid w:val="00E57DB4"/>
    <w:rsid w:val="00E607EB"/>
    <w:rsid w:val="00E609B7"/>
    <w:rsid w:val="00E60B84"/>
    <w:rsid w:val="00E60F3F"/>
    <w:rsid w:val="00E615A4"/>
    <w:rsid w:val="00E619D6"/>
    <w:rsid w:val="00E61CF7"/>
    <w:rsid w:val="00E6203F"/>
    <w:rsid w:val="00E62103"/>
    <w:rsid w:val="00E62869"/>
    <w:rsid w:val="00E62A57"/>
    <w:rsid w:val="00E63088"/>
    <w:rsid w:val="00E636B0"/>
    <w:rsid w:val="00E63BC5"/>
    <w:rsid w:val="00E6472B"/>
    <w:rsid w:val="00E64A08"/>
    <w:rsid w:val="00E6546B"/>
    <w:rsid w:val="00E65609"/>
    <w:rsid w:val="00E65CB1"/>
    <w:rsid w:val="00E65CE9"/>
    <w:rsid w:val="00E65D67"/>
    <w:rsid w:val="00E66C4F"/>
    <w:rsid w:val="00E66F51"/>
    <w:rsid w:val="00E67106"/>
    <w:rsid w:val="00E67585"/>
    <w:rsid w:val="00E675DE"/>
    <w:rsid w:val="00E67904"/>
    <w:rsid w:val="00E67C01"/>
    <w:rsid w:val="00E67F9A"/>
    <w:rsid w:val="00E7018E"/>
    <w:rsid w:val="00E7049A"/>
    <w:rsid w:val="00E70BAA"/>
    <w:rsid w:val="00E71593"/>
    <w:rsid w:val="00E71792"/>
    <w:rsid w:val="00E71870"/>
    <w:rsid w:val="00E71879"/>
    <w:rsid w:val="00E71B0B"/>
    <w:rsid w:val="00E72F98"/>
    <w:rsid w:val="00E7331E"/>
    <w:rsid w:val="00E735AB"/>
    <w:rsid w:val="00E74087"/>
    <w:rsid w:val="00E748EC"/>
    <w:rsid w:val="00E74E71"/>
    <w:rsid w:val="00E7542F"/>
    <w:rsid w:val="00E756C6"/>
    <w:rsid w:val="00E75B81"/>
    <w:rsid w:val="00E75B8E"/>
    <w:rsid w:val="00E76083"/>
    <w:rsid w:val="00E764C4"/>
    <w:rsid w:val="00E76983"/>
    <w:rsid w:val="00E769B5"/>
    <w:rsid w:val="00E776DD"/>
    <w:rsid w:val="00E80468"/>
    <w:rsid w:val="00E80700"/>
    <w:rsid w:val="00E80E59"/>
    <w:rsid w:val="00E814BB"/>
    <w:rsid w:val="00E81646"/>
    <w:rsid w:val="00E817DF"/>
    <w:rsid w:val="00E81ADE"/>
    <w:rsid w:val="00E821A3"/>
    <w:rsid w:val="00E82B43"/>
    <w:rsid w:val="00E82CCA"/>
    <w:rsid w:val="00E82DF4"/>
    <w:rsid w:val="00E82FF0"/>
    <w:rsid w:val="00E83218"/>
    <w:rsid w:val="00E83921"/>
    <w:rsid w:val="00E83B86"/>
    <w:rsid w:val="00E83FDF"/>
    <w:rsid w:val="00E842A9"/>
    <w:rsid w:val="00E84302"/>
    <w:rsid w:val="00E8436E"/>
    <w:rsid w:val="00E84488"/>
    <w:rsid w:val="00E849DC"/>
    <w:rsid w:val="00E855C1"/>
    <w:rsid w:val="00E859FA"/>
    <w:rsid w:val="00E85DCF"/>
    <w:rsid w:val="00E861B0"/>
    <w:rsid w:val="00E864FD"/>
    <w:rsid w:val="00E865E0"/>
    <w:rsid w:val="00E86C50"/>
    <w:rsid w:val="00E87334"/>
    <w:rsid w:val="00E87704"/>
    <w:rsid w:val="00E87BAB"/>
    <w:rsid w:val="00E87E7F"/>
    <w:rsid w:val="00E87EAC"/>
    <w:rsid w:val="00E902D4"/>
    <w:rsid w:val="00E9066A"/>
    <w:rsid w:val="00E90A8F"/>
    <w:rsid w:val="00E91612"/>
    <w:rsid w:val="00E91935"/>
    <w:rsid w:val="00E91A25"/>
    <w:rsid w:val="00E91DCF"/>
    <w:rsid w:val="00E91F48"/>
    <w:rsid w:val="00E92464"/>
    <w:rsid w:val="00E92B41"/>
    <w:rsid w:val="00E93103"/>
    <w:rsid w:val="00E934BA"/>
    <w:rsid w:val="00E93942"/>
    <w:rsid w:val="00E939A1"/>
    <w:rsid w:val="00E93E0F"/>
    <w:rsid w:val="00E94039"/>
    <w:rsid w:val="00E94084"/>
    <w:rsid w:val="00E9413C"/>
    <w:rsid w:val="00E943EA"/>
    <w:rsid w:val="00E94953"/>
    <w:rsid w:val="00E94996"/>
    <w:rsid w:val="00E94A48"/>
    <w:rsid w:val="00E94BFF"/>
    <w:rsid w:val="00E94F3A"/>
    <w:rsid w:val="00E94F45"/>
    <w:rsid w:val="00E95137"/>
    <w:rsid w:val="00E951C8"/>
    <w:rsid w:val="00E9567B"/>
    <w:rsid w:val="00E957E1"/>
    <w:rsid w:val="00E95B8D"/>
    <w:rsid w:val="00E95B9C"/>
    <w:rsid w:val="00E95D33"/>
    <w:rsid w:val="00E96826"/>
    <w:rsid w:val="00E97280"/>
    <w:rsid w:val="00E978F2"/>
    <w:rsid w:val="00E97D08"/>
    <w:rsid w:val="00EA00EC"/>
    <w:rsid w:val="00EA0260"/>
    <w:rsid w:val="00EA0688"/>
    <w:rsid w:val="00EA06A6"/>
    <w:rsid w:val="00EA076A"/>
    <w:rsid w:val="00EA0971"/>
    <w:rsid w:val="00EA0DC2"/>
    <w:rsid w:val="00EA0E2B"/>
    <w:rsid w:val="00EA1AC6"/>
    <w:rsid w:val="00EA2327"/>
    <w:rsid w:val="00EA239E"/>
    <w:rsid w:val="00EA244C"/>
    <w:rsid w:val="00EA2984"/>
    <w:rsid w:val="00EA2BAA"/>
    <w:rsid w:val="00EA3167"/>
    <w:rsid w:val="00EA37FA"/>
    <w:rsid w:val="00EA3906"/>
    <w:rsid w:val="00EA3CDE"/>
    <w:rsid w:val="00EA3D93"/>
    <w:rsid w:val="00EA3FA5"/>
    <w:rsid w:val="00EA4155"/>
    <w:rsid w:val="00EA41AA"/>
    <w:rsid w:val="00EA4350"/>
    <w:rsid w:val="00EA4B54"/>
    <w:rsid w:val="00EA4DC3"/>
    <w:rsid w:val="00EA4DC8"/>
    <w:rsid w:val="00EA4E1F"/>
    <w:rsid w:val="00EA52DA"/>
    <w:rsid w:val="00EA53C8"/>
    <w:rsid w:val="00EA5785"/>
    <w:rsid w:val="00EA59A8"/>
    <w:rsid w:val="00EA63DF"/>
    <w:rsid w:val="00EA6943"/>
    <w:rsid w:val="00EA6A80"/>
    <w:rsid w:val="00EA7660"/>
    <w:rsid w:val="00EA7C61"/>
    <w:rsid w:val="00EB04F1"/>
    <w:rsid w:val="00EB0B5A"/>
    <w:rsid w:val="00EB0C65"/>
    <w:rsid w:val="00EB0EDA"/>
    <w:rsid w:val="00EB0FE9"/>
    <w:rsid w:val="00EB11B9"/>
    <w:rsid w:val="00EB127F"/>
    <w:rsid w:val="00EB198B"/>
    <w:rsid w:val="00EB1B15"/>
    <w:rsid w:val="00EB1F99"/>
    <w:rsid w:val="00EB2212"/>
    <w:rsid w:val="00EB2C02"/>
    <w:rsid w:val="00EB2D5C"/>
    <w:rsid w:val="00EB2EA6"/>
    <w:rsid w:val="00EB32E0"/>
    <w:rsid w:val="00EB3866"/>
    <w:rsid w:val="00EB46F2"/>
    <w:rsid w:val="00EB48DC"/>
    <w:rsid w:val="00EB5834"/>
    <w:rsid w:val="00EB59EB"/>
    <w:rsid w:val="00EB5B81"/>
    <w:rsid w:val="00EB5F50"/>
    <w:rsid w:val="00EB6607"/>
    <w:rsid w:val="00EB6C02"/>
    <w:rsid w:val="00EB6F9D"/>
    <w:rsid w:val="00EB7579"/>
    <w:rsid w:val="00EB77C2"/>
    <w:rsid w:val="00EC02E2"/>
    <w:rsid w:val="00EC053D"/>
    <w:rsid w:val="00EC0963"/>
    <w:rsid w:val="00EC0A1D"/>
    <w:rsid w:val="00EC0C1E"/>
    <w:rsid w:val="00EC1676"/>
    <w:rsid w:val="00EC1ED5"/>
    <w:rsid w:val="00EC23B0"/>
    <w:rsid w:val="00EC24C8"/>
    <w:rsid w:val="00EC2665"/>
    <w:rsid w:val="00EC2737"/>
    <w:rsid w:val="00EC2769"/>
    <w:rsid w:val="00EC2BB6"/>
    <w:rsid w:val="00EC304B"/>
    <w:rsid w:val="00EC3B40"/>
    <w:rsid w:val="00EC3EF2"/>
    <w:rsid w:val="00EC4434"/>
    <w:rsid w:val="00EC4CBB"/>
    <w:rsid w:val="00EC4D0E"/>
    <w:rsid w:val="00EC500C"/>
    <w:rsid w:val="00EC53EA"/>
    <w:rsid w:val="00EC5846"/>
    <w:rsid w:val="00EC5DC8"/>
    <w:rsid w:val="00EC6ACA"/>
    <w:rsid w:val="00EC6B59"/>
    <w:rsid w:val="00EC6F9D"/>
    <w:rsid w:val="00EC709C"/>
    <w:rsid w:val="00EC75E4"/>
    <w:rsid w:val="00EC7729"/>
    <w:rsid w:val="00EC789A"/>
    <w:rsid w:val="00EC78F3"/>
    <w:rsid w:val="00EC7946"/>
    <w:rsid w:val="00EC79B9"/>
    <w:rsid w:val="00EC7BFE"/>
    <w:rsid w:val="00EC7C13"/>
    <w:rsid w:val="00ED0101"/>
    <w:rsid w:val="00ED06A4"/>
    <w:rsid w:val="00ED0A5B"/>
    <w:rsid w:val="00ED0B37"/>
    <w:rsid w:val="00ED1053"/>
    <w:rsid w:val="00ED128D"/>
    <w:rsid w:val="00ED15AB"/>
    <w:rsid w:val="00ED1AD4"/>
    <w:rsid w:val="00ED1CC3"/>
    <w:rsid w:val="00ED1F3C"/>
    <w:rsid w:val="00ED26BA"/>
    <w:rsid w:val="00ED2EFB"/>
    <w:rsid w:val="00ED30B9"/>
    <w:rsid w:val="00ED356A"/>
    <w:rsid w:val="00ED396D"/>
    <w:rsid w:val="00ED3E62"/>
    <w:rsid w:val="00ED4196"/>
    <w:rsid w:val="00ED43D7"/>
    <w:rsid w:val="00ED48E7"/>
    <w:rsid w:val="00ED50D5"/>
    <w:rsid w:val="00ED5321"/>
    <w:rsid w:val="00ED5519"/>
    <w:rsid w:val="00ED57B3"/>
    <w:rsid w:val="00ED677C"/>
    <w:rsid w:val="00ED6999"/>
    <w:rsid w:val="00ED6C9B"/>
    <w:rsid w:val="00ED723E"/>
    <w:rsid w:val="00ED7430"/>
    <w:rsid w:val="00ED7C27"/>
    <w:rsid w:val="00ED7EFB"/>
    <w:rsid w:val="00EE001B"/>
    <w:rsid w:val="00EE072D"/>
    <w:rsid w:val="00EE075B"/>
    <w:rsid w:val="00EE0772"/>
    <w:rsid w:val="00EE0A79"/>
    <w:rsid w:val="00EE0C0B"/>
    <w:rsid w:val="00EE0CC6"/>
    <w:rsid w:val="00EE16BF"/>
    <w:rsid w:val="00EE2113"/>
    <w:rsid w:val="00EE219B"/>
    <w:rsid w:val="00EE24E8"/>
    <w:rsid w:val="00EE250A"/>
    <w:rsid w:val="00EE2C51"/>
    <w:rsid w:val="00EE2D03"/>
    <w:rsid w:val="00EE30F3"/>
    <w:rsid w:val="00EE3570"/>
    <w:rsid w:val="00EE3764"/>
    <w:rsid w:val="00EE3951"/>
    <w:rsid w:val="00EE3F4C"/>
    <w:rsid w:val="00EE3FC3"/>
    <w:rsid w:val="00EE4395"/>
    <w:rsid w:val="00EE4634"/>
    <w:rsid w:val="00EE46E7"/>
    <w:rsid w:val="00EE4B84"/>
    <w:rsid w:val="00EE4D39"/>
    <w:rsid w:val="00EE4EAC"/>
    <w:rsid w:val="00EE4FB5"/>
    <w:rsid w:val="00EE5199"/>
    <w:rsid w:val="00EE52D2"/>
    <w:rsid w:val="00EE532F"/>
    <w:rsid w:val="00EE552F"/>
    <w:rsid w:val="00EE5C0E"/>
    <w:rsid w:val="00EE6335"/>
    <w:rsid w:val="00EE6782"/>
    <w:rsid w:val="00EE691D"/>
    <w:rsid w:val="00EE6E01"/>
    <w:rsid w:val="00EE6E50"/>
    <w:rsid w:val="00EE7205"/>
    <w:rsid w:val="00EE7771"/>
    <w:rsid w:val="00EE7F0B"/>
    <w:rsid w:val="00EF034F"/>
    <w:rsid w:val="00EF0E82"/>
    <w:rsid w:val="00EF116A"/>
    <w:rsid w:val="00EF1472"/>
    <w:rsid w:val="00EF1481"/>
    <w:rsid w:val="00EF1A3A"/>
    <w:rsid w:val="00EF232F"/>
    <w:rsid w:val="00EF2461"/>
    <w:rsid w:val="00EF248D"/>
    <w:rsid w:val="00EF2694"/>
    <w:rsid w:val="00EF2709"/>
    <w:rsid w:val="00EF2BF3"/>
    <w:rsid w:val="00EF2FF7"/>
    <w:rsid w:val="00EF3435"/>
    <w:rsid w:val="00EF3D03"/>
    <w:rsid w:val="00EF42A4"/>
    <w:rsid w:val="00EF4341"/>
    <w:rsid w:val="00EF43F1"/>
    <w:rsid w:val="00EF4430"/>
    <w:rsid w:val="00EF44F0"/>
    <w:rsid w:val="00EF46A7"/>
    <w:rsid w:val="00EF4AD7"/>
    <w:rsid w:val="00EF4DDE"/>
    <w:rsid w:val="00EF4F69"/>
    <w:rsid w:val="00EF4F75"/>
    <w:rsid w:val="00EF56B2"/>
    <w:rsid w:val="00EF56D0"/>
    <w:rsid w:val="00EF5846"/>
    <w:rsid w:val="00EF584B"/>
    <w:rsid w:val="00EF588E"/>
    <w:rsid w:val="00EF5A99"/>
    <w:rsid w:val="00EF5B7D"/>
    <w:rsid w:val="00EF5DB2"/>
    <w:rsid w:val="00EF60C9"/>
    <w:rsid w:val="00EF611E"/>
    <w:rsid w:val="00EF626D"/>
    <w:rsid w:val="00EF6BB8"/>
    <w:rsid w:val="00EF6BC1"/>
    <w:rsid w:val="00EF6CE2"/>
    <w:rsid w:val="00EF6DA3"/>
    <w:rsid w:val="00EF7563"/>
    <w:rsid w:val="00EF77F8"/>
    <w:rsid w:val="00F001E0"/>
    <w:rsid w:val="00F005A3"/>
    <w:rsid w:val="00F00AE6"/>
    <w:rsid w:val="00F0122B"/>
    <w:rsid w:val="00F01986"/>
    <w:rsid w:val="00F01D74"/>
    <w:rsid w:val="00F0239B"/>
    <w:rsid w:val="00F02578"/>
    <w:rsid w:val="00F0282E"/>
    <w:rsid w:val="00F02CC5"/>
    <w:rsid w:val="00F0338C"/>
    <w:rsid w:val="00F03658"/>
    <w:rsid w:val="00F03764"/>
    <w:rsid w:val="00F03B8F"/>
    <w:rsid w:val="00F03EE5"/>
    <w:rsid w:val="00F048CF"/>
    <w:rsid w:val="00F04C52"/>
    <w:rsid w:val="00F04F79"/>
    <w:rsid w:val="00F052EB"/>
    <w:rsid w:val="00F059C8"/>
    <w:rsid w:val="00F062AD"/>
    <w:rsid w:val="00F06443"/>
    <w:rsid w:val="00F067FC"/>
    <w:rsid w:val="00F0680A"/>
    <w:rsid w:val="00F0689E"/>
    <w:rsid w:val="00F06C68"/>
    <w:rsid w:val="00F06CEB"/>
    <w:rsid w:val="00F06D4F"/>
    <w:rsid w:val="00F070BD"/>
    <w:rsid w:val="00F07422"/>
    <w:rsid w:val="00F0767D"/>
    <w:rsid w:val="00F1036C"/>
    <w:rsid w:val="00F107E6"/>
    <w:rsid w:val="00F10963"/>
    <w:rsid w:val="00F10F5A"/>
    <w:rsid w:val="00F119B3"/>
    <w:rsid w:val="00F11C7E"/>
    <w:rsid w:val="00F12103"/>
    <w:rsid w:val="00F121B0"/>
    <w:rsid w:val="00F12359"/>
    <w:rsid w:val="00F12758"/>
    <w:rsid w:val="00F12B7F"/>
    <w:rsid w:val="00F12D64"/>
    <w:rsid w:val="00F13618"/>
    <w:rsid w:val="00F13F53"/>
    <w:rsid w:val="00F14225"/>
    <w:rsid w:val="00F14865"/>
    <w:rsid w:val="00F148BE"/>
    <w:rsid w:val="00F14E1D"/>
    <w:rsid w:val="00F151CD"/>
    <w:rsid w:val="00F15E3F"/>
    <w:rsid w:val="00F160EB"/>
    <w:rsid w:val="00F162E7"/>
    <w:rsid w:val="00F164CE"/>
    <w:rsid w:val="00F16528"/>
    <w:rsid w:val="00F175D2"/>
    <w:rsid w:val="00F17626"/>
    <w:rsid w:val="00F17676"/>
    <w:rsid w:val="00F178B0"/>
    <w:rsid w:val="00F17AA7"/>
    <w:rsid w:val="00F17D59"/>
    <w:rsid w:val="00F17F79"/>
    <w:rsid w:val="00F20B12"/>
    <w:rsid w:val="00F20B8A"/>
    <w:rsid w:val="00F20EF8"/>
    <w:rsid w:val="00F21480"/>
    <w:rsid w:val="00F21B8A"/>
    <w:rsid w:val="00F220EA"/>
    <w:rsid w:val="00F220FB"/>
    <w:rsid w:val="00F221F3"/>
    <w:rsid w:val="00F2275D"/>
    <w:rsid w:val="00F22A29"/>
    <w:rsid w:val="00F22B84"/>
    <w:rsid w:val="00F22EDC"/>
    <w:rsid w:val="00F2342C"/>
    <w:rsid w:val="00F235E9"/>
    <w:rsid w:val="00F240FE"/>
    <w:rsid w:val="00F24107"/>
    <w:rsid w:val="00F242F6"/>
    <w:rsid w:val="00F2468E"/>
    <w:rsid w:val="00F24A3B"/>
    <w:rsid w:val="00F253E5"/>
    <w:rsid w:val="00F25542"/>
    <w:rsid w:val="00F25756"/>
    <w:rsid w:val="00F25DE9"/>
    <w:rsid w:val="00F2651B"/>
    <w:rsid w:val="00F26593"/>
    <w:rsid w:val="00F26635"/>
    <w:rsid w:val="00F26D71"/>
    <w:rsid w:val="00F26FB3"/>
    <w:rsid w:val="00F272CA"/>
    <w:rsid w:val="00F277EE"/>
    <w:rsid w:val="00F30523"/>
    <w:rsid w:val="00F30CD2"/>
    <w:rsid w:val="00F30CDF"/>
    <w:rsid w:val="00F30F0A"/>
    <w:rsid w:val="00F3119C"/>
    <w:rsid w:val="00F31367"/>
    <w:rsid w:val="00F31644"/>
    <w:rsid w:val="00F31699"/>
    <w:rsid w:val="00F31BA0"/>
    <w:rsid w:val="00F320DB"/>
    <w:rsid w:val="00F32488"/>
    <w:rsid w:val="00F328EA"/>
    <w:rsid w:val="00F32B58"/>
    <w:rsid w:val="00F32DAE"/>
    <w:rsid w:val="00F32DDA"/>
    <w:rsid w:val="00F336C1"/>
    <w:rsid w:val="00F33985"/>
    <w:rsid w:val="00F3412A"/>
    <w:rsid w:val="00F34354"/>
    <w:rsid w:val="00F347CD"/>
    <w:rsid w:val="00F34D60"/>
    <w:rsid w:val="00F34DE0"/>
    <w:rsid w:val="00F351DC"/>
    <w:rsid w:val="00F3525C"/>
    <w:rsid w:val="00F35617"/>
    <w:rsid w:val="00F3571B"/>
    <w:rsid w:val="00F35E0A"/>
    <w:rsid w:val="00F36207"/>
    <w:rsid w:val="00F36AF5"/>
    <w:rsid w:val="00F36F88"/>
    <w:rsid w:val="00F37325"/>
    <w:rsid w:val="00F374A4"/>
    <w:rsid w:val="00F378B1"/>
    <w:rsid w:val="00F37A70"/>
    <w:rsid w:val="00F40AFA"/>
    <w:rsid w:val="00F41440"/>
    <w:rsid w:val="00F41535"/>
    <w:rsid w:val="00F4191B"/>
    <w:rsid w:val="00F41DD8"/>
    <w:rsid w:val="00F420AD"/>
    <w:rsid w:val="00F42304"/>
    <w:rsid w:val="00F424C4"/>
    <w:rsid w:val="00F424EE"/>
    <w:rsid w:val="00F42554"/>
    <w:rsid w:val="00F426D9"/>
    <w:rsid w:val="00F42EFB"/>
    <w:rsid w:val="00F4341D"/>
    <w:rsid w:val="00F43724"/>
    <w:rsid w:val="00F43738"/>
    <w:rsid w:val="00F4416E"/>
    <w:rsid w:val="00F44BFA"/>
    <w:rsid w:val="00F44FE5"/>
    <w:rsid w:val="00F45443"/>
    <w:rsid w:val="00F454F0"/>
    <w:rsid w:val="00F455F6"/>
    <w:rsid w:val="00F45BEB"/>
    <w:rsid w:val="00F45D9A"/>
    <w:rsid w:val="00F460CB"/>
    <w:rsid w:val="00F4636B"/>
    <w:rsid w:val="00F46A79"/>
    <w:rsid w:val="00F46B9C"/>
    <w:rsid w:val="00F4763C"/>
    <w:rsid w:val="00F47BDA"/>
    <w:rsid w:val="00F47C5E"/>
    <w:rsid w:val="00F501D5"/>
    <w:rsid w:val="00F50B9F"/>
    <w:rsid w:val="00F50D74"/>
    <w:rsid w:val="00F50FE0"/>
    <w:rsid w:val="00F510D9"/>
    <w:rsid w:val="00F51482"/>
    <w:rsid w:val="00F51526"/>
    <w:rsid w:val="00F5173B"/>
    <w:rsid w:val="00F519FE"/>
    <w:rsid w:val="00F51CED"/>
    <w:rsid w:val="00F5209E"/>
    <w:rsid w:val="00F523F7"/>
    <w:rsid w:val="00F52430"/>
    <w:rsid w:val="00F52A40"/>
    <w:rsid w:val="00F52C9A"/>
    <w:rsid w:val="00F5304B"/>
    <w:rsid w:val="00F531E6"/>
    <w:rsid w:val="00F5335E"/>
    <w:rsid w:val="00F533AF"/>
    <w:rsid w:val="00F53559"/>
    <w:rsid w:val="00F5355F"/>
    <w:rsid w:val="00F54541"/>
    <w:rsid w:val="00F5490A"/>
    <w:rsid w:val="00F54919"/>
    <w:rsid w:val="00F54CDE"/>
    <w:rsid w:val="00F550DC"/>
    <w:rsid w:val="00F55E5B"/>
    <w:rsid w:val="00F55EF0"/>
    <w:rsid w:val="00F55F8C"/>
    <w:rsid w:val="00F568B1"/>
    <w:rsid w:val="00F5693C"/>
    <w:rsid w:val="00F56A85"/>
    <w:rsid w:val="00F56DF5"/>
    <w:rsid w:val="00F56E3B"/>
    <w:rsid w:val="00F572CD"/>
    <w:rsid w:val="00F573FB"/>
    <w:rsid w:val="00F574F6"/>
    <w:rsid w:val="00F579F6"/>
    <w:rsid w:val="00F57A83"/>
    <w:rsid w:val="00F57B19"/>
    <w:rsid w:val="00F57C20"/>
    <w:rsid w:val="00F57D03"/>
    <w:rsid w:val="00F60007"/>
    <w:rsid w:val="00F603F5"/>
    <w:rsid w:val="00F6098C"/>
    <w:rsid w:val="00F60C34"/>
    <w:rsid w:val="00F60C58"/>
    <w:rsid w:val="00F60CB4"/>
    <w:rsid w:val="00F60CE8"/>
    <w:rsid w:val="00F60DD2"/>
    <w:rsid w:val="00F60E67"/>
    <w:rsid w:val="00F61013"/>
    <w:rsid w:val="00F612F7"/>
    <w:rsid w:val="00F61377"/>
    <w:rsid w:val="00F6149E"/>
    <w:rsid w:val="00F614AB"/>
    <w:rsid w:val="00F6174E"/>
    <w:rsid w:val="00F618DD"/>
    <w:rsid w:val="00F6190F"/>
    <w:rsid w:val="00F61952"/>
    <w:rsid w:val="00F619BB"/>
    <w:rsid w:val="00F61D91"/>
    <w:rsid w:val="00F61F08"/>
    <w:rsid w:val="00F6265A"/>
    <w:rsid w:val="00F62E1E"/>
    <w:rsid w:val="00F62E73"/>
    <w:rsid w:val="00F62F18"/>
    <w:rsid w:val="00F63549"/>
    <w:rsid w:val="00F63D79"/>
    <w:rsid w:val="00F641D3"/>
    <w:rsid w:val="00F64A8D"/>
    <w:rsid w:val="00F65DA4"/>
    <w:rsid w:val="00F65DD0"/>
    <w:rsid w:val="00F66568"/>
    <w:rsid w:val="00F6673F"/>
    <w:rsid w:val="00F66814"/>
    <w:rsid w:val="00F6693A"/>
    <w:rsid w:val="00F66A6A"/>
    <w:rsid w:val="00F66AFB"/>
    <w:rsid w:val="00F66C67"/>
    <w:rsid w:val="00F66E60"/>
    <w:rsid w:val="00F67171"/>
    <w:rsid w:val="00F67387"/>
    <w:rsid w:val="00F6741C"/>
    <w:rsid w:val="00F70550"/>
    <w:rsid w:val="00F70591"/>
    <w:rsid w:val="00F706C7"/>
    <w:rsid w:val="00F706E7"/>
    <w:rsid w:val="00F70766"/>
    <w:rsid w:val="00F71380"/>
    <w:rsid w:val="00F719F8"/>
    <w:rsid w:val="00F720E8"/>
    <w:rsid w:val="00F723F1"/>
    <w:rsid w:val="00F72764"/>
    <w:rsid w:val="00F7290D"/>
    <w:rsid w:val="00F72A19"/>
    <w:rsid w:val="00F72C7E"/>
    <w:rsid w:val="00F72CC6"/>
    <w:rsid w:val="00F73431"/>
    <w:rsid w:val="00F73B70"/>
    <w:rsid w:val="00F74697"/>
    <w:rsid w:val="00F747E0"/>
    <w:rsid w:val="00F7533E"/>
    <w:rsid w:val="00F756DE"/>
    <w:rsid w:val="00F759E9"/>
    <w:rsid w:val="00F75B3B"/>
    <w:rsid w:val="00F75F21"/>
    <w:rsid w:val="00F76335"/>
    <w:rsid w:val="00F76743"/>
    <w:rsid w:val="00F76E32"/>
    <w:rsid w:val="00F7735C"/>
    <w:rsid w:val="00F77519"/>
    <w:rsid w:val="00F8022E"/>
    <w:rsid w:val="00F80BD8"/>
    <w:rsid w:val="00F81B1D"/>
    <w:rsid w:val="00F81E0E"/>
    <w:rsid w:val="00F81E14"/>
    <w:rsid w:val="00F82089"/>
    <w:rsid w:val="00F82341"/>
    <w:rsid w:val="00F824AD"/>
    <w:rsid w:val="00F8279B"/>
    <w:rsid w:val="00F828F5"/>
    <w:rsid w:val="00F82F0B"/>
    <w:rsid w:val="00F82FF0"/>
    <w:rsid w:val="00F8384D"/>
    <w:rsid w:val="00F83F3C"/>
    <w:rsid w:val="00F841DC"/>
    <w:rsid w:val="00F84530"/>
    <w:rsid w:val="00F846CE"/>
    <w:rsid w:val="00F84714"/>
    <w:rsid w:val="00F84B28"/>
    <w:rsid w:val="00F84C13"/>
    <w:rsid w:val="00F8551D"/>
    <w:rsid w:val="00F85A64"/>
    <w:rsid w:val="00F85D2B"/>
    <w:rsid w:val="00F86326"/>
    <w:rsid w:val="00F86924"/>
    <w:rsid w:val="00F87018"/>
    <w:rsid w:val="00F870C7"/>
    <w:rsid w:val="00F87718"/>
    <w:rsid w:val="00F87746"/>
    <w:rsid w:val="00F87850"/>
    <w:rsid w:val="00F87A8B"/>
    <w:rsid w:val="00F87B4E"/>
    <w:rsid w:val="00F87DC5"/>
    <w:rsid w:val="00F90719"/>
    <w:rsid w:val="00F90920"/>
    <w:rsid w:val="00F90B8E"/>
    <w:rsid w:val="00F91687"/>
    <w:rsid w:val="00F917D0"/>
    <w:rsid w:val="00F91C22"/>
    <w:rsid w:val="00F9206A"/>
    <w:rsid w:val="00F92113"/>
    <w:rsid w:val="00F92BAC"/>
    <w:rsid w:val="00F92BE6"/>
    <w:rsid w:val="00F9301B"/>
    <w:rsid w:val="00F93749"/>
    <w:rsid w:val="00F93753"/>
    <w:rsid w:val="00F938D2"/>
    <w:rsid w:val="00F93B52"/>
    <w:rsid w:val="00F93CAA"/>
    <w:rsid w:val="00F94553"/>
    <w:rsid w:val="00F94873"/>
    <w:rsid w:val="00F94F04"/>
    <w:rsid w:val="00F9502E"/>
    <w:rsid w:val="00F95092"/>
    <w:rsid w:val="00F9524B"/>
    <w:rsid w:val="00F955DD"/>
    <w:rsid w:val="00F95C21"/>
    <w:rsid w:val="00F95EA3"/>
    <w:rsid w:val="00F95EFD"/>
    <w:rsid w:val="00F95F59"/>
    <w:rsid w:val="00F962B1"/>
    <w:rsid w:val="00F962B7"/>
    <w:rsid w:val="00F966EF"/>
    <w:rsid w:val="00F96AAF"/>
    <w:rsid w:val="00F971AC"/>
    <w:rsid w:val="00F9722F"/>
    <w:rsid w:val="00F9752F"/>
    <w:rsid w:val="00F97534"/>
    <w:rsid w:val="00F975D9"/>
    <w:rsid w:val="00F97686"/>
    <w:rsid w:val="00F97E7A"/>
    <w:rsid w:val="00FA0332"/>
    <w:rsid w:val="00FA0543"/>
    <w:rsid w:val="00FA06E7"/>
    <w:rsid w:val="00FA0F1D"/>
    <w:rsid w:val="00FA1244"/>
    <w:rsid w:val="00FA1725"/>
    <w:rsid w:val="00FA1A05"/>
    <w:rsid w:val="00FA1BA3"/>
    <w:rsid w:val="00FA1DD4"/>
    <w:rsid w:val="00FA1EFD"/>
    <w:rsid w:val="00FA243B"/>
    <w:rsid w:val="00FA25D0"/>
    <w:rsid w:val="00FA2BE2"/>
    <w:rsid w:val="00FA2C49"/>
    <w:rsid w:val="00FA2E80"/>
    <w:rsid w:val="00FA2F88"/>
    <w:rsid w:val="00FA3498"/>
    <w:rsid w:val="00FA3528"/>
    <w:rsid w:val="00FA3651"/>
    <w:rsid w:val="00FA3C3B"/>
    <w:rsid w:val="00FA3E60"/>
    <w:rsid w:val="00FA419E"/>
    <w:rsid w:val="00FA4379"/>
    <w:rsid w:val="00FA43FD"/>
    <w:rsid w:val="00FA4565"/>
    <w:rsid w:val="00FA463E"/>
    <w:rsid w:val="00FA47C8"/>
    <w:rsid w:val="00FA47CA"/>
    <w:rsid w:val="00FA4A75"/>
    <w:rsid w:val="00FA4C53"/>
    <w:rsid w:val="00FA4C9B"/>
    <w:rsid w:val="00FA50CA"/>
    <w:rsid w:val="00FA52A5"/>
    <w:rsid w:val="00FA5C4F"/>
    <w:rsid w:val="00FA5E79"/>
    <w:rsid w:val="00FA603D"/>
    <w:rsid w:val="00FA6405"/>
    <w:rsid w:val="00FA6C81"/>
    <w:rsid w:val="00FA6F00"/>
    <w:rsid w:val="00FA754A"/>
    <w:rsid w:val="00FB10C2"/>
    <w:rsid w:val="00FB11C1"/>
    <w:rsid w:val="00FB1471"/>
    <w:rsid w:val="00FB15A2"/>
    <w:rsid w:val="00FB18E9"/>
    <w:rsid w:val="00FB19EA"/>
    <w:rsid w:val="00FB1BAC"/>
    <w:rsid w:val="00FB1C9A"/>
    <w:rsid w:val="00FB1D85"/>
    <w:rsid w:val="00FB1EAD"/>
    <w:rsid w:val="00FB2611"/>
    <w:rsid w:val="00FB2857"/>
    <w:rsid w:val="00FB2D47"/>
    <w:rsid w:val="00FB2E96"/>
    <w:rsid w:val="00FB2EB8"/>
    <w:rsid w:val="00FB3C49"/>
    <w:rsid w:val="00FB3D00"/>
    <w:rsid w:val="00FB3D07"/>
    <w:rsid w:val="00FB3D8E"/>
    <w:rsid w:val="00FB3DAF"/>
    <w:rsid w:val="00FB3E45"/>
    <w:rsid w:val="00FB408E"/>
    <w:rsid w:val="00FB418E"/>
    <w:rsid w:val="00FB469C"/>
    <w:rsid w:val="00FB47D6"/>
    <w:rsid w:val="00FB4AA7"/>
    <w:rsid w:val="00FB4E78"/>
    <w:rsid w:val="00FB4F09"/>
    <w:rsid w:val="00FB5385"/>
    <w:rsid w:val="00FB56BD"/>
    <w:rsid w:val="00FB58D6"/>
    <w:rsid w:val="00FB59C7"/>
    <w:rsid w:val="00FB63E5"/>
    <w:rsid w:val="00FB6A0B"/>
    <w:rsid w:val="00FB7045"/>
    <w:rsid w:val="00FB7109"/>
    <w:rsid w:val="00FB7744"/>
    <w:rsid w:val="00FB77C8"/>
    <w:rsid w:val="00FB7D7D"/>
    <w:rsid w:val="00FB7E68"/>
    <w:rsid w:val="00FB7F7A"/>
    <w:rsid w:val="00FC00D2"/>
    <w:rsid w:val="00FC03C4"/>
    <w:rsid w:val="00FC0594"/>
    <w:rsid w:val="00FC0660"/>
    <w:rsid w:val="00FC07BF"/>
    <w:rsid w:val="00FC0BD8"/>
    <w:rsid w:val="00FC0F0D"/>
    <w:rsid w:val="00FC124E"/>
    <w:rsid w:val="00FC1857"/>
    <w:rsid w:val="00FC1B82"/>
    <w:rsid w:val="00FC1CA2"/>
    <w:rsid w:val="00FC212F"/>
    <w:rsid w:val="00FC2214"/>
    <w:rsid w:val="00FC222E"/>
    <w:rsid w:val="00FC26CE"/>
    <w:rsid w:val="00FC32B2"/>
    <w:rsid w:val="00FC32F7"/>
    <w:rsid w:val="00FC33DB"/>
    <w:rsid w:val="00FC347F"/>
    <w:rsid w:val="00FC38EC"/>
    <w:rsid w:val="00FC3E6A"/>
    <w:rsid w:val="00FC3E6D"/>
    <w:rsid w:val="00FC4232"/>
    <w:rsid w:val="00FC4318"/>
    <w:rsid w:val="00FC4899"/>
    <w:rsid w:val="00FC4963"/>
    <w:rsid w:val="00FC523B"/>
    <w:rsid w:val="00FC5C39"/>
    <w:rsid w:val="00FC65F1"/>
    <w:rsid w:val="00FC69A3"/>
    <w:rsid w:val="00FC75D0"/>
    <w:rsid w:val="00FC7F9F"/>
    <w:rsid w:val="00FD0171"/>
    <w:rsid w:val="00FD04E6"/>
    <w:rsid w:val="00FD0A23"/>
    <w:rsid w:val="00FD113D"/>
    <w:rsid w:val="00FD1314"/>
    <w:rsid w:val="00FD16F1"/>
    <w:rsid w:val="00FD17DF"/>
    <w:rsid w:val="00FD1A95"/>
    <w:rsid w:val="00FD1CB6"/>
    <w:rsid w:val="00FD2398"/>
    <w:rsid w:val="00FD2498"/>
    <w:rsid w:val="00FD26C3"/>
    <w:rsid w:val="00FD31D6"/>
    <w:rsid w:val="00FD32BF"/>
    <w:rsid w:val="00FD3602"/>
    <w:rsid w:val="00FD3802"/>
    <w:rsid w:val="00FD3A9B"/>
    <w:rsid w:val="00FD3B95"/>
    <w:rsid w:val="00FD3C63"/>
    <w:rsid w:val="00FD4237"/>
    <w:rsid w:val="00FD44CC"/>
    <w:rsid w:val="00FD486B"/>
    <w:rsid w:val="00FD4D85"/>
    <w:rsid w:val="00FD55C1"/>
    <w:rsid w:val="00FD5CD1"/>
    <w:rsid w:val="00FD5EAE"/>
    <w:rsid w:val="00FD6100"/>
    <w:rsid w:val="00FD61C2"/>
    <w:rsid w:val="00FD6887"/>
    <w:rsid w:val="00FD6D00"/>
    <w:rsid w:val="00FD7220"/>
    <w:rsid w:val="00FE05C7"/>
    <w:rsid w:val="00FE0D9D"/>
    <w:rsid w:val="00FE0F58"/>
    <w:rsid w:val="00FE12E4"/>
    <w:rsid w:val="00FE13D9"/>
    <w:rsid w:val="00FE1455"/>
    <w:rsid w:val="00FE16BB"/>
    <w:rsid w:val="00FE18D2"/>
    <w:rsid w:val="00FE1B18"/>
    <w:rsid w:val="00FE21E3"/>
    <w:rsid w:val="00FE233F"/>
    <w:rsid w:val="00FE3204"/>
    <w:rsid w:val="00FE324B"/>
    <w:rsid w:val="00FE32CA"/>
    <w:rsid w:val="00FE3337"/>
    <w:rsid w:val="00FE3360"/>
    <w:rsid w:val="00FE3AF2"/>
    <w:rsid w:val="00FE3CBD"/>
    <w:rsid w:val="00FE3ED7"/>
    <w:rsid w:val="00FE3EEF"/>
    <w:rsid w:val="00FE4272"/>
    <w:rsid w:val="00FE46E2"/>
    <w:rsid w:val="00FE4881"/>
    <w:rsid w:val="00FE4AB4"/>
    <w:rsid w:val="00FE4BDC"/>
    <w:rsid w:val="00FE4D64"/>
    <w:rsid w:val="00FE50EF"/>
    <w:rsid w:val="00FE587C"/>
    <w:rsid w:val="00FE5EB8"/>
    <w:rsid w:val="00FE5FC2"/>
    <w:rsid w:val="00FE65C4"/>
    <w:rsid w:val="00FE67B7"/>
    <w:rsid w:val="00FE7011"/>
    <w:rsid w:val="00FE724D"/>
    <w:rsid w:val="00FE75D9"/>
    <w:rsid w:val="00FE783A"/>
    <w:rsid w:val="00FF0149"/>
    <w:rsid w:val="00FF02D0"/>
    <w:rsid w:val="00FF0847"/>
    <w:rsid w:val="00FF0A1D"/>
    <w:rsid w:val="00FF0A32"/>
    <w:rsid w:val="00FF11F0"/>
    <w:rsid w:val="00FF13B8"/>
    <w:rsid w:val="00FF15C2"/>
    <w:rsid w:val="00FF16CD"/>
    <w:rsid w:val="00FF1F87"/>
    <w:rsid w:val="00FF221C"/>
    <w:rsid w:val="00FF2D1E"/>
    <w:rsid w:val="00FF2E19"/>
    <w:rsid w:val="00FF3542"/>
    <w:rsid w:val="00FF3A83"/>
    <w:rsid w:val="00FF3EF7"/>
    <w:rsid w:val="00FF4068"/>
    <w:rsid w:val="00FF43E2"/>
    <w:rsid w:val="00FF4737"/>
    <w:rsid w:val="00FF573D"/>
    <w:rsid w:val="00FF5ACA"/>
    <w:rsid w:val="00FF62AA"/>
    <w:rsid w:val="00FF6735"/>
    <w:rsid w:val="00FF7339"/>
    <w:rsid w:val="00FF7A6D"/>
    <w:rsid w:val="01126006"/>
    <w:rsid w:val="01173580"/>
    <w:rsid w:val="01545A05"/>
    <w:rsid w:val="016E2F6B"/>
    <w:rsid w:val="016F0A91"/>
    <w:rsid w:val="017D4F5C"/>
    <w:rsid w:val="01D50BEA"/>
    <w:rsid w:val="01E4322D"/>
    <w:rsid w:val="01F45F8E"/>
    <w:rsid w:val="021320BA"/>
    <w:rsid w:val="0213766F"/>
    <w:rsid w:val="02270BBA"/>
    <w:rsid w:val="0227311A"/>
    <w:rsid w:val="02637B16"/>
    <w:rsid w:val="02915C6D"/>
    <w:rsid w:val="02B27FD5"/>
    <w:rsid w:val="02BA628A"/>
    <w:rsid w:val="02C46BBB"/>
    <w:rsid w:val="02E54EBA"/>
    <w:rsid w:val="03187600"/>
    <w:rsid w:val="031D015D"/>
    <w:rsid w:val="033124A2"/>
    <w:rsid w:val="033A7250"/>
    <w:rsid w:val="03610F2C"/>
    <w:rsid w:val="03670640"/>
    <w:rsid w:val="03766107"/>
    <w:rsid w:val="03C82BD3"/>
    <w:rsid w:val="03C82D23"/>
    <w:rsid w:val="03D02F6F"/>
    <w:rsid w:val="03D937BB"/>
    <w:rsid w:val="03ED2018"/>
    <w:rsid w:val="03EE3926"/>
    <w:rsid w:val="03F833EC"/>
    <w:rsid w:val="040D33B1"/>
    <w:rsid w:val="041C2F61"/>
    <w:rsid w:val="04264FEF"/>
    <w:rsid w:val="043164D2"/>
    <w:rsid w:val="04376A14"/>
    <w:rsid w:val="04830F51"/>
    <w:rsid w:val="04B50EB1"/>
    <w:rsid w:val="04BF3ADE"/>
    <w:rsid w:val="04C065F9"/>
    <w:rsid w:val="04C86E7C"/>
    <w:rsid w:val="04D06A15"/>
    <w:rsid w:val="04D330E5"/>
    <w:rsid w:val="04E628CF"/>
    <w:rsid w:val="04EA70F5"/>
    <w:rsid w:val="0506545E"/>
    <w:rsid w:val="05187E84"/>
    <w:rsid w:val="055E6E53"/>
    <w:rsid w:val="05651E0A"/>
    <w:rsid w:val="057057EF"/>
    <w:rsid w:val="05812B41"/>
    <w:rsid w:val="05934FE6"/>
    <w:rsid w:val="05D7184A"/>
    <w:rsid w:val="05DD7609"/>
    <w:rsid w:val="05ED6429"/>
    <w:rsid w:val="05F403DA"/>
    <w:rsid w:val="060318FF"/>
    <w:rsid w:val="0623192A"/>
    <w:rsid w:val="06520414"/>
    <w:rsid w:val="06562220"/>
    <w:rsid w:val="066F15F8"/>
    <w:rsid w:val="06945BB0"/>
    <w:rsid w:val="069511B8"/>
    <w:rsid w:val="069A7F6E"/>
    <w:rsid w:val="06A34BD5"/>
    <w:rsid w:val="06CB34D9"/>
    <w:rsid w:val="06D575E9"/>
    <w:rsid w:val="06DA53E6"/>
    <w:rsid w:val="06DD464A"/>
    <w:rsid w:val="06EC66E0"/>
    <w:rsid w:val="06EE42D8"/>
    <w:rsid w:val="06F630EC"/>
    <w:rsid w:val="072C0793"/>
    <w:rsid w:val="07455D9F"/>
    <w:rsid w:val="074958E1"/>
    <w:rsid w:val="076F7226"/>
    <w:rsid w:val="07905468"/>
    <w:rsid w:val="07972AF0"/>
    <w:rsid w:val="07A71300"/>
    <w:rsid w:val="07C418F3"/>
    <w:rsid w:val="07C66F31"/>
    <w:rsid w:val="07D34E7F"/>
    <w:rsid w:val="07F914C1"/>
    <w:rsid w:val="080A0B4A"/>
    <w:rsid w:val="081859DF"/>
    <w:rsid w:val="08221E79"/>
    <w:rsid w:val="0864278D"/>
    <w:rsid w:val="086D0FF4"/>
    <w:rsid w:val="087E47FA"/>
    <w:rsid w:val="088E7A4F"/>
    <w:rsid w:val="08A32CC5"/>
    <w:rsid w:val="08B15E99"/>
    <w:rsid w:val="08C2364C"/>
    <w:rsid w:val="08DE5EFB"/>
    <w:rsid w:val="08E30C3E"/>
    <w:rsid w:val="08FC0E0B"/>
    <w:rsid w:val="091D0F96"/>
    <w:rsid w:val="09413606"/>
    <w:rsid w:val="0961258F"/>
    <w:rsid w:val="09820168"/>
    <w:rsid w:val="09B554AF"/>
    <w:rsid w:val="09DB4F16"/>
    <w:rsid w:val="09DF1880"/>
    <w:rsid w:val="09ED728D"/>
    <w:rsid w:val="09FA3227"/>
    <w:rsid w:val="0A321A8A"/>
    <w:rsid w:val="0A5F5B47"/>
    <w:rsid w:val="0A617D05"/>
    <w:rsid w:val="0A85420E"/>
    <w:rsid w:val="0A9379BC"/>
    <w:rsid w:val="0AC27E84"/>
    <w:rsid w:val="0AC92FC0"/>
    <w:rsid w:val="0ADB7197"/>
    <w:rsid w:val="0ADF27E4"/>
    <w:rsid w:val="0AF00F88"/>
    <w:rsid w:val="0AF86CE8"/>
    <w:rsid w:val="0AFB23DD"/>
    <w:rsid w:val="0B0070D7"/>
    <w:rsid w:val="0B220922"/>
    <w:rsid w:val="0B263EEE"/>
    <w:rsid w:val="0B273258"/>
    <w:rsid w:val="0B6B4077"/>
    <w:rsid w:val="0B6C7DF0"/>
    <w:rsid w:val="0B733C35"/>
    <w:rsid w:val="0B86102C"/>
    <w:rsid w:val="0BBC1C58"/>
    <w:rsid w:val="0BBC50B6"/>
    <w:rsid w:val="0BCF567D"/>
    <w:rsid w:val="0BD17868"/>
    <w:rsid w:val="0BDF5CC3"/>
    <w:rsid w:val="0BE95466"/>
    <w:rsid w:val="0BED34EF"/>
    <w:rsid w:val="0C023CAD"/>
    <w:rsid w:val="0C264F6F"/>
    <w:rsid w:val="0C287643"/>
    <w:rsid w:val="0C4306E3"/>
    <w:rsid w:val="0C4F39F3"/>
    <w:rsid w:val="0C521322"/>
    <w:rsid w:val="0C5965C6"/>
    <w:rsid w:val="0C65264A"/>
    <w:rsid w:val="0C9950B0"/>
    <w:rsid w:val="0CB678C5"/>
    <w:rsid w:val="0CC4187C"/>
    <w:rsid w:val="0CD30126"/>
    <w:rsid w:val="0CD87149"/>
    <w:rsid w:val="0CE10944"/>
    <w:rsid w:val="0CE41AC4"/>
    <w:rsid w:val="0CF9684B"/>
    <w:rsid w:val="0CFF0F1B"/>
    <w:rsid w:val="0D0658DB"/>
    <w:rsid w:val="0D087143"/>
    <w:rsid w:val="0D144DED"/>
    <w:rsid w:val="0D2A6AA9"/>
    <w:rsid w:val="0D4E3C51"/>
    <w:rsid w:val="0D555241"/>
    <w:rsid w:val="0D5A5784"/>
    <w:rsid w:val="0D70298D"/>
    <w:rsid w:val="0D9755F8"/>
    <w:rsid w:val="0DC46DBD"/>
    <w:rsid w:val="0DE10833"/>
    <w:rsid w:val="0DE620DB"/>
    <w:rsid w:val="0DEF71E2"/>
    <w:rsid w:val="0E031552"/>
    <w:rsid w:val="0E5B4877"/>
    <w:rsid w:val="0E5B5064"/>
    <w:rsid w:val="0E7B4E0C"/>
    <w:rsid w:val="0E874B54"/>
    <w:rsid w:val="0E947FA5"/>
    <w:rsid w:val="0E9A5FED"/>
    <w:rsid w:val="0EB01EC8"/>
    <w:rsid w:val="0EC16032"/>
    <w:rsid w:val="0EF44384"/>
    <w:rsid w:val="0F040A6B"/>
    <w:rsid w:val="0F1928AA"/>
    <w:rsid w:val="0F386966"/>
    <w:rsid w:val="0F4846A7"/>
    <w:rsid w:val="0F810B2E"/>
    <w:rsid w:val="0FA62D16"/>
    <w:rsid w:val="0FD61CDB"/>
    <w:rsid w:val="0FD7772F"/>
    <w:rsid w:val="0FEB2604"/>
    <w:rsid w:val="0FFA07FB"/>
    <w:rsid w:val="0FFD0FD3"/>
    <w:rsid w:val="100625C1"/>
    <w:rsid w:val="101A6008"/>
    <w:rsid w:val="10245B94"/>
    <w:rsid w:val="10260E0D"/>
    <w:rsid w:val="10593038"/>
    <w:rsid w:val="106B1438"/>
    <w:rsid w:val="107E7E11"/>
    <w:rsid w:val="10872A36"/>
    <w:rsid w:val="10B35E6E"/>
    <w:rsid w:val="10D80F50"/>
    <w:rsid w:val="10E072B6"/>
    <w:rsid w:val="113378F2"/>
    <w:rsid w:val="11392494"/>
    <w:rsid w:val="113D0264"/>
    <w:rsid w:val="11503DF3"/>
    <w:rsid w:val="115F642C"/>
    <w:rsid w:val="11877731"/>
    <w:rsid w:val="11A92EC9"/>
    <w:rsid w:val="11C83D23"/>
    <w:rsid w:val="11D658B4"/>
    <w:rsid w:val="11E315A8"/>
    <w:rsid w:val="11E472CB"/>
    <w:rsid w:val="11F31E3F"/>
    <w:rsid w:val="11FC76A1"/>
    <w:rsid w:val="12174F59"/>
    <w:rsid w:val="122820D5"/>
    <w:rsid w:val="12374CB3"/>
    <w:rsid w:val="1240492F"/>
    <w:rsid w:val="125B4F7A"/>
    <w:rsid w:val="128A74D9"/>
    <w:rsid w:val="129E2C96"/>
    <w:rsid w:val="12E73DFB"/>
    <w:rsid w:val="131905D7"/>
    <w:rsid w:val="13420CA5"/>
    <w:rsid w:val="136E0E55"/>
    <w:rsid w:val="13851EDA"/>
    <w:rsid w:val="13854989"/>
    <w:rsid w:val="13A31A96"/>
    <w:rsid w:val="13A91BE1"/>
    <w:rsid w:val="13E347D1"/>
    <w:rsid w:val="13F015BE"/>
    <w:rsid w:val="13FE0F5B"/>
    <w:rsid w:val="14022982"/>
    <w:rsid w:val="14047C06"/>
    <w:rsid w:val="14186D67"/>
    <w:rsid w:val="142A3B2F"/>
    <w:rsid w:val="14327A7E"/>
    <w:rsid w:val="14530591"/>
    <w:rsid w:val="145464E8"/>
    <w:rsid w:val="1455356B"/>
    <w:rsid w:val="146A097B"/>
    <w:rsid w:val="14991DAB"/>
    <w:rsid w:val="14AA3E63"/>
    <w:rsid w:val="14B2243D"/>
    <w:rsid w:val="14F37BA6"/>
    <w:rsid w:val="14F47D6F"/>
    <w:rsid w:val="15062A8A"/>
    <w:rsid w:val="15072C81"/>
    <w:rsid w:val="151B7829"/>
    <w:rsid w:val="15210EC9"/>
    <w:rsid w:val="15233C15"/>
    <w:rsid w:val="154716B1"/>
    <w:rsid w:val="15612146"/>
    <w:rsid w:val="15695A1E"/>
    <w:rsid w:val="156F54C4"/>
    <w:rsid w:val="15B87D80"/>
    <w:rsid w:val="15B967E3"/>
    <w:rsid w:val="15C842C3"/>
    <w:rsid w:val="15D935FF"/>
    <w:rsid w:val="15E67FD9"/>
    <w:rsid w:val="15E92FB9"/>
    <w:rsid w:val="15FC1526"/>
    <w:rsid w:val="16035AD5"/>
    <w:rsid w:val="1647748F"/>
    <w:rsid w:val="16491ECA"/>
    <w:rsid w:val="164B2B3A"/>
    <w:rsid w:val="166242C9"/>
    <w:rsid w:val="1666025D"/>
    <w:rsid w:val="16702135"/>
    <w:rsid w:val="169B437D"/>
    <w:rsid w:val="16AF39B2"/>
    <w:rsid w:val="16B11BE2"/>
    <w:rsid w:val="16C33AD6"/>
    <w:rsid w:val="16D1109A"/>
    <w:rsid w:val="17123744"/>
    <w:rsid w:val="172105E5"/>
    <w:rsid w:val="1727324C"/>
    <w:rsid w:val="175C0648"/>
    <w:rsid w:val="17626CD9"/>
    <w:rsid w:val="176B3C7B"/>
    <w:rsid w:val="178D1819"/>
    <w:rsid w:val="17B70751"/>
    <w:rsid w:val="17E20104"/>
    <w:rsid w:val="17FE5823"/>
    <w:rsid w:val="1831368C"/>
    <w:rsid w:val="18500EE4"/>
    <w:rsid w:val="18680A18"/>
    <w:rsid w:val="187F5287"/>
    <w:rsid w:val="18B740D4"/>
    <w:rsid w:val="18C474BD"/>
    <w:rsid w:val="18CF1CD4"/>
    <w:rsid w:val="18E316C5"/>
    <w:rsid w:val="18F263A1"/>
    <w:rsid w:val="18FD5FEA"/>
    <w:rsid w:val="19023C3F"/>
    <w:rsid w:val="19070EF4"/>
    <w:rsid w:val="190851ED"/>
    <w:rsid w:val="1936306F"/>
    <w:rsid w:val="194D26EB"/>
    <w:rsid w:val="196D36B1"/>
    <w:rsid w:val="196E0F0D"/>
    <w:rsid w:val="1990438D"/>
    <w:rsid w:val="19A80FFF"/>
    <w:rsid w:val="19BF00A5"/>
    <w:rsid w:val="19F14F8B"/>
    <w:rsid w:val="19F34F8A"/>
    <w:rsid w:val="1A115429"/>
    <w:rsid w:val="1A1324AA"/>
    <w:rsid w:val="1A295205"/>
    <w:rsid w:val="1A516B2E"/>
    <w:rsid w:val="1A540802"/>
    <w:rsid w:val="1A55584C"/>
    <w:rsid w:val="1A730EBF"/>
    <w:rsid w:val="1AA8097E"/>
    <w:rsid w:val="1AAD28D9"/>
    <w:rsid w:val="1AC41751"/>
    <w:rsid w:val="1AC54337"/>
    <w:rsid w:val="1AD53D1B"/>
    <w:rsid w:val="1ADE17B0"/>
    <w:rsid w:val="1AF0017E"/>
    <w:rsid w:val="1B1217BF"/>
    <w:rsid w:val="1B305B8B"/>
    <w:rsid w:val="1B376615"/>
    <w:rsid w:val="1B504F03"/>
    <w:rsid w:val="1B5542A6"/>
    <w:rsid w:val="1B561283"/>
    <w:rsid w:val="1B824363"/>
    <w:rsid w:val="1B8F3BD3"/>
    <w:rsid w:val="1BA27226"/>
    <w:rsid w:val="1BAF59D9"/>
    <w:rsid w:val="1BBA5E02"/>
    <w:rsid w:val="1BCD60BF"/>
    <w:rsid w:val="1BD821DE"/>
    <w:rsid w:val="1BE51C24"/>
    <w:rsid w:val="1BE52776"/>
    <w:rsid w:val="1BF81957"/>
    <w:rsid w:val="1BFE58F6"/>
    <w:rsid w:val="1C4D255D"/>
    <w:rsid w:val="1C626DD1"/>
    <w:rsid w:val="1C6D02B2"/>
    <w:rsid w:val="1C6D1620"/>
    <w:rsid w:val="1C9C6787"/>
    <w:rsid w:val="1CA31D8A"/>
    <w:rsid w:val="1CA857E9"/>
    <w:rsid w:val="1CAE2016"/>
    <w:rsid w:val="1CB660EE"/>
    <w:rsid w:val="1CBD494F"/>
    <w:rsid w:val="1CD46B68"/>
    <w:rsid w:val="1CDC46EC"/>
    <w:rsid w:val="1CE60B64"/>
    <w:rsid w:val="1D336867"/>
    <w:rsid w:val="1D433711"/>
    <w:rsid w:val="1D641CA1"/>
    <w:rsid w:val="1D932C66"/>
    <w:rsid w:val="1D9A110F"/>
    <w:rsid w:val="1DAA390F"/>
    <w:rsid w:val="1DB46794"/>
    <w:rsid w:val="1E135062"/>
    <w:rsid w:val="1E2A6014"/>
    <w:rsid w:val="1E3B67E6"/>
    <w:rsid w:val="1E4A5D6E"/>
    <w:rsid w:val="1E4D1528"/>
    <w:rsid w:val="1E560BB7"/>
    <w:rsid w:val="1E72658C"/>
    <w:rsid w:val="1E742DCF"/>
    <w:rsid w:val="1E892D3B"/>
    <w:rsid w:val="1E8D5D67"/>
    <w:rsid w:val="1EA313FE"/>
    <w:rsid w:val="1ECC0E79"/>
    <w:rsid w:val="1ED222D1"/>
    <w:rsid w:val="1EF31086"/>
    <w:rsid w:val="1F0C571A"/>
    <w:rsid w:val="1F2252F8"/>
    <w:rsid w:val="1F2C36C6"/>
    <w:rsid w:val="1F3226A5"/>
    <w:rsid w:val="1F3D3F65"/>
    <w:rsid w:val="1F692137"/>
    <w:rsid w:val="1FBB4FE0"/>
    <w:rsid w:val="1FC21E1F"/>
    <w:rsid w:val="1FF01306"/>
    <w:rsid w:val="2007660D"/>
    <w:rsid w:val="2014581B"/>
    <w:rsid w:val="20177874"/>
    <w:rsid w:val="20183E30"/>
    <w:rsid w:val="201900EE"/>
    <w:rsid w:val="202C0916"/>
    <w:rsid w:val="20754D83"/>
    <w:rsid w:val="20A44583"/>
    <w:rsid w:val="210E39CB"/>
    <w:rsid w:val="210E605A"/>
    <w:rsid w:val="21235C17"/>
    <w:rsid w:val="212925B3"/>
    <w:rsid w:val="213208D9"/>
    <w:rsid w:val="21627873"/>
    <w:rsid w:val="216C5CA2"/>
    <w:rsid w:val="21771959"/>
    <w:rsid w:val="217B0DF2"/>
    <w:rsid w:val="21A1039B"/>
    <w:rsid w:val="21E6657A"/>
    <w:rsid w:val="221B112F"/>
    <w:rsid w:val="222E1CEB"/>
    <w:rsid w:val="22901687"/>
    <w:rsid w:val="22904DF6"/>
    <w:rsid w:val="22AF151E"/>
    <w:rsid w:val="22B91715"/>
    <w:rsid w:val="231B417D"/>
    <w:rsid w:val="233B037C"/>
    <w:rsid w:val="23564222"/>
    <w:rsid w:val="23612324"/>
    <w:rsid w:val="2367242F"/>
    <w:rsid w:val="23693C53"/>
    <w:rsid w:val="237925CB"/>
    <w:rsid w:val="23B96153"/>
    <w:rsid w:val="23BA4908"/>
    <w:rsid w:val="23BF1667"/>
    <w:rsid w:val="23D0011B"/>
    <w:rsid w:val="23EF09C4"/>
    <w:rsid w:val="240A0880"/>
    <w:rsid w:val="240F3A8C"/>
    <w:rsid w:val="241D3927"/>
    <w:rsid w:val="24BB3FBB"/>
    <w:rsid w:val="24BE3B91"/>
    <w:rsid w:val="24D261F4"/>
    <w:rsid w:val="24EC4023"/>
    <w:rsid w:val="251037D6"/>
    <w:rsid w:val="251F7852"/>
    <w:rsid w:val="253A1061"/>
    <w:rsid w:val="253B4BE9"/>
    <w:rsid w:val="25490842"/>
    <w:rsid w:val="25875AFA"/>
    <w:rsid w:val="259453AB"/>
    <w:rsid w:val="25A97C7F"/>
    <w:rsid w:val="25AB4FC2"/>
    <w:rsid w:val="25B05051"/>
    <w:rsid w:val="25F64355"/>
    <w:rsid w:val="263B349C"/>
    <w:rsid w:val="264A4D61"/>
    <w:rsid w:val="264F4111"/>
    <w:rsid w:val="26657AED"/>
    <w:rsid w:val="266A1DA4"/>
    <w:rsid w:val="267918E7"/>
    <w:rsid w:val="26C45798"/>
    <w:rsid w:val="26D05C83"/>
    <w:rsid w:val="26F55915"/>
    <w:rsid w:val="270B6057"/>
    <w:rsid w:val="274A1260"/>
    <w:rsid w:val="277D34FA"/>
    <w:rsid w:val="278C7E6E"/>
    <w:rsid w:val="27C02A49"/>
    <w:rsid w:val="27D831E9"/>
    <w:rsid w:val="27DA00E8"/>
    <w:rsid w:val="27E773BD"/>
    <w:rsid w:val="27ED7391"/>
    <w:rsid w:val="27F751B9"/>
    <w:rsid w:val="280F7F64"/>
    <w:rsid w:val="28235FAE"/>
    <w:rsid w:val="283C21A6"/>
    <w:rsid w:val="283E3A00"/>
    <w:rsid w:val="28731DAD"/>
    <w:rsid w:val="2895052E"/>
    <w:rsid w:val="28A64559"/>
    <w:rsid w:val="28CD229B"/>
    <w:rsid w:val="28CE392E"/>
    <w:rsid w:val="28E55011"/>
    <w:rsid w:val="28E64D1F"/>
    <w:rsid w:val="29283150"/>
    <w:rsid w:val="2936142F"/>
    <w:rsid w:val="29462D1C"/>
    <w:rsid w:val="29513DD1"/>
    <w:rsid w:val="29593CA6"/>
    <w:rsid w:val="296817A8"/>
    <w:rsid w:val="29706E93"/>
    <w:rsid w:val="2987256D"/>
    <w:rsid w:val="29A51F1F"/>
    <w:rsid w:val="29FD133A"/>
    <w:rsid w:val="29FF65A7"/>
    <w:rsid w:val="2A047719"/>
    <w:rsid w:val="2A115DED"/>
    <w:rsid w:val="2A312FCF"/>
    <w:rsid w:val="2A55388F"/>
    <w:rsid w:val="2A555543"/>
    <w:rsid w:val="2A5A1B61"/>
    <w:rsid w:val="2A8B1244"/>
    <w:rsid w:val="2AA76B3A"/>
    <w:rsid w:val="2ABA0D85"/>
    <w:rsid w:val="2ABC7FF4"/>
    <w:rsid w:val="2AC24617"/>
    <w:rsid w:val="2AD85E59"/>
    <w:rsid w:val="2B157D3C"/>
    <w:rsid w:val="2B626DED"/>
    <w:rsid w:val="2B9D6077"/>
    <w:rsid w:val="2BE12657"/>
    <w:rsid w:val="2BEB65B9"/>
    <w:rsid w:val="2C257A56"/>
    <w:rsid w:val="2C3F2C8B"/>
    <w:rsid w:val="2C56399C"/>
    <w:rsid w:val="2C7F154B"/>
    <w:rsid w:val="2C99111C"/>
    <w:rsid w:val="2CA636A6"/>
    <w:rsid w:val="2CAC0522"/>
    <w:rsid w:val="2CBD5217"/>
    <w:rsid w:val="2CD3683F"/>
    <w:rsid w:val="2CF717B7"/>
    <w:rsid w:val="2D046FFD"/>
    <w:rsid w:val="2D125EDD"/>
    <w:rsid w:val="2D173BB4"/>
    <w:rsid w:val="2D24241D"/>
    <w:rsid w:val="2D3A4EB3"/>
    <w:rsid w:val="2D747312"/>
    <w:rsid w:val="2DA2119A"/>
    <w:rsid w:val="2DD45EF1"/>
    <w:rsid w:val="2DE5399D"/>
    <w:rsid w:val="2DE65D89"/>
    <w:rsid w:val="2E1903EA"/>
    <w:rsid w:val="2E1B32BC"/>
    <w:rsid w:val="2E2C5500"/>
    <w:rsid w:val="2E375D15"/>
    <w:rsid w:val="2E5C13CF"/>
    <w:rsid w:val="2E6D0C73"/>
    <w:rsid w:val="2E867639"/>
    <w:rsid w:val="2EB240B9"/>
    <w:rsid w:val="2EB322DB"/>
    <w:rsid w:val="2ECD6923"/>
    <w:rsid w:val="2ED477BA"/>
    <w:rsid w:val="2EE51891"/>
    <w:rsid w:val="2F0F5DB1"/>
    <w:rsid w:val="2F236521"/>
    <w:rsid w:val="2F2A5E74"/>
    <w:rsid w:val="2F2E2083"/>
    <w:rsid w:val="2F5248B3"/>
    <w:rsid w:val="2F7A0DB2"/>
    <w:rsid w:val="2F7D69ED"/>
    <w:rsid w:val="2F8436FB"/>
    <w:rsid w:val="2F99666D"/>
    <w:rsid w:val="2FAE1074"/>
    <w:rsid w:val="2FB1675F"/>
    <w:rsid w:val="30314FE0"/>
    <w:rsid w:val="309D4424"/>
    <w:rsid w:val="30B8125D"/>
    <w:rsid w:val="30CA4587"/>
    <w:rsid w:val="30D04658"/>
    <w:rsid w:val="30D35E4E"/>
    <w:rsid w:val="311934D9"/>
    <w:rsid w:val="31295CB7"/>
    <w:rsid w:val="312E6D89"/>
    <w:rsid w:val="31480833"/>
    <w:rsid w:val="316D7E97"/>
    <w:rsid w:val="319B4CE8"/>
    <w:rsid w:val="319F7C45"/>
    <w:rsid w:val="31AB491E"/>
    <w:rsid w:val="31CA62EC"/>
    <w:rsid w:val="31D64091"/>
    <w:rsid w:val="31DC0F7C"/>
    <w:rsid w:val="31E670E3"/>
    <w:rsid w:val="31F369F1"/>
    <w:rsid w:val="31FE5B48"/>
    <w:rsid w:val="321315A4"/>
    <w:rsid w:val="323A1F1F"/>
    <w:rsid w:val="323F039F"/>
    <w:rsid w:val="324A67B5"/>
    <w:rsid w:val="32562ADC"/>
    <w:rsid w:val="3258288E"/>
    <w:rsid w:val="325D388A"/>
    <w:rsid w:val="326C2A64"/>
    <w:rsid w:val="328475D5"/>
    <w:rsid w:val="32AE2C9A"/>
    <w:rsid w:val="32C8596D"/>
    <w:rsid w:val="32D07D0D"/>
    <w:rsid w:val="32D83E39"/>
    <w:rsid w:val="32F40CF1"/>
    <w:rsid w:val="332B5EF8"/>
    <w:rsid w:val="333D48D8"/>
    <w:rsid w:val="335D7E9A"/>
    <w:rsid w:val="33E002C7"/>
    <w:rsid w:val="33F60175"/>
    <w:rsid w:val="340A6274"/>
    <w:rsid w:val="340C35FE"/>
    <w:rsid w:val="341D5FA7"/>
    <w:rsid w:val="342C2B78"/>
    <w:rsid w:val="34311A53"/>
    <w:rsid w:val="345179FF"/>
    <w:rsid w:val="345832FE"/>
    <w:rsid w:val="34596038"/>
    <w:rsid w:val="346B4A51"/>
    <w:rsid w:val="34CA77B0"/>
    <w:rsid w:val="34DF14AF"/>
    <w:rsid w:val="34EC4202"/>
    <w:rsid w:val="35295617"/>
    <w:rsid w:val="353319EB"/>
    <w:rsid w:val="35373099"/>
    <w:rsid w:val="35423150"/>
    <w:rsid w:val="35496928"/>
    <w:rsid w:val="35571045"/>
    <w:rsid w:val="35700359"/>
    <w:rsid w:val="357512FC"/>
    <w:rsid w:val="357F67EE"/>
    <w:rsid w:val="358B0CEF"/>
    <w:rsid w:val="358E7A14"/>
    <w:rsid w:val="35AE27C7"/>
    <w:rsid w:val="35BB0C3B"/>
    <w:rsid w:val="35E30B2B"/>
    <w:rsid w:val="35F965A0"/>
    <w:rsid w:val="36151CDB"/>
    <w:rsid w:val="361A3F9A"/>
    <w:rsid w:val="36230256"/>
    <w:rsid w:val="36472469"/>
    <w:rsid w:val="36932551"/>
    <w:rsid w:val="36934FB7"/>
    <w:rsid w:val="36AE0BF4"/>
    <w:rsid w:val="36D16087"/>
    <w:rsid w:val="37006EE5"/>
    <w:rsid w:val="370451FC"/>
    <w:rsid w:val="370C621D"/>
    <w:rsid w:val="371B2546"/>
    <w:rsid w:val="37255709"/>
    <w:rsid w:val="372E25D9"/>
    <w:rsid w:val="37525DED"/>
    <w:rsid w:val="379419BE"/>
    <w:rsid w:val="37954C63"/>
    <w:rsid w:val="37B17D16"/>
    <w:rsid w:val="37E97401"/>
    <w:rsid w:val="37EF7C5B"/>
    <w:rsid w:val="37F27B20"/>
    <w:rsid w:val="38464CE3"/>
    <w:rsid w:val="384E1B83"/>
    <w:rsid w:val="38550781"/>
    <w:rsid w:val="38673C95"/>
    <w:rsid w:val="38777D66"/>
    <w:rsid w:val="38886419"/>
    <w:rsid w:val="388F0AF6"/>
    <w:rsid w:val="38AF1C1F"/>
    <w:rsid w:val="38B8682A"/>
    <w:rsid w:val="390E4110"/>
    <w:rsid w:val="393263B1"/>
    <w:rsid w:val="39335B19"/>
    <w:rsid w:val="39494A8F"/>
    <w:rsid w:val="394A3A4C"/>
    <w:rsid w:val="395946D7"/>
    <w:rsid w:val="395D7024"/>
    <w:rsid w:val="397D3689"/>
    <w:rsid w:val="39A13C17"/>
    <w:rsid w:val="39B0341A"/>
    <w:rsid w:val="39B85834"/>
    <w:rsid w:val="39C863C5"/>
    <w:rsid w:val="39DE7F87"/>
    <w:rsid w:val="39E11825"/>
    <w:rsid w:val="39E9751C"/>
    <w:rsid w:val="3A0B7872"/>
    <w:rsid w:val="3A0D3154"/>
    <w:rsid w:val="3A0D6807"/>
    <w:rsid w:val="3A107ECD"/>
    <w:rsid w:val="3A1C6750"/>
    <w:rsid w:val="3A20597D"/>
    <w:rsid w:val="3A411181"/>
    <w:rsid w:val="3A472C3F"/>
    <w:rsid w:val="3A530CD5"/>
    <w:rsid w:val="3A5465A0"/>
    <w:rsid w:val="3A585010"/>
    <w:rsid w:val="3A6115F9"/>
    <w:rsid w:val="3A6164C2"/>
    <w:rsid w:val="3A633750"/>
    <w:rsid w:val="3A7D4D60"/>
    <w:rsid w:val="3A817318"/>
    <w:rsid w:val="3A9643BE"/>
    <w:rsid w:val="3AAF36D1"/>
    <w:rsid w:val="3ACD14F7"/>
    <w:rsid w:val="3AD67DFA"/>
    <w:rsid w:val="3AEA6D99"/>
    <w:rsid w:val="3AEB16A0"/>
    <w:rsid w:val="3B684DD4"/>
    <w:rsid w:val="3B6B2C3E"/>
    <w:rsid w:val="3B6E5C52"/>
    <w:rsid w:val="3C026A6E"/>
    <w:rsid w:val="3C3C1319"/>
    <w:rsid w:val="3C4936B2"/>
    <w:rsid w:val="3C6F136A"/>
    <w:rsid w:val="3CB46D7D"/>
    <w:rsid w:val="3CD2421C"/>
    <w:rsid w:val="3CD30387"/>
    <w:rsid w:val="3CD97E1E"/>
    <w:rsid w:val="3CE050A9"/>
    <w:rsid w:val="3CF8437E"/>
    <w:rsid w:val="3D1309D6"/>
    <w:rsid w:val="3D140908"/>
    <w:rsid w:val="3D5757BB"/>
    <w:rsid w:val="3D616B11"/>
    <w:rsid w:val="3D793B23"/>
    <w:rsid w:val="3D7A10A1"/>
    <w:rsid w:val="3DF8538F"/>
    <w:rsid w:val="3E2972F7"/>
    <w:rsid w:val="3E532F7B"/>
    <w:rsid w:val="3E5C76CC"/>
    <w:rsid w:val="3E8C38DF"/>
    <w:rsid w:val="3EB56DDC"/>
    <w:rsid w:val="3EBD7E84"/>
    <w:rsid w:val="3EC02485"/>
    <w:rsid w:val="3EEF6792"/>
    <w:rsid w:val="3F0E002A"/>
    <w:rsid w:val="3F337284"/>
    <w:rsid w:val="3F4516BE"/>
    <w:rsid w:val="3F561D6A"/>
    <w:rsid w:val="3F563B2C"/>
    <w:rsid w:val="3F5C54AA"/>
    <w:rsid w:val="3FCE31B2"/>
    <w:rsid w:val="3FD44BBA"/>
    <w:rsid w:val="3FFA1F34"/>
    <w:rsid w:val="40382A31"/>
    <w:rsid w:val="40553B28"/>
    <w:rsid w:val="40642A51"/>
    <w:rsid w:val="406438FC"/>
    <w:rsid w:val="40646CCE"/>
    <w:rsid w:val="406821E7"/>
    <w:rsid w:val="40934312"/>
    <w:rsid w:val="409F073B"/>
    <w:rsid w:val="40F41A02"/>
    <w:rsid w:val="411A2C84"/>
    <w:rsid w:val="41376F4E"/>
    <w:rsid w:val="41474664"/>
    <w:rsid w:val="417B430D"/>
    <w:rsid w:val="41A7723F"/>
    <w:rsid w:val="41AB02E1"/>
    <w:rsid w:val="41AB5B19"/>
    <w:rsid w:val="41B84706"/>
    <w:rsid w:val="41C344C7"/>
    <w:rsid w:val="41D5369D"/>
    <w:rsid w:val="41D84F7A"/>
    <w:rsid w:val="41F1278C"/>
    <w:rsid w:val="421B5660"/>
    <w:rsid w:val="42443737"/>
    <w:rsid w:val="42840BB2"/>
    <w:rsid w:val="42864D18"/>
    <w:rsid w:val="4292190E"/>
    <w:rsid w:val="42A81110"/>
    <w:rsid w:val="42D02437"/>
    <w:rsid w:val="42D75573"/>
    <w:rsid w:val="42DE4B54"/>
    <w:rsid w:val="42F53905"/>
    <w:rsid w:val="42FD1BA6"/>
    <w:rsid w:val="43010842"/>
    <w:rsid w:val="4309287C"/>
    <w:rsid w:val="431E13F4"/>
    <w:rsid w:val="432078D0"/>
    <w:rsid w:val="434150E2"/>
    <w:rsid w:val="437241AB"/>
    <w:rsid w:val="43CA557A"/>
    <w:rsid w:val="43CB6BC6"/>
    <w:rsid w:val="43E6296A"/>
    <w:rsid w:val="440C39F3"/>
    <w:rsid w:val="440E7A89"/>
    <w:rsid w:val="441824C4"/>
    <w:rsid w:val="44290810"/>
    <w:rsid w:val="445722FF"/>
    <w:rsid w:val="446A2417"/>
    <w:rsid w:val="449C6A74"/>
    <w:rsid w:val="44D65F54"/>
    <w:rsid w:val="44DD0E3B"/>
    <w:rsid w:val="4508410A"/>
    <w:rsid w:val="451E2E00"/>
    <w:rsid w:val="454D4504"/>
    <w:rsid w:val="4583064A"/>
    <w:rsid w:val="45832540"/>
    <w:rsid w:val="45AA3413"/>
    <w:rsid w:val="45AC45CA"/>
    <w:rsid w:val="45B95404"/>
    <w:rsid w:val="45E843E1"/>
    <w:rsid w:val="463346E3"/>
    <w:rsid w:val="46353FDE"/>
    <w:rsid w:val="4642189D"/>
    <w:rsid w:val="46601D24"/>
    <w:rsid w:val="46790563"/>
    <w:rsid w:val="46A17920"/>
    <w:rsid w:val="46A9160D"/>
    <w:rsid w:val="46BE484A"/>
    <w:rsid w:val="46C71DA3"/>
    <w:rsid w:val="46CD560B"/>
    <w:rsid w:val="47003FED"/>
    <w:rsid w:val="470F59B6"/>
    <w:rsid w:val="472877B5"/>
    <w:rsid w:val="47430ED8"/>
    <w:rsid w:val="478B2318"/>
    <w:rsid w:val="47901FA0"/>
    <w:rsid w:val="47946129"/>
    <w:rsid w:val="47A31EE1"/>
    <w:rsid w:val="47C00CCC"/>
    <w:rsid w:val="47D2609A"/>
    <w:rsid w:val="47DC5F3F"/>
    <w:rsid w:val="47EC1AC1"/>
    <w:rsid w:val="4800731A"/>
    <w:rsid w:val="480D1A37"/>
    <w:rsid w:val="48296FFE"/>
    <w:rsid w:val="48523EE0"/>
    <w:rsid w:val="48630B93"/>
    <w:rsid w:val="48711FC6"/>
    <w:rsid w:val="48855CA8"/>
    <w:rsid w:val="48874A82"/>
    <w:rsid w:val="48C81F37"/>
    <w:rsid w:val="48D028AD"/>
    <w:rsid w:val="48F20019"/>
    <w:rsid w:val="48F6483B"/>
    <w:rsid w:val="48FC108D"/>
    <w:rsid w:val="49093020"/>
    <w:rsid w:val="492649E6"/>
    <w:rsid w:val="49540F81"/>
    <w:rsid w:val="49631627"/>
    <w:rsid w:val="496B2EB9"/>
    <w:rsid w:val="497201E9"/>
    <w:rsid w:val="49811327"/>
    <w:rsid w:val="4989182E"/>
    <w:rsid w:val="49942410"/>
    <w:rsid w:val="49B06B1E"/>
    <w:rsid w:val="49E1311F"/>
    <w:rsid w:val="4A2B6EBA"/>
    <w:rsid w:val="4A4134CA"/>
    <w:rsid w:val="4AA672AB"/>
    <w:rsid w:val="4AA92BAD"/>
    <w:rsid w:val="4ABB1C1E"/>
    <w:rsid w:val="4ABD5996"/>
    <w:rsid w:val="4ACE1952"/>
    <w:rsid w:val="4AF33166"/>
    <w:rsid w:val="4B040BCE"/>
    <w:rsid w:val="4B044C6D"/>
    <w:rsid w:val="4B3A5E0C"/>
    <w:rsid w:val="4B6422B6"/>
    <w:rsid w:val="4B700C5B"/>
    <w:rsid w:val="4B983D0E"/>
    <w:rsid w:val="4BAD77B9"/>
    <w:rsid w:val="4BBC2510"/>
    <w:rsid w:val="4BF14671"/>
    <w:rsid w:val="4BF838F0"/>
    <w:rsid w:val="4C0D7BC1"/>
    <w:rsid w:val="4C2671EE"/>
    <w:rsid w:val="4C344ADE"/>
    <w:rsid w:val="4C5E0AB3"/>
    <w:rsid w:val="4C63431C"/>
    <w:rsid w:val="4C674AF5"/>
    <w:rsid w:val="4C785AEC"/>
    <w:rsid w:val="4C801C99"/>
    <w:rsid w:val="4C9963B1"/>
    <w:rsid w:val="4CA268B2"/>
    <w:rsid w:val="4CAE1A3B"/>
    <w:rsid w:val="4CB22BAD"/>
    <w:rsid w:val="4CDF7E46"/>
    <w:rsid w:val="4D113D78"/>
    <w:rsid w:val="4D296C8B"/>
    <w:rsid w:val="4D2A7765"/>
    <w:rsid w:val="4D3A636A"/>
    <w:rsid w:val="4D477799"/>
    <w:rsid w:val="4D4D55E1"/>
    <w:rsid w:val="4D717E99"/>
    <w:rsid w:val="4DA8648A"/>
    <w:rsid w:val="4DAA609E"/>
    <w:rsid w:val="4DE77720"/>
    <w:rsid w:val="4DFF5E96"/>
    <w:rsid w:val="4E3917D8"/>
    <w:rsid w:val="4E6D5C92"/>
    <w:rsid w:val="4E777241"/>
    <w:rsid w:val="4E8439AA"/>
    <w:rsid w:val="4EB22C16"/>
    <w:rsid w:val="4EB6044B"/>
    <w:rsid w:val="4EE0526A"/>
    <w:rsid w:val="4EE63723"/>
    <w:rsid w:val="4EF2258E"/>
    <w:rsid w:val="4EF70D4B"/>
    <w:rsid w:val="4F037CE6"/>
    <w:rsid w:val="4F2A2ECF"/>
    <w:rsid w:val="4F3623C0"/>
    <w:rsid w:val="4F533937"/>
    <w:rsid w:val="4F876573"/>
    <w:rsid w:val="4F9F566B"/>
    <w:rsid w:val="4FD863CB"/>
    <w:rsid w:val="4FE95BF3"/>
    <w:rsid w:val="4FFF25AD"/>
    <w:rsid w:val="50245AB2"/>
    <w:rsid w:val="5039456D"/>
    <w:rsid w:val="504827CD"/>
    <w:rsid w:val="504B73AF"/>
    <w:rsid w:val="5078245B"/>
    <w:rsid w:val="5095081C"/>
    <w:rsid w:val="50A0169A"/>
    <w:rsid w:val="50BC463C"/>
    <w:rsid w:val="50D16F41"/>
    <w:rsid w:val="50D80069"/>
    <w:rsid w:val="50F32112"/>
    <w:rsid w:val="50F62551"/>
    <w:rsid w:val="51066BED"/>
    <w:rsid w:val="510800FB"/>
    <w:rsid w:val="510C31D4"/>
    <w:rsid w:val="510C6D30"/>
    <w:rsid w:val="5147420C"/>
    <w:rsid w:val="51692847"/>
    <w:rsid w:val="51730B5D"/>
    <w:rsid w:val="51747D8B"/>
    <w:rsid w:val="51944F28"/>
    <w:rsid w:val="51B65558"/>
    <w:rsid w:val="51C95B83"/>
    <w:rsid w:val="51D3735B"/>
    <w:rsid w:val="52133EE5"/>
    <w:rsid w:val="525B2A6E"/>
    <w:rsid w:val="525C6A33"/>
    <w:rsid w:val="526A6B2C"/>
    <w:rsid w:val="52740EA5"/>
    <w:rsid w:val="52834FC6"/>
    <w:rsid w:val="528B0128"/>
    <w:rsid w:val="528D20F2"/>
    <w:rsid w:val="529E1C09"/>
    <w:rsid w:val="529E31D6"/>
    <w:rsid w:val="52DE59B0"/>
    <w:rsid w:val="52E141EC"/>
    <w:rsid w:val="52E3603E"/>
    <w:rsid w:val="53015439"/>
    <w:rsid w:val="531719BC"/>
    <w:rsid w:val="532115E0"/>
    <w:rsid w:val="53272ECA"/>
    <w:rsid w:val="532C190B"/>
    <w:rsid w:val="532F73AB"/>
    <w:rsid w:val="534E16B6"/>
    <w:rsid w:val="53720EEF"/>
    <w:rsid w:val="5382777D"/>
    <w:rsid w:val="53990F29"/>
    <w:rsid w:val="539D0113"/>
    <w:rsid w:val="539E448C"/>
    <w:rsid w:val="53AF0278"/>
    <w:rsid w:val="53B11E10"/>
    <w:rsid w:val="53BD1C3B"/>
    <w:rsid w:val="53C36CC0"/>
    <w:rsid w:val="53CF659D"/>
    <w:rsid w:val="53D224B3"/>
    <w:rsid w:val="53D40921"/>
    <w:rsid w:val="53DA3991"/>
    <w:rsid w:val="53DD0E57"/>
    <w:rsid w:val="53E15B63"/>
    <w:rsid w:val="53F879A9"/>
    <w:rsid w:val="54085ED4"/>
    <w:rsid w:val="54161C73"/>
    <w:rsid w:val="542E5629"/>
    <w:rsid w:val="54573126"/>
    <w:rsid w:val="54DA0EF3"/>
    <w:rsid w:val="54E3424B"/>
    <w:rsid w:val="54ED461E"/>
    <w:rsid w:val="550D30D8"/>
    <w:rsid w:val="55235C9A"/>
    <w:rsid w:val="552870FF"/>
    <w:rsid w:val="5540169E"/>
    <w:rsid w:val="554F71C1"/>
    <w:rsid w:val="555D0D72"/>
    <w:rsid w:val="55860D2F"/>
    <w:rsid w:val="5588372C"/>
    <w:rsid w:val="55A75279"/>
    <w:rsid w:val="55B52B33"/>
    <w:rsid w:val="55B55BE8"/>
    <w:rsid w:val="55BB4AA0"/>
    <w:rsid w:val="55CF657E"/>
    <w:rsid w:val="55E77D6B"/>
    <w:rsid w:val="561F4E5F"/>
    <w:rsid w:val="56456458"/>
    <w:rsid w:val="565C5478"/>
    <w:rsid w:val="565D3B8A"/>
    <w:rsid w:val="5666411A"/>
    <w:rsid w:val="567C24C2"/>
    <w:rsid w:val="567C4958"/>
    <w:rsid w:val="568B06F7"/>
    <w:rsid w:val="569C0B56"/>
    <w:rsid w:val="56B7773E"/>
    <w:rsid w:val="56D166B7"/>
    <w:rsid w:val="56DE6238"/>
    <w:rsid w:val="570A1F63"/>
    <w:rsid w:val="57176A32"/>
    <w:rsid w:val="574735C8"/>
    <w:rsid w:val="5779209E"/>
    <w:rsid w:val="577A0A3B"/>
    <w:rsid w:val="577F7920"/>
    <w:rsid w:val="57CC7219"/>
    <w:rsid w:val="57DF19CD"/>
    <w:rsid w:val="57EB6DC4"/>
    <w:rsid w:val="5806097D"/>
    <w:rsid w:val="58232979"/>
    <w:rsid w:val="582A3F3F"/>
    <w:rsid w:val="582C206C"/>
    <w:rsid w:val="583B266F"/>
    <w:rsid w:val="58676F42"/>
    <w:rsid w:val="58724BEF"/>
    <w:rsid w:val="587718BC"/>
    <w:rsid w:val="587C5728"/>
    <w:rsid w:val="588B70D4"/>
    <w:rsid w:val="588C363C"/>
    <w:rsid w:val="58956745"/>
    <w:rsid w:val="58B46EF4"/>
    <w:rsid w:val="58D5034F"/>
    <w:rsid w:val="5903310E"/>
    <w:rsid w:val="590F1DE0"/>
    <w:rsid w:val="593D2A10"/>
    <w:rsid w:val="59500035"/>
    <w:rsid w:val="59576A75"/>
    <w:rsid w:val="59A3075C"/>
    <w:rsid w:val="59B34546"/>
    <w:rsid w:val="59BB2A5F"/>
    <w:rsid w:val="59C53F20"/>
    <w:rsid w:val="59CC3500"/>
    <w:rsid w:val="59D8289C"/>
    <w:rsid w:val="59F858B7"/>
    <w:rsid w:val="5A010410"/>
    <w:rsid w:val="5A0B241A"/>
    <w:rsid w:val="5A397B5D"/>
    <w:rsid w:val="5A645E9B"/>
    <w:rsid w:val="5A65147D"/>
    <w:rsid w:val="5A7647F9"/>
    <w:rsid w:val="5A7A7400"/>
    <w:rsid w:val="5A932EA3"/>
    <w:rsid w:val="5AB80C75"/>
    <w:rsid w:val="5AE8436A"/>
    <w:rsid w:val="5B046CCA"/>
    <w:rsid w:val="5B2A13BE"/>
    <w:rsid w:val="5B4F6F4F"/>
    <w:rsid w:val="5B595710"/>
    <w:rsid w:val="5B9B6B92"/>
    <w:rsid w:val="5BBD50F5"/>
    <w:rsid w:val="5BBE700A"/>
    <w:rsid w:val="5BBF0F6C"/>
    <w:rsid w:val="5C182E73"/>
    <w:rsid w:val="5C4516B9"/>
    <w:rsid w:val="5C627008"/>
    <w:rsid w:val="5C6B6A9A"/>
    <w:rsid w:val="5C6F33E1"/>
    <w:rsid w:val="5C78171D"/>
    <w:rsid w:val="5C804CB1"/>
    <w:rsid w:val="5C87454D"/>
    <w:rsid w:val="5CAC13C7"/>
    <w:rsid w:val="5CCD7CBB"/>
    <w:rsid w:val="5CF14831"/>
    <w:rsid w:val="5D2278CA"/>
    <w:rsid w:val="5D4B0A58"/>
    <w:rsid w:val="5D4E54F2"/>
    <w:rsid w:val="5D52277E"/>
    <w:rsid w:val="5D9E1F64"/>
    <w:rsid w:val="5DAD53F7"/>
    <w:rsid w:val="5DB744C7"/>
    <w:rsid w:val="5DEF1EB3"/>
    <w:rsid w:val="5E0F60B1"/>
    <w:rsid w:val="5E541D16"/>
    <w:rsid w:val="5E736640"/>
    <w:rsid w:val="5E9924EA"/>
    <w:rsid w:val="5ECE25C2"/>
    <w:rsid w:val="5F04373C"/>
    <w:rsid w:val="5F1612D7"/>
    <w:rsid w:val="5F2142EE"/>
    <w:rsid w:val="5F4B4EC7"/>
    <w:rsid w:val="5F4F6A72"/>
    <w:rsid w:val="5F5E109E"/>
    <w:rsid w:val="5F7B5BFD"/>
    <w:rsid w:val="5F8A3671"/>
    <w:rsid w:val="5FA16C3A"/>
    <w:rsid w:val="5FAA6092"/>
    <w:rsid w:val="5FAB005C"/>
    <w:rsid w:val="5FCE1BEA"/>
    <w:rsid w:val="5FD03965"/>
    <w:rsid w:val="5FEA0822"/>
    <w:rsid w:val="60064E01"/>
    <w:rsid w:val="600B4656"/>
    <w:rsid w:val="601F74E0"/>
    <w:rsid w:val="602A6971"/>
    <w:rsid w:val="60405D7E"/>
    <w:rsid w:val="604751DF"/>
    <w:rsid w:val="604A0FC0"/>
    <w:rsid w:val="60644B5D"/>
    <w:rsid w:val="6087664D"/>
    <w:rsid w:val="60A04A0D"/>
    <w:rsid w:val="60A07206"/>
    <w:rsid w:val="60F4333C"/>
    <w:rsid w:val="610A4BFD"/>
    <w:rsid w:val="612E51CF"/>
    <w:rsid w:val="614D34F3"/>
    <w:rsid w:val="619D53DB"/>
    <w:rsid w:val="61A22D98"/>
    <w:rsid w:val="61D16666"/>
    <w:rsid w:val="62061579"/>
    <w:rsid w:val="624578F3"/>
    <w:rsid w:val="625839A2"/>
    <w:rsid w:val="62614F4F"/>
    <w:rsid w:val="62682E07"/>
    <w:rsid w:val="626E2769"/>
    <w:rsid w:val="6277440B"/>
    <w:rsid w:val="62964807"/>
    <w:rsid w:val="62AC466C"/>
    <w:rsid w:val="62B6660B"/>
    <w:rsid w:val="62C858F1"/>
    <w:rsid w:val="62E55DBC"/>
    <w:rsid w:val="62F47422"/>
    <w:rsid w:val="63294227"/>
    <w:rsid w:val="633A40A5"/>
    <w:rsid w:val="637C107C"/>
    <w:rsid w:val="63BD59EB"/>
    <w:rsid w:val="63D14E23"/>
    <w:rsid w:val="63E23AAC"/>
    <w:rsid w:val="63F55D49"/>
    <w:rsid w:val="63FE4BFE"/>
    <w:rsid w:val="640C742A"/>
    <w:rsid w:val="640D5A76"/>
    <w:rsid w:val="641562CE"/>
    <w:rsid w:val="64267CB1"/>
    <w:rsid w:val="64293EA6"/>
    <w:rsid w:val="64487926"/>
    <w:rsid w:val="6457367D"/>
    <w:rsid w:val="647B034D"/>
    <w:rsid w:val="64AC3CF5"/>
    <w:rsid w:val="64AD2710"/>
    <w:rsid w:val="64AE12A5"/>
    <w:rsid w:val="64B67070"/>
    <w:rsid w:val="64FF62E8"/>
    <w:rsid w:val="65567FD8"/>
    <w:rsid w:val="656F0784"/>
    <w:rsid w:val="657368CF"/>
    <w:rsid w:val="65960E66"/>
    <w:rsid w:val="65AF6E2F"/>
    <w:rsid w:val="65B25723"/>
    <w:rsid w:val="65C652B7"/>
    <w:rsid w:val="65C728A2"/>
    <w:rsid w:val="65D36D29"/>
    <w:rsid w:val="65FF6A0B"/>
    <w:rsid w:val="66021F9F"/>
    <w:rsid w:val="66262502"/>
    <w:rsid w:val="665D3519"/>
    <w:rsid w:val="66C13CC1"/>
    <w:rsid w:val="66E14363"/>
    <w:rsid w:val="66F61BBC"/>
    <w:rsid w:val="671035E0"/>
    <w:rsid w:val="672B755E"/>
    <w:rsid w:val="67476ABC"/>
    <w:rsid w:val="674A524D"/>
    <w:rsid w:val="677B204E"/>
    <w:rsid w:val="67B87F46"/>
    <w:rsid w:val="67C33BFF"/>
    <w:rsid w:val="67C73559"/>
    <w:rsid w:val="67E138F2"/>
    <w:rsid w:val="67E94DF6"/>
    <w:rsid w:val="67F2337B"/>
    <w:rsid w:val="68312796"/>
    <w:rsid w:val="68711870"/>
    <w:rsid w:val="68AA7102"/>
    <w:rsid w:val="68D810BA"/>
    <w:rsid w:val="68DE4FFE"/>
    <w:rsid w:val="68F93C31"/>
    <w:rsid w:val="68FD727D"/>
    <w:rsid w:val="69467D08"/>
    <w:rsid w:val="69467F49"/>
    <w:rsid w:val="695D5F23"/>
    <w:rsid w:val="697300BA"/>
    <w:rsid w:val="69755CEF"/>
    <w:rsid w:val="697D4817"/>
    <w:rsid w:val="69B664CA"/>
    <w:rsid w:val="69D05F1F"/>
    <w:rsid w:val="69EA352F"/>
    <w:rsid w:val="6A132632"/>
    <w:rsid w:val="6A171BF8"/>
    <w:rsid w:val="6A18433C"/>
    <w:rsid w:val="6A5D745E"/>
    <w:rsid w:val="6A854515"/>
    <w:rsid w:val="6AA00DA4"/>
    <w:rsid w:val="6AE00FBC"/>
    <w:rsid w:val="6AEA2BA5"/>
    <w:rsid w:val="6B122D3D"/>
    <w:rsid w:val="6B144D07"/>
    <w:rsid w:val="6B152C31"/>
    <w:rsid w:val="6B1F56F1"/>
    <w:rsid w:val="6B1F7781"/>
    <w:rsid w:val="6B8E7AF2"/>
    <w:rsid w:val="6BB14145"/>
    <w:rsid w:val="6BB34520"/>
    <w:rsid w:val="6BF07EFF"/>
    <w:rsid w:val="6BF51866"/>
    <w:rsid w:val="6C145E5A"/>
    <w:rsid w:val="6C171669"/>
    <w:rsid w:val="6C1A1976"/>
    <w:rsid w:val="6C1B7630"/>
    <w:rsid w:val="6C22659A"/>
    <w:rsid w:val="6C256AA0"/>
    <w:rsid w:val="6C270A6A"/>
    <w:rsid w:val="6C8B2DA7"/>
    <w:rsid w:val="6C992E29"/>
    <w:rsid w:val="6CA34F59"/>
    <w:rsid w:val="6CAF621C"/>
    <w:rsid w:val="6CE00D94"/>
    <w:rsid w:val="6CED5EB8"/>
    <w:rsid w:val="6CEF52DD"/>
    <w:rsid w:val="6CF0700F"/>
    <w:rsid w:val="6CF432BA"/>
    <w:rsid w:val="6D02333A"/>
    <w:rsid w:val="6D03278A"/>
    <w:rsid w:val="6D4F2026"/>
    <w:rsid w:val="6D587B6E"/>
    <w:rsid w:val="6DF2392B"/>
    <w:rsid w:val="6E000BC1"/>
    <w:rsid w:val="6E0B0643"/>
    <w:rsid w:val="6E2F4EA0"/>
    <w:rsid w:val="6E551448"/>
    <w:rsid w:val="6E605C09"/>
    <w:rsid w:val="6E6426A8"/>
    <w:rsid w:val="6E660453"/>
    <w:rsid w:val="6E664A47"/>
    <w:rsid w:val="6EAC1789"/>
    <w:rsid w:val="6ED61147"/>
    <w:rsid w:val="6F1449C6"/>
    <w:rsid w:val="6F261750"/>
    <w:rsid w:val="6F2F77AE"/>
    <w:rsid w:val="6F357F21"/>
    <w:rsid w:val="6F5222A2"/>
    <w:rsid w:val="6F71012A"/>
    <w:rsid w:val="6FA83C70"/>
    <w:rsid w:val="6FB5065A"/>
    <w:rsid w:val="6FCD6263"/>
    <w:rsid w:val="6FE436DE"/>
    <w:rsid w:val="701441C1"/>
    <w:rsid w:val="703419A7"/>
    <w:rsid w:val="703A1840"/>
    <w:rsid w:val="70425469"/>
    <w:rsid w:val="70610AA1"/>
    <w:rsid w:val="70734297"/>
    <w:rsid w:val="709233E5"/>
    <w:rsid w:val="70945075"/>
    <w:rsid w:val="7099512A"/>
    <w:rsid w:val="70BC6F06"/>
    <w:rsid w:val="70C26FB3"/>
    <w:rsid w:val="70C6670F"/>
    <w:rsid w:val="70FD1513"/>
    <w:rsid w:val="715173C6"/>
    <w:rsid w:val="71620BBE"/>
    <w:rsid w:val="716362E6"/>
    <w:rsid w:val="7193669F"/>
    <w:rsid w:val="71997D14"/>
    <w:rsid w:val="71B05903"/>
    <w:rsid w:val="71B45300"/>
    <w:rsid w:val="71F24BAE"/>
    <w:rsid w:val="72100B40"/>
    <w:rsid w:val="72516841"/>
    <w:rsid w:val="725A524B"/>
    <w:rsid w:val="729B5D0E"/>
    <w:rsid w:val="72D622B1"/>
    <w:rsid w:val="72E17BC5"/>
    <w:rsid w:val="72EB27F1"/>
    <w:rsid w:val="73062E32"/>
    <w:rsid w:val="733C4C78"/>
    <w:rsid w:val="7360762A"/>
    <w:rsid w:val="73786C04"/>
    <w:rsid w:val="738C4BCE"/>
    <w:rsid w:val="738F238C"/>
    <w:rsid w:val="739670B4"/>
    <w:rsid w:val="73A87223"/>
    <w:rsid w:val="73C21BA4"/>
    <w:rsid w:val="73CD784F"/>
    <w:rsid w:val="73E6120B"/>
    <w:rsid w:val="7402003C"/>
    <w:rsid w:val="740750D9"/>
    <w:rsid w:val="74526A71"/>
    <w:rsid w:val="745673E8"/>
    <w:rsid w:val="74600FBD"/>
    <w:rsid w:val="746418F9"/>
    <w:rsid w:val="74750D7C"/>
    <w:rsid w:val="74AF5AA0"/>
    <w:rsid w:val="74B93791"/>
    <w:rsid w:val="74D039C5"/>
    <w:rsid w:val="74D3675E"/>
    <w:rsid w:val="74EE1734"/>
    <w:rsid w:val="74F97683"/>
    <w:rsid w:val="751A5833"/>
    <w:rsid w:val="751F1CF8"/>
    <w:rsid w:val="75323DA2"/>
    <w:rsid w:val="75357D54"/>
    <w:rsid w:val="754261BB"/>
    <w:rsid w:val="75574CCD"/>
    <w:rsid w:val="75871CAE"/>
    <w:rsid w:val="759D29B9"/>
    <w:rsid w:val="759D3A03"/>
    <w:rsid w:val="75A03D67"/>
    <w:rsid w:val="75B25466"/>
    <w:rsid w:val="75C86E1A"/>
    <w:rsid w:val="75EB0D5A"/>
    <w:rsid w:val="761C34BE"/>
    <w:rsid w:val="76287001"/>
    <w:rsid w:val="762C55FB"/>
    <w:rsid w:val="763D7A0A"/>
    <w:rsid w:val="764746AE"/>
    <w:rsid w:val="764B2EE8"/>
    <w:rsid w:val="76554432"/>
    <w:rsid w:val="766265A2"/>
    <w:rsid w:val="767174B1"/>
    <w:rsid w:val="76826C5C"/>
    <w:rsid w:val="768747A5"/>
    <w:rsid w:val="76995E06"/>
    <w:rsid w:val="76A542F6"/>
    <w:rsid w:val="76D73015"/>
    <w:rsid w:val="76FE3C21"/>
    <w:rsid w:val="770E2215"/>
    <w:rsid w:val="774A27F4"/>
    <w:rsid w:val="77542CAB"/>
    <w:rsid w:val="775B1C3E"/>
    <w:rsid w:val="779F004E"/>
    <w:rsid w:val="77C36D49"/>
    <w:rsid w:val="77CD0717"/>
    <w:rsid w:val="77D7502A"/>
    <w:rsid w:val="77F05E66"/>
    <w:rsid w:val="77FD3E3F"/>
    <w:rsid w:val="78047D16"/>
    <w:rsid w:val="78047EB1"/>
    <w:rsid w:val="781A5362"/>
    <w:rsid w:val="78240663"/>
    <w:rsid w:val="78306EF8"/>
    <w:rsid w:val="784B0E08"/>
    <w:rsid w:val="78514351"/>
    <w:rsid w:val="785B4866"/>
    <w:rsid w:val="78776069"/>
    <w:rsid w:val="78911745"/>
    <w:rsid w:val="78D758AC"/>
    <w:rsid w:val="78EC40C5"/>
    <w:rsid w:val="78F87A16"/>
    <w:rsid w:val="7907634A"/>
    <w:rsid w:val="790C2207"/>
    <w:rsid w:val="79270D8A"/>
    <w:rsid w:val="79357FCC"/>
    <w:rsid w:val="79500C97"/>
    <w:rsid w:val="795C2FC9"/>
    <w:rsid w:val="79876FEC"/>
    <w:rsid w:val="79C74BB8"/>
    <w:rsid w:val="79CC6228"/>
    <w:rsid w:val="79CE0229"/>
    <w:rsid w:val="79D7467F"/>
    <w:rsid w:val="79DD4481"/>
    <w:rsid w:val="7A08012D"/>
    <w:rsid w:val="7A6A1AA6"/>
    <w:rsid w:val="7A777060"/>
    <w:rsid w:val="7A974B61"/>
    <w:rsid w:val="7AAC7E11"/>
    <w:rsid w:val="7AD90A65"/>
    <w:rsid w:val="7ADB726E"/>
    <w:rsid w:val="7B267C46"/>
    <w:rsid w:val="7B371E1B"/>
    <w:rsid w:val="7B382ECC"/>
    <w:rsid w:val="7B4038F6"/>
    <w:rsid w:val="7B44362D"/>
    <w:rsid w:val="7B44776A"/>
    <w:rsid w:val="7B532510"/>
    <w:rsid w:val="7B6E53AF"/>
    <w:rsid w:val="7B713AB0"/>
    <w:rsid w:val="7B72576C"/>
    <w:rsid w:val="7BB66BC0"/>
    <w:rsid w:val="7BDD2EF3"/>
    <w:rsid w:val="7BF30095"/>
    <w:rsid w:val="7C23124E"/>
    <w:rsid w:val="7C266514"/>
    <w:rsid w:val="7CEE61D4"/>
    <w:rsid w:val="7CF90201"/>
    <w:rsid w:val="7D0E5F71"/>
    <w:rsid w:val="7D1172F8"/>
    <w:rsid w:val="7D427B80"/>
    <w:rsid w:val="7D494CE4"/>
    <w:rsid w:val="7D4C3528"/>
    <w:rsid w:val="7D677930"/>
    <w:rsid w:val="7D692C90"/>
    <w:rsid w:val="7D7B24D7"/>
    <w:rsid w:val="7D826490"/>
    <w:rsid w:val="7D9837D8"/>
    <w:rsid w:val="7DBA2989"/>
    <w:rsid w:val="7E097387"/>
    <w:rsid w:val="7E1F5165"/>
    <w:rsid w:val="7E2553AE"/>
    <w:rsid w:val="7E266E73"/>
    <w:rsid w:val="7E2B263C"/>
    <w:rsid w:val="7E3234A8"/>
    <w:rsid w:val="7E3F39F1"/>
    <w:rsid w:val="7E4703F5"/>
    <w:rsid w:val="7E687F0D"/>
    <w:rsid w:val="7E696CC0"/>
    <w:rsid w:val="7E705C9C"/>
    <w:rsid w:val="7E797C4A"/>
    <w:rsid w:val="7E8733B0"/>
    <w:rsid w:val="7EB51055"/>
    <w:rsid w:val="7EC462ED"/>
    <w:rsid w:val="7ECB797B"/>
    <w:rsid w:val="7ED77121"/>
    <w:rsid w:val="7EE80A2B"/>
    <w:rsid w:val="7F156363"/>
    <w:rsid w:val="7F315A30"/>
    <w:rsid w:val="7F477734"/>
    <w:rsid w:val="7F577C12"/>
    <w:rsid w:val="7F70151A"/>
    <w:rsid w:val="7F897353"/>
    <w:rsid w:val="7F8C623A"/>
    <w:rsid w:val="7F954650"/>
    <w:rsid w:val="7F9E0801"/>
    <w:rsid w:val="7FA22914"/>
    <w:rsid w:val="7FA36202"/>
    <w:rsid w:val="7FC85053"/>
    <w:rsid w:val="7FCC739F"/>
    <w:rsid w:val="7FE00D29"/>
    <w:rsid w:val="7FE47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14:defaultImageDpi w14:val="32767"/>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qFormat="1" w:unhideWhenUsed="0" w:uiPriority="0" w:semiHidden="0" w:name="table of authorities"/>
    <w:lsdException w:uiPriority="99" w:name="macro"/>
    <w:lsdException w:qFormat="1" w:unhideWhenUsed="0" w:uiPriority="0" w:semiHidden="0"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qFormat="1" w:unhideWhenUsed="0" w:uiPriority="0" w:semiHidden="0" w:name="Message Header"/>
    <w:lsdException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qFormat="1" w:unhideWhenUsed="0" w:uiPriority="0" w:semiHidden="0"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99" w:semiHidden="0" w:name="HTML Preformatted"/>
    <w:lsdException w:qFormat="1" w:unhideWhenUsed="0" w:uiPriority="0" w:semiHidden="0" w:name="HTML Sample"/>
    <w:lsdException w:uiPriority="99"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line="360" w:lineRule="auto"/>
      <w:ind w:firstLine="480" w:firstLineChars="200"/>
      <w:jc w:val="both"/>
    </w:pPr>
    <w:rPr>
      <w:rFonts w:ascii="Times New Roman" w:hAnsi="Times New Roman" w:eastAsia="宋体" w:cstheme="minorBidi"/>
      <w:kern w:val="2"/>
      <w:sz w:val="24"/>
      <w:szCs w:val="22"/>
      <w:lang w:val="en-US" w:eastAsia="zh-CN" w:bidi="ar-SA"/>
    </w:rPr>
  </w:style>
  <w:style w:type="paragraph" w:styleId="4">
    <w:name w:val="heading 1"/>
    <w:basedOn w:val="1"/>
    <w:next w:val="1"/>
    <w:link w:val="65"/>
    <w:qFormat/>
    <w:uiPriority w:val="0"/>
    <w:pPr>
      <w:adjustRightInd/>
      <w:snapToGrid/>
      <w:spacing w:line="500" w:lineRule="exact"/>
      <w:ind w:firstLine="0" w:firstLineChars="0"/>
      <w:jc w:val="left"/>
      <w:outlineLvl w:val="0"/>
    </w:pPr>
    <w:rPr>
      <w:rFonts w:eastAsia="黑体"/>
      <w:sz w:val="32"/>
    </w:rPr>
  </w:style>
  <w:style w:type="paragraph" w:styleId="5">
    <w:name w:val="heading 2"/>
    <w:basedOn w:val="1"/>
    <w:next w:val="1"/>
    <w:link w:val="66"/>
    <w:unhideWhenUsed/>
    <w:qFormat/>
    <w:uiPriority w:val="9"/>
    <w:pPr>
      <w:keepNext/>
      <w:keepLines/>
      <w:adjustRightInd/>
      <w:snapToGrid/>
      <w:spacing w:line="500" w:lineRule="exact"/>
      <w:ind w:firstLine="0" w:firstLineChars="0"/>
      <w:jc w:val="left"/>
      <w:outlineLvl w:val="1"/>
    </w:pPr>
    <w:rPr>
      <w:rFonts w:eastAsia="黑体" w:cstheme="majorBidi"/>
      <w:bCs/>
      <w:sz w:val="28"/>
      <w:szCs w:val="32"/>
    </w:rPr>
  </w:style>
  <w:style w:type="paragraph" w:styleId="6">
    <w:name w:val="heading 3"/>
    <w:basedOn w:val="1"/>
    <w:next w:val="1"/>
    <w:link w:val="67"/>
    <w:unhideWhenUsed/>
    <w:qFormat/>
    <w:uiPriority w:val="0"/>
    <w:pPr>
      <w:keepNext/>
      <w:keepLines/>
      <w:adjustRightInd/>
      <w:snapToGrid/>
      <w:spacing w:line="500" w:lineRule="exact"/>
      <w:ind w:firstLine="0" w:firstLineChars="0"/>
      <w:jc w:val="left"/>
      <w:outlineLvl w:val="2"/>
    </w:pPr>
    <w:rPr>
      <w:rFonts w:eastAsia="黑体"/>
      <w:bCs/>
      <w:szCs w:val="32"/>
    </w:rPr>
  </w:style>
  <w:style w:type="paragraph" w:styleId="7">
    <w:name w:val="heading 4"/>
    <w:basedOn w:val="1"/>
    <w:next w:val="1"/>
    <w:link w:val="77"/>
    <w:qFormat/>
    <w:uiPriority w:val="0"/>
    <w:pPr>
      <w:keepNext/>
      <w:keepLines/>
      <w:adjustRightInd/>
      <w:snapToGrid/>
      <w:spacing w:line="500" w:lineRule="exact"/>
      <w:ind w:firstLine="0" w:firstLineChars="0"/>
      <w:outlineLvl w:val="3"/>
    </w:pPr>
    <w:rPr>
      <w:rFonts w:cs="Times New Roman"/>
      <w:szCs w:val="20"/>
      <w:lang w:val="zh-CN" w:eastAsia="zh-CN"/>
    </w:rPr>
  </w:style>
  <w:style w:type="paragraph" w:styleId="8">
    <w:name w:val="heading 5"/>
    <w:basedOn w:val="1"/>
    <w:next w:val="9"/>
    <w:link w:val="78"/>
    <w:qFormat/>
    <w:uiPriority w:val="0"/>
    <w:pPr>
      <w:keepNext/>
      <w:keepLines/>
      <w:adjustRightInd/>
      <w:snapToGrid/>
      <w:spacing w:before="280" w:after="290" w:line="372" w:lineRule="auto"/>
      <w:ind w:firstLine="0" w:firstLineChars="0"/>
      <w:outlineLvl w:val="4"/>
    </w:pPr>
    <w:rPr>
      <w:rFonts w:cs="Times New Roman"/>
      <w:b/>
      <w:sz w:val="28"/>
      <w:szCs w:val="20"/>
      <w:lang w:val="zh-CN" w:eastAsia="zh-CN"/>
    </w:rPr>
  </w:style>
  <w:style w:type="paragraph" w:styleId="10">
    <w:name w:val="heading 6"/>
    <w:basedOn w:val="1"/>
    <w:next w:val="9"/>
    <w:link w:val="79"/>
    <w:qFormat/>
    <w:uiPriority w:val="0"/>
    <w:pPr>
      <w:keepNext/>
      <w:keepLines/>
      <w:adjustRightInd/>
      <w:snapToGrid/>
      <w:spacing w:before="240" w:after="64" w:line="317" w:lineRule="auto"/>
      <w:ind w:firstLine="0" w:firstLineChars="0"/>
      <w:outlineLvl w:val="5"/>
    </w:pPr>
    <w:rPr>
      <w:rFonts w:ascii="Arial" w:hAnsi="Arial" w:eastAsia="黑体" w:cs="Times New Roman"/>
      <w:b/>
      <w:szCs w:val="20"/>
      <w:lang w:val="zh-CN" w:eastAsia="zh-CN"/>
    </w:rPr>
  </w:style>
  <w:style w:type="paragraph" w:styleId="11">
    <w:name w:val="heading 7"/>
    <w:basedOn w:val="1"/>
    <w:next w:val="9"/>
    <w:link w:val="80"/>
    <w:qFormat/>
    <w:uiPriority w:val="0"/>
    <w:pPr>
      <w:keepNext/>
      <w:keepLines/>
      <w:adjustRightInd/>
      <w:snapToGrid/>
      <w:spacing w:before="240" w:after="64" w:line="317" w:lineRule="auto"/>
      <w:ind w:firstLine="0" w:firstLineChars="0"/>
      <w:outlineLvl w:val="6"/>
    </w:pPr>
    <w:rPr>
      <w:rFonts w:cs="Times New Roman"/>
      <w:b/>
      <w:szCs w:val="20"/>
      <w:lang w:val="zh-CN" w:eastAsia="zh-CN"/>
    </w:rPr>
  </w:style>
  <w:style w:type="paragraph" w:styleId="12">
    <w:name w:val="heading 8"/>
    <w:basedOn w:val="1"/>
    <w:next w:val="9"/>
    <w:link w:val="81"/>
    <w:qFormat/>
    <w:uiPriority w:val="0"/>
    <w:pPr>
      <w:keepNext/>
      <w:keepLines/>
      <w:adjustRightInd/>
      <w:snapToGrid/>
      <w:spacing w:before="240" w:after="64" w:line="317" w:lineRule="auto"/>
      <w:ind w:firstLine="0" w:firstLineChars="0"/>
      <w:outlineLvl w:val="7"/>
    </w:pPr>
    <w:rPr>
      <w:rFonts w:ascii="Arial" w:hAnsi="Arial" w:eastAsia="黑体" w:cs="Times New Roman"/>
      <w:szCs w:val="20"/>
      <w:lang w:val="zh-CN" w:eastAsia="zh-CN"/>
    </w:rPr>
  </w:style>
  <w:style w:type="paragraph" w:styleId="13">
    <w:name w:val="heading 9"/>
    <w:basedOn w:val="1"/>
    <w:next w:val="9"/>
    <w:link w:val="82"/>
    <w:qFormat/>
    <w:uiPriority w:val="0"/>
    <w:pPr>
      <w:keepNext/>
      <w:keepLines/>
      <w:adjustRightInd/>
      <w:snapToGrid/>
      <w:spacing w:before="240" w:after="64" w:line="317" w:lineRule="auto"/>
      <w:ind w:firstLine="0" w:firstLineChars="0"/>
      <w:outlineLvl w:val="8"/>
    </w:pPr>
    <w:rPr>
      <w:rFonts w:ascii="Arial" w:hAnsi="Arial" w:eastAsia="黑体" w:cs="Times New Roman"/>
      <w:sz w:val="21"/>
      <w:szCs w:val="20"/>
      <w:lang w:val="zh-CN" w:eastAsia="zh-CN"/>
    </w:rPr>
  </w:style>
  <w:style w:type="character" w:default="1" w:styleId="51">
    <w:name w:val="Default Paragraph Font"/>
    <w:semiHidden/>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2">
    <w:name w:val="Default"/>
    <w:basedOn w:val="3"/>
    <w:next w:val="1"/>
    <w:qFormat/>
    <w:uiPriority w:val="0"/>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paragraph" w:customStyle="1" w:styleId="3">
    <w:name w:val="纯文本1"/>
    <w:basedOn w:val="1"/>
    <w:qFormat/>
    <w:uiPriority w:val="0"/>
    <w:pPr>
      <w:adjustRightInd/>
      <w:snapToGrid/>
      <w:spacing w:line="240" w:lineRule="auto"/>
      <w:ind w:firstLine="0" w:firstLineChars="0"/>
    </w:pPr>
    <w:rPr>
      <w:rFonts w:ascii="宋体" w:hAnsi="Courier New" w:cs="Courier New"/>
      <w:kern w:val="0"/>
      <w:szCs w:val="21"/>
    </w:rPr>
  </w:style>
  <w:style w:type="paragraph" w:styleId="9">
    <w:name w:val="Normal Indent"/>
    <w:basedOn w:val="1"/>
    <w:link w:val="158"/>
    <w:qFormat/>
    <w:uiPriority w:val="0"/>
    <w:pPr>
      <w:adjustRightInd/>
      <w:snapToGrid/>
      <w:spacing w:line="240" w:lineRule="auto"/>
      <w:ind w:firstLine="420"/>
    </w:pPr>
    <w:rPr>
      <w:rFonts w:eastAsiaTheme="minorEastAsia"/>
      <w:sz w:val="21"/>
    </w:rPr>
  </w:style>
  <w:style w:type="paragraph" w:styleId="14">
    <w:name w:val="toc 7"/>
    <w:basedOn w:val="1"/>
    <w:next w:val="1"/>
    <w:qFormat/>
    <w:uiPriority w:val="39"/>
    <w:pPr>
      <w:adjustRightInd/>
      <w:snapToGrid/>
      <w:spacing w:line="240" w:lineRule="auto"/>
      <w:ind w:left="1260" w:firstLine="0" w:firstLineChars="0"/>
      <w:jc w:val="left"/>
    </w:pPr>
    <w:rPr>
      <w:rFonts w:cs="Times New Roman"/>
      <w:kern w:val="0"/>
      <w:sz w:val="18"/>
      <w:szCs w:val="20"/>
    </w:rPr>
  </w:style>
  <w:style w:type="paragraph" w:styleId="15">
    <w:name w:val="table of authorities"/>
    <w:basedOn w:val="1"/>
    <w:next w:val="1"/>
    <w:qFormat/>
    <w:uiPriority w:val="0"/>
    <w:pPr>
      <w:ind w:left="420" w:leftChars="200"/>
    </w:pPr>
    <w:rPr>
      <w:rFonts w:ascii="Times New Roman" w:hAnsi="Times New Roman" w:eastAsia="宋体" w:cs="Times New Roman"/>
    </w:rPr>
  </w:style>
  <w:style w:type="paragraph" w:styleId="16">
    <w:name w:val="caption"/>
    <w:basedOn w:val="1"/>
    <w:next w:val="1"/>
    <w:link w:val="170"/>
    <w:unhideWhenUsed/>
    <w:qFormat/>
    <w:uiPriority w:val="0"/>
    <w:rPr>
      <w:rFonts w:eastAsia="黑体" w:asciiTheme="majorHAnsi" w:hAnsiTheme="majorHAnsi" w:cstheme="majorBidi"/>
      <w:sz w:val="20"/>
      <w:szCs w:val="20"/>
    </w:rPr>
  </w:style>
  <w:style w:type="paragraph" w:styleId="17">
    <w:name w:val="Document Map"/>
    <w:basedOn w:val="1"/>
    <w:link w:val="191"/>
    <w:qFormat/>
    <w:uiPriority w:val="0"/>
    <w:pPr>
      <w:shd w:val="clear" w:color="auto" w:fill="000080"/>
      <w:adjustRightInd/>
      <w:snapToGrid/>
      <w:spacing w:line="240" w:lineRule="auto"/>
      <w:ind w:firstLine="0" w:firstLineChars="0"/>
    </w:pPr>
    <w:rPr>
      <w:rFonts w:eastAsiaTheme="minorEastAsia"/>
      <w:sz w:val="21"/>
      <w:shd w:val="clear" w:color="auto" w:fill="000080"/>
    </w:rPr>
  </w:style>
  <w:style w:type="paragraph" w:styleId="18">
    <w:name w:val="toa heading"/>
    <w:basedOn w:val="1"/>
    <w:next w:val="1"/>
    <w:qFormat/>
    <w:uiPriority w:val="0"/>
    <w:pPr>
      <w:spacing w:before="120"/>
    </w:pPr>
    <w:rPr>
      <w:rFonts w:ascii="Arial" w:hAnsi="Arial"/>
    </w:rPr>
  </w:style>
  <w:style w:type="paragraph" w:styleId="19">
    <w:name w:val="annotation text"/>
    <w:basedOn w:val="1"/>
    <w:link w:val="210"/>
    <w:unhideWhenUsed/>
    <w:qFormat/>
    <w:uiPriority w:val="99"/>
    <w:pPr>
      <w:jc w:val="left"/>
    </w:pPr>
  </w:style>
  <w:style w:type="paragraph" w:styleId="20">
    <w:name w:val="Salutation"/>
    <w:basedOn w:val="1"/>
    <w:next w:val="1"/>
    <w:qFormat/>
    <w:uiPriority w:val="0"/>
    <w:rPr>
      <w:sz w:val="21"/>
    </w:rPr>
  </w:style>
  <w:style w:type="paragraph" w:styleId="21">
    <w:name w:val="Body Text 3"/>
    <w:basedOn w:val="1"/>
    <w:link w:val="136"/>
    <w:qFormat/>
    <w:uiPriority w:val="0"/>
    <w:pPr>
      <w:adjustRightInd/>
      <w:snapToGrid/>
      <w:spacing w:after="120" w:line="240" w:lineRule="auto"/>
      <w:ind w:firstLine="0" w:firstLineChars="0"/>
    </w:pPr>
    <w:rPr>
      <w:rFonts w:eastAsiaTheme="minorEastAsia"/>
      <w:sz w:val="16"/>
    </w:rPr>
  </w:style>
  <w:style w:type="paragraph" w:styleId="22">
    <w:name w:val="Body Text"/>
    <w:basedOn w:val="1"/>
    <w:link w:val="217"/>
    <w:unhideWhenUsed/>
    <w:qFormat/>
    <w:uiPriority w:val="0"/>
    <w:pPr>
      <w:spacing w:after="120"/>
    </w:pPr>
  </w:style>
  <w:style w:type="paragraph" w:styleId="23">
    <w:name w:val="Body Text Indent"/>
    <w:basedOn w:val="1"/>
    <w:link w:val="116"/>
    <w:qFormat/>
    <w:uiPriority w:val="0"/>
    <w:pPr>
      <w:adjustRightInd/>
      <w:snapToGrid/>
      <w:spacing w:line="500" w:lineRule="exact"/>
      <w:ind w:firstLine="570" w:firstLineChars="0"/>
    </w:pPr>
    <w:rPr>
      <w:rFonts w:ascii="宋体" w:hAnsi="宋体" w:eastAsiaTheme="minorEastAsia"/>
      <w:sz w:val="28"/>
    </w:rPr>
  </w:style>
  <w:style w:type="paragraph" w:styleId="24">
    <w:name w:val="toc 5"/>
    <w:basedOn w:val="1"/>
    <w:next w:val="1"/>
    <w:qFormat/>
    <w:uiPriority w:val="39"/>
    <w:pPr>
      <w:adjustRightInd/>
      <w:snapToGrid/>
      <w:spacing w:line="240" w:lineRule="auto"/>
      <w:ind w:left="840" w:firstLine="0" w:firstLineChars="0"/>
      <w:jc w:val="left"/>
    </w:pPr>
    <w:rPr>
      <w:rFonts w:cs="Times New Roman"/>
      <w:kern w:val="0"/>
      <w:sz w:val="18"/>
      <w:szCs w:val="20"/>
    </w:rPr>
  </w:style>
  <w:style w:type="paragraph" w:styleId="25">
    <w:name w:val="toc 3"/>
    <w:basedOn w:val="1"/>
    <w:next w:val="1"/>
    <w:qFormat/>
    <w:uiPriority w:val="39"/>
    <w:pPr>
      <w:adjustRightInd/>
      <w:snapToGrid/>
      <w:spacing w:line="240" w:lineRule="auto"/>
      <w:ind w:left="420" w:firstLine="0" w:firstLineChars="0"/>
      <w:jc w:val="left"/>
    </w:pPr>
    <w:rPr>
      <w:rFonts w:cs="Times New Roman"/>
      <w:kern w:val="0"/>
      <w:sz w:val="20"/>
      <w:szCs w:val="20"/>
    </w:rPr>
  </w:style>
  <w:style w:type="paragraph" w:styleId="26">
    <w:name w:val="Plain Text"/>
    <w:basedOn w:val="1"/>
    <w:next w:val="20"/>
    <w:link w:val="186"/>
    <w:qFormat/>
    <w:uiPriority w:val="0"/>
    <w:pPr>
      <w:adjustRightInd/>
      <w:snapToGrid/>
      <w:spacing w:line="240" w:lineRule="auto"/>
      <w:ind w:firstLine="0" w:firstLineChars="0"/>
    </w:pPr>
    <w:rPr>
      <w:rFonts w:ascii="宋体" w:hAnsi="Courier New" w:eastAsiaTheme="minorEastAsia"/>
      <w:sz w:val="21"/>
    </w:rPr>
  </w:style>
  <w:style w:type="paragraph" w:styleId="27">
    <w:name w:val="toc 8"/>
    <w:basedOn w:val="1"/>
    <w:next w:val="1"/>
    <w:qFormat/>
    <w:uiPriority w:val="39"/>
    <w:pPr>
      <w:adjustRightInd/>
      <w:snapToGrid/>
      <w:spacing w:line="240" w:lineRule="auto"/>
      <w:ind w:left="1470" w:firstLine="0" w:firstLineChars="0"/>
      <w:jc w:val="left"/>
    </w:pPr>
    <w:rPr>
      <w:rFonts w:cs="Times New Roman"/>
      <w:kern w:val="0"/>
      <w:sz w:val="18"/>
      <w:szCs w:val="20"/>
    </w:rPr>
  </w:style>
  <w:style w:type="paragraph" w:styleId="28">
    <w:name w:val="Date"/>
    <w:basedOn w:val="1"/>
    <w:next w:val="1"/>
    <w:link w:val="189"/>
    <w:qFormat/>
    <w:uiPriority w:val="0"/>
    <w:pPr>
      <w:adjustRightInd/>
      <w:snapToGrid/>
      <w:spacing w:line="240" w:lineRule="auto"/>
      <w:ind w:left="100" w:leftChars="2500" w:firstLine="0" w:firstLineChars="0"/>
    </w:pPr>
    <w:rPr>
      <w:rFonts w:eastAsiaTheme="minorEastAsia"/>
      <w:sz w:val="28"/>
    </w:rPr>
  </w:style>
  <w:style w:type="paragraph" w:styleId="29">
    <w:name w:val="Body Text Indent 2"/>
    <w:basedOn w:val="1"/>
    <w:next w:val="1"/>
    <w:link w:val="194"/>
    <w:qFormat/>
    <w:uiPriority w:val="0"/>
    <w:pPr>
      <w:spacing w:line="520" w:lineRule="atLeast"/>
      <w:ind w:firstLine="470" w:firstLineChars="196"/>
    </w:pPr>
    <w:rPr>
      <w:rFonts w:eastAsiaTheme="minorEastAsia"/>
    </w:rPr>
  </w:style>
  <w:style w:type="paragraph" w:styleId="30">
    <w:name w:val="Balloon Text"/>
    <w:basedOn w:val="1"/>
    <w:link w:val="141"/>
    <w:qFormat/>
    <w:uiPriority w:val="0"/>
    <w:pPr>
      <w:adjustRightInd/>
      <w:snapToGrid/>
      <w:spacing w:line="240" w:lineRule="auto"/>
      <w:ind w:firstLine="0" w:firstLineChars="0"/>
    </w:pPr>
    <w:rPr>
      <w:rFonts w:eastAsiaTheme="minorEastAsia"/>
      <w:sz w:val="18"/>
    </w:rPr>
  </w:style>
  <w:style w:type="paragraph" w:styleId="31">
    <w:name w:val="footer"/>
    <w:basedOn w:val="1"/>
    <w:link w:val="75"/>
    <w:unhideWhenUsed/>
    <w:qFormat/>
    <w:uiPriority w:val="99"/>
    <w:pPr>
      <w:tabs>
        <w:tab w:val="center" w:pos="4153"/>
        <w:tab w:val="right" w:pos="8306"/>
      </w:tabs>
      <w:spacing w:line="240" w:lineRule="auto"/>
      <w:jc w:val="left"/>
    </w:pPr>
    <w:rPr>
      <w:sz w:val="18"/>
      <w:szCs w:val="18"/>
    </w:rPr>
  </w:style>
  <w:style w:type="paragraph" w:styleId="32">
    <w:name w:val="header"/>
    <w:basedOn w:val="1"/>
    <w:link w:val="74"/>
    <w:unhideWhenUsed/>
    <w:qFormat/>
    <w:uiPriority w:val="99"/>
    <w:pPr>
      <w:pBdr>
        <w:bottom w:val="single" w:color="auto" w:sz="6" w:space="1"/>
      </w:pBdr>
      <w:tabs>
        <w:tab w:val="center" w:pos="4153"/>
        <w:tab w:val="right" w:pos="8306"/>
      </w:tabs>
      <w:spacing w:line="240" w:lineRule="auto"/>
      <w:jc w:val="center"/>
    </w:pPr>
    <w:rPr>
      <w:sz w:val="18"/>
      <w:szCs w:val="18"/>
    </w:rPr>
  </w:style>
  <w:style w:type="paragraph" w:styleId="33">
    <w:name w:val="toc 1"/>
    <w:basedOn w:val="1"/>
    <w:next w:val="1"/>
    <w:qFormat/>
    <w:uiPriority w:val="39"/>
    <w:pPr>
      <w:adjustRightInd/>
      <w:snapToGrid/>
      <w:spacing w:before="120" w:after="120" w:line="240" w:lineRule="auto"/>
      <w:ind w:firstLine="0" w:firstLineChars="0"/>
      <w:jc w:val="left"/>
    </w:pPr>
    <w:rPr>
      <w:rFonts w:cs="Times New Roman"/>
      <w:b/>
      <w:caps/>
      <w:kern w:val="0"/>
      <w:sz w:val="20"/>
      <w:szCs w:val="20"/>
    </w:rPr>
  </w:style>
  <w:style w:type="paragraph" w:styleId="34">
    <w:name w:val="toc 4"/>
    <w:basedOn w:val="1"/>
    <w:next w:val="1"/>
    <w:qFormat/>
    <w:uiPriority w:val="39"/>
    <w:pPr>
      <w:adjustRightInd/>
      <w:snapToGrid/>
      <w:spacing w:line="240" w:lineRule="auto"/>
      <w:ind w:left="630" w:firstLine="0" w:firstLineChars="0"/>
      <w:jc w:val="left"/>
    </w:pPr>
    <w:rPr>
      <w:rFonts w:cs="Times New Roman"/>
      <w:kern w:val="0"/>
      <w:sz w:val="18"/>
      <w:szCs w:val="20"/>
    </w:rPr>
  </w:style>
  <w:style w:type="paragraph" w:styleId="35">
    <w:name w:val="List"/>
    <w:basedOn w:val="1"/>
    <w:qFormat/>
    <w:uiPriority w:val="0"/>
    <w:pPr>
      <w:adjustRightInd/>
      <w:snapToGrid/>
      <w:spacing w:line="240" w:lineRule="auto"/>
      <w:ind w:left="200" w:hanging="200" w:hangingChars="200"/>
    </w:pPr>
    <w:rPr>
      <w:rFonts w:cs="Times New Roman"/>
      <w:kern w:val="0"/>
      <w:szCs w:val="20"/>
    </w:rPr>
  </w:style>
  <w:style w:type="paragraph" w:styleId="36">
    <w:name w:val="toc 6"/>
    <w:basedOn w:val="1"/>
    <w:next w:val="1"/>
    <w:qFormat/>
    <w:uiPriority w:val="39"/>
    <w:pPr>
      <w:adjustRightInd/>
      <w:snapToGrid/>
      <w:spacing w:line="240" w:lineRule="auto"/>
      <w:ind w:left="1050" w:firstLine="0" w:firstLineChars="0"/>
      <w:jc w:val="left"/>
    </w:pPr>
    <w:rPr>
      <w:rFonts w:cs="Times New Roman"/>
      <w:kern w:val="0"/>
      <w:sz w:val="18"/>
      <w:szCs w:val="20"/>
    </w:rPr>
  </w:style>
  <w:style w:type="paragraph" w:styleId="37">
    <w:name w:val="Body Text Indent 3"/>
    <w:basedOn w:val="1"/>
    <w:link w:val="159"/>
    <w:qFormat/>
    <w:uiPriority w:val="0"/>
    <w:pPr>
      <w:spacing w:line="520" w:lineRule="atLeast"/>
      <w:ind w:firstLine="0" w:firstLineChars="0"/>
    </w:pPr>
    <w:rPr>
      <w:rFonts w:ascii="宋体" w:hAnsi="宋体" w:eastAsiaTheme="minorEastAsia"/>
    </w:rPr>
  </w:style>
  <w:style w:type="paragraph" w:styleId="38">
    <w:name w:val="toc 2"/>
    <w:basedOn w:val="1"/>
    <w:next w:val="1"/>
    <w:qFormat/>
    <w:uiPriority w:val="39"/>
    <w:pPr>
      <w:adjustRightInd/>
      <w:snapToGrid/>
      <w:spacing w:line="240" w:lineRule="auto"/>
      <w:ind w:left="210" w:firstLine="0" w:firstLineChars="0"/>
      <w:jc w:val="left"/>
    </w:pPr>
    <w:rPr>
      <w:rFonts w:cs="Times New Roman"/>
      <w:smallCaps/>
      <w:kern w:val="0"/>
      <w:sz w:val="20"/>
      <w:szCs w:val="20"/>
    </w:rPr>
  </w:style>
  <w:style w:type="paragraph" w:styleId="39">
    <w:name w:val="toc 9"/>
    <w:basedOn w:val="1"/>
    <w:next w:val="1"/>
    <w:qFormat/>
    <w:uiPriority w:val="39"/>
    <w:pPr>
      <w:adjustRightInd/>
      <w:snapToGrid/>
      <w:spacing w:line="240" w:lineRule="auto"/>
      <w:ind w:left="1680" w:firstLine="0" w:firstLineChars="0"/>
      <w:jc w:val="left"/>
    </w:pPr>
    <w:rPr>
      <w:rFonts w:cs="Times New Roman"/>
      <w:kern w:val="0"/>
      <w:sz w:val="18"/>
      <w:szCs w:val="20"/>
    </w:rPr>
  </w:style>
  <w:style w:type="paragraph" w:styleId="40">
    <w:name w:val="Body Text 2"/>
    <w:basedOn w:val="1"/>
    <w:link w:val="175"/>
    <w:qFormat/>
    <w:uiPriority w:val="0"/>
    <w:pPr>
      <w:spacing w:line="520" w:lineRule="atLeast"/>
      <w:ind w:firstLine="0" w:firstLineChars="0"/>
    </w:pPr>
    <w:rPr>
      <w:rFonts w:ascii="宋体" w:hAnsi="宋体" w:eastAsiaTheme="minorEastAsia"/>
      <w:sz w:val="28"/>
    </w:rPr>
  </w:style>
  <w:style w:type="paragraph" w:styleId="41">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spacing w:line="520" w:lineRule="exact"/>
      <w:ind w:left="1080" w:leftChars="500" w:hanging="1080" w:hangingChars="500"/>
    </w:pPr>
    <w:rPr>
      <w:rFonts w:ascii="Cambria" w:hAnsi="Cambria"/>
      <w:kern w:val="2"/>
      <w:szCs w:val="24"/>
    </w:rPr>
  </w:style>
  <w:style w:type="paragraph" w:styleId="42">
    <w:name w:val="HTML Preformatted"/>
    <w:basedOn w:val="1"/>
    <w:link w:val="92"/>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ind w:firstLine="0" w:firstLineChars="0"/>
      <w:jc w:val="left"/>
    </w:pPr>
    <w:rPr>
      <w:rFonts w:ascii="宋体" w:hAnsi="宋体" w:eastAsiaTheme="minorEastAsia"/>
    </w:rPr>
  </w:style>
  <w:style w:type="paragraph" w:styleId="43">
    <w:name w:val="Normal (Web)"/>
    <w:basedOn w:val="1"/>
    <w:qFormat/>
    <w:uiPriority w:val="0"/>
    <w:pPr>
      <w:widowControl/>
      <w:adjustRightInd/>
      <w:snapToGrid/>
      <w:spacing w:before="100" w:beforeAutospacing="1" w:after="100" w:afterAutospacing="1" w:line="240" w:lineRule="auto"/>
      <w:ind w:firstLine="0" w:firstLineChars="0"/>
      <w:jc w:val="left"/>
    </w:pPr>
    <w:rPr>
      <w:rFonts w:ascii="宋体" w:hAnsi="宋体" w:cs="宋体"/>
      <w:kern w:val="0"/>
      <w:szCs w:val="24"/>
    </w:rPr>
  </w:style>
  <w:style w:type="paragraph" w:styleId="44">
    <w:name w:val="index 1"/>
    <w:basedOn w:val="1"/>
    <w:next w:val="1"/>
    <w:qFormat/>
    <w:uiPriority w:val="0"/>
    <w:pPr>
      <w:adjustRightInd/>
      <w:snapToGrid/>
      <w:spacing w:line="240" w:lineRule="auto"/>
      <w:ind w:firstLine="0" w:firstLineChars="0"/>
      <w:jc w:val="center"/>
    </w:pPr>
    <w:rPr>
      <w:rFonts w:cs="Times New Roman"/>
      <w:kern w:val="0"/>
      <w:szCs w:val="20"/>
    </w:rPr>
  </w:style>
  <w:style w:type="paragraph" w:styleId="45">
    <w:name w:val="Title"/>
    <w:basedOn w:val="1"/>
    <w:next w:val="1"/>
    <w:link w:val="68"/>
    <w:qFormat/>
    <w:uiPriority w:val="0"/>
    <w:pPr>
      <w:spacing w:before="50" w:beforeLines="50" w:after="50" w:afterLines="50"/>
      <w:ind w:firstLine="0" w:firstLineChars="0"/>
      <w:jc w:val="left"/>
      <w:outlineLvl w:val="2"/>
    </w:pPr>
    <w:rPr>
      <w:rFonts w:eastAsia="黑体" w:cstheme="majorBidi"/>
      <w:bCs/>
      <w:szCs w:val="32"/>
    </w:rPr>
  </w:style>
  <w:style w:type="paragraph" w:styleId="46">
    <w:name w:val="annotation subject"/>
    <w:basedOn w:val="19"/>
    <w:next w:val="19"/>
    <w:link w:val="211"/>
    <w:qFormat/>
    <w:uiPriority w:val="0"/>
    <w:pPr>
      <w:widowControl/>
      <w:adjustRightInd/>
      <w:snapToGrid/>
      <w:spacing w:line="240" w:lineRule="auto"/>
      <w:ind w:firstLine="0" w:firstLineChars="0"/>
    </w:pPr>
    <w:rPr>
      <w:rFonts w:ascii="宋体" w:cs="Times New Roman"/>
      <w:b/>
      <w:bCs/>
      <w:kern w:val="0"/>
      <w:sz w:val="20"/>
      <w:szCs w:val="20"/>
    </w:rPr>
  </w:style>
  <w:style w:type="paragraph" w:styleId="47">
    <w:name w:val="Body Text First Indent"/>
    <w:basedOn w:val="22"/>
    <w:link w:val="187"/>
    <w:qFormat/>
    <w:uiPriority w:val="0"/>
    <w:pPr>
      <w:adjustRightInd/>
      <w:snapToGrid/>
      <w:spacing w:before="78" w:beforeLines="25" w:after="78" w:afterLines="25" w:line="240" w:lineRule="auto"/>
      <w:ind w:firstLine="420" w:firstLineChars="100"/>
    </w:pPr>
    <w:rPr>
      <w:rFonts w:eastAsiaTheme="minorEastAsia"/>
      <w:sz w:val="21"/>
    </w:rPr>
  </w:style>
  <w:style w:type="paragraph" w:styleId="48">
    <w:name w:val="Body Text First Indent 2"/>
    <w:basedOn w:val="23"/>
    <w:link w:val="395"/>
    <w:semiHidden/>
    <w:unhideWhenUsed/>
    <w:qFormat/>
    <w:uiPriority w:val="99"/>
    <w:pPr>
      <w:adjustRightInd w:val="0"/>
      <w:snapToGrid w:val="0"/>
      <w:spacing w:after="120" w:line="360" w:lineRule="auto"/>
      <w:ind w:left="420" w:leftChars="200" w:firstLine="420" w:firstLineChars="200"/>
    </w:pPr>
    <w:rPr>
      <w:rFonts w:ascii="Times New Roman" w:hAnsi="Times New Roman" w:eastAsia="宋体"/>
      <w:sz w:val="24"/>
    </w:rPr>
  </w:style>
  <w:style w:type="table" w:styleId="50">
    <w:name w:val="Table Grid"/>
    <w:basedOn w:val="49"/>
    <w:qFormat/>
    <w:uiPriority w:val="0"/>
    <w:pPr>
      <w:adjustRightInd w:val="0"/>
      <w:snapToGrid w:val="0"/>
      <w:jc w:val="center"/>
    </w:pPr>
    <w:rPr>
      <w:rFonts w:ascii="Times New Roman" w:hAnsi="Times New Roman" w:eastAsia="宋体"/>
    </w:rPr>
    <w:tblPr>
      <w:jc w:val="center"/>
      <w:tblBorders>
        <w:top w:val="single" w:color="auto" w:sz="4" w:space="0"/>
        <w:bottom w:val="single" w:color="auto" w:sz="4" w:space="0"/>
        <w:insideH w:val="single" w:color="auto" w:sz="4" w:space="0"/>
        <w:insideV w:val="single" w:color="auto" w:sz="4" w:space="0"/>
      </w:tblBorders>
    </w:tblPr>
    <w:trPr>
      <w:jc w:val="center"/>
    </w:trPr>
    <w:tcPr>
      <w:vAlign w:val="center"/>
    </w:tcPr>
  </w:style>
  <w:style w:type="character" w:styleId="52">
    <w:name w:val="Strong"/>
    <w:qFormat/>
    <w:uiPriority w:val="22"/>
    <w:rPr>
      <w:rFonts w:ascii="Times New Roman" w:hAnsi="Times New Roman"/>
      <w:b/>
      <w:szCs w:val="20"/>
    </w:rPr>
  </w:style>
  <w:style w:type="character" w:styleId="53">
    <w:name w:val="page number"/>
    <w:qFormat/>
    <w:uiPriority w:val="0"/>
    <w:rPr>
      <w:rFonts w:ascii="方正美黑简体" w:hAnsi="宋体" w:eastAsia="方正美黑简体"/>
      <w:sz w:val="18"/>
      <w:szCs w:val="20"/>
    </w:rPr>
  </w:style>
  <w:style w:type="character" w:styleId="54">
    <w:name w:val="FollowedHyperlink"/>
    <w:qFormat/>
    <w:uiPriority w:val="0"/>
    <w:rPr>
      <w:rFonts w:ascii="Times New Roman" w:hAnsi="Times New Roman"/>
      <w:color w:val="000000"/>
      <w:szCs w:val="20"/>
      <w:u w:val="none"/>
    </w:rPr>
  </w:style>
  <w:style w:type="character" w:styleId="55">
    <w:name w:val="Emphasis"/>
    <w:qFormat/>
    <w:uiPriority w:val="0"/>
    <w:rPr>
      <w:color w:val="CC0033"/>
    </w:rPr>
  </w:style>
  <w:style w:type="character" w:styleId="56">
    <w:name w:val="HTML Definition"/>
    <w:qFormat/>
    <w:uiPriority w:val="0"/>
    <w:rPr>
      <w:rFonts w:ascii="Times New Roman" w:hAnsi="Times New Roman"/>
      <w:szCs w:val="20"/>
    </w:rPr>
  </w:style>
  <w:style w:type="character" w:styleId="57">
    <w:name w:val="HTML Acronym"/>
    <w:qFormat/>
    <w:uiPriority w:val="0"/>
    <w:rPr>
      <w:rFonts w:ascii="Times New Roman" w:hAnsi="Times New Roman"/>
      <w:szCs w:val="20"/>
    </w:rPr>
  </w:style>
  <w:style w:type="character" w:styleId="58">
    <w:name w:val="HTML Variable"/>
    <w:qFormat/>
    <w:uiPriority w:val="0"/>
    <w:rPr>
      <w:rFonts w:ascii="Times New Roman" w:hAnsi="Times New Roman"/>
      <w:szCs w:val="20"/>
    </w:rPr>
  </w:style>
  <w:style w:type="character" w:styleId="59">
    <w:name w:val="Hyperlink"/>
    <w:qFormat/>
    <w:uiPriority w:val="99"/>
    <w:rPr>
      <w:rFonts w:ascii="Times New Roman" w:hAnsi="Times New Roman"/>
      <w:color w:val="000000"/>
      <w:szCs w:val="20"/>
      <w:u w:val="none"/>
    </w:rPr>
  </w:style>
  <w:style w:type="character" w:styleId="60">
    <w:name w:val="HTML Code"/>
    <w:qFormat/>
    <w:uiPriority w:val="0"/>
    <w:rPr>
      <w:rFonts w:ascii="Courier New" w:hAnsi="Courier New" w:eastAsia="Courier New" w:cs="Courier New"/>
      <w:sz w:val="20"/>
      <w:szCs w:val="20"/>
    </w:rPr>
  </w:style>
  <w:style w:type="character" w:styleId="61">
    <w:name w:val="annotation reference"/>
    <w:qFormat/>
    <w:uiPriority w:val="0"/>
    <w:rPr>
      <w:rFonts w:ascii="Times New Roman" w:hAnsi="Times New Roman"/>
      <w:sz w:val="21"/>
      <w:szCs w:val="21"/>
    </w:rPr>
  </w:style>
  <w:style w:type="character" w:styleId="62">
    <w:name w:val="HTML Cite"/>
    <w:qFormat/>
    <w:uiPriority w:val="0"/>
    <w:rPr>
      <w:rFonts w:ascii="Times New Roman" w:hAnsi="Times New Roman"/>
      <w:szCs w:val="20"/>
    </w:rPr>
  </w:style>
  <w:style w:type="character" w:styleId="63">
    <w:name w:val="HTML Keyboard"/>
    <w:qFormat/>
    <w:uiPriority w:val="0"/>
    <w:rPr>
      <w:rFonts w:ascii="Courier New" w:hAnsi="Courier New" w:eastAsia="Courier New" w:cs="Courier New"/>
      <w:sz w:val="20"/>
      <w:szCs w:val="20"/>
    </w:rPr>
  </w:style>
  <w:style w:type="character" w:styleId="64">
    <w:name w:val="HTML Sample"/>
    <w:qFormat/>
    <w:uiPriority w:val="0"/>
    <w:rPr>
      <w:rFonts w:ascii="Courier New" w:hAnsi="Courier New" w:eastAsia="Courier New" w:cs="Courier New"/>
      <w:szCs w:val="20"/>
    </w:rPr>
  </w:style>
  <w:style w:type="character" w:customStyle="1" w:styleId="65">
    <w:name w:val="标题 1 字符"/>
    <w:basedOn w:val="51"/>
    <w:link w:val="4"/>
    <w:qFormat/>
    <w:uiPriority w:val="0"/>
    <w:rPr>
      <w:rFonts w:ascii="Times New Roman" w:hAnsi="Times New Roman" w:eastAsia="黑体"/>
      <w:sz w:val="32"/>
    </w:rPr>
  </w:style>
  <w:style w:type="character" w:customStyle="1" w:styleId="66">
    <w:name w:val="标题 2 字符"/>
    <w:basedOn w:val="51"/>
    <w:link w:val="5"/>
    <w:qFormat/>
    <w:uiPriority w:val="9"/>
    <w:rPr>
      <w:rFonts w:ascii="Times New Roman" w:hAnsi="Times New Roman" w:eastAsia="黑体" w:cstheme="majorBidi"/>
      <w:bCs/>
      <w:sz w:val="28"/>
      <w:szCs w:val="32"/>
    </w:rPr>
  </w:style>
  <w:style w:type="character" w:customStyle="1" w:styleId="67">
    <w:name w:val="标题 3 字符"/>
    <w:basedOn w:val="51"/>
    <w:link w:val="6"/>
    <w:qFormat/>
    <w:uiPriority w:val="0"/>
    <w:rPr>
      <w:rFonts w:ascii="Times New Roman" w:hAnsi="Times New Roman" w:eastAsia="黑体"/>
      <w:bCs/>
      <w:sz w:val="24"/>
      <w:szCs w:val="32"/>
    </w:rPr>
  </w:style>
  <w:style w:type="character" w:customStyle="1" w:styleId="68">
    <w:name w:val="标题 字符"/>
    <w:basedOn w:val="51"/>
    <w:link w:val="45"/>
    <w:qFormat/>
    <w:uiPriority w:val="10"/>
    <w:rPr>
      <w:rFonts w:ascii="Times New Roman" w:hAnsi="Times New Roman" w:eastAsia="黑体" w:cstheme="majorBidi"/>
      <w:bCs/>
      <w:sz w:val="24"/>
      <w:szCs w:val="32"/>
    </w:rPr>
  </w:style>
  <w:style w:type="paragraph" w:customStyle="1" w:styleId="69">
    <w:name w:val="表头"/>
    <w:basedOn w:val="38"/>
    <w:next w:val="26"/>
    <w:link w:val="72"/>
    <w:qFormat/>
    <w:uiPriority w:val="0"/>
    <w:pPr>
      <w:ind w:firstLine="0" w:firstLineChars="0"/>
      <w:jc w:val="center"/>
    </w:pPr>
    <w:rPr>
      <w:rFonts w:eastAsia="黑体"/>
    </w:rPr>
  </w:style>
  <w:style w:type="paragraph" w:customStyle="1" w:styleId="70">
    <w:name w:val="缩进2"/>
    <w:basedOn w:val="1"/>
    <w:qFormat/>
    <w:uiPriority w:val="0"/>
    <w:pPr>
      <w:ind w:firstLine="476" w:firstLineChars="200"/>
    </w:pPr>
  </w:style>
  <w:style w:type="paragraph" w:customStyle="1" w:styleId="71">
    <w:name w:val="表中文字"/>
    <w:basedOn w:val="69"/>
    <w:link w:val="73"/>
    <w:qFormat/>
    <w:uiPriority w:val="0"/>
    <w:pPr>
      <w:spacing w:line="240" w:lineRule="auto"/>
    </w:pPr>
    <w:rPr>
      <w:rFonts w:eastAsia="宋体"/>
      <w:sz w:val="21"/>
    </w:rPr>
  </w:style>
  <w:style w:type="character" w:customStyle="1" w:styleId="72">
    <w:name w:val="表头 字符"/>
    <w:basedOn w:val="51"/>
    <w:link w:val="69"/>
    <w:qFormat/>
    <w:uiPriority w:val="0"/>
    <w:rPr>
      <w:rFonts w:ascii="Times New Roman" w:hAnsi="Times New Roman" w:eastAsia="黑体"/>
      <w:sz w:val="24"/>
    </w:rPr>
  </w:style>
  <w:style w:type="character" w:customStyle="1" w:styleId="73">
    <w:name w:val="表中文字 字符"/>
    <w:basedOn w:val="72"/>
    <w:link w:val="71"/>
    <w:qFormat/>
    <w:uiPriority w:val="0"/>
    <w:rPr>
      <w:rFonts w:ascii="Times New Roman" w:hAnsi="Times New Roman" w:eastAsia="宋体"/>
      <w:sz w:val="24"/>
    </w:rPr>
  </w:style>
  <w:style w:type="character" w:customStyle="1" w:styleId="74">
    <w:name w:val="页眉 字符"/>
    <w:basedOn w:val="51"/>
    <w:link w:val="32"/>
    <w:qFormat/>
    <w:uiPriority w:val="99"/>
    <w:rPr>
      <w:rFonts w:ascii="Times New Roman" w:hAnsi="Times New Roman" w:eastAsia="宋体"/>
      <w:sz w:val="18"/>
      <w:szCs w:val="18"/>
    </w:rPr>
  </w:style>
  <w:style w:type="character" w:customStyle="1" w:styleId="75">
    <w:name w:val="页脚 字符"/>
    <w:basedOn w:val="51"/>
    <w:link w:val="31"/>
    <w:qFormat/>
    <w:uiPriority w:val="99"/>
    <w:rPr>
      <w:rFonts w:ascii="Times New Roman" w:hAnsi="Times New Roman" w:eastAsia="宋体"/>
      <w:sz w:val="18"/>
      <w:szCs w:val="18"/>
    </w:rPr>
  </w:style>
  <w:style w:type="table" w:customStyle="1" w:styleId="76">
    <w:name w:val="样式1"/>
    <w:basedOn w:val="49"/>
    <w:qFormat/>
    <w:uiPriority w:val="99"/>
    <w:tblPr>
      <w:tblBorders>
        <w:top w:val="single" w:color="auto" w:sz="4" w:space="0"/>
        <w:bottom w:val="single" w:color="auto" w:sz="4" w:space="0"/>
        <w:insideH w:val="single" w:color="auto" w:sz="4" w:space="0"/>
        <w:insideV w:val="single" w:color="auto" w:sz="4" w:space="0"/>
      </w:tblBorders>
    </w:tblPr>
  </w:style>
  <w:style w:type="character" w:customStyle="1" w:styleId="77">
    <w:name w:val="标题 4 字符"/>
    <w:basedOn w:val="51"/>
    <w:link w:val="7"/>
    <w:qFormat/>
    <w:uiPriority w:val="0"/>
    <w:rPr>
      <w:rFonts w:ascii="Times New Roman" w:hAnsi="Times New Roman" w:eastAsia="宋体" w:cs="Times New Roman"/>
      <w:sz w:val="24"/>
      <w:szCs w:val="20"/>
      <w:lang w:val="zh-CN" w:eastAsia="zh-CN"/>
    </w:rPr>
  </w:style>
  <w:style w:type="character" w:customStyle="1" w:styleId="78">
    <w:name w:val="标题 5 字符"/>
    <w:basedOn w:val="51"/>
    <w:link w:val="8"/>
    <w:qFormat/>
    <w:uiPriority w:val="0"/>
    <w:rPr>
      <w:rFonts w:ascii="Times New Roman" w:hAnsi="Times New Roman" w:eastAsia="宋体" w:cs="Times New Roman"/>
      <w:b/>
      <w:sz w:val="28"/>
      <w:szCs w:val="20"/>
      <w:lang w:val="zh-CN" w:eastAsia="zh-CN"/>
    </w:rPr>
  </w:style>
  <w:style w:type="character" w:customStyle="1" w:styleId="79">
    <w:name w:val="标题 6 字符"/>
    <w:basedOn w:val="51"/>
    <w:link w:val="10"/>
    <w:qFormat/>
    <w:uiPriority w:val="0"/>
    <w:rPr>
      <w:rFonts w:ascii="Arial" w:hAnsi="Arial" w:eastAsia="黑体" w:cs="Times New Roman"/>
      <w:b/>
      <w:sz w:val="24"/>
      <w:szCs w:val="20"/>
      <w:lang w:val="zh-CN" w:eastAsia="zh-CN"/>
    </w:rPr>
  </w:style>
  <w:style w:type="character" w:customStyle="1" w:styleId="80">
    <w:name w:val="标题 7 字符"/>
    <w:basedOn w:val="51"/>
    <w:link w:val="11"/>
    <w:qFormat/>
    <w:uiPriority w:val="0"/>
    <w:rPr>
      <w:rFonts w:ascii="Times New Roman" w:hAnsi="Times New Roman" w:eastAsia="宋体" w:cs="Times New Roman"/>
      <w:b/>
      <w:sz w:val="24"/>
      <w:szCs w:val="20"/>
      <w:lang w:val="zh-CN" w:eastAsia="zh-CN"/>
    </w:rPr>
  </w:style>
  <w:style w:type="character" w:customStyle="1" w:styleId="81">
    <w:name w:val="标题 8 字符"/>
    <w:basedOn w:val="51"/>
    <w:link w:val="12"/>
    <w:qFormat/>
    <w:uiPriority w:val="0"/>
    <w:rPr>
      <w:rFonts w:ascii="Arial" w:hAnsi="Arial" w:eastAsia="黑体" w:cs="Times New Roman"/>
      <w:sz w:val="24"/>
      <w:szCs w:val="20"/>
      <w:lang w:val="zh-CN" w:eastAsia="zh-CN"/>
    </w:rPr>
  </w:style>
  <w:style w:type="character" w:customStyle="1" w:styleId="82">
    <w:name w:val="标题 9 字符"/>
    <w:basedOn w:val="51"/>
    <w:link w:val="13"/>
    <w:qFormat/>
    <w:uiPriority w:val="0"/>
    <w:rPr>
      <w:rFonts w:ascii="Arial" w:hAnsi="Arial" w:eastAsia="黑体" w:cs="Times New Roman"/>
      <w:szCs w:val="20"/>
      <w:lang w:val="zh-CN" w:eastAsia="zh-CN"/>
    </w:rPr>
  </w:style>
  <w:style w:type="character" w:customStyle="1" w:styleId="83">
    <w:name w:val="正文文本最新 Char Char Char Char Char Char Char"/>
    <w:qFormat/>
    <w:uiPriority w:val="0"/>
    <w:rPr>
      <w:rFonts w:eastAsia="宋体"/>
      <w:kern w:val="2"/>
      <w:sz w:val="28"/>
      <w:lang w:val="en-US" w:eastAsia="zh-CN"/>
    </w:rPr>
  </w:style>
  <w:style w:type="character" w:customStyle="1" w:styleId="84">
    <w:name w:val="【正文】 Char"/>
    <w:link w:val="85"/>
    <w:qFormat/>
    <w:uiPriority w:val="0"/>
    <w:rPr>
      <w:rFonts w:ascii="Times New Roman" w:hAnsi="Times New Roman" w:eastAsia="宋体"/>
      <w:sz w:val="24"/>
    </w:rPr>
  </w:style>
  <w:style w:type="paragraph" w:customStyle="1" w:styleId="85">
    <w:name w:val="【正文】"/>
    <w:basedOn w:val="1"/>
    <w:next w:val="41"/>
    <w:link w:val="84"/>
    <w:qFormat/>
    <w:uiPriority w:val="0"/>
    <w:pPr>
      <w:adjustRightInd/>
      <w:snapToGrid/>
      <w:spacing w:line="500" w:lineRule="exact"/>
    </w:pPr>
  </w:style>
  <w:style w:type="character" w:customStyle="1" w:styleId="86">
    <w:name w:val="表格标题 Char Char"/>
    <w:link w:val="87"/>
    <w:qFormat/>
    <w:uiPriority w:val="0"/>
    <w:rPr>
      <w:rFonts w:ascii="宋体" w:hAnsi="宋体"/>
      <w:sz w:val="24"/>
    </w:rPr>
  </w:style>
  <w:style w:type="paragraph" w:customStyle="1" w:styleId="87">
    <w:name w:val="表格标题"/>
    <w:basedOn w:val="1"/>
    <w:link w:val="86"/>
    <w:qFormat/>
    <w:uiPriority w:val="0"/>
    <w:pPr>
      <w:adjustRightInd/>
      <w:snapToGrid/>
    </w:pPr>
    <w:rPr>
      <w:rFonts w:ascii="宋体" w:hAnsi="宋体" w:eastAsiaTheme="minorEastAsia"/>
    </w:rPr>
  </w:style>
  <w:style w:type="character" w:customStyle="1" w:styleId="88">
    <w:name w:val="标题 1 Char Char Char"/>
    <w:qFormat/>
    <w:uiPriority w:val="0"/>
    <w:rPr>
      <w:rFonts w:ascii="Times New Roman" w:hAnsi="Times New Roman"/>
      <w:b/>
      <w:kern w:val="44"/>
      <w:sz w:val="44"/>
    </w:rPr>
  </w:style>
  <w:style w:type="character" w:customStyle="1" w:styleId="89">
    <w:name w:val="hover73"/>
    <w:qFormat/>
    <w:uiPriority w:val="0"/>
    <w:rPr>
      <w:rFonts w:ascii="Times New Roman" w:hAnsi="Times New Roman"/>
      <w:color w:val="BA0000"/>
      <w:szCs w:val="20"/>
    </w:rPr>
  </w:style>
  <w:style w:type="character" w:customStyle="1" w:styleId="90">
    <w:name w:val="表文字居中 Char Char"/>
    <w:link w:val="91"/>
    <w:qFormat/>
    <w:uiPriority w:val="0"/>
    <w:rPr>
      <w:rFonts w:ascii="Arial" w:hAnsi="Arial"/>
    </w:rPr>
  </w:style>
  <w:style w:type="paragraph" w:customStyle="1" w:styleId="91">
    <w:name w:val="表文字居中"/>
    <w:link w:val="90"/>
    <w:qFormat/>
    <w:uiPriority w:val="0"/>
    <w:pPr>
      <w:adjustRightInd w:val="0"/>
      <w:spacing w:line="360" w:lineRule="auto"/>
      <w:jc w:val="center"/>
    </w:pPr>
    <w:rPr>
      <w:rFonts w:ascii="Arial" w:hAnsi="Arial" w:eastAsiaTheme="minorEastAsia" w:cstheme="minorBidi"/>
      <w:kern w:val="2"/>
      <w:sz w:val="21"/>
      <w:szCs w:val="22"/>
      <w:lang w:val="en-US" w:eastAsia="zh-CN" w:bidi="ar-SA"/>
    </w:rPr>
  </w:style>
  <w:style w:type="character" w:customStyle="1" w:styleId="92">
    <w:name w:val="HTML 预设格式 字符"/>
    <w:link w:val="42"/>
    <w:qFormat/>
    <w:uiPriority w:val="0"/>
    <w:rPr>
      <w:rFonts w:ascii="宋体" w:hAnsi="宋体"/>
      <w:sz w:val="24"/>
    </w:rPr>
  </w:style>
  <w:style w:type="character" w:customStyle="1" w:styleId="93">
    <w:name w:val="标题 6 Char1"/>
    <w:qFormat/>
    <w:uiPriority w:val="0"/>
    <w:rPr>
      <w:rFonts w:ascii="Cambria" w:hAnsi="Cambria" w:eastAsia="宋体" w:cs="Times New Roman"/>
      <w:b/>
      <w:bCs/>
      <w:kern w:val="2"/>
      <w:sz w:val="24"/>
      <w:szCs w:val="24"/>
    </w:rPr>
  </w:style>
  <w:style w:type="character" w:customStyle="1" w:styleId="94">
    <w:name w:val="font41"/>
    <w:qFormat/>
    <w:uiPriority w:val="0"/>
    <w:rPr>
      <w:rFonts w:hint="eastAsia" w:ascii="宋体" w:hAnsi="宋体" w:eastAsia="宋体" w:cs="宋体"/>
      <w:b/>
      <w:color w:val="000000"/>
      <w:sz w:val="20"/>
      <w:szCs w:val="20"/>
      <w:u w:val="none"/>
    </w:rPr>
  </w:style>
  <w:style w:type="character" w:customStyle="1" w:styleId="95">
    <w:name w:val="正文文本缩进 2 Char1"/>
    <w:qFormat/>
    <w:uiPriority w:val="0"/>
    <w:rPr>
      <w:kern w:val="2"/>
      <w:sz w:val="21"/>
    </w:rPr>
  </w:style>
  <w:style w:type="character" w:customStyle="1" w:styleId="96">
    <w:name w:val="标题 2 Char Char"/>
    <w:qFormat/>
    <w:uiPriority w:val="0"/>
    <w:rPr>
      <w:rFonts w:ascii="Cambria" w:hAnsi="Cambria" w:eastAsia="宋体" w:cs="Times New Roman"/>
      <w:b/>
      <w:bCs/>
      <w:kern w:val="2"/>
      <w:sz w:val="32"/>
      <w:szCs w:val="32"/>
    </w:rPr>
  </w:style>
  <w:style w:type="character" w:customStyle="1" w:styleId="97">
    <w:name w:val="highlight1"/>
    <w:qFormat/>
    <w:uiPriority w:val="0"/>
    <w:rPr>
      <w:sz w:val="19"/>
    </w:rPr>
  </w:style>
  <w:style w:type="character" w:customStyle="1" w:styleId="98">
    <w:name w:val="正文文本缩进 3 Char1"/>
    <w:qFormat/>
    <w:uiPriority w:val="0"/>
    <w:rPr>
      <w:kern w:val="2"/>
      <w:sz w:val="16"/>
      <w:szCs w:val="16"/>
    </w:rPr>
  </w:style>
  <w:style w:type="character" w:customStyle="1" w:styleId="99">
    <w:name w:val="ourfont2"/>
    <w:qFormat/>
    <w:uiPriority w:val="0"/>
  </w:style>
  <w:style w:type="character" w:customStyle="1" w:styleId="100">
    <w:name w:val="页脚 Char1"/>
    <w:qFormat/>
    <w:uiPriority w:val="0"/>
    <w:rPr>
      <w:kern w:val="2"/>
      <w:sz w:val="18"/>
      <w:szCs w:val="18"/>
    </w:rPr>
  </w:style>
  <w:style w:type="character" w:customStyle="1" w:styleId="101">
    <w:name w:val="l181"/>
    <w:qFormat/>
    <w:uiPriority w:val="0"/>
  </w:style>
  <w:style w:type="character" w:customStyle="1" w:styleId="102">
    <w:name w:val="正文首行缩进 Char Char Char"/>
    <w:link w:val="103"/>
    <w:qFormat/>
    <w:uiPriority w:val="0"/>
    <w:rPr>
      <w:rFonts w:ascii="Calibri" w:hAnsi="Calibri" w:eastAsia="宋体"/>
    </w:rPr>
  </w:style>
  <w:style w:type="paragraph" w:customStyle="1" w:styleId="103">
    <w:name w:val="正文首行缩进1"/>
    <w:basedOn w:val="22"/>
    <w:link w:val="102"/>
    <w:qFormat/>
    <w:uiPriority w:val="0"/>
    <w:pPr>
      <w:adjustRightInd/>
      <w:snapToGrid/>
      <w:spacing w:before="78" w:beforeLines="25" w:after="78" w:afterLines="25"/>
      <w:ind w:firstLine="420" w:firstLineChars="100"/>
    </w:pPr>
    <w:rPr>
      <w:rFonts w:ascii="Calibri" w:hAnsi="Calibri"/>
      <w:sz w:val="21"/>
    </w:rPr>
  </w:style>
  <w:style w:type="character" w:customStyle="1" w:styleId="104">
    <w:name w:val="样式 正文缩进首行缩进两字identication表正文正文非缩进 + 段前: 0.25 行 段后: 0.25 行 Char Char Char Char Char"/>
    <w:link w:val="105"/>
    <w:qFormat/>
    <w:uiPriority w:val="0"/>
    <w:rPr>
      <w:rFonts w:ascii="宋体" w:hAnsi="Courier New" w:cs="宋体"/>
      <w:spacing w:val="-2"/>
      <w:kern w:val="10"/>
      <w:sz w:val="24"/>
    </w:rPr>
  </w:style>
  <w:style w:type="paragraph" w:customStyle="1" w:styleId="105">
    <w:name w:val="样式 正文缩进首行缩进两字identication表正文正文非缩进 + 段前: 0.25 行 段后: 0.25 行"/>
    <w:basedOn w:val="9"/>
    <w:link w:val="104"/>
    <w:qFormat/>
    <w:uiPriority w:val="0"/>
    <w:pPr>
      <w:overflowPunct w:val="0"/>
      <w:autoSpaceDN w:val="0"/>
      <w:adjustRightInd w:val="0"/>
      <w:snapToGrid w:val="0"/>
      <w:spacing w:before="78" w:beforeLines="25" w:after="78" w:afterLines="25" w:line="360" w:lineRule="auto"/>
      <w:ind w:firstLine="482" w:firstLineChars="0"/>
      <w:jc w:val="left"/>
    </w:pPr>
    <w:rPr>
      <w:rFonts w:ascii="宋体" w:hAnsi="Courier New" w:cs="宋体"/>
      <w:spacing w:val="-2"/>
      <w:kern w:val="10"/>
      <w:sz w:val="24"/>
    </w:rPr>
  </w:style>
  <w:style w:type="character" w:customStyle="1" w:styleId="106">
    <w:name w:val="p141"/>
    <w:qFormat/>
    <w:uiPriority w:val="0"/>
    <w:rPr>
      <w:color w:val="333333"/>
      <w:sz w:val="20"/>
    </w:rPr>
  </w:style>
  <w:style w:type="character" w:customStyle="1" w:styleId="107">
    <w:name w:val="表体 Char Char"/>
    <w:qFormat/>
    <w:uiPriority w:val="0"/>
    <w:rPr>
      <w:rFonts w:eastAsia="仿宋_GB2312"/>
      <w:sz w:val="24"/>
      <w:lang w:val="en-US" w:eastAsia="zh-CN"/>
    </w:rPr>
  </w:style>
  <w:style w:type="character" w:customStyle="1" w:styleId="108">
    <w:name w:val="章节标题 Char1"/>
    <w:qFormat/>
    <w:uiPriority w:val="0"/>
    <w:rPr>
      <w:b/>
      <w:bCs/>
      <w:kern w:val="44"/>
      <w:sz w:val="44"/>
      <w:szCs w:val="44"/>
    </w:rPr>
  </w:style>
  <w:style w:type="character" w:customStyle="1" w:styleId="109">
    <w:name w:val="道路正文 Char"/>
    <w:link w:val="110"/>
    <w:qFormat/>
    <w:uiPriority w:val="0"/>
    <w:rPr>
      <w:rFonts w:ascii="Times New Roman" w:hAnsi="Times New Roman"/>
      <w:sz w:val="24"/>
      <w:szCs w:val="20"/>
    </w:rPr>
  </w:style>
  <w:style w:type="paragraph" w:customStyle="1" w:styleId="110">
    <w:name w:val="道路正文"/>
    <w:basedOn w:val="1"/>
    <w:link w:val="109"/>
    <w:qFormat/>
    <w:uiPriority w:val="0"/>
    <w:pPr>
      <w:spacing w:line="500" w:lineRule="exact"/>
    </w:pPr>
    <w:rPr>
      <w:rFonts w:eastAsiaTheme="minorEastAsia"/>
      <w:szCs w:val="20"/>
    </w:rPr>
  </w:style>
  <w:style w:type="character" w:customStyle="1" w:styleId="111">
    <w:name w:val="日期 Char1"/>
    <w:qFormat/>
    <w:uiPriority w:val="0"/>
    <w:rPr>
      <w:kern w:val="2"/>
      <w:sz w:val="21"/>
    </w:rPr>
  </w:style>
  <w:style w:type="character" w:customStyle="1" w:styleId="112">
    <w:name w:val="font11"/>
    <w:qFormat/>
    <w:uiPriority w:val="0"/>
    <w:rPr>
      <w:rFonts w:hint="eastAsia" w:ascii="宋体" w:hAnsi="宋体" w:eastAsia="宋体" w:cs="宋体"/>
      <w:b/>
      <w:color w:val="000000"/>
      <w:sz w:val="20"/>
      <w:szCs w:val="20"/>
      <w:u w:val="none"/>
    </w:rPr>
  </w:style>
  <w:style w:type="character" w:customStyle="1" w:styleId="113">
    <w:name w:val="正文(首行缩进) Char Char"/>
    <w:link w:val="114"/>
    <w:qFormat/>
    <w:uiPriority w:val="0"/>
    <w:rPr>
      <w:sz w:val="24"/>
      <w:szCs w:val="24"/>
    </w:rPr>
  </w:style>
  <w:style w:type="paragraph" w:customStyle="1" w:styleId="114">
    <w:name w:val="正文(首行缩进)"/>
    <w:basedOn w:val="1"/>
    <w:link w:val="113"/>
    <w:qFormat/>
    <w:uiPriority w:val="99"/>
    <w:pPr>
      <w:ind w:firstLine="200"/>
    </w:pPr>
    <w:rPr>
      <w:rFonts w:asciiTheme="minorHAnsi" w:hAnsiTheme="minorHAnsi" w:eastAsiaTheme="minorEastAsia"/>
      <w:szCs w:val="24"/>
    </w:rPr>
  </w:style>
  <w:style w:type="character" w:customStyle="1" w:styleId="115">
    <w:name w:val="正文文本 Char Char Char"/>
    <w:qFormat/>
    <w:uiPriority w:val="0"/>
    <w:rPr>
      <w:rFonts w:ascii="Calibri" w:hAnsi="Calibri" w:eastAsia="宋体"/>
      <w:kern w:val="2"/>
      <w:sz w:val="21"/>
      <w:szCs w:val="22"/>
      <w:lang w:val="en-US" w:eastAsia="zh-CN" w:bidi="ar-SA"/>
    </w:rPr>
  </w:style>
  <w:style w:type="character" w:customStyle="1" w:styleId="116">
    <w:name w:val="正文文本缩进 字符"/>
    <w:link w:val="23"/>
    <w:qFormat/>
    <w:uiPriority w:val="0"/>
    <w:rPr>
      <w:rFonts w:ascii="宋体" w:hAnsi="宋体"/>
      <w:sz w:val="28"/>
    </w:rPr>
  </w:style>
  <w:style w:type="character" w:customStyle="1" w:styleId="117">
    <w:name w:val="纯文本 Char Char"/>
    <w:qFormat/>
    <w:uiPriority w:val="0"/>
    <w:rPr>
      <w:rFonts w:ascii="宋体" w:hAnsi="Courier New" w:cs="Courier New"/>
      <w:kern w:val="2"/>
      <w:sz w:val="21"/>
      <w:szCs w:val="21"/>
    </w:rPr>
  </w:style>
  <w:style w:type="character" w:customStyle="1" w:styleId="118">
    <w:name w:val="页眉 Char1"/>
    <w:qFormat/>
    <w:uiPriority w:val="0"/>
    <w:rPr>
      <w:kern w:val="2"/>
      <w:sz w:val="18"/>
      <w:szCs w:val="18"/>
    </w:rPr>
  </w:style>
  <w:style w:type="character" w:customStyle="1" w:styleId="119">
    <w:name w:val="Char Char1"/>
    <w:qFormat/>
    <w:uiPriority w:val="0"/>
    <w:rPr>
      <w:rFonts w:hint="eastAsia" w:ascii="宋体" w:hAnsi="宋体" w:eastAsia="宋体"/>
      <w:kern w:val="2"/>
      <w:sz w:val="28"/>
      <w:lang w:val="en-US" w:eastAsia="zh-CN"/>
    </w:rPr>
  </w:style>
  <w:style w:type="character" w:customStyle="1" w:styleId="120">
    <w:name w:val="纯文本 Char Char Char"/>
    <w:qFormat/>
    <w:uiPriority w:val="0"/>
    <w:rPr>
      <w:rFonts w:ascii="宋体" w:hAnsi="Courier New"/>
      <w:kern w:val="2"/>
      <w:sz w:val="21"/>
    </w:rPr>
  </w:style>
  <w:style w:type="character" w:customStyle="1" w:styleId="121">
    <w:name w:val="标题 6 Char Char"/>
    <w:qFormat/>
    <w:uiPriority w:val="0"/>
    <w:rPr>
      <w:rFonts w:ascii="Arial" w:hAnsi="Arial" w:eastAsia="黑体"/>
      <w:b/>
      <w:kern w:val="2"/>
      <w:sz w:val="24"/>
    </w:rPr>
  </w:style>
  <w:style w:type="character" w:customStyle="1" w:styleId="122">
    <w:name w:val="Section Char"/>
    <w:qFormat/>
    <w:uiPriority w:val="0"/>
    <w:rPr>
      <w:rFonts w:eastAsia="黑体"/>
      <w:b/>
      <w:kern w:val="2"/>
      <w:sz w:val="28"/>
      <w:lang w:val="en-US" w:eastAsia="zh-CN"/>
    </w:rPr>
  </w:style>
  <w:style w:type="character" w:customStyle="1" w:styleId="123">
    <w:name w:val="报告书正文 Char Char"/>
    <w:qFormat/>
    <w:uiPriority w:val="0"/>
    <w:rPr>
      <w:rFonts w:eastAsia="宋体"/>
      <w:kern w:val="2"/>
      <w:sz w:val="24"/>
      <w:lang w:val="en-US" w:eastAsia="zh-CN"/>
    </w:rPr>
  </w:style>
  <w:style w:type="character" w:customStyle="1" w:styleId="124">
    <w:name w:val="正文道路 Char"/>
    <w:link w:val="125"/>
    <w:qFormat/>
    <w:uiPriority w:val="0"/>
    <w:rPr>
      <w:rFonts w:ascii="宋体" w:hAnsi="Times New Roman"/>
      <w:color w:val="000000"/>
      <w:sz w:val="24"/>
      <w:szCs w:val="20"/>
    </w:rPr>
  </w:style>
  <w:style w:type="paragraph" w:customStyle="1" w:styleId="125">
    <w:name w:val="正文道路"/>
    <w:basedOn w:val="1"/>
    <w:link w:val="124"/>
    <w:qFormat/>
    <w:uiPriority w:val="0"/>
    <w:pPr>
      <w:spacing w:line="500" w:lineRule="exact"/>
      <w:ind w:right="-25" w:firstLine="0" w:firstLineChars="0"/>
    </w:pPr>
    <w:rPr>
      <w:rFonts w:ascii="宋体" w:eastAsiaTheme="minorEastAsia"/>
      <w:color w:val="000000"/>
      <w:szCs w:val="20"/>
    </w:rPr>
  </w:style>
  <w:style w:type="character" w:customStyle="1" w:styleId="126">
    <w:name w:val="页眉 Char Char Char"/>
    <w:qFormat/>
    <w:uiPriority w:val="0"/>
    <w:rPr>
      <w:rFonts w:ascii="Calibri" w:hAnsi="Calibri"/>
      <w:sz w:val="18"/>
      <w:szCs w:val="18"/>
    </w:rPr>
  </w:style>
  <w:style w:type="character" w:customStyle="1" w:styleId="127">
    <w:name w:val="标题 9 Char Char"/>
    <w:qFormat/>
    <w:uiPriority w:val="0"/>
    <w:rPr>
      <w:rFonts w:ascii="Arial" w:hAnsi="Arial" w:eastAsia="黑体"/>
      <w:kern w:val="2"/>
      <w:sz w:val="21"/>
    </w:rPr>
  </w:style>
  <w:style w:type="character" w:customStyle="1" w:styleId="128">
    <w:name w:val="text_edit editable-title"/>
    <w:qFormat/>
    <w:uiPriority w:val="0"/>
  </w:style>
  <w:style w:type="character" w:customStyle="1" w:styleId="129">
    <w:name w:val="正文文本 2 Char1"/>
    <w:qFormat/>
    <w:uiPriority w:val="0"/>
    <w:rPr>
      <w:kern w:val="2"/>
      <w:sz w:val="21"/>
    </w:rPr>
  </w:style>
  <w:style w:type="character" w:customStyle="1" w:styleId="130">
    <w:name w:val="样式 正文缩进首行缩进两字identication表正文正文非缩进 + 段前: 0.25 行 段后: 0.25 行 Char Char Char Char"/>
    <w:link w:val="131"/>
    <w:qFormat/>
    <w:uiPriority w:val="0"/>
    <w:rPr>
      <w:rFonts w:ascii="宋体" w:hAnsi="Courier New" w:cs="宋体"/>
      <w:spacing w:val="-2"/>
      <w:kern w:val="10"/>
      <w:sz w:val="24"/>
    </w:rPr>
  </w:style>
  <w:style w:type="paragraph" w:customStyle="1" w:styleId="131">
    <w:name w:val="样式 正文缩进首行缩进两字identication表正文正文非缩进 + 段前: 0.25 行 段后: 0.25 行 Char Char"/>
    <w:basedOn w:val="9"/>
    <w:link w:val="130"/>
    <w:qFormat/>
    <w:uiPriority w:val="0"/>
    <w:pPr>
      <w:overflowPunct w:val="0"/>
      <w:autoSpaceDN w:val="0"/>
      <w:adjustRightInd w:val="0"/>
      <w:snapToGrid w:val="0"/>
      <w:spacing w:before="78" w:beforeLines="25" w:after="78" w:afterLines="25" w:line="360" w:lineRule="auto"/>
      <w:ind w:firstLine="482" w:firstLineChars="0"/>
      <w:jc w:val="left"/>
    </w:pPr>
    <w:rPr>
      <w:rFonts w:ascii="宋体" w:hAnsi="Courier New" w:cs="宋体"/>
      <w:spacing w:val="-2"/>
      <w:kern w:val="10"/>
      <w:sz w:val="24"/>
    </w:rPr>
  </w:style>
  <w:style w:type="character" w:customStyle="1" w:styleId="132">
    <w:name w:val="标题 7 Char1"/>
    <w:qFormat/>
    <w:uiPriority w:val="0"/>
    <w:rPr>
      <w:b/>
      <w:bCs/>
      <w:kern w:val="2"/>
      <w:sz w:val="24"/>
      <w:szCs w:val="24"/>
    </w:rPr>
  </w:style>
  <w:style w:type="character" w:customStyle="1" w:styleId="133">
    <w:name w:val="表格标题采用 Char Char Char"/>
    <w:link w:val="134"/>
    <w:qFormat/>
    <w:uiPriority w:val="0"/>
    <w:rPr>
      <w:rFonts w:ascii="黑体" w:hAnsi="Times New Roman" w:eastAsia="黑体"/>
      <w:szCs w:val="20"/>
    </w:rPr>
  </w:style>
  <w:style w:type="paragraph" w:customStyle="1" w:styleId="134">
    <w:name w:val="表格标题采用"/>
    <w:basedOn w:val="22"/>
    <w:link w:val="133"/>
    <w:qFormat/>
    <w:uiPriority w:val="0"/>
    <w:pPr>
      <w:adjustRightInd/>
      <w:snapToGrid/>
      <w:spacing w:before="78" w:beforeLines="25" w:after="0" w:line="460" w:lineRule="exact"/>
      <w:ind w:firstLine="200"/>
      <w:jc w:val="center"/>
    </w:pPr>
    <w:rPr>
      <w:rFonts w:ascii="黑体" w:eastAsia="黑体"/>
      <w:sz w:val="21"/>
      <w:szCs w:val="20"/>
    </w:rPr>
  </w:style>
  <w:style w:type="character" w:customStyle="1" w:styleId="135">
    <w:name w:val="标题 1 Char Char"/>
    <w:qFormat/>
    <w:uiPriority w:val="0"/>
    <w:rPr>
      <w:b/>
      <w:bCs/>
      <w:kern w:val="44"/>
      <w:sz w:val="44"/>
      <w:szCs w:val="44"/>
    </w:rPr>
  </w:style>
  <w:style w:type="character" w:customStyle="1" w:styleId="136">
    <w:name w:val="正文文本 3 字符"/>
    <w:link w:val="21"/>
    <w:qFormat/>
    <w:uiPriority w:val="0"/>
    <w:rPr>
      <w:rFonts w:ascii="Times New Roman" w:hAnsi="Times New Roman"/>
      <w:sz w:val="16"/>
    </w:rPr>
  </w:style>
  <w:style w:type="character" w:customStyle="1" w:styleId="137">
    <w:name w:val="text11"/>
    <w:qFormat/>
    <w:uiPriority w:val="0"/>
    <w:rPr>
      <w:sz w:val="20"/>
    </w:rPr>
  </w:style>
  <w:style w:type="character" w:customStyle="1" w:styleId="138">
    <w:name w:val="标题 7 Char Char"/>
    <w:qFormat/>
    <w:uiPriority w:val="0"/>
    <w:rPr>
      <w:rFonts w:ascii="Times New Roman" w:hAnsi="Times New Roman"/>
      <w:b/>
      <w:kern w:val="2"/>
      <w:sz w:val="24"/>
    </w:rPr>
  </w:style>
  <w:style w:type="character" w:customStyle="1" w:styleId="139">
    <w:name w:val="四级标题 Char"/>
    <w:link w:val="140"/>
    <w:qFormat/>
    <w:uiPriority w:val="0"/>
    <w:rPr>
      <w:rFonts w:ascii="Times New Roman" w:hAnsi="Times New Roman"/>
      <w:sz w:val="24"/>
      <w:szCs w:val="20"/>
    </w:rPr>
  </w:style>
  <w:style w:type="paragraph" w:customStyle="1" w:styleId="140">
    <w:name w:val="四级标题"/>
    <w:basedOn w:val="1"/>
    <w:link w:val="139"/>
    <w:qFormat/>
    <w:uiPriority w:val="0"/>
    <w:pPr>
      <w:adjustRightInd/>
      <w:snapToGrid/>
      <w:spacing w:line="500" w:lineRule="exact"/>
      <w:ind w:firstLine="0" w:firstLineChars="0"/>
    </w:pPr>
    <w:rPr>
      <w:rFonts w:eastAsiaTheme="minorEastAsia"/>
      <w:szCs w:val="20"/>
    </w:rPr>
  </w:style>
  <w:style w:type="character" w:customStyle="1" w:styleId="141">
    <w:name w:val="批注框文本 字符"/>
    <w:link w:val="30"/>
    <w:qFormat/>
    <w:uiPriority w:val="0"/>
    <w:rPr>
      <w:rFonts w:ascii="Times New Roman" w:hAnsi="Times New Roman"/>
      <w:sz w:val="18"/>
    </w:rPr>
  </w:style>
  <w:style w:type="character" w:customStyle="1" w:styleId="142">
    <w:name w:val="【表中文字】 Char"/>
    <w:link w:val="143"/>
    <w:qFormat/>
    <w:uiPriority w:val="0"/>
    <w:rPr>
      <w:rFonts w:ascii="Times New Roman" w:hAnsi="Times New Roman" w:eastAsia="宋体"/>
      <w:lang w:val="zh-CN" w:eastAsia="zh-CN"/>
    </w:rPr>
  </w:style>
  <w:style w:type="paragraph" w:customStyle="1" w:styleId="143">
    <w:name w:val="【表中文字】"/>
    <w:basedOn w:val="144"/>
    <w:link w:val="142"/>
    <w:qFormat/>
    <w:uiPriority w:val="0"/>
    <w:pPr>
      <w:spacing w:line="240" w:lineRule="auto"/>
      <w:ind w:firstLine="0" w:firstLineChars="0"/>
      <w:jc w:val="center"/>
    </w:pPr>
    <w:rPr>
      <w:sz w:val="21"/>
      <w:lang w:val="zh-CN" w:eastAsia="zh-CN"/>
    </w:rPr>
  </w:style>
  <w:style w:type="paragraph" w:customStyle="1" w:styleId="144">
    <w:name w:val=".表1-1-1内容"/>
    <w:basedOn w:val="1"/>
    <w:qFormat/>
    <w:uiPriority w:val="0"/>
    <w:pPr>
      <w:spacing w:line="300" w:lineRule="exact"/>
      <w:jc w:val="center"/>
    </w:pPr>
    <w:rPr>
      <w:kern w:val="0"/>
      <w:szCs w:val="21"/>
    </w:rPr>
  </w:style>
  <w:style w:type="character" w:customStyle="1" w:styleId="145">
    <w:name w:val="页码1"/>
    <w:qFormat/>
    <w:uiPriority w:val="0"/>
    <w:rPr>
      <w:rFonts w:ascii="Times New Roman" w:hAnsi="Times New Roman"/>
      <w:szCs w:val="20"/>
    </w:rPr>
  </w:style>
  <w:style w:type="character" w:customStyle="1" w:styleId="146">
    <w:name w:val="正文111 Char Char"/>
    <w:link w:val="147"/>
    <w:qFormat/>
    <w:uiPriority w:val="0"/>
    <w:rPr>
      <w:rFonts w:ascii="Times New Roman" w:hAnsi="Times New Roman" w:eastAsia="黑体"/>
      <w:spacing w:val="6"/>
      <w:sz w:val="24"/>
      <w:szCs w:val="24"/>
    </w:rPr>
  </w:style>
  <w:style w:type="paragraph" w:customStyle="1" w:styleId="147">
    <w:name w:val="正文111"/>
    <w:basedOn w:val="1"/>
    <w:link w:val="146"/>
    <w:qFormat/>
    <w:uiPriority w:val="0"/>
    <w:pPr>
      <w:adjustRightInd/>
      <w:snapToGrid/>
      <w:spacing w:line="500" w:lineRule="exact"/>
      <w:ind w:firstLine="0" w:firstLineChars="0"/>
      <w:jc w:val="center"/>
    </w:pPr>
    <w:rPr>
      <w:rFonts w:eastAsia="黑体"/>
      <w:spacing w:val="6"/>
      <w:szCs w:val="24"/>
    </w:rPr>
  </w:style>
  <w:style w:type="character" w:customStyle="1" w:styleId="148">
    <w:name w:val="标题 5 Char1"/>
    <w:qFormat/>
    <w:uiPriority w:val="0"/>
    <w:rPr>
      <w:b/>
      <w:bCs/>
      <w:kern w:val="2"/>
      <w:sz w:val="28"/>
      <w:szCs w:val="28"/>
    </w:rPr>
  </w:style>
  <w:style w:type="character" w:customStyle="1" w:styleId="149">
    <w:name w:val="标题 8 Char1"/>
    <w:qFormat/>
    <w:uiPriority w:val="0"/>
    <w:rPr>
      <w:rFonts w:ascii="Cambria" w:hAnsi="Cambria" w:eastAsia="宋体" w:cs="Times New Roman"/>
      <w:kern w:val="2"/>
      <w:sz w:val="24"/>
      <w:szCs w:val="24"/>
    </w:rPr>
  </w:style>
  <w:style w:type="character" w:customStyle="1" w:styleId="150">
    <w:name w:val="表 Char Char"/>
    <w:qFormat/>
    <w:uiPriority w:val="0"/>
    <w:rPr>
      <w:rFonts w:eastAsia="宋体"/>
      <w:kern w:val="2"/>
      <w:sz w:val="21"/>
      <w:lang w:val="en-US" w:eastAsia="zh-CN"/>
    </w:rPr>
  </w:style>
  <w:style w:type="character" w:customStyle="1" w:styleId="151">
    <w:name w:val="标题 4 Char Char"/>
    <w:qFormat/>
    <w:uiPriority w:val="0"/>
    <w:rPr>
      <w:rFonts w:ascii="Cambria" w:hAnsi="Cambria" w:eastAsia="宋体" w:cs="Times New Roman"/>
      <w:b/>
      <w:bCs/>
      <w:kern w:val="2"/>
      <w:sz w:val="28"/>
      <w:szCs w:val="28"/>
    </w:rPr>
  </w:style>
  <w:style w:type="character" w:customStyle="1" w:styleId="152">
    <w:name w:val="正文文本 字符"/>
    <w:qFormat/>
    <w:uiPriority w:val="0"/>
    <w:rPr>
      <w:kern w:val="2"/>
      <w:sz w:val="21"/>
      <w:szCs w:val="22"/>
    </w:rPr>
  </w:style>
  <w:style w:type="character" w:customStyle="1" w:styleId="153">
    <w:name w:val="页脚 字符1"/>
    <w:qFormat/>
    <w:uiPriority w:val="99"/>
    <w:rPr>
      <w:sz w:val="18"/>
      <w:szCs w:val="18"/>
    </w:rPr>
  </w:style>
  <w:style w:type="character" w:customStyle="1" w:styleId="154">
    <w:name w:val="正文缩进 Char Char"/>
    <w:qFormat/>
    <w:uiPriority w:val="0"/>
    <w:rPr>
      <w:rFonts w:ascii="Times New Roman" w:hAnsi="Times New Roman"/>
      <w:kern w:val="2"/>
      <w:sz w:val="21"/>
    </w:rPr>
  </w:style>
  <w:style w:type="character" w:customStyle="1" w:styleId="155">
    <w:name w:val="Subtle Emphasis"/>
    <w:qFormat/>
    <w:uiPriority w:val="19"/>
    <w:rPr>
      <w:rFonts w:ascii="Times New Roman" w:hAnsi="Times New Roman"/>
      <w:i/>
      <w:iCs/>
      <w:color w:val="808080"/>
      <w:szCs w:val="20"/>
    </w:rPr>
  </w:style>
  <w:style w:type="character" w:customStyle="1" w:styleId="156">
    <w:name w:val="标题 5 Char Char"/>
    <w:qFormat/>
    <w:uiPriority w:val="0"/>
    <w:rPr>
      <w:rFonts w:ascii="Times New Roman" w:hAnsi="Times New Roman"/>
      <w:b/>
      <w:kern w:val="2"/>
      <w:sz w:val="28"/>
    </w:rPr>
  </w:style>
  <w:style w:type="character" w:customStyle="1" w:styleId="157">
    <w:name w:val="常用标题 4 Char1"/>
    <w:qFormat/>
    <w:uiPriority w:val="0"/>
    <w:rPr>
      <w:rFonts w:ascii="Cambria" w:hAnsi="Cambria" w:eastAsia="宋体" w:cs="Times New Roman"/>
      <w:b/>
      <w:bCs/>
      <w:kern w:val="2"/>
      <w:sz w:val="28"/>
      <w:szCs w:val="28"/>
    </w:rPr>
  </w:style>
  <w:style w:type="character" w:customStyle="1" w:styleId="158">
    <w:name w:val="正文缩进 字符"/>
    <w:link w:val="9"/>
    <w:qFormat/>
    <w:uiPriority w:val="0"/>
    <w:rPr>
      <w:rFonts w:ascii="Times New Roman" w:hAnsi="Times New Roman"/>
    </w:rPr>
  </w:style>
  <w:style w:type="character" w:customStyle="1" w:styleId="159">
    <w:name w:val="正文文本缩进 3 字符"/>
    <w:link w:val="37"/>
    <w:qFormat/>
    <w:uiPriority w:val="0"/>
    <w:rPr>
      <w:rFonts w:ascii="宋体" w:hAnsi="宋体"/>
      <w:sz w:val="24"/>
    </w:rPr>
  </w:style>
  <w:style w:type="character" w:customStyle="1" w:styleId="160">
    <w:name w:val="正文文本 Char1"/>
    <w:qFormat/>
    <w:uiPriority w:val="0"/>
    <w:rPr>
      <w:kern w:val="2"/>
      <w:sz w:val="21"/>
    </w:rPr>
  </w:style>
  <w:style w:type="character" w:customStyle="1" w:styleId="161">
    <w:name w:val="Char Char3"/>
    <w:qFormat/>
    <w:uiPriority w:val="0"/>
    <w:rPr>
      <w:rFonts w:hint="default" w:ascii="Arial" w:hAnsi="Arial" w:eastAsia="黑体" w:cs="Arial"/>
      <w:b/>
      <w:kern w:val="2"/>
      <w:sz w:val="32"/>
      <w:lang w:val="en-US" w:eastAsia="zh-CN"/>
    </w:rPr>
  </w:style>
  <w:style w:type="character" w:customStyle="1" w:styleId="162">
    <w:name w:val="Char Char2"/>
    <w:qFormat/>
    <w:uiPriority w:val="0"/>
    <w:rPr>
      <w:rFonts w:hint="eastAsia" w:ascii="宋体" w:hAnsi="宋体" w:eastAsia="宋体"/>
      <w:b/>
      <w:kern w:val="2"/>
      <w:sz w:val="32"/>
      <w:lang w:val="en-US" w:eastAsia="zh-CN"/>
    </w:rPr>
  </w:style>
  <w:style w:type="character" w:customStyle="1" w:styleId="163">
    <w:name w:val="三级标题道路 Char"/>
    <w:link w:val="164"/>
    <w:qFormat/>
    <w:uiPriority w:val="0"/>
    <w:rPr>
      <w:rFonts w:ascii="黑体" w:hAnsi="黑体" w:eastAsia="黑体" w:cs="黑体"/>
      <w:color w:val="000000"/>
      <w:sz w:val="24"/>
    </w:rPr>
  </w:style>
  <w:style w:type="paragraph" w:customStyle="1" w:styleId="164">
    <w:name w:val="三级标题道路"/>
    <w:basedOn w:val="6"/>
    <w:link w:val="163"/>
    <w:qFormat/>
    <w:uiPriority w:val="0"/>
    <w:pPr>
      <w:keepNext w:val="0"/>
      <w:keepLines w:val="0"/>
      <w:tabs>
        <w:tab w:val="left" w:pos="547"/>
      </w:tabs>
      <w:jc w:val="both"/>
    </w:pPr>
    <w:rPr>
      <w:rFonts w:ascii="黑体" w:hAnsi="黑体" w:cs="黑体"/>
      <w:b/>
      <w:bCs w:val="0"/>
      <w:color w:val="000000"/>
      <w:szCs w:val="22"/>
    </w:rPr>
  </w:style>
  <w:style w:type="character" w:customStyle="1" w:styleId="165">
    <w:name w:val="表格内容 Char Char"/>
    <w:qFormat/>
    <w:uiPriority w:val="0"/>
    <w:rPr>
      <w:rFonts w:ascii="黑体" w:hAnsi="宋体" w:eastAsia="黑体"/>
      <w:w w:val="90"/>
      <w:sz w:val="24"/>
      <w:lang w:val="en-US" w:eastAsia="zh-CN"/>
    </w:rPr>
  </w:style>
  <w:style w:type="character" w:customStyle="1" w:styleId="166">
    <w:name w:val="三级标题 Char"/>
    <w:link w:val="167"/>
    <w:qFormat/>
    <w:uiPriority w:val="0"/>
    <w:rPr>
      <w:rFonts w:eastAsia="黑体" w:cs="黑体"/>
      <w:iCs/>
      <w:color w:val="000000"/>
      <w:sz w:val="24"/>
    </w:rPr>
  </w:style>
  <w:style w:type="paragraph" w:customStyle="1" w:styleId="167">
    <w:name w:val="三级标题"/>
    <w:basedOn w:val="6"/>
    <w:link w:val="166"/>
    <w:qFormat/>
    <w:uiPriority w:val="0"/>
    <w:pPr>
      <w:keepNext w:val="0"/>
      <w:keepLines w:val="0"/>
      <w:tabs>
        <w:tab w:val="left" w:pos="547"/>
      </w:tabs>
      <w:jc w:val="both"/>
    </w:pPr>
    <w:rPr>
      <w:rFonts w:cs="黑体" w:asciiTheme="minorHAnsi" w:hAnsiTheme="minorHAnsi"/>
      <w:b/>
      <w:bCs w:val="0"/>
      <w:iCs/>
      <w:color w:val="000000"/>
      <w:szCs w:val="22"/>
    </w:rPr>
  </w:style>
  <w:style w:type="character" w:customStyle="1" w:styleId="168">
    <w:name w:val="节标题 1.1 Char1"/>
    <w:qFormat/>
    <w:uiPriority w:val="0"/>
    <w:rPr>
      <w:rFonts w:ascii="Cambria" w:hAnsi="Cambria" w:eastAsia="宋体" w:cs="Times New Roman"/>
      <w:b/>
      <w:bCs/>
      <w:kern w:val="2"/>
      <w:sz w:val="32"/>
      <w:szCs w:val="32"/>
    </w:rPr>
  </w:style>
  <w:style w:type="character" w:customStyle="1" w:styleId="169">
    <w:name w:val="正文文本 3 Char1"/>
    <w:qFormat/>
    <w:uiPriority w:val="0"/>
    <w:rPr>
      <w:kern w:val="2"/>
      <w:sz w:val="16"/>
      <w:szCs w:val="16"/>
    </w:rPr>
  </w:style>
  <w:style w:type="character" w:customStyle="1" w:styleId="170">
    <w:name w:val="题注 字符"/>
    <w:link w:val="16"/>
    <w:qFormat/>
    <w:uiPriority w:val="0"/>
    <w:rPr>
      <w:rFonts w:eastAsia="黑体" w:asciiTheme="majorHAnsi" w:hAnsiTheme="majorHAnsi" w:cstheme="majorBidi"/>
      <w:sz w:val="20"/>
      <w:szCs w:val="20"/>
    </w:rPr>
  </w:style>
  <w:style w:type="character" w:customStyle="1" w:styleId="171">
    <w:name w:val="表头1 Char Char"/>
    <w:link w:val="172"/>
    <w:qFormat/>
    <w:uiPriority w:val="0"/>
    <w:rPr>
      <w:rFonts w:ascii="Times New Roman" w:hAnsi="Times New Roman" w:eastAsia="黑体"/>
      <w:szCs w:val="28"/>
    </w:rPr>
  </w:style>
  <w:style w:type="paragraph" w:customStyle="1" w:styleId="172">
    <w:name w:val="表头1"/>
    <w:basedOn w:val="1"/>
    <w:link w:val="171"/>
    <w:qFormat/>
    <w:uiPriority w:val="0"/>
    <w:pPr>
      <w:tabs>
        <w:tab w:val="left" w:pos="605"/>
      </w:tabs>
      <w:spacing w:line="240" w:lineRule="auto"/>
      <w:ind w:firstLine="0" w:firstLineChars="0"/>
      <w:jc w:val="center"/>
    </w:pPr>
    <w:rPr>
      <w:rFonts w:eastAsia="黑体"/>
      <w:sz w:val="21"/>
      <w:szCs w:val="28"/>
    </w:rPr>
  </w:style>
  <w:style w:type="character" w:customStyle="1" w:styleId="173">
    <w:name w:val="纯文本 Char Char Char1"/>
    <w:qFormat/>
    <w:uiPriority w:val="0"/>
    <w:rPr>
      <w:rFonts w:ascii="宋体" w:hAnsi="Courier New" w:eastAsia="宋体"/>
      <w:kern w:val="2"/>
      <w:sz w:val="21"/>
      <w:lang w:val="en-US" w:eastAsia="zh-CN"/>
    </w:rPr>
  </w:style>
  <w:style w:type="character" w:customStyle="1" w:styleId="174">
    <w:name w:val="标题 3 Char Char Char1"/>
    <w:qFormat/>
    <w:uiPriority w:val="0"/>
    <w:rPr>
      <w:rFonts w:eastAsia="宋体"/>
      <w:b/>
      <w:sz w:val="28"/>
      <w:lang w:val="en-US" w:eastAsia="zh-CN"/>
    </w:rPr>
  </w:style>
  <w:style w:type="character" w:customStyle="1" w:styleId="175">
    <w:name w:val="正文文本 2 字符"/>
    <w:link w:val="40"/>
    <w:qFormat/>
    <w:uiPriority w:val="0"/>
    <w:rPr>
      <w:rFonts w:ascii="宋体" w:hAnsi="宋体"/>
      <w:sz w:val="28"/>
    </w:rPr>
  </w:style>
  <w:style w:type="character" w:customStyle="1" w:styleId="176">
    <w:name w:val="表文字 Char Char"/>
    <w:link w:val="177"/>
    <w:qFormat/>
    <w:uiPriority w:val="0"/>
    <w:rPr>
      <w:rFonts w:ascii="Times New Roman" w:hAnsi="Times New Roman"/>
      <w:sz w:val="24"/>
    </w:rPr>
  </w:style>
  <w:style w:type="paragraph" w:customStyle="1" w:styleId="177">
    <w:name w:val="表文字"/>
    <w:basedOn w:val="1"/>
    <w:link w:val="176"/>
    <w:qFormat/>
    <w:uiPriority w:val="0"/>
    <w:pPr>
      <w:overflowPunct w:val="0"/>
      <w:autoSpaceDE w:val="0"/>
      <w:autoSpaceDN w:val="0"/>
      <w:snapToGrid/>
      <w:spacing w:line="240" w:lineRule="atLeast"/>
      <w:ind w:firstLine="0" w:firstLineChars="0"/>
      <w:jc w:val="center"/>
      <w:textAlignment w:val="baseline"/>
    </w:pPr>
    <w:rPr>
      <w:rFonts w:eastAsiaTheme="minorEastAsia"/>
    </w:rPr>
  </w:style>
  <w:style w:type="character" w:customStyle="1" w:styleId="178">
    <w:name w:val="标题 3 Char Char"/>
    <w:qFormat/>
    <w:uiPriority w:val="0"/>
    <w:rPr>
      <w:b/>
      <w:bCs/>
      <w:kern w:val="2"/>
      <w:sz w:val="32"/>
      <w:szCs w:val="32"/>
    </w:rPr>
  </w:style>
  <w:style w:type="character" w:customStyle="1" w:styleId="179">
    <w:name w:val="表头 道路 Char"/>
    <w:link w:val="180"/>
    <w:qFormat/>
    <w:uiPriority w:val="0"/>
    <w:rPr>
      <w:rFonts w:ascii="黑体" w:hAnsi="黑体" w:eastAsia="黑体" w:cs="黑体"/>
      <w:color w:val="000000"/>
      <w:sz w:val="24"/>
      <w:szCs w:val="20"/>
    </w:rPr>
  </w:style>
  <w:style w:type="paragraph" w:customStyle="1" w:styleId="180">
    <w:name w:val="表头 道路"/>
    <w:basedOn w:val="1"/>
    <w:link w:val="179"/>
    <w:qFormat/>
    <w:uiPriority w:val="0"/>
    <w:pPr>
      <w:adjustRightInd/>
      <w:snapToGrid/>
      <w:spacing w:line="500" w:lineRule="exact"/>
      <w:jc w:val="center"/>
    </w:pPr>
    <w:rPr>
      <w:rFonts w:ascii="黑体" w:hAnsi="黑体" w:eastAsia="黑体" w:cs="黑体"/>
      <w:color w:val="000000"/>
      <w:szCs w:val="20"/>
    </w:rPr>
  </w:style>
  <w:style w:type="character" w:customStyle="1" w:styleId="181">
    <w:name w:val="正文首行缩进 Char1"/>
    <w:qFormat/>
    <w:uiPriority w:val="0"/>
  </w:style>
  <w:style w:type="character" w:customStyle="1" w:styleId="182">
    <w:name w:val="二级标题 Char"/>
    <w:link w:val="183"/>
    <w:qFormat/>
    <w:uiPriority w:val="0"/>
    <w:rPr>
      <w:rFonts w:ascii="Arial" w:hAnsi="Arial" w:eastAsia="黑体" w:cs="黑体"/>
      <w:color w:val="000000"/>
      <w:sz w:val="28"/>
    </w:rPr>
  </w:style>
  <w:style w:type="paragraph" w:customStyle="1" w:styleId="183">
    <w:name w:val="二级标题"/>
    <w:basedOn w:val="5"/>
    <w:link w:val="182"/>
    <w:qFormat/>
    <w:uiPriority w:val="0"/>
    <w:pPr>
      <w:spacing w:before="120" w:beforeLines="50" w:after="120" w:afterLines="50"/>
      <w:jc w:val="both"/>
    </w:pPr>
    <w:rPr>
      <w:rFonts w:ascii="Arial" w:hAnsi="Arial" w:cs="黑体"/>
      <w:bCs w:val="0"/>
      <w:color w:val="000000"/>
      <w:szCs w:val="22"/>
    </w:rPr>
  </w:style>
  <w:style w:type="character" w:customStyle="1" w:styleId="184">
    <w:name w:val="普通文字 Char Char Char Char"/>
    <w:qFormat/>
    <w:uiPriority w:val="0"/>
    <w:rPr>
      <w:rFonts w:ascii="宋体" w:hAnsi="Courier New" w:eastAsia="宋体"/>
      <w:kern w:val="2"/>
      <w:sz w:val="21"/>
      <w:lang w:val="en-US" w:eastAsia="zh-CN"/>
    </w:rPr>
  </w:style>
  <w:style w:type="character" w:customStyle="1" w:styleId="185">
    <w:name w:val="批注框文本 Char1"/>
    <w:qFormat/>
    <w:uiPriority w:val="0"/>
    <w:rPr>
      <w:kern w:val="2"/>
      <w:sz w:val="18"/>
      <w:szCs w:val="18"/>
    </w:rPr>
  </w:style>
  <w:style w:type="character" w:customStyle="1" w:styleId="186">
    <w:name w:val="纯文本 字符"/>
    <w:link w:val="26"/>
    <w:qFormat/>
    <w:uiPriority w:val="0"/>
    <w:rPr>
      <w:rFonts w:ascii="宋体" w:hAnsi="Courier New"/>
    </w:rPr>
  </w:style>
  <w:style w:type="character" w:customStyle="1" w:styleId="187">
    <w:name w:val="正文文本首行缩进 字符"/>
    <w:link w:val="47"/>
    <w:qFormat/>
    <w:uiPriority w:val="0"/>
    <w:rPr>
      <w:rFonts w:ascii="Times New Roman" w:hAnsi="Times New Roman"/>
    </w:rPr>
  </w:style>
  <w:style w:type="character" w:customStyle="1" w:styleId="188">
    <w:name w:val="标题 9 Char1"/>
    <w:qFormat/>
    <w:uiPriority w:val="0"/>
    <w:rPr>
      <w:rFonts w:ascii="Cambria" w:hAnsi="Cambria" w:eastAsia="宋体" w:cs="Times New Roman"/>
      <w:kern w:val="2"/>
      <w:sz w:val="21"/>
      <w:szCs w:val="21"/>
    </w:rPr>
  </w:style>
  <w:style w:type="character" w:customStyle="1" w:styleId="189">
    <w:name w:val="日期 字符"/>
    <w:link w:val="28"/>
    <w:qFormat/>
    <w:uiPriority w:val="0"/>
    <w:rPr>
      <w:rFonts w:ascii="Times New Roman" w:hAnsi="Times New Roman"/>
      <w:sz w:val="28"/>
    </w:rPr>
  </w:style>
  <w:style w:type="character" w:customStyle="1" w:styleId="190">
    <w:name w:val="表格标题采用 Char Char"/>
    <w:qFormat/>
    <w:uiPriority w:val="0"/>
    <w:rPr>
      <w:rFonts w:ascii="黑体" w:hAnsi="宋体" w:eastAsia="黑体"/>
      <w:kern w:val="2"/>
      <w:sz w:val="24"/>
      <w:lang w:val="en-US" w:eastAsia="zh-CN"/>
    </w:rPr>
  </w:style>
  <w:style w:type="character" w:customStyle="1" w:styleId="191">
    <w:name w:val="文档结构图 字符"/>
    <w:link w:val="17"/>
    <w:qFormat/>
    <w:uiPriority w:val="0"/>
    <w:rPr>
      <w:rFonts w:ascii="Times New Roman" w:hAnsi="Times New Roman"/>
      <w:shd w:val="clear" w:color="auto" w:fill="000080"/>
    </w:rPr>
  </w:style>
  <w:style w:type="character" w:customStyle="1" w:styleId="192">
    <w:name w:val="表头 Char Char Char"/>
    <w:link w:val="193"/>
    <w:qFormat/>
    <w:uiPriority w:val="0"/>
    <w:rPr>
      <w:rFonts w:eastAsia="宋体"/>
      <w:sz w:val="28"/>
    </w:rPr>
  </w:style>
  <w:style w:type="paragraph" w:customStyle="1" w:styleId="193">
    <w:name w:val="表头2"/>
    <w:basedOn w:val="1"/>
    <w:link w:val="192"/>
    <w:qFormat/>
    <w:uiPriority w:val="0"/>
    <w:pPr>
      <w:adjustRightInd/>
      <w:snapToGrid/>
      <w:spacing w:before="120" w:line="300" w:lineRule="auto"/>
      <w:ind w:firstLine="540" w:firstLineChars="0"/>
      <w:jc w:val="center"/>
    </w:pPr>
    <w:rPr>
      <w:rFonts w:asciiTheme="minorHAnsi" w:hAnsiTheme="minorHAnsi"/>
      <w:sz w:val="28"/>
    </w:rPr>
  </w:style>
  <w:style w:type="character" w:customStyle="1" w:styleId="194">
    <w:name w:val="正文文本缩进 2 字符"/>
    <w:link w:val="29"/>
    <w:qFormat/>
    <w:uiPriority w:val="0"/>
    <w:rPr>
      <w:rFonts w:ascii="Times New Roman" w:hAnsi="Times New Roman"/>
      <w:sz w:val="24"/>
    </w:rPr>
  </w:style>
  <w:style w:type="character" w:customStyle="1" w:styleId="195">
    <w:name w:val="正文文本缩进 2 Char Char"/>
    <w:qFormat/>
    <w:uiPriority w:val="0"/>
    <w:rPr>
      <w:rFonts w:ascii="Times New Roman" w:hAnsi="Times New Roman"/>
      <w:kern w:val="2"/>
      <w:sz w:val="24"/>
    </w:rPr>
  </w:style>
  <w:style w:type="character" w:customStyle="1" w:styleId="196">
    <w:name w:val="标题 8 Char Char"/>
    <w:qFormat/>
    <w:uiPriority w:val="0"/>
    <w:rPr>
      <w:rFonts w:ascii="Arial" w:hAnsi="Arial" w:eastAsia="黑体"/>
      <w:kern w:val="2"/>
      <w:sz w:val="24"/>
    </w:rPr>
  </w:style>
  <w:style w:type="character" w:customStyle="1" w:styleId="197">
    <w:name w:val="正文（首行缩进两字） Char2"/>
    <w:qFormat/>
    <w:uiPriority w:val="0"/>
    <w:rPr>
      <w:rFonts w:eastAsia="宋体"/>
      <w:kern w:val="2"/>
      <w:sz w:val="28"/>
    </w:rPr>
  </w:style>
  <w:style w:type="character" w:customStyle="1" w:styleId="198">
    <w:name w:val="图名 Char Char"/>
    <w:qFormat/>
    <w:uiPriority w:val="0"/>
    <w:rPr>
      <w:rFonts w:eastAsia="黑体"/>
      <w:b/>
      <w:snapToGrid w:val="0"/>
      <w:spacing w:val="12"/>
      <w:sz w:val="24"/>
      <w:lang w:val="en-US" w:eastAsia="zh-CN"/>
    </w:rPr>
  </w:style>
  <w:style w:type="character" w:customStyle="1" w:styleId="199">
    <w:name w:val="font01"/>
    <w:qFormat/>
    <w:uiPriority w:val="0"/>
    <w:rPr>
      <w:rFonts w:hint="eastAsia" w:ascii="宋体" w:hAnsi="宋体" w:eastAsia="宋体" w:cs="宋体"/>
      <w:b/>
      <w:color w:val="000000"/>
      <w:sz w:val="20"/>
      <w:szCs w:val="20"/>
      <w:u w:val="none"/>
      <w:vertAlign w:val="superscript"/>
    </w:rPr>
  </w:style>
  <w:style w:type="character" w:customStyle="1" w:styleId="200">
    <w:name w:val="正文道路1 Char"/>
    <w:link w:val="201"/>
    <w:qFormat/>
    <w:uiPriority w:val="0"/>
    <w:rPr>
      <w:rFonts w:ascii="宋体" w:hAnsi="Times New Roman"/>
      <w:color w:val="000000"/>
      <w:sz w:val="24"/>
      <w:szCs w:val="20"/>
    </w:rPr>
  </w:style>
  <w:style w:type="paragraph" w:customStyle="1" w:styleId="201">
    <w:name w:val="正文道路1"/>
    <w:basedOn w:val="1"/>
    <w:link w:val="200"/>
    <w:qFormat/>
    <w:uiPriority w:val="0"/>
    <w:pPr>
      <w:spacing w:line="500" w:lineRule="exact"/>
    </w:pPr>
    <w:rPr>
      <w:rFonts w:ascii="宋体" w:eastAsiaTheme="minorEastAsia"/>
      <w:color w:val="000000"/>
      <w:szCs w:val="20"/>
    </w:rPr>
  </w:style>
  <w:style w:type="character" w:customStyle="1" w:styleId="202">
    <w:name w:val="headline-content2"/>
    <w:qFormat/>
    <w:uiPriority w:val="0"/>
  </w:style>
  <w:style w:type="character" w:customStyle="1" w:styleId="203">
    <w:name w:val="文档结构图 Char1"/>
    <w:qFormat/>
    <w:uiPriority w:val="0"/>
    <w:rPr>
      <w:rFonts w:ascii="宋体"/>
      <w:kern w:val="2"/>
      <w:sz w:val="18"/>
      <w:szCs w:val="18"/>
    </w:rPr>
  </w:style>
  <w:style w:type="character" w:customStyle="1" w:styleId="204">
    <w:name w:val="正文文本缩进 Char1"/>
    <w:qFormat/>
    <w:uiPriority w:val="0"/>
    <w:rPr>
      <w:kern w:val="2"/>
      <w:sz w:val="21"/>
    </w:rPr>
  </w:style>
  <w:style w:type="character" w:customStyle="1" w:styleId="205">
    <w:name w:val="【表头】 Char"/>
    <w:link w:val="206"/>
    <w:qFormat/>
    <w:uiPriority w:val="0"/>
    <w:rPr>
      <w:rFonts w:ascii="Times New Roman" w:hAnsi="Times New Roman" w:eastAsia="黑体"/>
      <w:sz w:val="24"/>
      <w:lang w:val="zh-CN" w:eastAsia="zh-CN"/>
    </w:rPr>
  </w:style>
  <w:style w:type="paragraph" w:customStyle="1" w:styleId="206">
    <w:name w:val="【表头】"/>
    <w:basedOn w:val="1"/>
    <w:link w:val="205"/>
    <w:qFormat/>
    <w:uiPriority w:val="0"/>
    <w:pPr>
      <w:spacing w:line="240" w:lineRule="auto"/>
      <w:ind w:firstLine="0" w:firstLineChars="0"/>
      <w:jc w:val="center"/>
    </w:pPr>
    <w:rPr>
      <w:rFonts w:eastAsia="黑体"/>
      <w:lang w:val="zh-CN" w:eastAsia="zh-CN"/>
    </w:rPr>
  </w:style>
  <w:style w:type="character" w:customStyle="1" w:styleId="207">
    <w:name w:val="正文zoe Char Char"/>
    <w:qFormat/>
    <w:uiPriority w:val="0"/>
    <w:rPr>
      <w:rFonts w:ascii="宋体" w:hAnsi="宋体" w:eastAsia="宋体"/>
      <w:sz w:val="24"/>
      <w:lang w:val="en-US" w:eastAsia="zh-CN"/>
    </w:rPr>
  </w:style>
  <w:style w:type="character" w:customStyle="1" w:styleId="208">
    <w:name w:val="font21"/>
    <w:qFormat/>
    <w:uiPriority w:val="0"/>
    <w:rPr>
      <w:rFonts w:hint="eastAsia" w:ascii="宋体" w:hAnsi="宋体" w:eastAsia="宋体" w:cs="宋体"/>
      <w:b/>
      <w:color w:val="000000"/>
      <w:sz w:val="20"/>
      <w:szCs w:val="20"/>
      <w:u w:val="none"/>
    </w:rPr>
  </w:style>
  <w:style w:type="character" w:customStyle="1" w:styleId="209">
    <w:name w:val="正文文本缩进 2 字符1"/>
    <w:basedOn w:val="51"/>
    <w:semiHidden/>
    <w:qFormat/>
    <w:uiPriority w:val="99"/>
    <w:rPr>
      <w:rFonts w:ascii="Times New Roman" w:hAnsi="Times New Roman" w:eastAsia="宋体"/>
      <w:sz w:val="24"/>
    </w:rPr>
  </w:style>
  <w:style w:type="character" w:customStyle="1" w:styleId="210">
    <w:name w:val="批注文字 字符"/>
    <w:basedOn w:val="51"/>
    <w:link w:val="19"/>
    <w:qFormat/>
    <w:uiPriority w:val="99"/>
    <w:rPr>
      <w:rFonts w:ascii="Times New Roman" w:hAnsi="Times New Roman" w:eastAsia="宋体"/>
      <w:sz w:val="24"/>
    </w:rPr>
  </w:style>
  <w:style w:type="character" w:customStyle="1" w:styleId="211">
    <w:name w:val="批注主题 字符"/>
    <w:basedOn w:val="210"/>
    <w:link w:val="46"/>
    <w:qFormat/>
    <w:uiPriority w:val="0"/>
    <w:rPr>
      <w:rFonts w:ascii="宋体" w:hAnsi="Times New Roman" w:eastAsia="宋体" w:cs="Times New Roman"/>
      <w:b/>
      <w:bCs/>
      <w:kern w:val="0"/>
      <w:sz w:val="20"/>
      <w:szCs w:val="20"/>
    </w:rPr>
  </w:style>
  <w:style w:type="character" w:customStyle="1" w:styleId="212">
    <w:name w:val="纯文本 字符1"/>
    <w:basedOn w:val="51"/>
    <w:semiHidden/>
    <w:qFormat/>
    <w:uiPriority w:val="0"/>
    <w:rPr>
      <w:rFonts w:hAnsi="Courier New" w:cs="Courier New" w:asciiTheme="minorEastAsia"/>
      <w:sz w:val="24"/>
    </w:rPr>
  </w:style>
  <w:style w:type="character" w:customStyle="1" w:styleId="213">
    <w:name w:val="文档结构图 字符1"/>
    <w:basedOn w:val="51"/>
    <w:semiHidden/>
    <w:qFormat/>
    <w:uiPriority w:val="99"/>
    <w:rPr>
      <w:rFonts w:ascii="Microsoft YaHei UI" w:hAnsi="Times New Roman" w:eastAsia="Microsoft YaHei UI"/>
      <w:sz w:val="18"/>
      <w:szCs w:val="18"/>
    </w:rPr>
  </w:style>
  <w:style w:type="character" w:customStyle="1" w:styleId="214">
    <w:name w:val="HTML 预设格式 字符1"/>
    <w:basedOn w:val="51"/>
    <w:semiHidden/>
    <w:qFormat/>
    <w:uiPriority w:val="99"/>
    <w:rPr>
      <w:rFonts w:ascii="Courier New" w:hAnsi="Courier New" w:eastAsia="宋体" w:cs="Courier New"/>
      <w:sz w:val="20"/>
      <w:szCs w:val="20"/>
    </w:rPr>
  </w:style>
  <w:style w:type="character" w:customStyle="1" w:styleId="215">
    <w:name w:val="正文文本 2 字符1"/>
    <w:basedOn w:val="51"/>
    <w:semiHidden/>
    <w:qFormat/>
    <w:uiPriority w:val="99"/>
    <w:rPr>
      <w:rFonts w:ascii="Times New Roman" w:hAnsi="Times New Roman" w:eastAsia="宋体"/>
      <w:sz w:val="24"/>
    </w:rPr>
  </w:style>
  <w:style w:type="character" w:customStyle="1" w:styleId="216">
    <w:name w:val="正文文本缩进 字符1"/>
    <w:basedOn w:val="51"/>
    <w:semiHidden/>
    <w:qFormat/>
    <w:uiPriority w:val="99"/>
    <w:rPr>
      <w:rFonts w:ascii="Times New Roman" w:hAnsi="Times New Roman" w:eastAsia="宋体"/>
      <w:sz w:val="24"/>
    </w:rPr>
  </w:style>
  <w:style w:type="character" w:customStyle="1" w:styleId="217">
    <w:name w:val="正文文本 字符1"/>
    <w:basedOn w:val="51"/>
    <w:link w:val="22"/>
    <w:qFormat/>
    <w:uiPriority w:val="0"/>
    <w:rPr>
      <w:rFonts w:ascii="Times New Roman" w:hAnsi="Times New Roman" w:eastAsia="宋体"/>
      <w:sz w:val="24"/>
    </w:rPr>
  </w:style>
  <w:style w:type="character" w:customStyle="1" w:styleId="218">
    <w:name w:val="正文首行缩进 字符1"/>
    <w:basedOn w:val="217"/>
    <w:semiHidden/>
    <w:qFormat/>
    <w:uiPriority w:val="99"/>
    <w:rPr>
      <w:rFonts w:ascii="Times New Roman" w:hAnsi="Times New Roman" w:eastAsia="宋体"/>
      <w:sz w:val="24"/>
    </w:rPr>
  </w:style>
  <w:style w:type="character" w:customStyle="1" w:styleId="219">
    <w:name w:val="正文文本缩进 3 字符1"/>
    <w:basedOn w:val="51"/>
    <w:semiHidden/>
    <w:qFormat/>
    <w:uiPriority w:val="99"/>
    <w:rPr>
      <w:rFonts w:ascii="Times New Roman" w:hAnsi="Times New Roman" w:eastAsia="宋体"/>
      <w:sz w:val="16"/>
      <w:szCs w:val="16"/>
    </w:rPr>
  </w:style>
  <w:style w:type="character" w:customStyle="1" w:styleId="220">
    <w:name w:val="正文文本 3 字符1"/>
    <w:basedOn w:val="51"/>
    <w:semiHidden/>
    <w:qFormat/>
    <w:uiPriority w:val="99"/>
    <w:rPr>
      <w:rFonts w:ascii="Times New Roman" w:hAnsi="Times New Roman" w:eastAsia="宋体"/>
      <w:sz w:val="16"/>
      <w:szCs w:val="16"/>
    </w:rPr>
  </w:style>
  <w:style w:type="character" w:customStyle="1" w:styleId="221">
    <w:name w:val="批注框文本 字符1"/>
    <w:basedOn w:val="51"/>
    <w:semiHidden/>
    <w:qFormat/>
    <w:uiPriority w:val="99"/>
    <w:rPr>
      <w:rFonts w:ascii="Times New Roman" w:hAnsi="Times New Roman" w:eastAsia="宋体"/>
      <w:sz w:val="18"/>
      <w:szCs w:val="18"/>
    </w:rPr>
  </w:style>
  <w:style w:type="character" w:customStyle="1" w:styleId="222">
    <w:name w:val="日期 字符1"/>
    <w:basedOn w:val="51"/>
    <w:semiHidden/>
    <w:qFormat/>
    <w:uiPriority w:val="99"/>
    <w:rPr>
      <w:rFonts w:ascii="Times New Roman" w:hAnsi="Times New Roman" w:eastAsia="宋体"/>
      <w:sz w:val="24"/>
    </w:rPr>
  </w:style>
  <w:style w:type="paragraph" w:customStyle="1" w:styleId="223">
    <w:name w:val="Char Char Char Char Char Char Char Char Char Char"/>
    <w:basedOn w:val="1"/>
    <w:qFormat/>
    <w:uiPriority w:val="0"/>
    <w:pPr>
      <w:adjustRightInd/>
      <w:snapToGrid/>
      <w:spacing w:line="240" w:lineRule="auto"/>
      <w:ind w:firstLine="0" w:firstLineChars="0"/>
    </w:pPr>
    <w:rPr>
      <w:rFonts w:cs="Times New Roman"/>
      <w:kern w:val="0"/>
      <w:szCs w:val="20"/>
    </w:rPr>
  </w:style>
  <w:style w:type="paragraph" w:customStyle="1" w:styleId="224">
    <w:name w:val="表头文字"/>
    <w:basedOn w:val="1"/>
    <w:qFormat/>
    <w:uiPriority w:val="0"/>
    <w:pPr>
      <w:snapToGrid/>
      <w:ind w:firstLine="0" w:firstLineChars="0"/>
      <w:jc w:val="center"/>
    </w:pPr>
    <w:rPr>
      <w:rFonts w:cs="Times New Roman"/>
      <w:kern w:val="0"/>
      <w:sz w:val="28"/>
      <w:szCs w:val="20"/>
    </w:rPr>
  </w:style>
  <w:style w:type="paragraph" w:customStyle="1" w:styleId="225">
    <w:name w:val="表格内容左"/>
    <w:basedOn w:val="226"/>
    <w:qFormat/>
    <w:uiPriority w:val="0"/>
    <w:pPr>
      <w:jc w:val="right"/>
      <w:outlineLvl w:val="9"/>
    </w:pPr>
    <w:rPr>
      <w:w w:val="100"/>
      <w:sz w:val="18"/>
    </w:rPr>
  </w:style>
  <w:style w:type="paragraph" w:customStyle="1" w:styleId="226">
    <w:name w:val="表格内容"/>
    <w:basedOn w:val="1"/>
    <w:qFormat/>
    <w:uiPriority w:val="0"/>
    <w:pPr>
      <w:adjustRightInd/>
      <w:snapToGrid/>
      <w:ind w:firstLine="0" w:firstLineChars="0"/>
      <w:outlineLvl w:val="0"/>
    </w:pPr>
    <w:rPr>
      <w:rFonts w:ascii="黑体" w:hAnsi="宋体" w:eastAsia="黑体" w:cs="Times New Roman"/>
      <w:w w:val="90"/>
      <w:kern w:val="0"/>
      <w:szCs w:val="20"/>
    </w:rPr>
  </w:style>
  <w:style w:type="paragraph" w:customStyle="1" w:styleId="227">
    <w:name w:val="报告节标题"/>
    <w:basedOn w:val="5"/>
    <w:next w:val="1"/>
    <w:qFormat/>
    <w:uiPriority w:val="0"/>
    <w:pPr>
      <w:numPr>
        <w:ilvl w:val="1"/>
        <w:numId w:val="1"/>
      </w:numPr>
      <w:spacing w:before="240" w:after="240" w:line="400" w:lineRule="exact"/>
      <w:jc w:val="center"/>
    </w:pPr>
    <w:rPr>
      <w:rFonts w:cs="Times New Roman"/>
      <w:b/>
      <w:bCs w:val="0"/>
      <w:sz w:val="30"/>
      <w:szCs w:val="20"/>
      <w:lang w:val="zh-CN" w:eastAsia="zh-CN"/>
    </w:rPr>
  </w:style>
  <w:style w:type="paragraph" w:customStyle="1" w:styleId="228">
    <w:name w:val="刘昕正文"/>
    <w:basedOn w:val="1"/>
    <w:qFormat/>
    <w:uiPriority w:val="0"/>
    <w:pPr>
      <w:adjustRightInd/>
      <w:snapToGrid/>
      <w:spacing w:line="500" w:lineRule="exact"/>
      <w:ind w:firstLine="200"/>
    </w:pPr>
    <w:rPr>
      <w:rFonts w:cs="Times New Roman"/>
      <w:kern w:val="0"/>
      <w:szCs w:val="20"/>
    </w:rPr>
  </w:style>
  <w:style w:type="paragraph" w:customStyle="1" w:styleId="229">
    <w:name w:val="表苡"/>
    <w:basedOn w:val="1"/>
    <w:qFormat/>
    <w:uiPriority w:val="0"/>
    <w:pPr>
      <w:wordWrap w:val="0"/>
      <w:adjustRightInd/>
      <w:snapToGrid/>
      <w:spacing w:line="240" w:lineRule="exact"/>
      <w:ind w:firstLine="0" w:firstLineChars="0"/>
      <w:jc w:val="center"/>
    </w:pPr>
    <w:rPr>
      <w:rFonts w:ascii="宋体" w:hAnsi="宋体" w:cs="Times New Roman"/>
      <w:kern w:val="0"/>
      <w:sz w:val="18"/>
      <w:szCs w:val="21"/>
    </w:rPr>
  </w:style>
  <w:style w:type="paragraph" w:customStyle="1" w:styleId="230">
    <w:name w:val="样式 样式 样式 样式 正文首行缩进 2 Char + 首行缩进:  2 字符 段后: 0.5 行 + 首行缩进:  2 字符 ..."/>
    <w:basedOn w:val="1"/>
    <w:qFormat/>
    <w:uiPriority w:val="0"/>
    <w:pPr>
      <w:widowControl/>
      <w:adjustRightInd/>
      <w:snapToGrid/>
      <w:spacing w:afterLines="50" w:line="440" w:lineRule="exact"/>
      <w:ind w:firstLine="0" w:firstLineChars="0"/>
    </w:pPr>
    <w:rPr>
      <w:rFonts w:ascii="宋体" w:hAnsi="宋体" w:cs="宋体"/>
      <w:kern w:val="0"/>
      <w:szCs w:val="20"/>
    </w:rPr>
  </w:style>
  <w:style w:type="paragraph" w:customStyle="1" w:styleId="231">
    <w:name w:val="文本条款"/>
    <w:basedOn w:val="1"/>
    <w:next w:val="1"/>
    <w:qFormat/>
    <w:uiPriority w:val="0"/>
    <w:pPr>
      <w:adjustRightInd/>
      <w:snapToGrid/>
      <w:spacing w:line="480" w:lineRule="exact"/>
      <w:ind w:firstLine="560" w:firstLineChars="0"/>
    </w:pPr>
    <w:rPr>
      <w:rFonts w:ascii="宋体" w:cs="Times New Roman"/>
      <w:kern w:val="0"/>
      <w:sz w:val="28"/>
      <w:szCs w:val="20"/>
    </w:rPr>
  </w:style>
  <w:style w:type="paragraph" w:customStyle="1" w:styleId="232">
    <w:name w:val="图表文字"/>
    <w:qFormat/>
    <w:uiPriority w:val="0"/>
    <w:pPr>
      <w:jc w:val="center"/>
    </w:pPr>
    <w:rPr>
      <w:rFonts w:ascii="Times New Roman" w:hAnsi="Times New Roman" w:eastAsia="仿宋_GB2312" w:cs="Times New Roman"/>
      <w:kern w:val="2"/>
      <w:sz w:val="21"/>
      <w:szCs w:val="20"/>
      <w:lang w:val="en-US" w:eastAsia="zh-CN" w:bidi="ar-SA"/>
    </w:rPr>
  </w:style>
  <w:style w:type="paragraph" w:customStyle="1" w:styleId="233">
    <w:name w:val="Char Char1 Char"/>
    <w:basedOn w:val="1"/>
    <w:next w:val="1"/>
    <w:qFormat/>
    <w:uiPriority w:val="0"/>
    <w:pPr>
      <w:adjustRightInd/>
      <w:snapToGrid/>
      <w:ind w:firstLine="200"/>
    </w:pPr>
    <w:rPr>
      <w:rFonts w:ascii="宋体" w:hAnsi="宋体" w:cs="Times New Roman"/>
      <w:kern w:val="0"/>
      <w:szCs w:val="20"/>
    </w:rPr>
  </w:style>
  <w:style w:type="paragraph" w:customStyle="1" w:styleId="234">
    <w:name w:val="样式 正文文字 2 + Times New Roman 自动设置 左 行距: 最小值 25 磅"/>
    <w:basedOn w:val="1"/>
    <w:qFormat/>
    <w:uiPriority w:val="0"/>
    <w:pPr>
      <w:adjustRightInd/>
      <w:snapToGrid/>
      <w:spacing w:line="500" w:lineRule="exact"/>
      <w:ind w:firstLine="200"/>
      <w:jc w:val="left"/>
    </w:pPr>
    <w:rPr>
      <w:rFonts w:cs="Times New Roman"/>
      <w:kern w:val="0"/>
      <w:sz w:val="28"/>
      <w:szCs w:val="20"/>
    </w:rPr>
  </w:style>
  <w:style w:type="paragraph" w:customStyle="1" w:styleId="235">
    <w:name w:val="报告章标题"/>
    <w:basedOn w:val="4"/>
    <w:next w:val="1"/>
    <w:qFormat/>
    <w:uiPriority w:val="0"/>
    <w:pPr>
      <w:keepNext/>
      <w:keepLines/>
      <w:numPr>
        <w:ilvl w:val="0"/>
        <w:numId w:val="1"/>
      </w:numPr>
      <w:spacing w:before="360" w:after="360" w:line="400" w:lineRule="exact"/>
      <w:jc w:val="center"/>
    </w:pPr>
    <w:rPr>
      <w:rFonts w:cs="Times New Roman"/>
      <w:b/>
      <w:kern w:val="44"/>
      <w:szCs w:val="20"/>
      <w:lang w:val="zh-CN" w:eastAsia="zh-CN"/>
    </w:rPr>
  </w:style>
  <w:style w:type="paragraph" w:customStyle="1" w:styleId="236">
    <w:name w:val="表格1"/>
    <w:basedOn w:val="1"/>
    <w:qFormat/>
    <w:uiPriority w:val="0"/>
    <w:pPr>
      <w:snapToGrid/>
      <w:spacing w:line="20" w:lineRule="atLeast"/>
      <w:ind w:firstLine="0" w:firstLineChars="0"/>
      <w:jc w:val="center"/>
      <w:textAlignment w:val="center"/>
    </w:pPr>
    <w:rPr>
      <w:rFonts w:ascii="宋体" w:cs="Times New Roman"/>
      <w:kern w:val="0"/>
      <w:szCs w:val="20"/>
    </w:rPr>
  </w:style>
  <w:style w:type="paragraph" w:customStyle="1" w:styleId="237">
    <w:name w:val="样式 首行缩进:  2 字符"/>
    <w:basedOn w:val="1"/>
    <w:qFormat/>
    <w:uiPriority w:val="0"/>
    <w:pPr>
      <w:widowControl/>
      <w:topLinePunct/>
      <w:autoSpaceDE w:val="0"/>
      <w:autoSpaceDN w:val="0"/>
      <w:snapToGrid/>
      <w:jc w:val="left"/>
    </w:pPr>
    <w:rPr>
      <w:rFonts w:ascii="宋体" w:cs="宋体"/>
      <w:snapToGrid w:val="0"/>
      <w:kern w:val="0"/>
      <w:szCs w:val="20"/>
      <w:lang w:eastAsia="en-US" w:bidi="en-US"/>
    </w:rPr>
  </w:style>
  <w:style w:type="paragraph" w:customStyle="1" w:styleId="238">
    <w:name w:val="Char Char Char Char Char Char Char Char Char Char Char Char"/>
    <w:basedOn w:val="1"/>
    <w:qFormat/>
    <w:uiPriority w:val="0"/>
    <w:pPr>
      <w:adjustRightInd/>
      <w:snapToGrid/>
      <w:spacing w:line="240" w:lineRule="auto"/>
      <w:ind w:firstLine="0" w:firstLineChars="0"/>
    </w:pPr>
    <w:rPr>
      <w:rFonts w:cs="Times New Roman"/>
      <w:kern w:val="0"/>
      <w:szCs w:val="20"/>
    </w:rPr>
  </w:style>
  <w:style w:type="paragraph" w:customStyle="1" w:styleId="239">
    <w:name w:val="xl34"/>
    <w:basedOn w:val="1"/>
    <w:qFormat/>
    <w:uiPriority w:val="0"/>
    <w:pPr>
      <w:widowControl/>
      <w:pBdr>
        <w:top w:val="single" w:color="auto" w:sz="4" w:space="0"/>
        <w:left w:val="single" w:color="auto" w:sz="4" w:space="0"/>
      </w:pBdr>
      <w:adjustRightInd/>
      <w:snapToGrid/>
      <w:spacing w:before="100" w:beforeAutospacing="1" w:after="100" w:afterAutospacing="1" w:line="240" w:lineRule="auto"/>
      <w:ind w:firstLine="0" w:firstLineChars="0"/>
      <w:jc w:val="center"/>
    </w:pPr>
    <w:rPr>
      <w:rFonts w:ascii="宋体" w:hAnsi="宋体" w:cs="Times New Roman"/>
      <w:kern w:val="0"/>
      <w:szCs w:val="20"/>
    </w:rPr>
  </w:style>
  <w:style w:type="paragraph" w:customStyle="1" w:styleId="240">
    <w:name w:val="Char1 Char Char Char Char Char Char"/>
    <w:basedOn w:val="1"/>
    <w:qFormat/>
    <w:uiPriority w:val="0"/>
    <w:pPr>
      <w:adjustRightInd/>
      <w:ind w:firstLine="200"/>
    </w:pPr>
    <w:rPr>
      <w:rFonts w:eastAsia="仿宋_GB2312" w:cs="Times New Roman"/>
      <w:kern w:val="0"/>
      <w:szCs w:val="20"/>
    </w:rPr>
  </w:style>
  <w:style w:type="paragraph" w:customStyle="1" w:styleId="241">
    <w:name w:val="偶数页脚"/>
    <w:basedOn w:val="31"/>
    <w:qFormat/>
    <w:uiPriority w:val="0"/>
    <w:pPr>
      <w:adjustRightInd/>
      <w:ind w:firstLine="0" w:firstLineChars="0"/>
      <w:jc w:val="both"/>
    </w:pPr>
    <w:rPr>
      <w:rFonts w:cs="Times New Roman"/>
      <w:kern w:val="0"/>
      <w:lang w:val="zh-CN" w:eastAsia="zh-CN"/>
    </w:rPr>
  </w:style>
  <w:style w:type="paragraph" w:customStyle="1" w:styleId="242">
    <w:name w:val="报告正文"/>
    <w:basedOn w:val="1"/>
    <w:qFormat/>
    <w:uiPriority w:val="0"/>
    <w:pPr>
      <w:adjustRightInd/>
      <w:snapToGrid/>
      <w:spacing w:before="50"/>
      <w:ind w:firstLine="540" w:firstLineChars="0"/>
    </w:pPr>
    <w:rPr>
      <w:rFonts w:cs="Times New Roman"/>
      <w:kern w:val="0"/>
      <w:szCs w:val="20"/>
    </w:rPr>
  </w:style>
  <w:style w:type="paragraph" w:customStyle="1" w:styleId="243">
    <w:name w:val="表格内容小"/>
    <w:basedOn w:val="226"/>
    <w:qFormat/>
    <w:uiPriority w:val="0"/>
    <w:pPr>
      <w:outlineLvl w:val="9"/>
    </w:pPr>
    <w:rPr>
      <w:w w:val="100"/>
      <w:sz w:val="18"/>
    </w:rPr>
  </w:style>
  <w:style w:type="paragraph" w:customStyle="1" w:styleId="244">
    <w:name w:val="页脚1"/>
    <w:basedOn w:val="1"/>
    <w:qFormat/>
    <w:uiPriority w:val="99"/>
    <w:pPr>
      <w:pBdr>
        <w:top w:val="single" w:color="auto" w:sz="4" w:space="1"/>
      </w:pBdr>
      <w:tabs>
        <w:tab w:val="center" w:pos="4153"/>
        <w:tab w:val="right" w:pos="8306"/>
      </w:tabs>
      <w:adjustRightInd/>
      <w:spacing w:line="240" w:lineRule="atLeast"/>
      <w:ind w:firstLine="0" w:firstLineChars="0"/>
    </w:pPr>
    <w:rPr>
      <w:rFonts w:ascii="Calibri" w:hAnsi="Calibri" w:cs="Times New Roman"/>
      <w:kern w:val="0"/>
      <w:sz w:val="18"/>
      <w:szCs w:val="20"/>
    </w:rPr>
  </w:style>
  <w:style w:type="paragraph" w:customStyle="1" w:styleId="245">
    <w:name w:val="公式"/>
    <w:basedOn w:val="1"/>
    <w:qFormat/>
    <w:uiPriority w:val="0"/>
    <w:pPr>
      <w:snapToGrid/>
      <w:spacing w:before="60" w:line="394" w:lineRule="atLeast"/>
      <w:ind w:firstLine="0" w:firstLineChars="0"/>
      <w:jc w:val="center"/>
      <w:textAlignment w:val="baseline"/>
    </w:pPr>
    <w:rPr>
      <w:rFonts w:ascii="宋体" w:cs="Times New Roman"/>
      <w:kern w:val="0"/>
      <w:szCs w:val="20"/>
    </w:rPr>
  </w:style>
  <w:style w:type="paragraph" w:customStyle="1" w:styleId="246">
    <w:name w:val="样式3"/>
    <w:basedOn w:val="5"/>
    <w:qFormat/>
    <w:uiPriority w:val="0"/>
    <w:pPr>
      <w:spacing w:before="156" w:beforeLines="50" w:after="156" w:afterLines="50"/>
      <w:jc w:val="both"/>
      <w:outlineLvl w:val="0"/>
    </w:pPr>
    <w:rPr>
      <w:rFonts w:ascii="黑体" w:hAnsi="宋体" w:cs="Times New Roman"/>
      <w:szCs w:val="28"/>
      <w:lang w:val="zh-CN" w:eastAsia="zh-CN"/>
    </w:rPr>
  </w:style>
  <w:style w:type="paragraph" w:customStyle="1" w:styleId="247">
    <w:name w:val="表尾"/>
    <w:basedOn w:val="226"/>
    <w:qFormat/>
    <w:uiPriority w:val="0"/>
    <w:rPr>
      <w:rFonts w:hAnsi="Times New Roman" w:cs="宋体"/>
      <w:color w:val="000000"/>
      <w:szCs w:val="21"/>
    </w:rPr>
  </w:style>
  <w:style w:type="paragraph" w:customStyle="1" w:styleId="248">
    <w:name w:val="_Style 6"/>
    <w:basedOn w:val="1"/>
    <w:qFormat/>
    <w:uiPriority w:val="0"/>
    <w:pPr>
      <w:adjustRightInd/>
      <w:snapToGrid/>
      <w:spacing w:line="240" w:lineRule="auto"/>
      <w:ind w:firstLine="420"/>
    </w:pPr>
    <w:rPr>
      <w:rFonts w:ascii="宋体" w:cs="Times New Roman"/>
      <w:kern w:val="0"/>
      <w:szCs w:val="20"/>
    </w:rPr>
  </w:style>
  <w:style w:type="paragraph" w:customStyle="1" w:styleId="249">
    <w:name w:val="默认段落字体 Para Char"/>
    <w:basedOn w:val="1"/>
    <w:qFormat/>
    <w:uiPriority w:val="0"/>
    <w:pPr>
      <w:adjustRightInd/>
      <w:snapToGrid/>
      <w:spacing w:line="240" w:lineRule="auto"/>
      <w:ind w:firstLine="0" w:firstLineChars="0"/>
    </w:pPr>
    <w:rPr>
      <w:rFonts w:cs="Times New Roman"/>
      <w:kern w:val="0"/>
      <w:szCs w:val="20"/>
    </w:rPr>
  </w:style>
  <w:style w:type="paragraph" w:customStyle="1" w:styleId="250">
    <w:name w:val="报告小节标题"/>
    <w:basedOn w:val="6"/>
    <w:next w:val="1"/>
    <w:qFormat/>
    <w:uiPriority w:val="0"/>
    <w:pPr>
      <w:numPr>
        <w:ilvl w:val="2"/>
        <w:numId w:val="1"/>
      </w:numPr>
      <w:tabs>
        <w:tab w:val="left" w:pos="645"/>
        <w:tab w:val="clear" w:pos="1680"/>
      </w:tabs>
      <w:spacing w:before="240" w:after="120" w:line="400" w:lineRule="exact"/>
      <w:jc w:val="both"/>
    </w:pPr>
    <w:rPr>
      <w:rFonts w:cs="Times New Roman"/>
      <w:b/>
      <w:bCs w:val="0"/>
      <w:szCs w:val="20"/>
      <w:lang w:val="zh-CN" w:eastAsia="zh-CN"/>
    </w:rPr>
  </w:style>
  <w:style w:type="paragraph" w:customStyle="1" w:styleId="251">
    <w:name w:val="Char Char Char Char Char"/>
    <w:basedOn w:val="1"/>
    <w:qFormat/>
    <w:uiPriority w:val="0"/>
    <w:pPr>
      <w:tabs>
        <w:tab w:val="left" w:pos="170"/>
      </w:tabs>
      <w:adjustRightInd/>
      <w:snapToGrid/>
      <w:spacing w:line="240" w:lineRule="auto"/>
      <w:ind w:left="170" w:hanging="170" w:firstLineChars="0"/>
    </w:pPr>
    <w:rPr>
      <w:rFonts w:cs="Times New Roman"/>
      <w:kern w:val="0"/>
      <w:szCs w:val="20"/>
    </w:rPr>
  </w:style>
  <w:style w:type="paragraph" w:customStyle="1" w:styleId="252">
    <w:name w:val="图名A"/>
    <w:basedOn w:val="1"/>
    <w:qFormat/>
    <w:uiPriority w:val="0"/>
    <w:pPr>
      <w:widowControl/>
      <w:tabs>
        <w:tab w:val="left" w:pos="0"/>
      </w:tabs>
      <w:spacing w:before="62" w:after="249" w:line="240" w:lineRule="auto"/>
      <w:ind w:firstLine="0" w:firstLineChars="0"/>
      <w:jc w:val="center"/>
    </w:pPr>
    <w:rPr>
      <w:rFonts w:cs="Times New Roman"/>
      <w:b/>
      <w:snapToGrid w:val="0"/>
      <w:kern w:val="0"/>
      <w:szCs w:val="20"/>
    </w:rPr>
  </w:style>
  <w:style w:type="paragraph" w:customStyle="1" w:styleId="253">
    <w:name w:val="表格"/>
    <w:basedOn w:val="1"/>
    <w:qFormat/>
    <w:uiPriority w:val="0"/>
    <w:pPr>
      <w:adjustRightInd/>
      <w:snapToGrid/>
      <w:spacing w:line="480" w:lineRule="exact"/>
      <w:ind w:firstLine="0" w:firstLineChars="0"/>
      <w:jc w:val="center"/>
    </w:pPr>
    <w:rPr>
      <w:rFonts w:ascii="宋体" w:cs="Times New Roman"/>
      <w:snapToGrid w:val="0"/>
      <w:kern w:val="0"/>
      <w:szCs w:val="20"/>
    </w:rPr>
  </w:style>
  <w:style w:type="paragraph" w:customStyle="1" w:styleId="254">
    <w:name w:val="表格 32"/>
    <w:basedOn w:val="1"/>
    <w:qFormat/>
    <w:uiPriority w:val="0"/>
    <w:pPr>
      <w:autoSpaceDE w:val="0"/>
      <w:autoSpaceDN w:val="0"/>
      <w:spacing w:line="240" w:lineRule="auto"/>
      <w:ind w:firstLine="0" w:firstLineChars="0"/>
      <w:jc w:val="center"/>
      <w:textAlignment w:val="baseline"/>
    </w:pPr>
    <w:rPr>
      <w:rFonts w:cs="Times New Roman"/>
      <w:kern w:val="0"/>
      <w:szCs w:val="20"/>
    </w:rPr>
  </w:style>
  <w:style w:type="paragraph" w:customStyle="1" w:styleId="255">
    <w:name w:val="表文C"/>
    <w:basedOn w:val="1"/>
    <w:qFormat/>
    <w:uiPriority w:val="0"/>
    <w:pPr>
      <w:widowControl/>
      <w:tabs>
        <w:tab w:val="left" w:pos="0"/>
      </w:tabs>
      <w:spacing w:line="240" w:lineRule="auto"/>
      <w:ind w:firstLine="0" w:firstLineChars="0"/>
      <w:jc w:val="center"/>
    </w:pPr>
    <w:rPr>
      <w:rFonts w:cs="Times New Roman"/>
      <w:snapToGrid w:val="0"/>
      <w:kern w:val="0"/>
      <w:szCs w:val="20"/>
    </w:rPr>
  </w:style>
  <w:style w:type="paragraph" w:customStyle="1" w:styleId="256">
    <w:name w:val="p0"/>
    <w:basedOn w:val="1"/>
    <w:qFormat/>
    <w:uiPriority w:val="0"/>
    <w:pPr>
      <w:widowControl/>
      <w:adjustRightInd/>
      <w:snapToGrid/>
      <w:spacing w:line="240" w:lineRule="auto"/>
      <w:ind w:firstLine="0" w:firstLineChars="0"/>
    </w:pPr>
    <w:rPr>
      <w:rFonts w:cs="Times New Roman"/>
      <w:kern w:val="0"/>
      <w:sz w:val="21"/>
      <w:szCs w:val="21"/>
    </w:rPr>
  </w:style>
  <w:style w:type="paragraph" w:customStyle="1" w:styleId="257">
    <w:name w:val="xl31"/>
    <w:basedOn w:val="1"/>
    <w:qFormat/>
    <w:uiPriority w:val="0"/>
    <w:pPr>
      <w:widowControl/>
      <w:adjustRightInd/>
      <w:snapToGrid/>
      <w:spacing w:before="100" w:beforeAutospacing="1" w:after="100" w:afterAutospacing="1" w:line="240" w:lineRule="auto"/>
      <w:ind w:firstLine="0" w:firstLineChars="0"/>
      <w:jc w:val="center"/>
    </w:pPr>
    <w:rPr>
      <w:rFonts w:ascii="Arial Unicode MS" w:hAnsi="Arial Unicode MS" w:eastAsia="Arial Unicode MS" w:cs="Times New Roman"/>
      <w:kern w:val="0"/>
      <w:szCs w:val="20"/>
    </w:rPr>
  </w:style>
  <w:style w:type="paragraph" w:customStyle="1" w:styleId="258">
    <w:name w:val="正文1"/>
    <w:link w:val="379"/>
    <w:qFormat/>
    <w:uiPriority w:val="99"/>
    <w:pPr>
      <w:widowControl w:val="0"/>
      <w:adjustRightInd w:val="0"/>
      <w:spacing w:line="360" w:lineRule="atLeast"/>
      <w:textAlignment w:val="baseline"/>
    </w:pPr>
    <w:rPr>
      <w:rFonts w:ascii="宋体" w:hAnsi="Times New Roman" w:eastAsia="宋体" w:cs="Times New Roman"/>
      <w:kern w:val="0"/>
      <w:sz w:val="24"/>
      <w:szCs w:val="20"/>
      <w:lang w:val="en-US" w:eastAsia="zh-CN" w:bidi="ar-SA"/>
    </w:rPr>
  </w:style>
  <w:style w:type="paragraph" w:customStyle="1" w:styleId="259">
    <w:name w:val="正文居中"/>
    <w:qFormat/>
    <w:uiPriority w:val="0"/>
    <w:pPr>
      <w:keepNext/>
      <w:spacing w:before="80" w:after="80" w:line="240" w:lineRule="exact"/>
      <w:jc w:val="center"/>
    </w:pPr>
    <w:rPr>
      <w:rFonts w:ascii="宋体" w:hAnsi="宋体" w:eastAsia="宋体" w:cs="Times New Roman"/>
      <w:kern w:val="0"/>
      <w:sz w:val="21"/>
      <w:szCs w:val="21"/>
      <w:lang w:val="en-US" w:eastAsia="zh-CN" w:bidi="ar-SA"/>
    </w:rPr>
  </w:style>
  <w:style w:type="paragraph" w:customStyle="1" w:styleId="260">
    <w:name w:val="正文zoe"/>
    <w:basedOn w:val="23"/>
    <w:qFormat/>
    <w:uiPriority w:val="0"/>
    <w:pPr>
      <w:adjustRightInd w:val="0"/>
      <w:spacing w:line="360" w:lineRule="auto"/>
      <w:ind w:firstLine="480" w:firstLineChars="200"/>
      <w:textAlignment w:val="baseline"/>
    </w:pPr>
    <w:rPr>
      <w:kern w:val="0"/>
      <w:sz w:val="24"/>
    </w:rPr>
  </w:style>
  <w:style w:type="paragraph" w:customStyle="1" w:styleId="261">
    <w:name w:val="宋体首行缩进:  2 字符"/>
    <w:basedOn w:val="1"/>
    <w:qFormat/>
    <w:uiPriority w:val="0"/>
    <w:pPr>
      <w:adjustRightInd/>
      <w:snapToGrid/>
      <w:ind w:firstLine="200"/>
    </w:pPr>
    <w:rPr>
      <w:rFonts w:cs="Times New Roman"/>
      <w:kern w:val="0"/>
      <w:szCs w:val="20"/>
    </w:rPr>
  </w:style>
  <w:style w:type="paragraph" w:customStyle="1" w:styleId="262">
    <w:name w:val="xl26"/>
    <w:basedOn w:val="1"/>
    <w:qFormat/>
    <w:uiPriority w:val="0"/>
    <w:pPr>
      <w:widowControl/>
      <w:adjustRightInd/>
      <w:snapToGrid/>
      <w:spacing w:before="100" w:beforeAutospacing="1" w:after="100" w:afterAutospacing="1" w:line="240" w:lineRule="auto"/>
      <w:ind w:firstLine="0" w:firstLineChars="0"/>
      <w:textAlignment w:val="center"/>
    </w:pPr>
    <w:rPr>
      <w:rFonts w:ascii="宋体" w:hAnsi="宋体" w:cs="Times New Roman"/>
      <w:kern w:val="0"/>
      <w:szCs w:val="20"/>
    </w:rPr>
  </w:style>
  <w:style w:type="paragraph" w:customStyle="1" w:styleId="263">
    <w:name w:val="xl24"/>
    <w:basedOn w:val="1"/>
    <w:qFormat/>
    <w:uiPriority w:val="0"/>
    <w:pPr>
      <w:widowControl/>
      <w:adjustRightInd/>
      <w:snapToGrid/>
      <w:spacing w:before="100" w:beforeAutospacing="1" w:after="100" w:afterAutospacing="1" w:line="240" w:lineRule="auto"/>
      <w:ind w:firstLine="0" w:firstLineChars="0"/>
      <w:jc w:val="center"/>
    </w:pPr>
    <w:rPr>
      <w:rFonts w:ascii="宋体" w:hAnsi="宋体" w:cs="Times New Roman"/>
      <w:kern w:val="0"/>
      <w:szCs w:val="20"/>
    </w:rPr>
  </w:style>
  <w:style w:type="paragraph" w:customStyle="1" w:styleId="264">
    <w:name w:val="样式7"/>
    <w:basedOn w:val="1"/>
    <w:qFormat/>
    <w:uiPriority w:val="0"/>
    <w:pPr>
      <w:adjustRightInd/>
      <w:snapToGrid/>
      <w:ind w:firstLine="0" w:firstLineChars="0"/>
    </w:pPr>
    <w:rPr>
      <w:rFonts w:cs="Times New Roman"/>
      <w:kern w:val="0"/>
      <w:szCs w:val="20"/>
    </w:rPr>
  </w:style>
  <w:style w:type="paragraph" w:customStyle="1" w:styleId="265">
    <w:name w:val="样式 标题 1 + 自动设置"/>
    <w:basedOn w:val="4"/>
    <w:qFormat/>
    <w:uiPriority w:val="0"/>
    <w:pPr>
      <w:keepNext/>
      <w:keepLines/>
      <w:tabs>
        <w:tab w:val="left" w:pos="700"/>
      </w:tabs>
      <w:autoSpaceDE w:val="0"/>
      <w:autoSpaceDN w:val="0"/>
      <w:spacing w:before="120" w:after="60" w:line="240" w:lineRule="auto"/>
    </w:pPr>
    <w:rPr>
      <w:rFonts w:cs="Times New Roman"/>
      <w:kern w:val="44"/>
      <w:sz w:val="28"/>
      <w:szCs w:val="20"/>
      <w:lang w:val="zh-CN" w:eastAsia="zh-CN"/>
    </w:rPr>
  </w:style>
  <w:style w:type="paragraph" w:customStyle="1" w:styleId="266">
    <w:name w:val="正文（首行缩进两字） Char"/>
    <w:basedOn w:val="1"/>
    <w:qFormat/>
    <w:uiPriority w:val="0"/>
    <w:pPr>
      <w:widowControl/>
      <w:adjustRightInd/>
      <w:snapToGrid/>
      <w:spacing w:line="500" w:lineRule="exact"/>
      <w:ind w:firstLine="420" w:firstLineChars="0"/>
      <w:jc w:val="left"/>
    </w:pPr>
    <w:rPr>
      <w:rFonts w:cs="Times New Roman"/>
      <w:kern w:val="0"/>
      <w:sz w:val="28"/>
      <w:szCs w:val="20"/>
    </w:rPr>
  </w:style>
  <w:style w:type="paragraph" w:customStyle="1" w:styleId="267">
    <w:name w:val="HTML Top of Form"/>
    <w:basedOn w:val="1"/>
    <w:next w:val="1"/>
    <w:link w:val="268"/>
    <w:qFormat/>
    <w:uiPriority w:val="0"/>
    <w:pPr>
      <w:pBdr>
        <w:bottom w:val="single" w:color="auto" w:sz="6" w:space="1"/>
      </w:pBdr>
      <w:adjustRightInd/>
      <w:snapToGrid/>
      <w:spacing w:line="240" w:lineRule="auto"/>
      <w:ind w:firstLine="0" w:firstLineChars="0"/>
      <w:jc w:val="center"/>
    </w:pPr>
    <w:rPr>
      <w:rFonts w:ascii="Arial" w:cs="Times New Roman"/>
      <w:vanish/>
      <w:kern w:val="0"/>
      <w:sz w:val="16"/>
      <w:szCs w:val="20"/>
    </w:rPr>
  </w:style>
  <w:style w:type="character" w:customStyle="1" w:styleId="268">
    <w:name w:val="z-窗体顶端 字符"/>
    <w:basedOn w:val="51"/>
    <w:link w:val="267"/>
    <w:qFormat/>
    <w:uiPriority w:val="0"/>
    <w:rPr>
      <w:rFonts w:ascii="Arial" w:hAnsi="Times New Roman" w:eastAsia="宋体" w:cs="Times New Roman"/>
      <w:vanish/>
      <w:kern w:val="0"/>
      <w:sz w:val="16"/>
      <w:szCs w:val="20"/>
    </w:rPr>
  </w:style>
  <w:style w:type="paragraph" w:customStyle="1" w:styleId="269">
    <w:name w:val="样式 标题 1 + 紧缩量  1 磅"/>
    <w:basedOn w:val="4"/>
    <w:qFormat/>
    <w:uiPriority w:val="0"/>
    <w:pPr>
      <w:keepNext/>
      <w:keepLines/>
      <w:spacing w:line="578" w:lineRule="auto"/>
      <w:jc w:val="both"/>
    </w:pPr>
    <w:rPr>
      <w:rFonts w:hint="eastAsia" w:ascii="Calibri" w:hAnsi="Calibri" w:cs="Times New Roman"/>
      <w:bCs/>
      <w:iCs/>
      <w:kern w:val="44"/>
      <w:sz w:val="36"/>
      <w:szCs w:val="36"/>
      <w:lang w:val="zh-CN" w:eastAsia="zh-CN"/>
    </w:rPr>
  </w:style>
  <w:style w:type="paragraph" w:customStyle="1" w:styleId="270">
    <w:name w:val="xl46"/>
    <w:basedOn w:val="1"/>
    <w:qFormat/>
    <w:uiPriority w:val="0"/>
    <w:pPr>
      <w:widowControl/>
      <w:pBdr>
        <w:right w:val="single" w:color="auto" w:sz="8" w:space="0"/>
      </w:pBdr>
      <w:adjustRightInd/>
      <w:snapToGrid/>
      <w:spacing w:before="100" w:beforeAutospacing="1" w:after="100" w:afterAutospacing="1" w:line="240" w:lineRule="auto"/>
      <w:ind w:firstLine="0" w:firstLineChars="0"/>
      <w:jc w:val="center"/>
    </w:pPr>
    <w:rPr>
      <w:rFonts w:cs="Times New Roman"/>
      <w:kern w:val="0"/>
      <w:szCs w:val="20"/>
    </w:rPr>
  </w:style>
  <w:style w:type="paragraph" w:customStyle="1" w:styleId="271">
    <w:name w:val="简单回函地址"/>
    <w:basedOn w:val="1"/>
    <w:qFormat/>
    <w:uiPriority w:val="0"/>
    <w:pPr>
      <w:adjustRightInd/>
      <w:snapToGrid/>
      <w:spacing w:line="240" w:lineRule="auto"/>
      <w:ind w:firstLine="0" w:firstLineChars="0"/>
    </w:pPr>
    <w:rPr>
      <w:rFonts w:ascii="宋体" w:hAnsi="宋体" w:cs="Times New Roman"/>
      <w:kern w:val="0"/>
      <w:szCs w:val="20"/>
    </w:rPr>
  </w:style>
  <w:style w:type="paragraph" w:customStyle="1" w:styleId="272">
    <w:name w:val="图名"/>
    <w:basedOn w:val="1"/>
    <w:qFormat/>
    <w:uiPriority w:val="0"/>
    <w:pPr>
      <w:ind w:left="-22" w:leftChars="-9" w:firstLine="0" w:firstLineChars="0"/>
      <w:jc w:val="center"/>
      <w:textAlignment w:val="baseline"/>
    </w:pPr>
    <w:rPr>
      <w:rFonts w:eastAsia="黑体" w:cs="Times New Roman"/>
      <w:b/>
      <w:snapToGrid w:val="0"/>
      <w:spacing w:val="12"/>
      <w:kern w:val="0"/>
      <w:szCs w:val="20"/>
    </w:rPr>
  </w:style>
  <w:style w:type="paragraph" w:customStyle="1" w:styleId="273">
    <w:name w:val="Char Char Char Char Char Char Char Char Char Char1 Char Char Char Char Char Char Char Char Char Char Char Char Char"/>
    <w:basedOn w:val="1"/>
    <w:qFormat/>
    <w:uiPriority w:val="0"/>
    <w:pPr>
      <w:adjustRightInd/>
      <w:snapToGrid/>
      <w:spacing w:line="240" w:lineRule="auto"/>
      <w:ind w:firstLine="0" w:firstLineChars="0"/>
    </w:pPr>
    <w:rPr>
      <w:rFonts w:cs="Times New Roman"/>
      <w:kern w:val="0"/>
      <w:szCs w:val="20"/>
    </w:rPr>
  </w:style>
  <w:style w:type="paragraph" w:customStyle="1" w:styleId="274">
    <w:name w:val="密级编号"/>
    <w:basedOn w:val="1"/>
    <w:qFormat/>
    <w:uiPriority w:val="0"/>
    <w:pPr>
      <w:snapToGrid/>
      <w:spacing w:line="240" w:lineRule="auto"/>
      <w:ind w:firstLine="0" w:firstLineChars="0"/>
      <w:jc w:val="center"/>
      <w:textAlignment w:val="baseline"/>
    </w:pPr>
    <w:rPr>
      <w:rFonts w:ascii="仿宋_GB2312" w:eastAsia="仿宋_GB2312" w:cs="Times New Roman"/>
      <w:kern w:val="0"/>
      <w:szCs w:val="20"/>
    </w:rPr>
  </w:style>
  <w:style w:type="paragraph" w:customStyle="1" w:styleId="275">
    <w:name w:val="【黑体表头】"/>
    <w:basedOn w:val="1"/>
    <w:qFormat/>
    <w:uiPriority w:val="0"/>
    <w:pPr>
      <w:tabs>
        <w:tab w:val="left" w:leader="middleDot" w:pos="7371"/>
      </w:tabs>
      <w:ind w:firstLine="200"/>
      <w:jc w:val="center"/>
    </w:pPr>
    <w:rPr>
      <w:rFonts w:ascii="黑体" w:hAnsi="黑体" w:eastAsia="黑体" w:cs="Times New Roman"/>
      <w:kern w:val="0"/>
      <w:szCs w:val="20"/>
    </w:rPr>
  </w:style>
  <w:style w:type="paragraph" w:customStyle="1" w:styleId="276">
    <w:name w:val="表体"/>
    <w:basedOn w:val="1"/>
    <w:qFormat/>
    <w:uiPriority w:val="0"/>
    <w:pPr>
      <w:widowControl/>
      <w:spacing w:line="240" w:lineRule="atLeast"/>
      <w:ind w:firstLine="0" w:firstLineChars="0"/>
      <w:jc w:val="center"/>
    </w:pPr>
    <w:rPr>
      <w:rFonts w:eastAsia="仿宋_GB2312" w:cs="Times New Roman"/>
      <w:kern w:val="0"/>
      <w:szCs w:val="20"/>
    </w:rPr>
  </w:style>
  <w:style w:type="paragraph" w:customStyle="1" w:styleId="277">
    <w:name w:val="Char1"/>
    <w:basedOn w:val="1"/>
    <w:qFormat/>
    <w:uiPriority w:val="0"/>
    <w:pPr>
      <w:adjustRightInd/>
      <w:snapToGrid/>
      <w:ind w:firstLine="200"/>
    </w:pPr>
    <w:rPr>
      <w:rFonts w:ascii="宋体" w:hAnsi="宋体" w:cs="Times New Roman"/>
      <w:kern w:val="0"/>
      <w:szCs w:val="20"/>
    </w:rPr>
  </w:style>
  <w:style w:type="paragraph" w:customStyle="1" w:styleId="278">
    <w:name w:val="正文非缩进 Char"/>
    <w:basedOn w:val="1"/>
    <w:qFormat/>
    <w:uiPriority w:val="0"/>
    <w:pPr>
      <w:widowControl/>
      <w:adjustRightInd/>
      <w:snapToGrid/>
      <w:spacing w:line="500" w:lineRule="exact"/>
      <w:ind w:firstLine="420" w:firstLineChars="0"/>
      <w:jc w:val="left"/>
    </w:pPr>
    <w:rPr>
      <w:rFonts w:cs="Times New Roman"/>
      <w:kern w:val="0"/>
      <w:sz w:val="28"/>
      <w:szCs w:val="20"/>
    </w:rPr>
  </w:style>
  <w:style w:type="paragraph" w:customStyle="1" w:styleId="279">
    <w:name w:val="图说表名"/>
    <w:next w:val="1"/>
    <w:qFormat/>
    <w:uiPriority w:val="0"/>
    <w:pPr>
      <w:adjustRightInd w:val="0"/>
      <w:spacing w:before="25" w:after="25"/>
      <w:jc w:val="center"/>
    </w:pPr>
    <w:rPr>
      <w:rFonts w:ascii="Arial" w:hAnsi="Arial" w:eastAsia="黑体" w:cs="Times New Roman"/>
      <w:kern w:val="2"/>
      <w:sz w:val="24"/>
      <w:szCs w:val="20"/>
      <w:lang w:val="en-US" w:eastAsia="zh-CN" w:bidi="ar-SA"/>
    </w:rPr>
  </w:style>
  <w:style w:type="paragraph" w:customStyle="1" w:styleId="280">
    <w:name w:val="正文01"/>
    <w:basedOn w:val="1"/>
    <w:qFormat/>
    <w:uiPriority w:val="0"/>
    <w:pPr>
      <w:adjustRightInd/>
      <w:snapToGrid/>
      <w:spacing w:before="60" w:line="460" w:lineRule="exact"/>
      <w:ind w:firstLine="200"/>
    </w:pPr>
    <w:rPr>
      <w:rFonts w:cs="Times New Roman"/>
      <w:kern w:val="0"/>
      <w:szCs w:val="20"/>
    </w:rPr>
  </w:style>
  <w:style w:type="paragraph" w:customStyle="1" w:styleId="281">
    <w:name w:val="【标题2】"/>
    <w:basedOn w:val="5"/>
    <w:qFormat/>
    <w:uiPriority w:val="0"/>
    <w:pPr>
      <w:keepNext w:val="0"/>
      <w:spacing w:line="700" w:lineRule="exact"/>
    </w:pPr>
    <w:rPr>
      <w:rFonts w:ascii="Calibri" w:hAnsi="Calibri" w:cs="Times New Roman"/>
      <w:bCs w:val="0"/>
      <w:szCs w:val="22"/>
      <w:lang w:val="zh-CN" w:eastAsia="en-US"/>
    </w:rPr>
  </w:style>
  <w:style w:type="paragraph" w:customStyle="1" w:styleId="282">
    <w:name w:val="主标题"/>
    <w:basedOn w:val="1"/>
    <w:qFormat/>
    <w:uiPriority w:val="0"/>
    <w:pPr>
      <w:adjustRightInd/>
      <w:spacing w:before="60" w:after="60"/>
      <w:ind w:firstLine="0" w:firstLineChars="0"/>
      <w:jc w:val="center"/>
      <w:outlineLvl w:val="0"/>
    </w:pPr>
    <w:rPr>
      <w:rFonts w:ascii="黑体" w:eastAsia="黑体" w:cs="Times New Roman"/>
      <w:b/>
      <w:color w:val="000000"/>
      <w:kern w:val="0"/>
      <w:sz w:val="32"/>
      <w:szCs w:val="20"/>
    </w:rPr>
  </w:style>
  <w:style w:type="paragraph" w:customStyle="1" w:styleId="283">
    <w:name w:val="表正文 Char1 Char Char C"/>
    <w:basedOn w:val="1"/>
    <w:qFormat/>
    <w:uiPriority w:val="0"/>
    <w:pPr>
      <w:widowControl/>
      <w:snapToGrid/>
      <w:spacing w:line="500" w:lineRule="exact"/>
      <w:ind w:firstLine="420" w:firstLineChars="0"/>
      <w:jc w:val="left"/>
      <w:textAlignment w:val="baseline"/>
    </w:pPr>
    <w:rPr>
      <w:rFonts w:cs="Times New Roman"/>
      <w:kern w:val="0"/>
      <w:sz w:val="28"/>
      <w:szCs w:val="20"/>
    </w:rPr>
  </w:style>
  <w:style w:type="paragraph" w:customStyle="1" w:styleId="284">
    <w:name w:val="正文7"/>
    <w:qFormat/>
    <w:uiPriority w:val="0"/>
    <w:pPr>
      <w:widowControl w:val="0"/>
      <w:adjustRightInd w:val="0"/>
      <w:spacing w:line="360" w:lineRule="atLeast"/>
      <w:textAlignment w:val="baseline"/>
    </w:pPr>
    <w:rPr>
      <w:rFonts w:ascii="宋体" w:hAnsi="Times New Roman" w:eastAsia="宋体" w:cs="Times New Roman"/>
      <w:kern w:val="0"/>
      <w:sz w:val="24"/>
      <w:szCs w:val="20"/>
      <w:lang w:val="en-US" w:eastAsia="zh-CN" w:bidi="ar-SA"/>
    </w:rPr>
  </w:style>
  <w:style w:type="paragraph" w:customStyle="1" w:styleId="285">
    <w:name w:val="表号"/>
    <w:basedOn w:val="1"/>
    <w:qFormat/>
    <w:uiPriority w:val="0"/>
    <w:pPr>
      <w:adjustRightInd/>
      <w:snapToGrid/>
      <w:spacing w:line="240" w:lineRule="auto"/>
      <w:ind w:firstLine="0" w:firstLineChars="0"/>
      <w:jc w:val="right"/>
    </w:pPr>
    <w:rPr>
      <w:rFonts w:ascii="宋体" w:hAnsi="宋体" w:cs="Times New Roman"/>
      <w:kern w:val="0"/>
      <w:szCs w:val="20"/>
    </w:rPr>
  </w:style>
  <w:style w:type="paragraph" w:customStyle="1" w:styleId="286">
    <w:name w:val="样式 标题 3标题 33 + 段前: 0.5 行"/>
    <w:basedOn w:val="6"/>
    <w:qFormat/>
    <w:uiPriority w:val="0"/>
    <w:pPr>
      <w:ind w:firstLine="480" w:firstLineChars="200"/>
      <w:jc w:val="both"/>
    </w:pPr>
    <w:rPr>
      <w:rFonts w:ascii="黑体" w:hAnsi="宋体" w:cs="Times New Roman"/>
      <w:b/>
      <w:bCs w:val="0"/>
      <w:snapToGrid w:val="0"/>
      <w:color w:val="000000"/>
      <w:kern w:val="0"/>
      <w:szCs w:val="20"/>
      <w:lang w:val="zh-CN" w:eastAsia="zh-CN"/>
    </w:rPr>
  </w:style>
  <w:style w:type="paragraph" w:customStyle="1" w:styleId="287">
    <w:name w:val="Char Char Char"/>
    <w:basedOn w:val="1"/>
    <w:qFormat/>
    <w:uiPriority w:val="0"/>
    <w:pPr>
      <w:tabs>
        <w:tab w:val="left" w:pos="170"/>
      </w:tabs>
      <w:adjustRightInd/>
      <w:snapToGrid/>
      <w:spacing w:line="240" w:lineRule="auto"/>
      <w:ind w:left="170" w:hanging="170" w:firstLineChars="0"/>
    </w:pPr>
    <w:rPr>
      <w:rFonts w:cs="Times New Roman"/>
      <w:kern w:val="0"/>
      <w:szCs w:val="20"/>
    </w:rPr>
  </w:style>
  <w:style w:type="paragraph" w:customStyle="1" w:styleId="288">
    <w:name w:val="正文文本缩进 21"/>
    <w:basedOn w:val="1"/>
    <w:qFormat/>
    <w:uiPriority w:val="0"/>
    <w:pPr>
      <w:snapToGrid/>
      <w:ind w:firstLine="510" w:firstLineChars="0"/>
      <w:textAlignment w:val="baseline"/>
    </w:pPr>
    <w:rPr>
      <w:rFonts w:ascii="宋体" w:hAnsi="宋体" w:cs="Times New Roman"/>
      <w:kern w:val="0"/>
      <w:sz w:val="28"/>
      <w:szCs w:val="20"/>
    </w:rPr>
  </w:style>
  <w:style w:type="paragraph" w:customStyle="1" w:styleId="289">
    <w:name w:val="正文格式"/>
    <w:basedOn w:val="1"/>
    <w:qFormat/>
    <w:uiPriority w:val="0"/>
    <w:pPr>
      <w:adjustRightInd/>
      <w:snapToGrid/>
      <w:ind w:firstLine="544"/>
    </w:pPr>
    <w:rPr>
      <w:rFonts w:cs="Times New Roman"/>
      <w:kern w:val="0"/>
      <w:szCs w:val="20"/>
    </w:rPr>
  </w:style>
  <w:style w:type="paragraph" w:customStyle="1" w:styleId="290">
    <w:name w:val="自由格式"/>
    <w:next w:val="1"/>
    <w:qFormat/>
    <w:uiPriority w:val="0"/>
    <w:pPr>
      <w:adjustRightInd w:val="0"/>
      <w:spacing w:before="25" w:after="25" w:line="500" w:lineRule="atLeast"/>
    </w:pPr>
    <w:rPr>
      <w:rFonts w:ascii="Times New Roman" w:hAnsi="Times New Roman" w:eastAsia="宋体" w:cs="Times New Roman"/>
      <w:kern w:val="2"/>
      <w:sz w:val="24"/>
      <w:szCs w:val="20"/>
      <w:lang w:val="en-US" w:eastAsia="zh-CN" w:bidi="ar-SA"/>
    </w:rPr>
  </w:style>
  <w:style w:type="paragraph" w:customStyle="1" w:styleId="291">
    <w:name w:val="表格正文"/>
    <w:basedOn w:val="1"/>
    <w:next w:val="9"/>
    <w:qFormat/>
    <w:uiPriority w:val="0"/>
    <w:pPr>
      <w:adjustRightInd/>
      <w:snapToGrid/>
      <w:spacing w:line="360" w:lineRule="exact"/>
      <w:ind w:firstLine="0" w:firstLineChars="0"/>
      <w:jc w:val="center"/>
    </w:pPr>
    <w:rPr>
      <w:rFonts w:cs="Times New Roman"/>
      <w:kern w:val="0"/>
      <w:szCs w:val="20"/>
    </w:rPr>
  </w:style>
  <w:style w:type="paragraph" w:customStyle="1" w:styleId="292">
    <w:name w:val="标题B"/>
    <w:qFormat/>
    <w:uiPriority w:val="0"/>
    <w:pPr>
      <w:adjustRightInd w:val="0"/>
      <w:snapToGrid w:val="0"/>
      <w:spacing w:before="400"/>
      <w:outlineLvl w:val="1"/>
    </w:pPr>
    <w:rPr>
      <w:rFonts w:ascii="Times New Roman" w:hAnsi="Times New Roman" w:eastAsia="宋体" w:cs="Times New Roman"/>
      <w:b/>
      <w:kern w:val="0"/>
      <w:sz w:val="30"/>
      <w:szCs w:val="20"/>
      <w:lang w:val="en-US" w:eastAsia="zh-CN" w:bidi="ar-SA"/>
    </w:rPr>
  </w:style>
  <w:style w:type="paragraph" w:customStyle="1" w:styleId="293">
    <w:name w:val="Char Char Char Char Char Char Char"/>
    <w:basedOn w:val="1"/>
    <w:qFormat/>
    <w:uiPriority w:val="0"/>
    <w:pPr>
      <w:adjustRightInd/>
      <w:snapToGrid/>
      <w:spacing w:line="240" w:lineRule="auto"/>
      <w:ind w:firstLine="0" w:firstLineChars="0"/>
    </w:pPr>
    <w:rPr>
      <w:rFonts w:cs="Times New Roman"/>
      <w:kern w:val="0"/>
      <w:szCs w:val="24"/>
    </w:rPr>
  </w:style>
  <w:style w:type="paragraph" w:customStyle="1" w:styleId="294">
    <w:name w:val="Char"/>
    <w:basedOn w:val="6"/>
    <w:qFormat/>
    <w:uiPriority w:val="0"/>
    <w:pPr>
      <w:tabs>
        <w:tab w:val="left" w:pos="360"/>
        <w:tab w:val="left" w:pos="900"/>
      </w:tabs>
      <w:spacing w:before="120" w:after="120"/>
      <w:ind w:left="542" w:leftChars="-12" w:firstLine="200" w:firstLineChars="200"/>
    </w:pPr>
    <w:rPr>
      <w:rFonts w:cs="Times New Roman"/>
      <w:b/>
      <w:bCs w:val="0"/>
      <w:snapToGrid w:val="0"/>
      <w:szCs w:val="20"/>
      <w:lang w:val="zh-CN" w:eastAsia="zh-CN"/>
    </w:rPr>
  </w:style>
  <w:style w:type="paragraph" w:customStyle="1" w:styleId="295">
    <w:name w:val="正缩1 Char"/>
    <w:basedOn w:val="1"/>
    <w:qFormat/>
    <w:uiPriority w:val="0"/>
    <w:pPr>
      <w:spacing w:line="500" w:lineRule="exact"/>
      <w:ind w:firstLine="567" w:firstLineChars="0"/>
    </w:pPr>
    <w:rPr>
      <w:rFonts w:eastAsia="仿宋_GB2312" w:cs="Times New Roman"/>
      <w:snapToGrid w:val="0"/>
      <w:color w:val="000000"/>
      <w:kern w:val="0"/>
      <w:sz w:val="28"/>
      <w:szCs w:val="20"/>
    </w:rPr>
  </w:style>
  <w:style w:type="paragraph" w:customStyle="1" w:styleId="296">
    <w:name w:val="9"/>
    <w:basedOn w:val="1"/>
    <w:qFormat/>
    <w:uiPriority w:val="0"/>
    <w:pPr>
      <w:adjustRightInd/>
      <w:snapToGrid/>
      <w:ind w:firstLine="200"/>
    </w:pPr>
    <w:rPr>
      <w:rFonts w:ascii="宋体" w:hAnsi="宋体" w:eastAsia="Times New Roman" w:cs="Times New Roman"/>
      <w:kern w:val="0"/>
      <w:szCs w:val="20"/>
    </w:rPr>
  </w:style>
  <w:style w:type="paragraph" w:customStyle="1" w:styleId="297">
    <w:name w:val="XCHG论文正文"/>
    <w:basedOn w:val="1"/>
    <w:qFormat/>
    <w:uiPriority w:val="0"/>
    <w:pPr>
      <w:adjustRightInd/>
      <w:snapToGrid/>
      <w:spacing w:line="300" w:lineRule="auto"/>
    </w:pPr>
    <w:rPr>
      <w:rFonts w:cs="Times New Roman"/>
      <w:color w:val="000000"/>
      <w:kern w:val="0"/>
      <w:szCs w:val="20"/>
    </w:rPr>
  </w:style>
  <w:style w:type="paragraph" w:customStyle="1" w:styleId="298">
    <w:name w:val="流程图"/>
    <w:basedOn w:val="1"/>
    <w:qFormat/>
    <w:uiPriority w:val="0"/>
    <w:pPr>
      <w:tabs>
        <w:tab w:val="left" w:pos="0"/>
      </w:tabs>
      <w:autoSpaceDE w:val="0"/>
      <w:autoSpaceDN w:val="0"/>
      <w:snapToGrid/>
      <w:spacing w:line="240" w:lineRule="atLeast"/>
      <w:ind w:firstLine="0" w:firstLineChars="0"/>
      <w:jc w:val="center"/>
      <w:textAlignment w:val="bottom"/>
    </w:pPr>
    <w:rPr>
      <w:rFonts w:ascii="宋体" w:cs="Times New Roman"/>
      <w:kern w:val="0"/>
      <w:szCs w:val="20"/>
    </w:rPr>
  </w:style>
  <w:style w:type="paragraph" w:customStyle="1" w:styleId="299">
    <w:name w:val="样式2"/>
    <w:basedOn w:val="5"/>
    <w:qFormat/>
    <w:uiPriority w:val="0"/>
    <w:pPr>
      <w:spacing w:line="800" w:lineRule="exact"/>
      <w:outlineLvl w:val="0"/>
    </w:pPr>
    <w:rPr>
      <w:rFonts w:ascii="黑体" w:hAnsi="宋体" w:cs="Times New Roman"/>
      <w:b/>
      <w:lang w:val="zh-CN" w:eastAsia="zh-CN"/>
    </w:rPr>
  </w:style>
  <w:style w:type="paragraph" w:customStyle="1" w:styleId="300">
    <w:name w:val="标题C"/>
    <w:qFormat/>
    <w:uiPriority w:val="0"/>
    <w:pPr>
      <w:tabs>
        <w:tab w:val="left" w:pos="0"/>
      </w:tabs>
      <w:adjustRightInd w:val="0"/>
      <w:snapToGrid w:val="0"/>
      <w:spacing w:before="300"/>
      <w:outlineLvl w:val="2"/>
    </w:pPr>
    <w:rPr>
      <w:rFonts w:ascii="Times New Roman" w:hAnsi="Times New Roman" w:eastAsia="宋体" w:cs="Times New Roman"/>
      <w:b/>
      <w:snapToGrid w:val="0"/>
      <w:kern w:val="0"/>
      <w:sz w:val="28"/>
      <w:szCs w:val="20"/>
      <w:lang w:val="en-US" w:eastAsia="zh-CN" w:bidi="ar-SA"/>
    </w:rPr>
  </w:style>
  <w:style w:type="paragraph" w:customStyle="1" w:styleId="301">
    <w:name w:val="样式 (中文) 黑体 加粗 行距: 固定值 25 磅"/>
    <w:basedOn w:val="1"/>
    <w:qFormat/>
    <w:uiPriority w:val="0"/>
    <w:pPr>
      <w:snapToGrid/>
      <w:spacing w:line="500" w:lineRule="exact"/>
      <w:ind w:firstLine="424" w:firstLineChars="201"/>
      <w:textAlignment w:val="baseline"/>
    </w:pPr>
    <w:rPr>
      <w:rFonts w:cs="Times New Roman"/>
      <w:b/>
      <w:kern w:val="0"/>
      <w:sz w:val="28"/>
      <w:szCs w:val="20"/>
    </w:rPr>
  </w:style>
  <w:style w:type="paragraph" w:customStyle="1" w:styleId="302">
    <w:name w:val="中文"/>
    <w:basedOn w:val="26"/>
    <w:qFormat/>
    <w:uiPriority w:val="0"/>
    <w:pPr>
      <w:ind w:firstLine="567"/>
    </w:pPr>
    <w:rPr>
      <w:rFonts w:eastAsia="方正美黑简体"/>
      <w:sz w:val="28"/>
      <w:szCs w:val="28"/>
    </w:rPr>
  </w:style>
  <w:style w:type="paragraph" w:customStyle="1" w:styleId="303">
    <w:name w:val="表格内容小左"/>
    <w:basedOn w:val="225"/>
    <w:qFormat/>
    <w:uiPriority w:val="0"/>
    <w:pPr>
      <w:spacing w:line="240" w:lineRule="auto"/>
      <w:jc w:val="left"/>
    </w:pPr>
    <w:rPr>
      <w:snapToGrid w:val="0"/>
    </w:rPr>
  </w:style>
  <w:style w:type="paragraph" w:customStyle="1" w:styleId="304">
    <w:name w:val="正文文本最新 Char Char Char Char Char"/>
    <w:basedOn w:val="1"/>
    <w:qFormat/>
    <w:uiPriority w:val="0"/>
    <w:pPr>
      <w:adjustRightInd/>
      <w:snapToGrid/>
      <w:ind w:firstLine="200"/>
    </w:pPr>
    <w:rPr>
      <w:rFonts w:cs="Times New Roman"/>
      <w:kern w:val="0"/>
      <w:sz w:val="28"/>
      <w:szCs w:val="20"/>
    </w:rPr>
  </w:style>
  <w:style w:type="paragraph" w:customStyle="1" w:styleId="305">
    <w:name w:val="_Style 1"/>
    <w:basedOn w:val="1"/>
    <w:qFormat/>
    <w:uiPriority w:val="34"/>
    <w:pPr>
      <w:adjustRightInd/>
      <w:snapToGrid/>
      <w:spacing w:line="240" w:lineRule="auto"/>
      <w:ind w:firstLine="420" w:firstLineChars="0"/>
    </w:pPr>
    <w:rPr>
      <w:rFonts w:ascii="Calibri" w:hAnsi="Calibri" w:cs="Times New Roman"/>
      <w:kern w:val="0"/>
      <w:sz w:val="21"/>
    </w:rPr>
  </w:style>
  <w:style w:type="paragraph" w:customStyle="1" w:styleId="306">
    <w:name w:val="Char Char Char1 Char"/>
    <w:basedOn w:val="1"/>
    <w:qFormat/>
    <w:uiPriority w:val="0"/>
    <w:pPr>
      <w:adjustRightInd/>
      <w:snapToGrid/>
      <w:spacing w:line="240" w:lineRule="auto"/>
      <w:ind w:firstLine="0" w:firstLineChars="0"/>
    </w:pPr>
    <w:rPr>
      <w:rFonts w:cs="Times New Roman"/>
      <w:kern w:val="0"/>
      <w:szCs w:val="20"/>
    </w:rPr>
  </w:style>
  <w:style w:type="paragraph" w:customStyle="1" w:styleId="307">
    <w:name w:val="3级标题"/>
    <w:basedOn w:val="1"/>
    <w:qFormat/>
    <w:uiPriority w:val="0"/>
    <w:pPr>
      <w:adjustRightInd/>
      <w:snapToGrid/>
      <w:spacing w:before="300" w:line="460" w:lineRule="exact"/>
      <w:ind w:firstLine="0" w:firstLineChars="0"/>
      <w:outlineLvl w:val="2"/>
    </w:pPr>
    <w:rPr>
      <w:rFonts w:cs="Times New Roman"/>
      <w:b/>
      <w:kern w:val="0"/>
      <w:szCs w:val="20"/>
    </w:rPr>
  </w:style>
  <w:style w:type="paragraph" w:customStyle="1" w:styleId="308">
    <w:name w:val="报告书正文"/>
    <w:basedOn w:val="1"/>
    <w:qFormat/>
    <w:uiPriority w:val="0"/>
    <w:pPr>
      <w:spacing w:line="400" w:lineRule="atLeast"/>
      <w:ind w:firstLine="200"/>
    </w:pPr>
    <w:rPr>
      <w:rFonts w:cs="Times New Roman"/>
      <w:kern w:val="0"/>
      <w:szCs w:val="20"/>
    </w:rPr>
  </w:style>
  <w:style w:type="paragraph" w:customStyle="1" w:styleId="309">
    <w:name w:val="HTML Bottom of Form"/>
    <w:basedOn w:val="1"/>
    <w:next w:val="1"/>
    <w:link w:val="310"/>
    <w:qFormat/>
    <w:uiPriority w:val="0"/>
    <w:pPr>
      <w:pBdr>
        <w:top w:val="single" w:color="auto" w:sz="6" w:space="1"/>
      </w:pBdr>
      <w:adjustRightInd/>
      <w:snapToGrid/>
      <w:spacing w:line="240" w:lineRule="auto"/>
      <w:ind w:firstLine="0" w:firstLineChars="0"/>
      <w:jc w:val="center"/>
    </w:pPr>
    <w:rPr>
      <w:rFonts w:ascii="Arial" w:cs="Times New Roman"/>
      <w:vanish/>
      <w:kern w:val="0"/>
      <w:sz w:val="16"/>
      <w:szCs w:val="20"/>
    </w:rPr>
  </w:style>
  <w:style w:type="character" w:customStyle="1" w:styleId="310">
    <w:name w:val="z-窗体底端 字符"/>
    <w:basedOn w:val="51"/>
    <w:link w:val="309"/>
    <w:qFormat/>
    <w:uiPriority w:val="0"/>
    <w:rPr>
      <w:rFonts w:ascii="Arial" w:hAnsi="Times New Roman" w:eastAsia="宋体" w:cs="Times New Roman"/>
      <w:vanish/>
      <w:kern w:val="0"/>
      <w:sz w:val="16"/>
      <w:szCs w:val="20"/>
    </w:rPr>
  </w:style>
  <w:style w:type="paragraph" w:customStyle="1" w:styleId="311">
    <w:name w:val="表标题"/>
    <w:basedOn w:val="1"/>
    <w:qFormat/>
    <w:uiPriority w:val="0"/>
    <w:pPr>
      <w:autoSpaceDE w:val="0"/>
      <w:autoSpaceDN w:val="0"/>
      <w:spacing w:before="156" w:line="500" w:lineRule="exact"/>
      <w:ind w:firstLine="370" w:firstLineChars="147"/>
      <w:outlineLvl w:val="0"/>
    </w:pPr>
    <w:rPr>
      <w:rFonts w:ascii="宋体" w:hAnsi="宋体" w:cs="Times New Roman"/>
      <w:spacing w:val="6"/>
      <w:kern w:val="0"/>
      <w:szCs w:val="20"/>
    </w:rPr>
  </w:style>
  <w:style w:type="paragraph" w:customStyle="1" w:styleId="312">
    <w:name w:val="样式 标题 51 + 左"/>
    <w:basedOn w:val="8"/>
    <w:qFormat/>
    <w:uiPriority w:val="0"/>
    <w:pPr>
      <w:keepNext w:val="0"/>
      <w:keepLines w:val="0"/>
      <w:adjustRightInd w:val="0"/>
      <w:spacing w:before="0" w:after="0" w:line="360" w:lineRule="auto"/>
      <w:ind w:left="-420" w:firstLine="284"/>
      <w:jc w:val="left"/>
      <w:textAlignment w:val="baseline"/>
    </w:pPr>
    <w:rPr>
      <w:rFonts w:ascii="楷体_GB2312" w:hAnsi="Arial" w:cs="宋体"/>
      <w:b w:val="0"/>
      <w:kern w:val="0"/>
    </w:rPr>
  </w:style>
  <w:style w:type="paragraph" w:customStyle="1" w:styleId="313">
    <w:name w:val="正文文字 2"/>
    <w:basedOn w:val="1"/>
    <w:qFormat/>
    <w:uiPriority w:val="0"/>
    <w:pPr>
      <w:adjustRightInd/>
      <w:snapToGrid/>
      <w:spacing w:line="240" w:lineRule="auto"/>
      <w:ind w:firstLine="0" w:firstLineChars="0"/>
    </w:pPr>
    <w:rPr>
      <w:rFonts w:ascii="宋体" w:cs="Times New Roman"/>
      <w:color w:val="000000"/>
      <w:kern w:val="0"/>
      <w:sz w:val="28"/>
      <w:szCs w:val="20"/>
    </w:rPr>
  </w:style>
  <w:style w:type="paragraph" w:customStyle="1" w:styleId="314">
    <w:name w:val="一"/>
    <w:basedOn w:val="47"/>
    <w:qFormat/>
    <w:uiPriority w:val="0"/>
    <w:pPr>
      <w:spacing w:after="0" w:afterLines="0" w:line="360" w:lineRule="auto"/>
      <w:ind w:firstLine="200" w:firstLineChars="200"/>
    </w:pPr>
    <w:rPr>
      <w:rFonts w:eastAsia="仿宋_GB2312"/>
      <w:sz w:val="28"/>
    </w:rPr>
  </w:style>
  <w:style w:type="paragraph" w:customStyle="1" w:styleId="315">
    <w:name w:val="表格内容紧"/>
    <w:basedOn w:val="1"/>
    <w:qFormat/>
    <w:uiPriority w:val="0"/>
    <w:pPr>
      <w:adjustRightInd/>
      <w:snapToGrid/>
      <w:spacing w:line="240" w:lineRule="auto"/>
      <w:ind w:left="-105" w:leftChars="-50" w:right="-105" w:rightChars="-50" w:firstLine="0" w:firstLineChars="0"/>
      <w:jc w:val="center"/>
    </w:pPr>
    <w:rPr>
      <w:rFonts w:ascii="宋体" w:hAnsi="宋体" w:cs="Arial"/>
      <w:kern w:val="0"/>
      <w:sz w:val="18"/>
      <w:szCs w:val="18"/>
    </w:rPr>
  </w:style>
  <w:style w:type="paragraph" w:customStyle="1" w:styleId="316">
    <w:name w:val="样式 标题3"/>
    <w:basedOn w:val="6"/>
    <w:qFormat/>
    <w:uiPriority w:val="0"/>
    <w:pPr>
      <w:spacing w:before="156" w:after="156"/>
      <w:ind w:firstLine="200"/>
    </w:pPr>
    <w:rPr>
      <w:rFonts w:ascii="宋体" w:hAnsi="宋体" w:cs="Times New Roman"/>
      <w:bCs w:val="0"/>
      <w:szCs w:val="20"/>
      <w:lang w:val="zh-CN" w:eastAsia="zh-CN"/>
    </w:rPr>
  </w:style>
  <w:style w:type="paragraph" w:customStyle="1" w:styleId="317">
    <w:name w:val="1"/>
    <w:basedOn w:val="1"/>
    <w:next w:val="37"/>
    <w:qFormat/>
    <w:uiPriority w:val="0"/>
    <w:pPr>
      <w:adjustRightInd/>
      <w:snapToGrid/>
      <w:spacing w:after="120" w:line="240" w:lineRule="auto"/>
      <w:ind w:left="420" w:leftChars="200" w:firstLine="0" w:firstLineChars="0"/>
    </w:pPr>
    <w:rPr>
      <w:rFonts w:cs="Times New Roman"/>
      <w:kern w:val="0"/>
      <w:sz w:val="16"/>
      <w:szCs w:val="20"/>
    </w:rPr>
  </w:style>
  <w:style w:type="paragraph" w:customStyle="1" w:styleId="318">
    <w:name w:val="表格内容右"/>
    <w:basedOn w:val="226"/>
    <w:qFormat/>
    <w:uiPriority w:val="0"/>
    <w:pPr>
      <w:outlineLvl w:val="9"/>
    </w:pPr>
    <w:rPr>
      <w:w w:val="100"/>
      <w:sz w:val="21"/>
    </w:rPr>
  </w:style>
  <w:style w:type="paragraph" w:customStyle="1" w:styleId="319">
    <w:name w:val="列出段落1"/>
    <w:basedOn w:val="1"/>
    <w:qFormat/>
    <w:uiPriority w:val="0"/>
    <w:pPr>
      <w:adjustRightInd/>
      <w:snapToGrid/>
      <w:spacing w:line="240" w:lineRule="auto"/>
      <w:ind w:firstLine="420"/>
    </w:pPr>
    <w:rPr>
      <w:rFonts w:ascii="宋体" w:cs="Times New Roman"/>
      <w:kern w:val="0"/>
      <w:szCs w:val="20"/>
    </w:rPr>
  </w:style>
  <w:style w:type="paragraph" w:customStyle="1" w:styleId="320">
    <w:name w:val="Char Char Char Char Char Char Char Char"/>
    <w:basedOn w:val="1"/>
    <w:qFormat/>
    <w:uiPriority w:val="0"/>
    <w:pPr>
      <w:adjustRightInd/>
      <w:snapToGrid/>
      <w:spacing w:line="240" w:lineRule="auto"/>
      <w:ind w:firstLine="0" w:firstLineChars="0"/>
    </w:pPr>
    <w:rPr>
      <w:rFonts w:cs="Times New Roman"/>
      <w:kern w:val="0"/>
      <w:szCs w:val="20"/>
    </w:rPr>
  </w:style>
  <w:style w:type="paragraph" w:customStyle="1" w:styleId="321">
    <w:name w:val="2级标题"/>
    <w:basedOn w:val="1"/>
    <w:qFormat/>
    <w:uiPriority w:val="0"/>
    <w:pPr>
      <w:adjustRightInd/>
      <w:snapToGrid/>
      <w:spacing w:before="60" w:line="460" w:lineRule="exact"/>
      <w:ind w:firstLine="0" w:firstLineChars="0"/>
      <w:outlineLvl w:val="1"/>
    </w:pPr>
    <w:rPr>
      <w:rFonts w:cs="Times New Roman"/>
      <w:b/>
      <w:kern w:val="0"/>
      <w:sz w:val="28"/>
      <w:szCs w:val="20"/>
    </w:rPr>
  </w:style>
  <w:style w:type="paragraph" w:customStyle="1" w:styleId="322">
    <w:name w:val="样式 样式 标题 3标题 33 + 段前: 0.5 行 + 段前: 0.5 行"/>
    <w:basedOn w:val="286"/>
    <w:qFormat/>
    <w:uiPriority w:val="0"/>
  </w:style>
  <w:style w:type="paragraph" w:customStyle="1" w:styleId="323">
    <w:name w:val="表内文字"/>
    <w:basedOn w:val="1"/>
    <w:next w:val="40"/>
    <w:qFormat/>
    <w:uiPriority w:val="0"/>
    <w:pPr>
      <w:adjustRightInd/>
      <w:snapToGrid/>
      <w:spacing w:after="120" w:line="480" w:lineRule="auto"/>
      <w:ind w:firstLine="0" w:firstLineChars="0"/>
    </w:pPr>
    <w:rPr>
      <w:rFonts w:cs="Times New Roman"/>
      <w:kern w:val="0"/>
      <w:szCs w:val="20"/>
    </w:rPr>
  </w:style>
  <w:style w:type="paragraph" w:customStyle="1" w:styleId="324">
    <w:name w:val="正文文本缩进1"/>
    <w:basedOn w:val="1"/>
    <w:qFormat/>
    <w:uiPriority w:val="0"/>
    <w:pPr>
      <w:adjustRightInd/>
      <w:snapToGrid/>
      <w:spacing w:after="120" w:line="240" w:lineRule="auto"/>
      <w:ind w:left="420" w:leftChars="200" w:firstLine="0" w:firstLineChars="0"/>
    </w:pPr>
    <w:rPr>
      <w:rFonts w:hint="eastAsia" w:cs="Times New Roman"/>
      <w:kern w:val="0"/>
      <w:szCs w:val="20"/>
    </w:rPr>
  </w:style>
  <w:style w:type="paragraph" w:customStyle="1" w:styleId="325">
    <w:name w:val="表芯"/>
    <w:basedOn w:val="1"/>
    <w:next w:val="1"/>
    <w:qFormat/>
    <w:uiPriority w:val="0"/>
    <w:pPr>
      <w:keepNext/>
      <w:snapToGrid/>
      <w:spacing w:before="20" w:line="0" w:lineRule="atLeast"/>
      <w:ind w:firstLine="0" w:firstLineChars="0"/>
      <w:jc w:val="center"/>
      <w:textAlignment w:val="baseline"/>
    </w:pPr>
    <w:rPr>
      <w:rFonts w:cs="Times New Roman"/>
      <w:kern w:val="21"/>
      <w:szCs w:val="20"/>
    </w:rPr>
  </w:style>
  <w:style w:type="paragraph" w:customStyle="1" w:styleId="326">
    <w:name w:val="样式 标题2　自动设置"/>
    <w:basedOn w:val="5"/>
    <w:qFormat/>
    <w:uiPriority w:val="0"/>
    <w:pPr>
      <w:spacing w:before="120" w:after="60"/>
      <w:jc w:val="both"/>
    </w:pPr>
    <w:rPr>
      <w:rFonts w:ascii="宋体" w:hAnsi="宋体" w:eastAsia="宋体" w:cs="Times New Roman"/>
      <w:bCs w:val="0"/>
      <w:kern w:val="0"/>
      <w:szCs w:val="20"/>
      <w:lang w:val="zh-CN" w:eastAsia="zh-CN"/>
    </w:rPr>
  </w:style>
  <w:style w:type="paragraph" w:customStyle="1" w:styleId="327">
    <w:name w:val="序列样式1"/>
    <w:basedOn w:val="1"/>
    <w:qFormat/>
    <w:uiPriority w:val="0"/>
    <w:pPr>
      <w:tabs>
        <w:tab w:val="left" w:pos="840"/>
      </w:tabs>
      <w:adjustRightInd/>
      <w:snapToGrid/>
      <w:spacing w:after="62" w:line="400" w:lineRule="exact"/>
      <w:ind w:firstLine="397" w:firstLineChars="0"/>
    </w:pPr>
    <w:rPr>
      <w:rFonts w:cs="Times New Roman"/>
      <w:kern w:val="0"/>
      <w:szCs w:val="20"/>
    </w:rPr>
  </w:style>
  <w:style w:type="paragraph" w:customStyle="1" w:styleId="328">
    <w:name w:val="正文文字一"/>
    <w:basedOn w:val="1"/>
    <w:qFormat/>
    <w:uiPriority w:val="0"/>
    <w:pPr>
      <w:adjustRightInd/>
      <w:snapToGrid/>
      <w:spacing w:line="520" w:lineRule="exact"/>
      <w:ind w:firstLine="567" w:firstLineChars="0"/>
    </w:pPr>
    <w:rPr>
      <w:rFonts w:cs="Times New Roman"/>
      <w:kern w:val="0"/>
      <w:sz w:val="28"/>
      <w:szCs w:val="20"/>
    </w:rPr>
  </w:style>
  <w:style w:type="paragraph" w:customStyle="1" w:styleId="329">
    <w:name w:val="表文A"/>
    <w:qFormat/>
    <w:uiPriority w:val="0"/>
    <w:pPr>
      <w:tabs>
        <w:tab w:val="left" w:pos="0"/>
      </w:tabs>
      <w:adjustRightInd w:val="0"/>
      <w:snapToGrid w:val="0"/>
      <w:spacing w:line="264" w:lineRule="auto"/>
      <w:jc w:val="center"/>
    </w:pPr>
    <w:rPr>
      <w:rFonts w:ascii="Times New Roman" w:hAnsi="Times New Roman" w:eastAsia="宋体" w:cs="Times New Roman"/>
      <w:snapToGrid w:val="0"/>
      <w:kern w:val="0"/>
      <w:sz w:val="18"/>
      <w:szCs w:val="20"/>
      <w:lang w:val="en-US" w:eastAsia="zh-CN" w:bidi="ar-SA"/>
    </w:rPr>
  </w:style>
  <w:style w:type="paragraph" w:styleId="330">
    <w:name w:val="List Paragraph"/>
    <w:basedOn w:val="1"/>
    <w:link w:val="439"/>
    <w:qFormat/>
    <w:uiPriority w:val="34"/>
    <w:pPr>
      <w:adjustRightInd/>
      <w:snapToGrid/>
      <w:spacing w:line="240" w:lineRule="auto"/>
      <w:ind w:firstLine="420"/>
    </w:pPr>
    <w:rPr>
      <w:rFonts w:ascii="宋体" w:cs="Times New Roman"/>
      <w:kern w:val="0"/>
      <w:szCs w:val="20"/>
    </w:rPr>
  </w:style>
  <w:style w:type="paragraph" w:customStyle="1" w:styleId="331">
    <w:name w:val="xyb自建表格名称"/>
    <w:basedOn w:val="1"/>
    <w:qFormat/>
    <w:uiPriority w:val="0"/>
    <w:pPr>
      <w:adjustRightInd/>
      <w:snapToGrid/>
      <w:ind w:firstLine="0" w:firstLineChars="0"/>
      <w:jc w:val="center"/>
    </w:pPr>
    <w:rPr>
      <w:rFonts w:ascii="宋体" w:hAnsi="宋体" w:cs="Times New Roman"/>
      <w:kern w:val="0"/>
      <w:szCs w:val="20"/>
    </w:rPr>
  </w:style>
  <w:style w:type="paragraph" w:customStyle="1" w:styleId="332">
    <w:name w:val="普通文字 Char"/>
    <w:basedOn w:val="1"/>
    <w:next w:val="26"/>
    <w:qFormat/>
    <w:uiPriority w:val="0"/>
    <w:pPr>
      <w:tabs>
        <w:tab w:val="left" w:pos="3800"/>
        <w:tab w:val="left" w:pos="5200"/>
      </w:tabs>
      <w:autoSpaceDE w:val="0"/>
      <w:autoSpaceDN w:val="0"/>
      <w:snapToGrid/>
      <w:spacing w:line="560" w:lineRule="exact"/>
      <w:ind w:firstLine="0" w:firstLineChars="0"/>
      <w:jc w:val="left"/>
    </w:pPr>
    <w:rPr>
      <w:rFonts w:hAnsi="Courier New" w:cs="Times New Roman"/>
      <w:color w:val="000000"/>
      <w:kern w:val="0"/>
      <w:szCs w:val="20"/>
    </w:rPr>
  </w:style>
  <w:style w:type="paragraph" w:customStyle="1" w:styleId="333">
    <w:name w:val="表格内容小紧"/>
    <w:basedOn w:val="243"/>
    <w:qFormat/>
    <w:uiPriority w:val="0"/>
    <w:pPr>
      <w:ind w:left="-105" w:leftChars="-50" w:right="-50" w:rightChars="-50"/>
    </w:pPr>
  </w:style>
  <w:style w:type="paragraph" w:customStyle="1" w:styleId="334">
    <w:name w:val="样式 样式 样式 首行缩进:  2 字符 段后: 7.8 磅 Char + 首行缩进:  2 字符 + 左侧:  2 字符 首..."/>
    <w:basedOn w:val="1"/>
    <w:qFormat/>
    <w:uiPriority w:val="0"/>
    <w:pPr>
      <w:widowControl/>
      <w:adjustRightInd/>
      <w:snapToGrid/>
      <w:ind w:left="200" w:leftChars="200" w:firstLine="200"/>
      <w:jc w:val="left"/>
    </w:pPr>
    <w:rPr>
      <w:rFonts w:ascii="宋体" w:hAnsi="宋体" w:cs="宋体"/>
      <w:color w:val="000000"/>
      <w:kern w:val="0"/>
      <w:szCs w:val="20"/>
    </w:rPr>
  </w:style>
  <w:style w:type="paragraph" w:customStyle="1" w:styleId="335">
    <w:name w:val="纯文本 Char Char Char Char"/>
    <w:basedOn w:val="1"/>
    <w:next w:val="26"/>
    <w:qFormat/>
    <w:uiPriority w:val="0"/>
    <w:pPr>
      <w:adjustRightInd/>
      <w:snapToGrid/>
      <w:spacing w:line="240" w:lineRule="auto"/>
      <w:ind w:firstLine="0" w:firstLineChars="0"/>
    </w:pPr>
    <w:rPr>
      <w:rFonts w:ascii="宋体" w:hAnsi="Courier New" w:cs="Times New Roman"/>
      <w:kern w:val="0"/>
      <w:szCs w:val="20"/>
    </w:rPr>
  </w:style>
  <w:style w:type="paragraph" w:customStyle="1" w:styleId="336">
    <w:name w:val="纯文本 Char Char Char Char2"/>
    <w:basedOn w:val="1"/>
    <w:next w:val="26"/>
    <w:qFormat/>
    <w:uiPriority w:val="0"/>
    <w:pPr>
      <w:adjustRightInd/>
      <w:snapToGrid/>
      <w:spacing w:line="240" w:lineRule="auto"/>
      <w:ind w:firstLine="0" w:firstLineChars="0"/>
    </w:pPr>
    <w:rPr>
      <w:rFonts w:ascii="宋体" w:hAnsi="Courier New" w:cs="Times New Roman"/>
      <w:kern w:val="0"/>
      <w:szCs w:val="20"/>
    </w:rPr>
  </w:style>
  <w:style w:type="paragraph" w:customStyle="1" w:styleId="337">
    <w:name w:val="xl58"/>
    <w:basedOn w:val="1"/>
    <w:qFormat/>
    <w:uiPriority w:val="0"/>
    <w:pPr>
      <w:widowControl/>
      <w:pBdr>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Arial Unicode MS" w:hAnsi="Arial Unicode MS" w:cs="Times New Roman"/>
      <w:color w:val="000000"/>
      <w:kern w:val="0"/>
      <w:szCs w:val="20"/>
    </w:rPr>
  </w:style>
  <w:style w:type="paragraph" w:customStyle="1" w:styleId="338">
    <w:name w:val="中文报告书样式"/>
    <w:basedOn w:val="1"/>
    <w:qFormat/>
    <w:uiPriority w:val="0"/>
    <w:pPr>
      <w:spacing w:line="500" w:lineRule="atLeast"/>
      <w:ind w:firstLine="0" w:firstLineChars="0"/>
      <w:textAlignment w:val="baseline"/>
    </w:pPr>
    <w:rPr>
      <w:rFonts w:eastAsia="汉仪仿宋简" w:cs="Times New Roman"/>
      <w:kern w:val="28"/>
      <w:szCs w:val="20"/>
    </w:rPr>
  </w:style>
  <w:style w:type="paragraph" w:customStyle="1" w:styleId="339">
    <w:name w:val="普通(网站)1"/>
    <w:basedOn w:val="1"/>
    <w:qFormat/>
    <w:uiPriority w:val="0"/>
    <w:pPr>
      <w:widowControl/>
      <w:adjustRightInd/>
      <w:snapToGrid/>
      <w:spacing w:line="240" w:lineRule="auto"/>
      <w:ind w:firstLine="0" w:firstLineChars="0"/>
      <w:jc w:val="left"/>
    </w:pPr>
    <w:rPr>
      <w:rFonts w:ascii="宋体" w:hAnsi="宋体" w:cs="宋体"/>
      <w:kern w:val="0"/>
      <w:szCs w:val="24"/>
    </w:rPr>
  </w:style>
  <w:style w:type="paragraph" w:customStyle="1" w:styleId="340">
    <w:name w:val="样式 正文首行缩进 + 宋体"/>
    <w:basedOn w:val="103"/>
    <w:qFormat/>
    <w:uiPriority w:val="0"/>
    <w:pPr>
      <w:spacing w:after="0" w:afterLines="0"/>
      <w:ind w:firstLine="498" w:firstLineChars="200"/>
    </w:pPr>
    <w:rPr>
      <w:szCs w:val="20"/>
    </w:rPr>
  </w:style>
  <w:style w:type="paragraph" w:customStyle="1" w:styleId="341">
    <w:name w:val="正文4"/>
    <w:qFormat/>
    <w:uiPriority w:val="0"/>
    <w:pPr>
      <w:widowControl w:val="0"/>
      <w:adjustRightInd w:val="0"/>
      <w:spacing w:line="360" w:lineRule="atLeast"/>
      <w:textAlignment w:val="baseline"/>
    </w:pPr>
    <w:rPr>
      <w:rFonts w:ascii="宋体" w:hAnsi="Times New Roman" w:eastAsia="宋体" w:cs="Times New Roman"/>
      <w:kern w:val="0"/>
      <w:sz w:val="24"/>
      <w:szCs w:val="20"/>
      <w:lang w:val="en-US" w:eastAsia="zh-CN" w:bidi="ar-SA"/>
    </w:rPr>
  </w:style>
  <w:style w:type="paragraph" w:customStyle="1" w:styleId="342">
    <w:name w:val="标题四"/>
    <w:basedOn w:val="1"/>
    <w:qFormat/>
    <w:uiPriority w:val="0"/>
    <w:pPr>
      <w:adjustRightInd/>
      <w:snapToGrid/>
      <w:spacing w:before="156" w:after="156"/>
    </w:pPr>
    <w:rPr>
      <w:rFonts w:ascii="宋体" w:hAnsi="宋体" w:cs="Times New Roman"/>
      <w:b/>
      <w:kern w:val="0"/>
      <w:szCs w:val="20"/>
    </w:rPr>
  </w:style>
  <w:style w:type="paragraph" w:customStyle="1" w:styleId="343">
    <w:name w:val="TOC Heading"/>
    <w:basedOn w:val="4"/>
    <w:next w:val="1"/>
    <w:qFormat/>
    <w:uiPriority w:val="39"/>
    <w:pPr>
      <w:keepNext/>
      <w:keepLines/>
      <w:widowControl/>
      <w:spacing w:before="480" w:line="276" w:lineRule="auto"/>
      <w:outlineLvl w:val="9"/>
    </w:pPr>
    <w:rPr>
      <w:rFonts w:ascii="Cambria" w:hAnsi="Cambria" w:eastAsia="宋体" w:cs="Times New Roman"/>
      <w:b/>
      <w:bCs/>
      <w:color w:val="365F91"/>
      <w:kern w:val="0"/>
      <w:sz w:val="28"/>
      <w:szCs w:val="28"/>
      <w:lang w:val="zh-CN" w:eastAsia="zh-CN"/>
    </w:rPr>
  </w:style>
  <w:style w:type="paragraph" w:customStyle="1" w:styleId="344">
    <w:name w:val="_Style 5"/>
    <w:basedOn w:val="1"/>
    <w:next w:val="1"/>
    <w:qFormat/>
    <w:uiPriority w:val="0"/>
    <w:pPr>
      <w:pBdr>
        <w:top w:val="single" w:color="auto" w:sz="6" w:space="1"/>
      </w:pBdr>
      <w:adjustRightInd/>
      <w:snapToGrid/>
      <w:spacing w:line="240" w:lineRule="auto"/>
      <w:ind w:firstLine="0" w:firstLineChars="0"/>
      <w:jc w:val="center"/>
    </w:pPr>
    <w:rPr>
      <w:rFonts w:ascii="Arial" w:cs="Times New Roman"/>
      <w:vanish/>
      <w:kern w:val="0"/>
      <w:sz w:val="16"/>
      <w:szCs w:val="20"/>
    </w:rPr>
  </w:style>
  <w:style w:type="paragraph" w:customStyle="1" w:styleId="345">
    <w:name w:val="标题D"/>
    <w:qFormat/>
    <w:uiPriority w:val="0"/>
    <w:pPr>
      <w:adjustRightInd w:val="0"/>
      <w:snapToGrid w:val="0"/>
      <w:spacing w:before="240" w:line="360" w:lineRule="auto"/>
      <w:outlineLvl w:val="3"/>
    </w:pPr>
    <w:rPr>
      <w:rFonts w:ascii="Times New Roman" w:hAnsi="Times New Roman" w:eastAsia="宋体" w:cs="Times New Roman"/>
      <w:b/>
      <w:kern w:val="0"/>
      <w:sz w:val="24"/>
      <w:szCs w:val="20"/>
      <w:lang w:val="en-US" w:eastAsia="zh-CN" w:bidi="ar-SA"/>
    </w:rPr>
  </w:style>
  <w:style w:type="paragraph" w:customStyle="1" w:styleId="346">
    <w:name w:val="表格内容 Char Char Char"/>
    <w:basedOn w:val="1"/>
    <w:qFormat/>
    <w:uiPriority w:val="0"/>
    <w:pPr>
      <w:tabs>
        <w:tab w:val="left" w:pos="1535"/>
        <w:tab w:val="left" w:pos="3105"/>
        <w:tab w:val="left" w:pos="4676"/>
        <w:tab w:val="left" w:pos="6247"/>
        <w:tab w:val="left" w:pos="7740"/>
        <w:tab w:val="left" w:pos="9288"/>
      </w:tabs>
      <w:adjustRightInd/>
      <w:spacing w:line="240" w:lineRule="auto"/>
      <w:ind w:firstLine="67" w:firstLineChars="0"/>
      <w:jc w:val="center"/>
      <w:textAlignment w:val="baseline"/>
    </w:pPr>
    <w:rPr>
      <w:rFonts w:cs="Times New Roman"/>
      <w:kern w:val="0"/>
      <w:szCs w:val="20"/>
    </w:rPr>
  </w:style>
  <w:style w:type="paragraph" w:customStyle="1" w:styleId="347">
    <w:name w:val="正文001"/>
    <w:basedOn w:val="1"/>
    <w:qFormat/>
    <w:uiPriority w:val="0"/>
    <w:pPr>
      <w:adjustRightInd/>
      <w:snapToGrid/>
      <w:spacing w:before="60" w:line="460" w:lineRule="exact"/>
      <w:ind w:firstLine="200"/>
    </w:pPr>
    <w:rPr>
      <w:rFonts w:cs="Times New Roman"/>
      <w:kern w:val="0"/>
      <w:szCs w:val="20"/>
    </w:rPr>
  </w:style>
  <w:style w:type="paragraph" w:customStyle="1" w:styleId="348">
    <w:name w:val="xl25"/>
    <w:basedOn w:val="1"/>
    <w:qFormat/>
    <w:uiPriority w:val="0"/>
    <w:pPr>
      <w:widowControl/>
      <w:pBdr>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cs="Times New Roman"/>
      <w:kern w:val="0"/>
      <w:szCs w:val="20"/>
    </w:rPr>
  </w:style>
  <w:style w:type="paragraph" w:customStyle="1" w:styleId="349">
    <w:name w:val="表名A"/>
    <w:basedOn w:val="1"/>
    <w:qFormat/>
    <w:uiPriority w:val="0"/>
    <w:pPr>
      <w:widowControl/>
      <w:tabs>
        <w:tab w:val="left" w:pos="0"/>
      </w:tabs>
      <w:spacing w:before="249" w:after="62" w:line="240" w:lineRule="auto"/>
      <w:ind w:firstLine="0" w:firstLineChars="0"/>
      <w:jc w:val="center"/>
    </w:pPr>
    <w:rPr>
      <w:rFonts w:cs="Times New Roman"/>
      <w:b/>
      <w:snapToGrid w:val="0"/>
      <w:kern w:val="0"/>
      <w:szCs w:val="20"/>
    </w:rPr>
  </w:style>
  <w:style w:type="paragraph" w:customStyle="1" w:styleId="350">
    <w:name w:val="样式 样式 样式 标题 3标题 33 + 段前: 0.5 行 + 段前: 0.5 行 + 段前: 6 磅 段后: 0.5 行"/>
    <w:basedOn w:val="322"/>
    <w:qFormat/>
    <w:uiPriority w:val="0"/>
  </w:style>
  <w:style w:type="paragraph" w:customStyle="1" w:styleId="351">
    <w:name w:val="样式4"/>
    <w:basedOn w:val="7"/>
    <w:next w:val="9"/>
    <w:qFormat/>
    <w:uiPriority w:val="0"/>
    <w:pPr>
      <w:tabs>
        <w:tab w:val="left" w:pos="720"/>
      </w:tabs>
      <w:spacing w:before="120" w:after="156" w:line="240" w:lineRule="auto"/>
      <w:jc w:val="center"/>
    </w:pPr>
    <w:rPr>
      <w:rFonts w:ascii="黑体" w:hAnsi="宋体"/>
      <w:b/>
    </w:rPr>
  </w:style>
  <w:style w:type="paragraph" w:customStyle="1" w:styleId="352">
    <w:name w:val="表格名称"/>
    <w:basedOn w:val="26"/>
    <w:qFormat/>
    <w:uiPriority w:val="0"/>
    <w:pPr>
      <w:tabs>
        <w:tab w:val="left" w:pos="3800"/>
        <w:tab w:val="left" w:pos="5200"/>
      </w:tabs>
      <w:autoSpaceDE w:val="0"/>
      <w:autoSpaceDN w:val="0"/>
      <w:adjustRightInd w:val="0"/>
      <w:spacing w:line="500" w:lineRule="exact"/>
      <w:jc w:val="center"/>
    </w:pPr>
    <w:rPr>
      <w:rFonts w:ascii="黑体" w:hAnsi="宋体" w:eastAsia="黑体"/>
      <w:snapToGrid w:val="0"/>
      <w:color w:val="000000"/>
      <w:kern w:val="28"/>
      <w:sz w:val="24"/>
    </w:rPr>
  </w:style>
  <w:style w:type="paragraph" w:customStyle="1" w:styleId="353">
    <w:name w:val="样式5"/>
    <w:basedOn w:val="12"/>
    <w:qFormat/>
    <w:uiPriority w:val="0"/>
  </w:style>
  <w:style w:type="paragraph" w:customStyle="1" w:styleId="354">
    <w:name w:val="表文"/>
    <w:basedOn w:val="1"/>
    <w:link w:val="390"/>
    <w:qFormat/>
    <w:uiPriority w:val="0"/>
    <w:pPr>
      <w:adjustRightInd/>
      <w:snapToGrid/>
      <w:spacing w:line="240" w:lineRule="auto"/>
      <w:ind w:firstLine="0" w:firstLineChars="0"/>
      <w:jc w:val="center"/>
      <w:textAlignment w:val="center"/>
    </w:pPr>
    <w:rPr>
      <w:rFonts w:ascii="宋体" w:hAnsi="宋体" w:cs="宋体"/>
      <w:bCs/>
      <w:iCs/>
      <w:kern w:val="0"/>
      <w:szCs w:val="21"/>
    </w:rPr>
  </w:style>
  <w:style w:type="paragraph" w:customStyle="1" w:styleId="355">
    <w:name w:val="表"/>
    <w:basedOn w:val="1"/>
    <w:qFormat/>
    <w:uiPriority w:val="0"/>
    <w:pPr>
      <w:adjustRightInd/>
      <w:snapToGrid/>
      <w:spacing w:line="240" w:lineRule="auto"/>
      <w:ind w:firstLine="0" w:firstLineChars="0"/>
      <w:jc w:val="center"/>
    </w:pPr>
    <w:rPr>
      <w:rFonts w:cs="Times New Roman"/>
      <w:kern w:val="0"/>
      <w:szCs w:val="20"/>
    </w:rPr>
  </w:style>
  <w:style w:type="paragraph" w:customStyle="1" w:styleId="356">
    <w:name w:val="默认段落字体 Para Char Char Char Char"/>
    <w:basedOn w:val="1"/>
    <w:qFormat/>
    <w:uiPriority w:val="0"/>
    <w:pPr>
      <w:adjustRightInd/>
      <w:snapToGrid/>
      <w:spacing w:line="240" w:lineRule="auto"/>
      <w:ind w:firstLine="0" w:firstLineChars="0"/>
    </w:pPr>
    <w:rPr>
      <w:rFonts w:cs="Times New Roman"/>
      <w:kern w:val="0"/>
      <w:szCs w:val="24"/>
    </w:rPr>
  </w:style>
  <w:style w:type="paragraph" w:customStyle="1" w:styleId="357">
    <w:name w:val="正文21"/>
    <w:qFormat/>
    <w:uiPriority w:val="0"/>
    <w:pPr>
      <w:widowControl w:val="0"/>
      <w:adjustRightInd w:val="0"/>
      <w:spacing w:line="360" w:lineRule="atLeast"/>
      <w:textAlignment w:val="baseline"/>
    </w:pPr>
    <w:rPr>
      <w:rFonts w:ascii="宋体" w:hAnsi="Times New Roman" w:eastAsia="宋体" w:cs="Times New Roman"/>
      <w:kern w:val="0"/>
      <w:sz w:val="24"/>
      <w:szCs w:val="20"/>
      <w:lang w:val="en-US" w:eastAsia="zh-CN" w:bidi="ar-SA"/>
    </w:rPr>
  </w:style>
  <w:style w:type="paragraph" w:customStyle="1" w:styleId="358">
    <w:name w:val="表格文字"/>
    <w:basedOn w:val="1"/>
    <w:link w:val="389"/>
    <w:qFormat/>
    <w:uiPriority w:val="0"/>
    <w:pPr>
      <w:tabs>
        <w:tab w:val="left" w:pos="146"/>
      </w:tabs>
      <w:adjustRightInd/>
      <w:snapToGrid/>
      <w:spacing w:line="240" w:lineRule="exact"/>
      <w:ind w:right="-55" w:rightChars="-55" w:firstLine="0" w:firstLineChars="0"/>
      <w:jc w:val="center"/>
    </w:pPr>
    <w:rPr>
      <w:rFonts w:ascii="宋体" w:hAnsi="宋体" w:cs="Times New Roman"/>
      <w:snapToGrid w:val="0"/>
      <w:spacing w:val="6"/>
      <w:kern w:val="0"/>
      <w:szCs w:val="20"/>
    </w:rPr>
  </w:style>
  <w:style w:type="paragraph" w:customStyle="1" w:styleId="359">
    <w:name w:val="表格内容1"/>
    <w:basedOn w:val="1"/>
    <w:qFormat/>
    <w:uiPriority w:val="0"/>
    <w:pPr>
      <w:tabs>
        <w:tab w:val="left" w:pos="1535"/>
        <w:tab w:val="left" w:pos="3105"/>
        <w:tab w:val="left" w:pos="4676"/>
        <w:tab w:val="left" w:pos="6247"/>
        <w:tab w:val="left" w:pos="7740"/>
        <w:tab w:val="left" w:pos="9288"/>
      </w:tabs>
      <w:spacing w:line="300" w:lineRule="atLeast"/>
      <w:ind w:firstLine="0" w:firstLineChars="0"/>
      <w:jc w:val="center"/>
      <w:textAlignment w:val="baseline"/>
    </w:pPr>
    <w:rPr>
      <w:rFonts w:ascii="宋体" w:hAnsi="宋体" w:cs="Times New Roman"/>
      <w:kern w:val="0"/>
      <w:szCs w:val="20"/>
    </w:rPr>
  </w:style>
  <w:style w:type="paragraph" w:customStyle="1" w:styleId="360">
    <w:name w:val="样式 样式 (中文) 黑体 加粗 + 首行缩进:  1.98 字符"/>
    <w:basedOn w:val="1"/>
    <w:qFormat/>
    <w:uiPriority w:val="0"/>
    <w:pPr>
      <w:snapToGrid/>
      <w:spacing w:line="500" w:lineRule="exact"/>
      <w:ind w:firstLine="557" w:firstLineChars="198"/>
      <w:textAlignment w:val="baseline"/>
    </w:pPr>
    <w:rPr>
      <w:rFonts w:eastAsia="新宋体" w:cs="Times New Roman"/>
      <w:b/>
      <w:kern w:val="0"/>
      <w:sz w:val="28"/>
      <w:szCs w:val="20"/>
    </w:rPr>
  </w:style>
  <w:style w:type="paragraph" w:customStyle="1" w:styleId="361">
    <w:name w:val="表格内容 Char"/>
    <w:basedOn w:val="1"/>
    <w:qFormat/>
    <w:uiPriority w:val="0"/>
    <w:pPr>
      <w:adjustRightInd/>
      <w:snapToGrid/>
      <w:spacing w:line="240" w:lineRule="auto"/>
      <w:ind w:firstLine="0" w:firstLineChars="0"/>
      <w:jc w:val="center"/>
    </w:pPr>
    <w:rPr>
      <w:rFonts w:ascii="宋体" w:hAnsi="Arial" w:cs="Times New Roman"/>
      <w:bCs/>
      <w:kern w:val="0"/>
      <w:szCs w:val="21"/>
    </w:rPr>
  </w:style>
  <w:style w:type="paragraph" w:customStyle="1" w:styleId="362">
    <w:name w:val="正文A"/>
    <w:qFormat/>
    <w:uiPriority w:val="0"/>
    <w:pPr>
      <w:tabs>
        <w:tab w:val="left" w:pos="0"/>
      </w:tabs>
      <w:adjustRightInd w:val="0"/>
      <w:spacing w:before="120" w:line="360" w:lineRule="auto"/>
      <w:ind w:firstLine="480"/>
      <w:jc w:val="both"/>
    </w:pPr>
    <w:rPr>
      <w:rFonts w:ascii="Times New Roman" w:hAnsi="Times New Roman" w:eastAsia="宋体" w:cs="Times New Roman"/>
      <w:snapToGrid w:val="0"/>
      <w:kern w:val="0"/>
      <w:sz w:val="24"/>
      <w:szCs w:val="20"/>
      <w:lang w:val="en-US" w:eastAsia="zh-CN" w:bidi="ar-SA"/>
    </w:rPr>
  </w:style>
  <w:style w:type="paragraph" w:customStyle="1" w:styleId="363">
    <w:name w:val="标题1"/>
    <w:basedOn w:val="1"/>
    <w:qFormat/>
    <w:uiPriority w:val="0"/>
    <w:pPr>
      <w:numPr>
        <w:ilvl w:val="0"/>
        <w:numId w:val="2"/>
      </w:numPr>
      <w:adjustRightInd/>
      <w:snapToGrid/>
      <w:spacing w:line="240" w:lineRule="auto"/>
      <w:ind w:firstLine="0" w:firstLineChars="0"/>
    </w:pPr>
    <w:rPr>
      <w:rFonts w:cs="Times New Roman"/>
      <w:kern w:val="0"/>
      <w:szCs w:val="20"/>
    </w:rPr>
  </w:style>
  <w:style w:type="paragraph" w:customStyle="1" w:styleId="364">
    <w:name w:val="3"/>
    <w:basedOn w:val="1"/>
    <w:next w:val="43"/>
    <w:qFormat/>
    <w:uiPriority w:val="0"/>
    <w:pPr>
      <w:widowControl/>
      <w:adjustRightInd/>
      <w:snapToGrid/>
      <w:spacing w:before="100" w:beforeAutospacing="1" w:after="100" w:afterAutospacing="1" w:line="240" w:lineRule="auto"/>
      <w:ind w:firstLine="0" w:firstLineChars="0"/>
      <w:jc w:val="left"/>
    </w:pPr>
    <w:rPr>
      <w:rFonts w:ascii="宋体" w:hAnsi="宋体" w:cs="Times New Roman"/>
      <w:kern w:val="0"/>
      <w:szCs w:val="20"/>
    </w:rPr>
  </w:style>
  <w:style w:type="paragraph" w:customStyle="1" w:styleId="365">
    <w:name w:val="注"/>
    <w:basedOn w:val="1"/>
    <w:qFormat/>
    <w:uiPriority w:val="0"/>
    <w:pPr>
      <w:adjustRightInd/>
      <w:snapToGrid/>
      <w:spacing w:line="240" w:lineRule="auto"/>
      <w:ind w:firstLine="0" w:firstLineChars="0"/>
    </w:pPr>
    <w:rPr>
      <w:rFonts w:ascii="宋体" w:hAnsi="宋体" w:cs="Times New Roman"/>
      <w:kern w:val="0"/>
      <w:szCs w:val="20"/>
    </w:rPr>
  </w:style>
  <w:style w:type="paragraph" w:customStyle="1" w:styleId="366">
    <w:name w:val="表格内容右小"/>
    <w:basedOn w:val="318"/>
    <w:qFormat/>
    <w:uiPriority w:val="0"/>
    <w:rPr>
      <w:sz w:val="18"/>
    </w:rPr>
  </w:style>
  <w:style w:type="paragraph" w:customStyle="1" w:styleId="367">
    <w:name w:val="样式 标题 3样式　标题 3　自动设置标题 3 Char章 + Times New 表题3"/>
    <w:basedOn w:val="6"/>
    <w:qFormat/>
    <w:uiPriority w:val="0"/>
    <w:pPr>
      <w:tabs>
        <w:tab w:val="left" w:pos="3800"/>
        <w:tab w:val="left" w:pos="5200"/>
      </w:tabs>
      <w:autoSpaceDE w:val="0"/>
      <w:autoSpaceDN w:val="0"/>
      <w:spacing w:before="120" w:after="120" w:line="240" w:lineRule="auto"/>
      <w:jc w:val="both"/>
    </w:pPr>
    <w:rPr>
      <w:rFonts w:cs="Times New Roman"/>
      <w:bCs w:val="0"/>
      <w:szCs w:val="20"/>
      <w:lang w:val="zh-CN" w:eastAsia="zh-CN"/>
    </w:rPr>
  </w:style>
  <w:style w:type="paragraph" w:customStyle="1" w:styleId="368">
    <w:name w:val="post_content_p"/>
    <w:basedOn w:val="1"/>
    <w:qFormat/>
    <w:uiPriority w:val="0"/>
    <w:pPr>
      <w:widowControl/>
      <w:wordWrap w:val="0"/>
      <w:adjustRightInd/>
      <w:snapToGrid/>
      <w:spacing w:before="100" w:beforeAutospacing="1" w:after="100" w:afterAutospacing="1" w:line="240" w:lineRule="auto"/>
      <w:ind w:firstLine="0" w:firstLineChars="0"/>
      <w:jc w:val="left"/>
    </w:pPr>
    <w:rPr>
      <w:rFonts w:ascii="宋体" w:hAnsi="宋体" w:cs="宋体"/>
      <w:b/>
      <w:kern w:val="0"/>
      <w:szCs w:val="24"/>
    </w:rPr>
  </w:style>
  <w:style w:type="paragraph" w:customStyle="1" w:styleId="369">
    <w:name w:val="样式 样式 标题 2节广2mystyle2style2H2(C+F2)(F3)Title22nd levelh2... + 段前..."/>
    <w:basedOn w:val="1"/>
    <w:qFormat/>
    <w:uiPriority w:val="0"/>
    <w:pPr>
      <w:numPr>
        <w:ilvl w:val="1"/>
        <w:numId w:val="3"/>
      </w:numPr>
      <w:snapToGrid/>
      <w:spacing w:before="140"/>
      <w:ind w:firstLine="0" w:firstLineChars="0"/>
      <w:jc w:val="center"/>
      <w:outlineLvl w:val="1"/>
    </w:pPr>
    <w:rPr>
      <w:rFonts w:ascii="宋体" w:hAnsi="宋体" w:eastAsia="黑体" w:cs="宋体"/>
      <w:b/>
      <w:bCs/>
      <w:color w:val="000000"/>
      <w:kern w:val="0"/>
      <w:sz w:val="28"/>
      <w:szCs w:val="20"/>
    </w:rPr>
  </w:style>
  <w:style w:type="table" w:customStyle="1" w:styleId="370">
    <w:name w:val="网格型3"/>
    <w:basedOn w:val="49"/>
    <w:qFormat/>
    <w:uiPriority w:val="59"/>
    <w:rPr>
      <w:rFonts w:ascii="Calibri" w:hAnsi="Calibri"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71">
    <w:name w:val="表头 Char"/>
    <w:qFormat/>
    <w:locked/>
    <w:uiPriority w:val="0"/>
    <w:rPr>
      <w:rFonts w:ascii="Times New Roman" w:hAnsi="Times New Roman" w:eastAsia="宋体" w:cs="宋体"/>
      <w:b/>
      <w:bCs/>
      <w:color w:val="000000"/>
      <w:sz w:val="24"/>
      <w:szCs w:val="24"/>
    </w:rPr>
  </w:style>
  <w:style w:type="paragraph" w:customStyle="1" w:styleId="372">
    <w:name w:val="样式 表格标题 + 首行缩进:  0.61 字符"/>
    <w:basedOn w:val="1"/>
    <w:qFormat/>
    <w:uiPriority w:val="0"/>
    <w:pPr>
      <w:wordWrap w:val="0"/>
      <w:spacing w:line="400" w:lineRule="exact"/>
      <w:ind w:left="-143" w:leftChars="-68" w:firstLine="128" w:firstLineChars="61"/>
      <w:jc w:val="center"/>
    </w:pPr>
    <w:rPr>
      <w:rFonts w:eastAsia="Times New Roman" w:cs="宋体"/>
      <w:sz w:val="21"/>
      <w:szCs w:val="20"/>
    </w:rPr>
  </w:style>
  <w:style w:type="character" w:customStyle="1" w:styleId="373">
    <w:name w:val="页眉 Char"/>
    <w:qFormat/>
    <w:uiPriority w:val="0"/>
    <w:rPr>
      <w:sz w:val="18"/>
      <w:szCs w:val="18"/>
    </w:rPr>
  </w:style>
  <w:style w:type="paragraph" w:customStyle="1" w:styleId="374">
    <w:name w:val="正文00"/>
    <w:basedOn w:val="1"/>
    <w:next w:val="375"/>
    <w:link w:val="376"/>
    <w:qFormat/>
    <w:uiPriority w:val="0"/>
    <w:pPr>
      <w:adjustRightInd/>
      <w:snapToGrid/>
    </w:pPr>
    <w:rPr>
      <w:rFonts w:cs="Times New Roman"/>
      <w:szCs w:val="24"/>
      <w:lang w:val="zh-CN" w:eastAsia="zh-CN"/>
    </w:rPr>
  </w:style>
  <w:style w:type="paragraph" w:customStyle="1" w:styleId="375">
    <w:name w:val="样式 Times New Roman 五号 居中1"/>
    <w:basedOn w:val="1"/>
    <w:next w:val="69"/>
    <w:qFormat/>
    <w:uiPriority w:val="0"/>
    <w:pPr>
      <w:adjustRightInd/>
      <w:snapToGrid/>
      <w:spacing w:line="240" w:lineRule="auto"/>
      <w:ind w:firstLine="0" w:firstLineChars="0"/>
      <w:jc w:val="center"/>
    </w:pPr>
    <w:rPr>
      <w:rFonts w:hAnsi="Calibri" w:cs="宋体"/>
      <w:sz w:val="21"/>
    </w:rPr>
  </w:style>
  <w:style w:type="character" w:customStyle="1" w:styleId="376">
    <w:name w:val="正文00 Char"/>
    <w:link w:val="374"/>
    <w:qFormat/>
    <w:uiPriority w:val="0"/>
    <w:rPr>
      <w:rFonts w:ascii="Times New Roman" w:hAnsi="Times New Roman" w:eastAsia="宋体" w:cs="Times New Roman"/>
      <w:sz w:val="24"/>
      <w:szCs w:val="24"/>
      <w:lang w:val="zh-CN" w:eastAsia="zh-CN"/>
    </w:rPr>
  </w:style>
  <w:style w:type="character" w:customStyle="1" w:styleId="377">
    <w:name w:val="正文(首行缩进) Char"/>
    <w:qFormat/>
    <w:locked/>
    <w:uiPriority w:val="99"/>
    <w:rPr>
      <w:rFonts w:ascii="Times New Roman" w:hAnsi="Times New Roman"/>
      <w:color w:val="000000"/>
      <w:sz w:val="24"/>
    </w:rPr>
  </w:style>
  <w:style w:type="character" w:customStyle="1" w:styleId="378">
    <w:name w:val="表头 Char1"/>
    <w:qFormat/>
    <w:uiPriority w:val="0"/>
    <w:rPr>
      <w:rFonts w:ascii="Times New Roman" w:hAnsi="宋体" w:eastAsia="仿宋_GB2312" w:cs="Times New Roman"/>
      <w:b/>
      <w:kern w:val="0"/>
      <w:sz w:val="28"/>
      <w:szCs w:val="28"/>
    </w:rPr>
  </w:style>
  <w:style w:type="character" w:customStyle="1" w:styleId="379">
    <w:name w:val="Normal Char"/>
    <w:link w:val="258"/>
    <w:qFormat/>
    <w:locked/>
    <w:uiPriority w:val="99"/>
    <w:rPr>
      <w:rFonts w:ascii="宋体" w:hAnsi="Times New Roman" w:eastAsia="宋体" w:cs="Times New Roman"/>
      <w:kern w:val="0"/>
      <w:sz w:val="24"/>
      <w:szCs w:val="20"/>
    </w:rPr>
  </w:style>
  <w:style w:type="character" w:customStyle="1" w:styleId="380">
    <w:name w:val="正文缩进 Char"/>
    <w:qFormat/>
    <w:uiPriority w:val="0"/>
    <w:rPr>
      <w:rFonts w:ascii="Times New Roman" w:hAnsi="Times New Roman" w:eastAsia="宋体" w:cs="Times New Roman"/>
      <w:szCs w:val="20"/>
    </w:rPr>
  </w:style>
  <w:style w:type="paragraph" w:customStyle="1" w:styleId="381">
    <w:name w:val="正文2"/>
    <w:qFormat/>
    <w:uiPriority w:val="0"/>
    <w:pPr>
      <w:widowControl w:val="0"/>
      <w:adjustRightInd w:val="0"/>
      <w:spacing w:line="360" w:lineRule="atLeast"/>
      <w:textAlignment w:val="baseline"/>
    </w:pPr>
    <w:rPr>
      <w:rFonts w:ascii="宋体" w:hAnsi="Times New Roman" w:eastAsia="宋体" w:cs="Times New Roman"/>
      <w:kern w:val="0"/>
      <w:sz w:val="24"/>
      <w:szCs w:val="20"/>
      <w:lang w:val="en-US" w:eastAsia="zh-CN" w:bidi="ar-SA"/>
    </w:rPr>
  </w:style>
  <w:style w:type="character" w:customStyle="1" w:styleId="382">
    <w:name w:val="批注文字 Char"/>
    <w:qFormat/>
    <w:uiPriority w:val="99"/>
    <w:rPr>
      <w:rFonts w:ascii="Times New Roman" w:hAnsi="Times New Roman" w:eastAsia="宋体" w:cs="Times New Roman"/>
      <w:szCs w:val="24"/>
    </w:rPr>
  </w:style>
  <w:style w:type="character" w:customStyle="1" w:styleId="383">
    <w:name w:val="纯文本 Char"/>
    <w:qFormat/>
    <w:uiPriority w:val="0"/>
    <w:rPr>
      <w:rFonts w:ascii="宋体" w:hAnsi="Courier New" w:eastAsia="宋体" w:cs="Times New Roman"/>
      <w:szCs w:val="21"/>
    </w:rPr>
  </w:style>
  <w:style w:type="paragraph" w:customStyle="1" w:styleId="384">
    <w:name w:val="样式 正文文字-1 + 首行缩进:  2.1 字符1"/>
    <w:basedOn w:val="1"/>
    <w:qFormat/>
    <w:uiPriority w:val="0"/>
    <w:pPr>
      <w:adjustRightInd/>
      <w:snapToGrid/>
      <w:spacing w:before="120" w:after="120" w:line="440" w:lineRule="exact"/>
      <w:ind w:firstLine="210" w:firstLineChars="210"/>
    </w:pPr>
    <w:rPr>
      <w:rFonts w:cs="宋体"/>
      <w:szCs w:val="20"/>
    </w:rPr>
  </w:style>
  <w:style w:type="paragraph" w:customStyle="1" w:styleId="385">
    <w:name w:val="纯文本4"/>
    <w:basedOn w:val="1"/>
    <w:qFormat/>
    <w:uiPriority w:val="0"/>
    <w:pPr>
      <w:widowControl/>
      <w:adjustRightInd/>
      <w:snapToGrid/>
      <w:ind w:firstLine="0" w:firstLineChars="0"/>
      <w:jc w:val="left"/>
    </w:pPr>
    <w:rPr>
      <w:rFonts w:ascii="宋体" w:hAnsi="Courier New" w:eastAsia="Times New Roman" w:cs="Times New Roman"/>
      <w:kern w:val="0"/>
      <w:sz w:val="20"/>
      <w:szCs w:val="21"/>
    </w:rPr>
  </w:style>
  <w:style w:type="paragraph" w:customStyle="1" w:styleId="386">
    <w:name w:val="样式 样式 正文文字-1 + 首行缩进:  2.1 字符1 + 首行缩进:  2.1 字符"/>
    <w:basedOn w:val="1"/>
    <w:qFormat/>
    <w:uiPriority w:val="0"/>
    <w:pPr>
      <w:adjustRightInd/>
      <w:snapToGrid/>
      <w:spacing w:before="120" w:after="120" w:line="400" w:lineRule="exact"/>
      <w:ind w:firstLine="210" w:firstLineChars="210"/>
    </w:pPr>
    <w:rPr>
      <w:rFonts w:cs="宋体"/>
      <w:szCs w:val="20"/>
    </w:rPr>
  </w:style>
  <w:style w:type="table" w:customStyle="1" w:styleId="387">
    <w:name w:val="[表格样式]"/>
    <w:basedOn w:val="49"/>
    <w:qFormat/>
    <w:uiPriority w:val="99"/>
    <w:pPr>
      <w:adjustRightInd w:val="0"/>
      <w:snapToGrid w:val="0"/>
      <w:jc w:val="center"/>
    </w:pPr>
    <w:rPr>
      <w:rFonts w:ascii="Times New Roman" w:hAnsi="Times New Roman" w:eastAsia="宋体"/>
      <w:snapToGrid w:val="0"/>
      <w:kern w:val="0"/>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388">
    <w:name w:val="reader-word-layer reader-word-s1-7"/>
    <w:basedOn w:val="1"/>
    <w:qFormat/>
    <w:uiPriority w:val="0"/>
    <w:pPr>
      <w:widowControl/>
      <w:adjustRightInd/>
      <w:snapToGrid/>
      <w:spacing w:before="100" w:beforeAutospacing="1" w:after="100" w:afterAutospacing="1"/>
      <w:ind w:firstLine="0" w:firstLineChars="0"/>
      <w:jc w:val="left"/>
    </w:pPr>
    <w:rPr>
      <w:rFonts w:ascii="宋体" w:hAnsi="宋体" w:eastAsia="Times New Roman" w:cs="宋体"/>
      <w:kern w:val="0"/>
      <w:szCs w:val="24"/>
    </w:rPr>
  </w:style>
  <w:style w:type="character" w:customStyle="1" w:styleId="389">
    <w:name w:val="表格文字 Char"/>
    <w:link w:val="358"/>
    <w:qFormat/>
    <w:uiPriority w:val="0"/>
    <w:rPr>
      <w:rFonts w:ascii="宋体" w:hAnsi="宋体" w:eastAsia="宋体" w:cs="Times New Roman"/>
      <w:snapToGrid w:val="0"/>
      <w:spacing w:val="6"/>
      <w:kern w:val="0"/>
      <w:sz w:val="24"/>
      <w:szCs w:val="20"/>
    </w:rPr>
  </w:style>
  <w:style w:type="character" w:customStyle="1" w:styleId="390">
    <w:name w:val="表文 Char"/>
    <w:link w:val="354"/>
    <w:qFormat/>
    <w:uiPriority w:val="0"/>
    <w:rPr>
      <w:rFonts w:ascii="宋体" w:hAnsi="宋体" w:eastAsia="宋体" w:cs="宋体"/>
      <w:bCs/>
      <w:iCs/>
      <w:kern w:val="0"/>
      <w:sz w:val="24"/>
      <w:szCs w:val="21"/>
    </w:rPr>
  </w:style>
  <w:style w:type="character" w:customStyle="1" w:styleId="391">
    <w:name w:val="正 Char1"/>
    <w:link w:val="392"/>
    <w:qFormat/>
    <w:uiPriority w:val="0"/>
    <w:rPr>
      <w:rFonts w:cs="宋体"/>
      <w:sz w:val="24"/>
    </w:rPr>
  </w:style>
  <w:style w:type="paragraph" w:customStyle="1" w:styleId="392">
    <w:name w:val="正"/>
    <w:basedOn w:val="1"/>
    <w:link w:val="391"/>
    <w:qFormat/>
    <w:uiPriority w:val="0"/>
    <w:pPr>
      <w:adjustRightInd/>
      <w:snapToGrid/>
      <w:spacing w:before="78" w:beforeLines="25" w:after="78" w:afterLines="25" w:line="440" w:lineRule="exact"/>
      <w:ind w:firstLine="200"/>
    </w:pPr>
    <w:rPr>
      <w:rFonts w:cs="宋体" w:asciiTheme="minorHAnsi" w:hAnsiTheme="minorHAnsi" w:eastAsiaTheme="minorEastAsia"/>
    </w:rPr>
  </w:style>
  <w:style w:type="paragraph" w:customStyle="1" w:styleId="393">
    <w:name w:val="正文3"/>
    <w:qFormat/>
    <w:uiPriority w:val="0"/>
    <w:pPr>
      <w:widowControl w:val="0"/>
      <w:adjustRightInd w:val="0"/>
      <w:spacing w:line="360" w:lineRule="atLeast"/>
      <w:textAlignment w:val="baseline"/>
    </w:pPr>
    <w:rPr>
      <w:rFonts w:ascii="宋体" w:hAnsi="Times New Roman" w:eastAsia="宋体" w:cs="Times New Roman"/>
      <w:kern w:val="0"/>
      <w:sz w:val="24"/>
      <w:szCs w:val="20"/>
      <w:lang w:val="en-US" w:eastAsia="zh-CN" w:bidi="ar-SA"/>
    </w:rPr>
  </w:style>
  <w:style w:type="paragraph" w:customStyle="1" w:styleId="394">
    <w:name w:val="正文5"/>
    <w:qFormat/>
    <w:uiPriority w:val="0"/>
    <w:pPr>
      <w:widowControl w:val="0"/>
      <w:adjustRightInd w:val="0"/>
      <w:spacing w:line="360" w:lineRule="atLeast"/>
      <w:textAlignment w:val="baseline"/>
    </w:pPr>
    <w:rPr>
      <w:rFonts w:ascii="宋体" w:hAnsi="Times New Roman" w:eastAsia="宋体" w:cs="Times New Roman"/>
      <w:kern w:val="0"/>
      <w:sz w:val="24"/>
      <w:szCs w:val="20"/>
      <w:lang w:val="en-US" w:eastAsia="zh-CN" w:bidi="ar-SA"/>
    </w:rPr>
  </w:style>
  <w:style w:type="character" w:customStyle="1" w:styleId="395">
    <w:name w:val="正文文本首行缩进 2 字符"/>
    <w:basedOn w:val="216"/>
    <w:link w:val="48"/>
    <w:semiHidden/>
    <w:qFormat/>
    <w:uiPriority w:val="99"/>
    <w:rPr>
      <w:rFonts w:ascii="Times New Roman" w:hAnsi="Times New Roman" w:eastAsia="宋体"/>
      <w:sz w:val="24"/>
    </w:rPr>
  </w:style>
  <w:style w:type="paragraph" w:customStyle="1" w:styleId="396">
    <w:name w:val="Char Char Char Char Char Char Char1"/>
    <w:basedOn w:val="1"/>
    <w:qFormat/>
    <w:uiPriority w:val="0"/>
    <w:pPr>
      <w:adjustRightInd/>
      <w:snapToGrid/>
      <w:ind w:firstLine="200"/>
    </w:pPr>
    <w:rPr>
      <w:rFonts w:ascii="宋体" w:hAnsi="宋体" w:cs="宋体"/>
      <w:szCs w:val="21"/>
    </w:rPr>
  </w:style>
  <w:style w:type="paragraph" w:customStyle="1" w:styleId="397">
    <w:name w:val="正文文字-1"/>
    <w:qFormat/>
    <w:uiPriority w:val="0"/>
    <w:pPr>
      <w:widowControl w:val="0"/>
      <w:spacing w:before="120" w:after="120" w:line="480" w:lineRule="exact"/>
      <w:ind w:firstLine="588" w:firstLineChars="210"/>
      <w:jc w:val="both"/>
    </w:pPr>
    <w:rPr>
      <w:rFonts w:ascii="Times New Roman" w:hAnsi="Times New Roman" w:eastAsia="宋体" w:cs="Times New Roman"/>
      <w:kern w:val="2"/>
      <w:sz w:val="24"/>
      <w:szCs w:val="24"/>
      <w:lang w:val="en-US" w:eastAsia="zh-CN" w:bidi="ar-SA"/>
    </w:rPr>
  </w:style>
  <w:style w:type="character" w:customStyle="1" w:styleId="398">
    <w:name w:val="表格内正文 Char"/>
    <w:link w:val="399"/>
    <w:qFormat/>
    <w:uiPriority w:val="0"/>
    <w:rPr>
      <w:rFonts w:eastAsia="宋体"/>
      <w:szCs w:val="24"/>
    </w:rPr>
  </w:style>
  <w:style w:type="paragraph" w:customStyle="1" w:styleId="399">
    <w:name w:val="表格内正文"/>
    <w:basedOn w:val="1"/>
    <w:link w:val="398"/>
    <w:qFormat/>
    <w:uiPriority w:val="0"/>
    <w:pPr>
      <w:adjustRightInd/>
      <w:snapToGrid/>
      <w:ind w:firstLine="0" w:firstLineChars="0"/>
      <w:jc w:val="center"/>
    </w:pPr>
    <w:rPr>
      <w:rFonts w:asciiTheme="minorHAnsi" w:hAnsiTheme="minorHAnsi"/>
      <w:sz w:val="21"/>
      <w:szCs w:val="24"/>
    </w:rPr>
  </w:style>
  <w:style w:type="paragraph" w:customStyle="1" w:styleId="400">
    <w:name w:val="正文文字-1 Char"/>
    <w:link w:val="401"/>
    <w:qFormat/>
    <w:uiPriority w:val="0"/>
    <w:pPr>
      <w:widowControl w:val="0"/>
      <w:spacing w:before="120" w:after="120" w:line="480" w:lineRule="exact"/>
      <w:ind w:firstLine="588" w:firstLineChars="210"/>
      <w:jc w:val="both"/>
    </w:pPr>
    <w:rPr>
      <w:rFonts w:ascii="Times New Roman" w:hAnsi="Times New Roman" w:eastAsia="宋体" w:cs="Times New Roman"/>
      <w:kern w:val="2"/>
      <w:sz w:val="24"/>
      <w:szCs w:val="24"/>
      <w:lang w:val="en-US" w:eastAsia="zh-CN" w:bidi="ar-SA"/>
    </w:rPr>
  </w:style>
  <w:style w:type="character" w:customStyle="1" w:styleId="401">
    <w:name w:val="正文文字-1 Char Char"/>
    <w:link w:val="400"/>
    <w:qFormat/>
    <w:uiPriority w:val="0"/>
    <w:rPr>
      <w:rFonts w:ascii="Times New Roman" w:hAnsi="Times New Roman" w:eastAsia="宋体" w:cs="Times New Roman"/>
      <w:sz w:val="24"/>
      <w:szCs w:val="24"/>
    </w:rPr>
  </w:style>
  <w:style w:type="character" w:customStyle="1" w:styleId="402">
    <w:name w:val="正文首行缩进 2 Char"/>
    <w:qFormat/>
    <w:uiPriority w:val="0"/>
    <w:rPr>
      <w:kern w:val="2"/>
      <w:sz w:val="21"/>
      <w:szCs w:val="21"/>
    </w:rPr>
  </w:style>
  <w:style w:type="paragraph" w:customStyle="1" w:styleId="403">
    <w:name w:val="CM16"/>
    <w:basedOn w:val="1"/>
    <w:next w:val="1"/>
    <w:qFormat/>
    <w:uiPriority w:val="99"/>
    <w:pPr>
      <w:autoSpaceDE w:val="0"/>
      <w:autoSpaceDN w:val="0"/>
      <w:snapToGrid/>
      <w:spacing w:line="468" w:lineRule="atLeast"/>
      <w:ind w:firstLine="0" w:firstLineChars="0"/>
    </w:pPr>
    <w:rPr>
      <w:rFonts w:ascii="宋体" w:hAnsi="Calibri" w:cs="宋体"/>
      <w:kern w:val="0"/>
      <w:szCs w:val="24"/>
    </w:rPr>
  </w:style>
  <w:style w:type="paragraph" w:customStyle="1" w:styleId="404">
    <w:name w:val="_Style 2"/>
    <w:basedOn w:val="1"/>
    <w:qFormat/>
    <w:uiPriority w:val="0"/>
    <w:pPr>
      <w:adjustRightInd/>
      <w:snapToGrid/>
      <w:spacing w:line="240" w:lineRule="auto"/>
      <w:ind w:firstLine="420"/>
    </w:pPr>
    <w:rPr>
      <w:rFonts w:ascii="Verdana" w:hAnsi="Verdana" w:cs="宋体"/>
      <w:sz w:val="21"/>
      <w:szCs w:val="24"/>
    </w:rPr>
  </w:style>
  <w:style w:type="paragraph" w:customStyle="1" w:styleId="405">
    <w:name w:val="lily 正文"/>
    <w:basedOn w:val="1"/>
    <w:qFormat/>
    <w:uiPriority w:val="0"/>
    <w:pPr>
      <w:adjustRightInd/>
      <w:snapToGrid/>
      <w:spacing w:line="440" w:lineRule="atLeast"/>
    </w:pPr>
    <w:rPr>
      <w:rFonts w:cs="Times New Roman"/>
      <w:szCs w:val="20"/>
    </w:rPr>
  </w:style>
  <w:style w:type="paragraph" w:customStyle="1" w:styleId="406">
    <w:name w:val="Table Paragraph"/>
    <w:basedOn w:val="1"/>
    <w:qFormat/>
    <w:uiPriority w:val="1"/>
    <w:pPr>
      <w:adjustRightInd/>
      <w:snapToGrid/>
      <w:spacing w:line="240" w:lineRule="auto"/>
      <w:ind w:firstLine="0" w:firstLineChars="0"/>
      <w:jc w:val="left"/>
    </w:pPr>
    <w:rPr>
      <w:rFonts w:ascii="Calibri" w:hAnsi="Calibri" w:cs="Times New Roman"/>
      <w:kern w:val="0"/>
      <w:sz w:val="22"/>
      <w:lang w:eastAsia="en-US"/>
    </w:rPr>
  </w:style>
  <w:style w:type="paragraph" w:customStyle="1" w:styleId="407">
    <w:name w:val="正文6"/>
    <w:link w:val="410"/>
    <w:qFormat/>
    <w:uiPriority w:val="0"/>
    <w:pPr>
      <w:jc w:val="both"/>
    </w:pPr>
    <w:rPr>
      <w:rFonts w:ascii="Times New Roman" w:hAnsi="Times New Roman" w:eastAsia="宋体" w:cs="Times New Roman"/>
      <w:kern w:val="2"/>
      <w:sz w:val="21"/>
      <w:szCs w:val="21"/>
      <w:lang w:val="en-US" w:eastAsia="zh-CN" w:bidi="ar-SA"/>
    </w:rPr>
  </w:style>
  <w:style w:type="paragraph" w:customStyle="1" w:styleId="408">
    <w:name w:val="样式"/>
    <w:qFormat/>
    <w:uiPriority w:val="0"/>
    <w:pPr>
      <w:widowControl w:val="0"/>
      <w:autoSpaceDE w:val="0"/>
      <w:autoSpaceDN w:val="0"/>
      <w:adjustRightInd w:val="0"/>
    </w:pPr>
    <w:rPr>
      <w:rFonts w:ascii="宋体" w:hAnsi="宋体" w:eastAsia="宋体" w:cs="Times New Roman"/>
      <w:kern w:val="0"/>
      <w:sz w:val="24"/>
      <w:szCs w:val="24"/>
      <w:lang w:val="en-US" w:eastAsia="zh-CN" w:bidi="ar-SA"/>
    </w:rPr>
  </w:style>
  <w:style w:type="character" w:customStyle="1" w:styleId="409">
    <w:name w:val="标题 Char1"/>
    <w:qFormat/>
    <w:uiPriority w:val="0"/>
    <w:rPr>
      <w:rFonts w:eastAsia="黑体"/>
      <w:kern w:val="2"/>
      <w:sz w:val="36"/>
      <w:szCs w:val="36"/>
    </w:rPr>
  </w:style>
  <w:style w:type="character" w:customStyle="1" w:styleId="410">
    <w:name w:val="Normal Char Char"/>
    <w:link w:val="407"/>
    <w:qFormat/>
    <w:uiPriority w:val="0"/>
    <w:rPr>
      <w:rFonts w:ascii="Times New Roman" w:hAnsi="Times New Roman" w:eastAsia="宋体" w:cs="Times New Roman"/>
      <w:szCs w:val="21"/>
    </w:rPr>
  </w:style>
  <w:style w:type="paragraph" w:customStyle="1" w:styleId="411">
    <w:name w:val="样式 正文文字-1 + 首行缩进:  2.1 字符"/>
    <w:basedOn w:val="1"/>
    <w:qFormat/>
    <w:uiPriority w:val="0"/>
    <w:pPr>
      <w:adjustRightInd/>
      <w:snapToGrid/>
      <w:spacing w:before="60" w:after="60" w:line="440" w:lineRule="exact"/>
      <w:ind w:firstLine="210" w:firstLineChars="210"/>
    </w:pPr>
    <w:rPr>
      <w:rFonts w:cs="宋体"/>
      <w:szCs w:val="20"/>
    </w:rPr>
  </w:style>
  <w:style w:type="character" w:customStyle="1" w:styleId="412">
    <w:name w:val="样式 样式 四号 蓝色 + 自动设置"/>
    <w:qFormat/>
    <w:uiPriority w:val="0"/>
    <w:rPr>
      <w:color w:val="auto"/>
      <w:sz w:val="24"/>
    </w:rPr>
  </w:style>
  <w:style w:type="character" w:customStyle="1" w:styleId="413">
    <w:name w:val="正文文本 Char"/>
    <w:qFormat/>
    <w:uiPriority w:val="0"/>
    <w:rPr>
      <w:rFonts w:ascii="Times New Roman" w:hAnsi="Times New Roman" w:eastAsia="宋体" w:cs="Times New Roman"/>
      <w:szCs w:val="24"/>
    </w:rPr>
  </w:style>
  <w:style w:type="paragraph" w:customStyle="1" w:styleId="414">
    <w:name w:val="Char1 Char Char Char"/>
    <w:basedOn w:val="1"/>
    <w:qFormat/>
    <w:uiPriority w:val="0"/>
    <w:pPr>
      <w:adjustRightInd/>
      <w:snapToGrid/>
      <w:spacing w:line="240" w:lineRule="auto"/>
    </w:pPr>
    <w:rPr>
      <w:rFonts w:ascii="宋体" w:cs="Times New Roman"/>
      <w:sz w:val="28"/>
      <w:szCs w:val="24"/>
    </w:rPr>
  </w:style>
  <w:style w:type="character" w:customStyle="1" w:styleId="415">
    <w:name w:val="【表中文字】 Char Char"/>
    <w:qFormat/>
    <w:uiPriority w:val="0"/>
    <w:rPr>
      <w:kern w:val="2"/>
      <w:sz w:val="21"/>
    </w:rPr>
  </w:style>
  <w:style w:type="table" w:customStyle="1" w:styleId="416">
    <w:name w:val="网格型1"/>
    <w:basedOn w:val="49"/>
    <w:qFormat/>
    <w:uiPriority w:val="0"/>
    <w:pPr>
      <w:adjustRightInd w:val="0"/>
      <w:snapToGrid w:val="0"/>
      <w:jc w:val="center"/>
    </w:pPr>
    <w:rPr>
      <w:rFonts w:ascii="Times New Roman" w:hAnsi="Times New Roman" w:eastAsia="宋体"/>
    </w:rPr>
    <w:tblPr>
      <w:jc w:val="center"/>
      <w:tblBorders>
        <w:top w:val="single" w:color="auto" w:sz="4" w:space="0"/>
        <w:bottom w:val="single" w:color="auto" w:sz="4" w:space="0"/>
        <w:insideH w:val="single" w:color="auto" w:sz="4" w:space="0"/>
        <w:insideV w:val="single" w:color="auto" w:sz="4" w:space="0"/>
      </w:tblBorders>
    </w:tblPr>
    <w:trPr>
      <w:jc w:val="center"/>
    </w:trPr>
    <w:tcPr>
      <w:vAlign w:val="center"/>
    </w:tcPr>
  </w:style>
  <w:style w:type="table" w:customStyle="1" w:styleId="417">
    <w:name w:val="网格型31"/>
    <w:basedOn w:val="49"/>
    <w:qFormat/>
    <w:uiPriority w:val="59"/>
    <w:rPr>
      <w:rFonts w:ascii="Calibri" w:hAnsi="Calibri"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8">
    <w:name w:val="[表格样式]1"/>
    <w:basedOn w:val="49"/>
    <w:qFormat/>
    <w:uiPriority w:val="0"/>
    <w:pPr>
      <w:adjustRightInd w:val="0"/>
      <w:snapToGrid w:val="0"/>
      <w:jc w:val="center"/>
    </w:pPr>
    <w:rPr>
      <w:rFonts w:ascii="Times New Roman" w:hAnsi="Times New Roman" w:eastAsia="宋体"/>
      <w:snapToGrid w:val="0"/>
      <w:kern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19">
    <w:name w:val="[表格样式]2"/>
    <w:basedOn w:val="49"/>
    <w:qFormat/>
    <w:uiPriority w:val="99"/>
    <w:pPr>
      <w:adjustRightInd w:val="0"/>
      <w:snapToGrid w:val="0"/>
      <w:jc w:val="center"/>
    </w:pPr>
    <w:rPr>
      <w:rFonts w:ascii="Times New Roman" w:hAnsi="Times New Roman" w:eastAsia="宋体"/>
      <w:snapToGrid w:val="0"/>
      <w:kern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0">
    <w:name w:val="[表格样式]3"/>
    <w:basedOn w:val="49"/>
    <w:qFormat/>
    <w:uiPriority w:val="99"/>
    <w:pPr>
      <w:adjustRightInd w:val="0"/>
      <w:snapToGrid w:val="0"/>
      <w:jc w:val="center"/>
    </w:pPr>
    <w:rPr>
      <w:rFonts w:ascii="Times New Roman" w:hAnsi="Times New Roman" w:eastAsia="宋体"/>
      <w:snapToGrid w:val="0"/>
      <w:kern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1">
    <w:name w:val="[表格样式]4"/>
    <w:basedOn w:val="49"/>
    <w:qFormat/>
    <w:uiPriority w:val="99"/>
    <w:pPr>
      <w:adjustRightInd w:val="0"/>
      <w:snapToGrid w:val="0"/>
      <w:jc w:val="center"/>
    </w:pPr>
    <w:rPr>
      <w:rFonts w:ascii="Times New Roman" w:hAnsi="Times New Roman" w:eastAsia="宋体"/>
      <w:snapToGrid w:val="0"/>
      <w:kern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22">
    <w:name w:val="[表格样式]5"/>
    <w:basedOn w:val="49"/>
    <w:qFormat/>
    <w:uiPriority w:val="99"/>
    <w:pPr>
      <w:adjustRightInd w:val="0"/>
      <w:snapToGrid w:val="0"/>
      <w:jc w:val="center"/>
    </w:pPr>
    <w:rPr>
      <w:rFonts w:ascii="Times New Roman" w:hAnsi="Times New Roman" w:eastAsia="宋体"/>
      <w:snapToGrid w:val="0"/>
      <w:kern w:val="0"/>
    </w:rPr>
    <w:tblPr>
      <w:tblBorders>
        <w:top w:val="single" w:color="auto" w:sz="12" w:space="0"/>
        <w:bottom w:val="single" w:color="auto" w:sz="12" w:space="0"/>
        <w:insideH w:val="single" w:color="auto" w:sz="4" w:space="0"/>
        <w:insideV w:val="single" w:color="auto" w:sz="4" w:space="0"/>
      </w:tblBorders>
    </w:tblPr>
    <w:tcPr>
      <w:vAlign w:val="center"/>
    </w:tcPr>
  </w:style>
  <w:style w:type="character" w:customStyle="1" w:styleId="423">
    <w:name w:val="【正文】 Char Char"/>
    <w:qFormat/>
    <w:uiPriority w:val="0"/>
    <w:rPr>
      <w:rFonts w:cs="宋体"/>
      <w:sz w:val="24"/>
    </w:rPr>
  </w:style>
  <w:style w:type="character" w:styleId="424">
    <w:name w:val="Placeholder Text"/>
    <w:basedOn w:val="51"/>
    <w:semiHidden/>
    <w:qFormat/>
    <w:uiPriority w:val="99"/>
    <w:rPr>
      <w:color w:val="808080"/>
    </w:rPr>
  </w:style>
  <w:style w:type="character" w:customStyle="1" w:styleId="425">
    <w:name w:val="未处理的提及1"/>
    <w:basedOn w:val="51"/>
    <w:semiHidden/>
    <w:unhideWhenUsed/>
    <w:qFormat/>
    <w:uiPriority w:val="99"/>
    <w:rPr>
      <w:color w:val="808080"/>
      <w:shd w:val="clear" w:color="auto" w:fill="E6E6E6"/>
    </w:rPr>
  </w:style>
  <w:style w:type="character" w:customStyle="1" w:styleId="426">
    <w:name w:val="【正文】 Char1"/>
    <w:qFormat/>
    <w:locked/>
    <w:uiPriority w:val="0"/>
    <w:rPr>
      <w:rFonts w:ascii="Times New Roman" w:hAnsi="Times New Roman" w:eastAsia="宋体" w:cs="Times New Roman"/>
      <w:sz w:val="24"/>
      <w:szCs w:val="24"/>
    </w:rPr>
  </w:style>
  <w:style w:type="character" w:customStyle="1" w:styleId="427">
    <w:name w:val="未处理的提及2"/>
    <w:basedOn w:val="51"/>
    <w:semiHidden/>
    <w:unhideWhenUsed/>
    <w:qFormat/>
    <w:uiPriority w:val="99"/>
    <w:rPr>
      <w:color w:val="605E5C"/>
      <w:shd w:val="clear" w:color="auto" w:fill="E1DFDD"/>
    </w:rPr>
  </w:style>
  <w:style w:type="character" w:customStyle="1" w:styleId="428">
    <w:name w:val="页脚 Char"/>
    <w:basedOn w:val="51"/>
    <w:qFormat/>
    <w:uiPriority w:val="99"/>
    <w:rPr>
      <w:kern w:val="2"/>
      <w:sz w:val="18"/>
      <w:szCs w:val="18"/>
    </w:rPr>
  </w:style>
  <w:style w:type="character" w:customStyle="1" w:styleId="429">
    <w:name w:val="font31"/>
    <w:basedOn w:val="51"/>
    <w:qFormat/>
    <w:uiPriority w:val="0"/>
    <w:rPr>
      <w:rFonts w:hint="eastAsia" w:ascii="宋体" w:hAnsi="宋体" w:eastAsia="宋体" w:cs="宋体"/>
      <w:color w:val="000000"/>
      <w:sz w:val="16"/>
      <w:szCs w:val="16"/>
      <w:u w:val="none"/>
    </w:rPr>
  </w:style>
  <w:style w:type="character" w:customStyle="1" w:styleId="430">
    <w:name w:val="批注框文本 Char"/>
    <w:qFormat/>
    <w:uiPriority w:val="0"/>
    <w:rPr>
      <w:kern w:val="2"/>
      <w:sz w:val="18"/>
      <w:szCs w:val="18"/>
    </w:rPr>
  </w:style>
  <w:style w:type="character" w:customStyle="1" w:styleId="431">
    <w:name w:val="sub_title2"/>
    <w:qFormat/>
    <w:uiPriority w:val="0"/>
    <w:rPr>
      <w:rFonts w:hint="default" w:ascii="Verdana" w:hAnsi="Verdana"/>
      <w:b/>
      <w:bCs/>
      <w:sz w:val="21"/>
      <w:szCs w:val="21"/>
    </w:rPr>
  </w:style>
  <w:style w:type="character" w:customStyle="1" w:styleId="432">
    <w:name w:val="批注主题 Char"/>
    <w:basedOn w:val="382"/>
    <w:qFormat/>
    <w:uiPriority w:val="0"/>
    <w:rPr>
      <w:rFonts w:ascii="Times New Roman" w:hAnsi="Times New Roman" w:eastAsia="宋体" w:cs="Times New Roman"/>
      <w:kern w:val="2"/>
      <w:sz w:val="21"/>
      <w:szCs w:val="24"/>
    </w:rPr>
  </w:style>
  <w:style w:type="paragraph" w:customStyle="1" w:styleId="433">
    <w:name w:val="Char Char Char Char"/>
    <w:basedOn w:val="1"/>
    <w:qFormat/>
    <w:uiPriority w:val="0"/>
    <w:pPr>
      <w:adjustRightInd/>
      <w:snapToGrid/>
      <w:spacing w:line="240" w:lineRule="auto"/>
      <w:ind w:firstLine="0" w:firstLineChars="0"/>
    </w:pPr>
    <w:rPr>
      <w:rFonts w:ascii="Calibri" w:hAnsi="Calibri" w:cs="Times New Roman"/>
      <w:sz w:val="21"/>
      <w:szCs w:val="24"/>
    </w:rPr>
  </w:style>
  <w:style w:type="paragraph" w:customStyle="1" w:styleId="434">
    <w:name w:val="Char Char Char Char1"/>
    <w:basedOn w:val="1"/>
    <w:semiHidden/>
    <w:qFormat/>
    <w:uiPriority w:val="0"/>
    <w:pPr>
      <w:widowControl/>
      <w:adjustRightInd/>
      <w:snapToGrid/>
      <w:spacing w:after="160" w:line="240" w:lineRule="exact"/>
      <w:ind w:firstLine="0" w:firstLineChars="0"/>
      <w:jc w:val="left"/>
    </w:pPr>
    <w:rPr>
      <w:rFonts w:ascii="Verdana" w:hAnsi="Verdana" w:cs="Verdana"/>
      <w:kern w:val="0"/>
      <w:sz w:val="20"/>
      <w:szCs w:val="20"/>
      <w:lang w:eastAsia="en-US"/>
    </w:rPr>
  </w:style>
  <w:style w:type="character" w:customStyle="1" w:styleId="435">
    <w:name w:val="【正文四号】 Char"/>
    <w:link w:val="436"/>
    <w:qFormat/>
    <w:uiPriority w:val="0"/>
    <w:rPr>
      <w:sz w:val="28"/>
      <w:szCs w:val="24"/>
    </w:rPr>
  </w:style>
  <w:style w:type="paragraph" w:customStyle="1" w:styleId="436">
    <w:name w:val="【正文四号】"/>
    <w:basedOn w:val="1"/>
    <w:link w:val="435"/>
    <w:qFormat/>
    <w:uiPriority w:val="0"/>
    <w:pPr>
      <w:adjustRightInd/>
      <w:snapToGrid/>
    </w:pPr>
    <w:rPr>
      <w:rFonts w:asciiTheme="minorHAnsi" w:hAnsiTheme="minorHAnsi" w:eastAsiaTheme="minorEastAsia"/>
      <w:sz w:val="28"/>
      <w:szCs w:val="24"/>
    </w:rPr>
  </w:style>
  <w:style w:type="paragraph" w:styleId="437">
    <w:name w:val="No Spacing"/>
    <w:link w:val="438"/>
    <w:qFormat/>
    <w:uiPriority w:val="1"/>
    <w:rPr>
      <w:rFonts w:asciiTheme="minorHAnsi" w:hAnsiTheme="minorHAnsi" w:eastAsiaTheme="minorEastAsia" w:cstheme="minorBidi"/>
      <w:kern w:val="0"/>
      <w:sz w:val="22"/>
      <w:szCs w:val="22"/>
      <w:lang w:val="en-US" w:eastAsia="zh-CN" w:bidi="ar-SA"/>
    </w:rPr>
  </w:style>
  <w:style w:type="character" w:customStyle="1" w:styleId="438">
    <w:name w:val="无间隔 字符"/>
    <w:basedOn w:val="51"/>
    <w:link w:val="437"/>
    <w:qFormat/>
    <w:uiPriority w:val="1"/>
    <w:rPr>
      <w:kern w:val="0"/>
      <w:sz w:val="22"/>
    </w:rPr>
  </w:style>
  <w:style w:type="character" w:customStyle="1" w:styleId="439">
    <w:name w:val="列表段落 字符"/>
    <w:link w:val="330"/>
    <w:qFormat/>
    <w:uiPriority w:val="34"/>
    <w:rPr>
      <w:rFonts w:ascii="宋体" w:hAnsi="Times New Roman" w:eastAsia="宋体" w:cs="Times New Roman"/>
      <w:kern w:val="0"/>
      <w:sz w:val="24"/>
      <w:szCs w:val="20"/>
    </w:rPr>
  </w:style>
  <w:style w:type="paragraph" w:customStyle="1" w:styleId="440">
    <w:name w:val="正文12"/>
    <w:qFormat/>
    <w:uiPriority w:val="0"/>
    <w:pPr>
      <w:widowControl w:val="0"/>
      <w:adjustRightInd w:val="0"/>
      <w:spacing w:line="360" w:lineRule="atLeast"/>
    </w:pPr>
    <w:rPr>
      <w:rFonts w:ascii="宋体" w:hAnsi="Times New Roman" w:eastAsia="宋体" w:cs="Times New Roman"/>
      <w:kern w:val="0"/>
      <w:sz w:val="24"/>
      <w:szCs w:val="20"/>
      <w:lang w:val="en-US" w:eastAsia="zh-CN" w:bidi="ar-SA"/>
    </w:rPr>
  </w:style>
  <w:style w:type="character" w:customStyle="1" w:styleId="441">
    <w:name w:val="【表头】 Char Char"/>
    <w:qFormat/>
    <w:uiPriority w:val="0"/>
    <w:rPr>
      <w:b/>
      <w:sz w:val="24"/>
    </w:rPr>
  </w:style>
  <w:style w:type="character" w:customStyle="1" w:styleId="442">
    <w:name w:val="【表中文字】- 字符"/>
    <w:link w:val="443"/>
    <w:qFormat/>
    <w:uiPriority w:val="0"/>
  </w:style>
  <w:style w:type="paragraph" w:customStyle="1" w:styleId="443">
    <w:name w:val="【表中文字】-"/>
    <w:basedOn w:val="1"/>
    <w:link w:val="442"/>
    <w:qFormat/>
    <w:uiPriority w:val="0"/>
    <w:pPr>
      <w:widowControl/>
      <w:adjustRightInd/>
      <w:snapToGrid/>
      <w:spacing w:line="240" w:lineRule="auto"/>
      <w:ind w:firstLine="0" w:firstLineChars="0"/>
      <w:jc w:val="center"/>
    </w:pPr>
    <w:rPr>
      <w:rFonts w:asciiTheme="minorHAnsi" w:hAnsiTheme="minorHAnsi" w:eastAsiaTheme="minorEastAsia"/>
      <w:sz w:val="21"/>
    </w:rPr>
  </w:style>
  <w:style w:type="character" w:customStyle="1" w:styleId="444">
    <w:name w:val="页眉 字符1"/>
    <w:semiHidden/>
    <w:qFormat/>
    <w:uiPriority w:val="99"/>
    <w:rPr>
      <w:kern w:val="2"/>
      <w:sz w:val="18"/>
      <w:szCs w:val="18"/>
    </w:rPr>
  </w:style>
  <w:style w:type="character" w:customStyle="1" w:styleId="445">
    <w:name w:val="未处理的提及3"/>
    <w:unhideWhenUsed/>
    <w:qFormat/>
    <w:uiPriority w:val="99"/>
    <w:rPr>
      <w:color w:val="605E5C"/>
      <w:shd w:val="clear" w:color="auto" w:fill="E1DFDD"/>
    </w:rPr>
  </w:style>
  <w:style w:type="character" w:customStyle="1" w:styleId="446">
    <w:name w:val="font61"/>
    <w:qFormat/>
    <w:uiPriority w:val="0"/>
    <w:rPr>
      <w:rFonts w:hint="default" w:ascii="Times New Roman" w:hAnsi="Times New Roman" w:cs="Times New Roman"/>
      <w:color w:val="000000"/>
      <w:sz w:val="21"/>
      <w:szCs w:val="21"/>
      <w:u w:val="none"/>
      <w:vertAlign w:val="subscript"/>
    </w:rPr>
  </w:style>
  <w:style w:type="character" w:customStyle="1" w:styleId="447">
    <w:name w:val="批注文字 字符2"/>
    <w:qFormat/>
    <w:uiPriority w:val="0"/>
    <w:rPr>
      <w:sz w:val="24"/>
      <w:szCs w:val="22"/>
    </w:rPr>
  </w:style>
  <w:style w:type="character" w:customStyle="1" w:styleId="448">
    <w:name w:val="批注主题 字符1"/>
    <w:qFormat/>
    <w:uiPriority w:val="99"/>
    <w:rPr>
      <w:b/>
      <w:bCs/>
      <w:kern w:val="2"/>
      <w:sz w:val="24"/>
      <w:szCs w:val="22"/>
    </w:rPr>
  </w:style>
  <w:style w:type="character" w:customStyle="1" w:styleId="449">
    <w:name w:val="font51"/>
    <w:basedOn w:val="51"/>
    <w:qFormat/>
    <w:uiPriority w:val="0"/>
    <w:rPr>
      <w:rFonts w:hint="default" w:ascii="Times New Roman" w:hAnsi="Times New Roman" w:cs="Times New Roman"/>
      <w:color w:val="000000"/>
      <w:sz w:val="21"/>
      <w:szCs w:val="21"/>
      <w:u w:val="none"/>
    </w:rPr>
  </w:style>
  <w:style w:type="character" w:customStyle="1" w:styleId="450">
    <w:name w:val="批注文字 字符1"/>
    <w:semiHidden/>
    <w:qFormat/>
    <w:uiPriority w:val="99"/>
    <w:rPr>
      <w:kern w:val="2"/>
      <w:sz w:val="21"/>
      <w:szCs w:val="24"/>
    </w:rPr>
  </w:style>
  <w:style w:type="paragraph" w:customStyle="1" w:styleId="451">
    <w:name w:val="无间隔1"/>
    <w:qFormat/>
    <w:uiPriority w:val="1"/>
    <w:pPr>
      <w:widowControl w:val="0"/>
      <w:jc w:val="both"/>
    </w:pPr>
    <w:rPr>
      <w:rFonts w:ascii="Times New Roman" w:hAnsi="Times New Roman" w:eastAsia="宋体" w:cs="Times New Roman"/>
      <w:kern w:val="2"/>
      <w:sz w:val="21"/>
      <w:szCs w:val="22"/>
      <w:lang w:val="en-US" w:eastAsia="zh-CN" w:bidi="ar-SA"/>
    </w:rPr>
  </w:style>
  <w:style w:type="paragraph" w:customStyle="1" w:styleId="452">
    <w:name w:val="_Style 26"/>
    <w:basedOn w:val="22"/>
    <w:next w:val="47"/>
    <w:qFormat/>
    <w:uiPriority w:val="0"/>
    <w:pPr>
      <w:widowControl/>
      <w:adjustRightInd/>
      <w:snapToGrid/>
      <w:ind w:firstLine="420" w:firstLineChars="100"/>
    </w:pPr>
    <w:rPr>
      <w:rFonts w:ascii="宋体" w:hAnsi="宋体" w:cs="宋体"/>
      <w:kern w:val="0"/>
      <w:szCs w:val="24"/>
    </w:rPr>
  </w:style>
  <w:style w:type="paragraph" w:customStyle="1" w:styleId="453">
    <w:name w:val="1表头"/>
    <w:basedOn w:val="1"/>
    <w:qFormat/>
    <w:uiPriority w:val="0"/>
    <w:pPr>
      <w:widowControl/>
      <w:adjustRightInd/>
      <w:snapToGrid/>
      <w:ind w:firstLine="482"/>
      <w:jc w:val="center"/>
    </w:pPr>
    <w:rPr>
      <w:rFonts w:ascii="宋体" w:hAnsi="宋体" w:cs="宋体"/>
      <w:b/>
      <w:kern w:val="0"/>
      <w:szCs w:val="24"/>
    </w:rPr>
  </w:style>
  <w:style w:type="paragraph" w:customStyle="1" w:styleId="454">
    <w:name w:val="Char Char Char Char2"/>
    <w:basedOn w:val="1"/>
    <w:qFormat/>
    <w:uiPriority w:val="0"/>
    <w:pPr>
      <w:widowControl/>
      <w:adjustRightInd/>
      <w:snapToGrid/>
      <w:spacing w:line="240" w:lineRule="auto"/>
      <w:ind w:firstLine="0" w:firstLineChars="0"/>
      <w:jc w:val="left"/>
    </w:pPr>
    <w:rPr>
      <w:rFonts w:ascii="Calibri" w:hAnsi="Calibri" w:cs="宋体"/>
      <w:kern w:val="0"/>
      <w:sz w:val="21"/>
      <w:szCs w:val="24"/>
    </w:rPr>
  </w:style>
  <w:style w:type="character" w:customStyle="1" w:styleId="455">
    <w:name w:val="正文文本 3 字符3"/>
    <w:basedOn w:val="51"/>
    <w:semiHidden/>
    <w:qFormat/>
    <w:uiPriority w:val="99"/>
    <w:rPr>
      <w:rFonts w:ascii="Calibri" w:hAnsi="Calibri"/>
      <w:kern w:val="2"/>
      <w:sz w:val="16"/>
      <w:szCs w:val="16"/>
    </w:rPr>
  </w:style>
  <w:style w:type="paragraph" w:customStyle="1" w:styleId="456">
    <w:name w:val="正文 New New"/>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457">
    <w:name w:val="表格填充项"/>
    <w:basedOn w:val="1"/>
    <w:qFormat/>
    <w:uiPriority w:val="0"/>
    <w:pPr>
      <w:adjustRightInd/>
      <w:snapToGrid/>
      <w:spacing w:line="240" w:lineRule="atLeast"/>
      <w:ind w:firstLine="0" w:firstLineChars="0"/>
      <w:jc w:val="center"/>
    </w:pPr>
    <w:rPr>
      <w:rFonts w:ascii="宋体" w:hAnsi="宋体" w:cs="Times New Roman"/>
      <w:b/>
      <w:sz w:val="21"/>
      <w:szCs w:val="24"/>
    </w:rPr>
  </w:style>
  <w:style w:type="paragraph" w:customStyle="1" w:styleId="458">
    <w:name w:val="表格标题1"/>
    <w:basedOn w:val="243"/>
    <w:qFormat/>
    <w:uiPriority w:val="0"/>
    <w:pPr>
      <w:widowControl/>
      <w:spacing w:line="240" w:lineRule="auto"/>
      <w:ind w:left="-105" w:leftChars="-50" w:right="-50" w:rightChars="-50"/>
      <w:jc w:val="center"/>
    </w:pPr>
    <w:rPr>
      <w:rFonts w:hAnsi="黑体" w:eastAsia="宋体"/>
      <w:b/>
      <w:sz w:val="21"/>
    </w:rPr>
  </w:style>
  <w:style w:type="character" w:customStyle="1" w:styleId="459">
    <w:name w:val="Unresolved Mention"/>
    <w:basedOn w:val="51"/>
    <w:semiHidden/>
    <w:unhideWhenUsed/>
    <w:qFormat/>
    <w:uiPriority w:val="99"/>
    <w:rPr>
      <w:color w:val="605E5C"/>
      <w:shd w:val="clear" w:color="auto" w:fill="E1DFDD"/>
    </w:rPr>
  </w:style>
  <w:style w:type="paragraph" w:customStyle="1" w:styleId="460">
    <w:name w:val="00000000000000000000000"/>
    <w:basedOn w:val="1"/>
    <w:qFormat/>
    <w:uiPriority w:val="0"/>
    <w:pPr>
      <w:adjustRightInd/>
      <w:snapToGrid/>
    </w:pPr>
    <w:rPr>
      <w:snapToGrid w:val="0"/>
      <w:szCs w:val="24"/>
    </w:rPr>
  </w:style>
  <w:style w:type="paragraph" w:customStyle="1" w:styleId="461">
    <w:name w:val="222222222222222222222222222"/>
    <w:basedOn w:val="1"/>
    <w:link w:val="463"/>
    <w:qFormat/>
    <w:uiPriority w:val="0"/>
    <w:pPr>
      <w:adjustRightInd/>
      <w:snapToGrid/>
      <w:spacing w:line="240" w:lineRule="auto"/>
      <w:ind w:firstLine="0" w:firstLineChars="0"/>
      <w:jc w:val="center"/>
    </w:pPr>
    <w:rPr>
      <w:sz w:val="21"/>
      <w:szCs w:val="21"/>
    </w:rPr>
  </w:style>
  <w:style w:type="paragraph" w:customStyle="1" w:styleId="462">
    <w:name w:val="11111111111111111111111111"/>
    <w:basedOn w:val="1"/>
    <w:qFormat/>
    <w:uiPriority w:val="0"/>
    <w:pPr>
      <w:spacing w:beforeLines="50" w:line="240" w:lineRule="auto"/>
      <w:ind w:firstLine="0" w:firstLineChars="0"/>
      <w:jc w:val="center"/>
    </w:pPr>
    <w:rPr>
      <w:b/>
      <w:kern w:val="18"/>
      <w:szCs w:val="20"/>
    </w:rPr>
  </w:style>
  <w:style w:type="character" w:customStyle="1" w:styleId="463">
    <w:name w:val="222222222222222222222222222 Char"/>
    <w:link w:val="461"/>
    <w:qFormat/>
    <w:uiPriority w:val="0"/>
    <w:rPr>
      <w:rFonts w:ascii="Times New Roman" w:hAnsi="Times New Roman" w:eastAsia="宋体"/>
      <w:szCs w:val="21"/>
    </w:rPr>
  </w:style>
  <w:style w:type="paragraph" w:customStyle="1" w:styleId="464">
    <w:name w:val="专篇正文"/>
    <w:basedOn w:val="85"/>
    <w:link w:val="465"/>
    <w:qFormat/>
    <w:uiPriority w:val="0"/>
    <w:pPr>
      <w:spacing w:line="360" w:lineRule="auto"/>
      <w:ind w:firstLine="200"/>
    </w:pPr>
    <w:rPr>
      <w:rFonts w:cs="宋体"/>
      <w:color w:val="000000" w:themeColor="text1"/>
      <w:kern w:val="0"/>
      <w:szCs w:val="24"/>
      <w14:textFill>
        <w14:solidFill>
          <w14:schemeClr w14:val="tx1"/>
        </w14:solidFill>
      </w14:textFill>
    </w:rPr>
  </w:style>
  <w:style w:type="character" w:customStyle="1" w:styleId="465">
    <w:name w:val="专篇正文 字符"/>
    <w:basedOn w:val="84"/>
    <w:link w:val="464"/>
    <w:qFormat/>
    <w:uiPriority w:val="0"/>
    <w:rPr>
      <w:rFonts w:ascii="Times New Roman" w:hAnsi="Times New Roman" w:eastAsia="宋体" w:cs="宋体"/>
      <w:color w:val="000000" w:themeColor="text1"/>
      <w:kern w:val="0"/>
      <w:sz w:val="24"/>
      <w:szCs w:val="24"/>
      <w14:textFill>
        <w14:solidFill>
          <w14:schemeClr w14:val="tx1"/>
        </w14:solidFill>
      </w14:textFill>
    </w:rPr>
  </w:style>
  <w:style w:type="paragraph" w:customStyle="1" w:styleId="466">
    <w:name w:val="C首行缩进正文"/>
    <w:basedOn w:val="85"/>
    <w:link w:val="467"/>
    <w:qFormat/>
    <w:uiPriority w:val="0"/>
    <w:pPr>
      <w:spacing w:line="360" w:lineRule="auto"/>
      <w:ind w:firstLine="200"/>
    </w:pPr>
    <w:rPr>
      <w:rFonts w:cs="宋体"/>
      <w:color w:val="000000" w:themeColor="text1"/>
      <w:kern w:val="0"/>
      <w:szCs w:val="24"/>
      <w14:textFill>
        <w14:solidFill>
          <w14:schemeClr w14:val="tx1"/>
        </w14:solidFill>
      </w14:textFill>
    </w:rPr>
  </w:style>
  <w:style w:type="character" w:customStyle="1" w:styleId="467">
    <w:name w:val="C首行缩进正文 字符"/>
    <w:basedOn w:val="84"/>
    <w:link w:val="466"/>
    <w:qFormat/>
    <w:uiPriority w:val="0"/>
    <w:rPr>
      <w:rFonts w:ascii="Times New Roman" w:hAnsi="Times New Roman" w:eastAsia="宋体" w:cs="宋体"/>
      <w:color w:val="000000" w:themeColor="text1"/>
      <w:kern w:val="0"/>
      <w:sz w:val="24"/>
      <w:szCs w:val="24"/>
      <w14:textFill>
        <w14:solidFill>
          <w14:schemeClr w14:val="tx1"/>
        </w14:solidFill>
      </w14:textFill>
    </w:rPr>
  </w:style>
  <w:style w:type="paragraph" w:customStyle="1" w:styleId="468">
    <w:name w:val="样式 Times New Roman 五号 居中"/>
    <w:basedOn w:val="1"/>
    <w:qFormat/>
    <w:uiPriority w:val="0"/>
    <w:pPr>
      <w:adjustRightInd/>
      <w:snapToGrid/>
      <w:spacing w:line="240" w:lineRule="auto"/>
      <w:ind w:firstLine="0" w:firstLineChars="0"/>
      <w:jc w:val="center"/>
    </w:pPr>
    <w:rPr>
      <w:rFonts w:hAnsi="Calibri" w:cs="宋体"/>
      <w:sz w:val="21"/>
    </w:rPr>
  </w:style>
  <w:style w:type="paragraph" w:customStyle="1" w:styleId="469">
    <w:name w:val="样式 黑体 居中 行距: 1.5 倍行距"/>
    <w:basedOn w:val="1"/>
    <w:qFormat/>
    <w:uiPriority w:val="0"/>
    <w:pPr>
      <w:adjustRightInd/>
      <w:snapToGrid/>
      <w:ind w:firstLine="0" w:firstLineChars="0"/>
      <w:jc w:val="center"/>
    </w:pPr>
    <w:rPr>
      <w:rFonts w:ascii="黑体" w:hAnsi="黑体" w:eastAsia="黑体" w:cs="宋体"/>
      <w:sz w:val="21"/>
    </w:rPr>
  </w:style>
  <w:style w:type="paragraph" w:customStyle="1" w:styleId="470">
    <w:name w:val="样式 样式 标题 4款标题1.1.1.1 南陵标题 4标题 4 CharH4PIM 4h4First Subheadin...2..."/>
    <w:basedOn w:val="471"/>
    <w:qFormat/>
    <w:uiPriority w:val="0"/>
    <w:pPr>
      <w:adjustRightInd/>
      <w:snapToGrid/>
      <w:ind w:firstLine="0" w:firstLineChars="0"/>
      <w:outlineLvl w:val="3"/>
    </w:pPr>
    <w:rPr>
      <w:rFonts w:ascii="黑体" w:hAnsi="Calibri" w:eastAsia="黑体" w:cs="Times New Roman"/>
      <w:bCs/>
      <w:sz w:val="21"/>
      <w:szCs w:val="24"/>
    </w:rPr>
  </w:style>
  <w:style w:type="paragraph" w:customStyle="1" w:styleId="471">
    <w:name w:val="样式 标题 4款标题1.1.1.1 南陵标题 4标题 4 CharH4PIM 4h4First Subheadin...2"/>
    <w:basedOn w:val="7"/>
    <w:qFormat/>
    <w:uiPriority w:val="0"/>
    <w:pPr>
      <w:spacing w:line="360" w:lineRule="auto"/>
    </w:pPr>
    <w:rPr>
      <w:b/>
      <w:color w:val="000000"/>
      <w:szCs w:val="24"/>
    </w:rPr>
  </w:style>
  <w:style w:type="table" w:customStyle="1" w:styleId="472">
    <w:name w:val="[表格样式]42"/>
    <w:basedOn w:val="49"/>
    <w:qFormat/>
    <w:uiPriority w:val="99"/>
    <w:pPr>
      <w:adjustRightInd w:val="0"/>
      <w:snapToGrid w:val="0"/>
      <w:jc w:val="center"/>
    </w:pPr>
    <w:rPr>
      <w:rFonts w:ascii="Times New Roman" w:hAnsi="Times New Roman" w:eastAsia="宋体" w:cs="Times New Roman"/>
      <w:snapToGrid w:val="0"/>
      <w:kern w:val="0"/>
      <w:sz w:val="20"/>
      <w:szCs w:val="20"/>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473">
    <w:name w:val="首行缩进正文"/>
    <w:basedOn w:val="85"/>
    <w:link w:val="474"/>
    <w:qFormat/>
    <w:uiPriority w:val="0"/>
    <w:pPr>
      <w:spacing w:line="360" w:lineRule="auto"/>
      <w:ind w:firstLine="200"/>
    </w:pPr>
    <w:rPr>
      <w:rFonts w:cs="宋体"/>
      <w:color w:val="000000" w:themeColor="text1"/>
      <w:kern w:val="0"/>
      <w:szCs w:val="24"/>
      <w14:textFill>
        <w14:solidFill>
          <w14:schemeClr w14:val="tx1"/>
        </w14:solidFill>
      </w14:textFill>
    </w:rPr>
  </w:style>
  <w:style w:type="character" w:customStyle="1" w:styleId="474">
    <w:name w:val="首行缩进正文 字符"/>
    <w:basedOn w:val="84"/>
    <w:link w:val="473"/>
    <w:qFormat/>
    <w:uiPriority w:val="0"/>
    <w:rPr>
      <w:rFonts w:ascii="Times New Roman" w:hAnsi="Times New Roman" w:eastAsia="宋体" w:cs="宋体"/>
      <w:color w:val="000000" w:themeColor="text1"/>
      <w:kern w:val="0"/>
      <w:sz w:val="24"/>
      <w:szCs w:val="24"/>
      <w14:textFill>
        <w14:solidFill>
          <w14:schemeClr w14:val="tx1"/>
        </w14:solidFill>
      </w14:textFill>
    </w:rPr>
  </w:style>
  <w:style w:type="character" w:customStyle="1" w:styleId="475">
    <w:name w:val="C【表头】 字符"/>
    <w:link w:val="476"/>
    <w:qFormat/>
    <w:uiPriority w:val="0"/>
    <w:rPr>
      <w:rFonts w:eastAsia="黑体" w:cs="宋体"/>
    </w:rPr>
  </w:style>
  <w:style w:type="paragraph" w:customStyle="1" w:styleId="476">
    <w:name w:val="C【表头】"/>
    <w:basedOn w:val="1"/>
    <w:link w:val="475"/>
    <w:qFormat/>
    <w:uiPriority w:val="0"/>
    <w:pPr>
      <w:widowControl/>
      <w:spacing w:line="240" w:lineRule="auto"/>
      <w:ind w:firstLine="0" w:firstLineChars="0"/>
      <w:jc w:val="center"/>
    </w:pPr>
    <w:rPr>
      <w:rFonts w:eastAsia="黑体" w:cs="宋体" w:asciiTheme="minorHAnsi" w:hAnsiTheme="minorHAnsi"/>
      <w:sz w:val="21"/>
    </w:rPr>
  </w:style>
  <w:style w:type="character" w:customStyle="1" w:styleId="477">
    <w:name w:val="C【表中文字】- 字符"/>
    <w:link w:val="478"/>
    <w:qFormat/>
    <w:uiPriority w:val="0"/>
    <w:rPr>
      <w:sz w:val="18"/>
    </w:rPr>
  </w:style>
  <w:style w:type="paragraph" w:customStyle="1" w:styleId="478">
    <w:name w:val="C【表中文字】-"/>
    <w:basedOn w:val="1"/>
    <w:link w:val="477"/>
    <w:qFormat/>
    <w:uiPriority w:val="0"/>
    <w:pPr>
      <w:spacing w:line="240" w:lineRule="auto"/>
      <w:ind w:firstLine="0" w:firstLineChars="0"/>
      <w:jc w:val="center"/>
    </w:pPr>
    <w:rPr>
      <w:rFonts w:asciiTheme="minorHAnsi" w:hAnsiTheme="minorHAnsi" w:eastAsiaTheme="minorEastAsia"/>
      <w:sz w:val="18"/>
    </w:rPr>
  </w:style>
  <w:style w:type="table" w:customStyle="1" w:styleId="479">
    <w:name w:val="网格型13"/>
    <w:basedOn w:val="49"/>
    <w:qFormat/>
    <w:uiPriority w:val="59"/>
    <w:pPr>
      <w:jc w:val="center"/>
    </w:pPr>
    <w:rPr>
      <w:rFonts w:ascii="Calibri" w:hAnsi="Calibri" w:eastAsia="宋体" w:cs="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480">
    <w:name w:val="样式 样式 样式 标题 4款标题1.1.1.1 南陵标题 4标题 4 CharH4PIM 4h4First Subheadin...."/>
    <w:basedOn w:val="1"/>
    <w:qFormat/>
    <w:uiPriority w:val="0"/>
    <w:pPr>
      <w:adjustRightInd/>
      <w:snapToGrid/>
      <w:ind w:firstLine="0" w:firstLineChars="0"/>
      <w:jc w:val="left"/>
      <w:outlineLvl w:val="3"/>
    </w:pPr>
    <w:rPr>
      <w:rFonts w:ascii="黑体" w:hAnsi="Calibri" w:eastAsia="黑体" w:cs="Times New Roman"/>
      <w:kern w:val="0"/>
      <w:sz w:val="21"/>
      <w:szCs w:val="24"/>
    </w:rPr>
  </w:style>
  <w:style w:type="paragraph" w:customStyle="1" w:styleId="481">
    <w:name w:val="邓表格文字"/>
    <w:basedOn w:val="1"/>
    <w:qFormat/>
    <w:uiPriority w:val="0"/>
    <w:pPr>
      <w:widowControl/>
      <w:adjustRightInd/>
      <w:spacing w:line="220" w:lineRule="exact"/>
      <w:ind w:firstLine="0" w:firstLineChars="0"/>
      <w:jc w:val="center"/>
    </w:pPr>
    <w:rPr>
      <w:rFonts w:ascii="宋体" w:hAnsi="宋体" w:cs="Times New Roman"/>
      <w:color w:val="000000"/>
      <w:kern w:val="0"/>
      <w:sz w:val="15"/>
      <w:szCs w:val="15"/>
    </w:rPr>
  </w:style>
  <w:style w:type="character" w:customStyle="1" w:styleId="482">
    <w:name w:val="Other|1_"/>
    <w:basedOn w:val="51"/>
    <w:link w:val="483"/>
    <w:qFormat/>
    <w:uiPriority w:val="0"/>
    <w:rPr>
      <w:rFonts w:ascii="宋体" w:hAnsi="宋体" w:eastAsia="宋体" w:cs="宋体"/>
      <w:lang w:val="zh-TW" w:eastAsia="zh-TW" w:bidi="zh-TW"/>
    </w:rPr>
  </w:style>
  <w:style w:type="paragraph" w:customStyle="1" w:styleId="483">
    <w:name w:val="Other|1"/>
    <w:basedOn w:val="1"/>
    <w:link w:val="482"/>
    <w:qFormat/>
    <w:uiPriority w:val="0"/>
    <w:pPr>
      <w:adjustRightInd/>
      <w:snapToGrid/>
      <w:spacing w:line="408" w:lineRule="auto"/>
      <w:ind w:firstLine="400" w:firstLineChars="0"/>
      <w:jc w:val="left"/>
    </w:pPr>
    <w:rPr>
      <w:rFonts w:ascii="宋体" w:hAnsi="宋体" w:cs="宋体"/>
      <w:sz w:val="21"/>
      <w:lang w:val="zh-TW" w:eastAsia="zh-TW" w:bidi="zh-TW"/>
    </w:rPr>
  </w:style>
  <w:style w:type="table" w:customStyle="1" w:styleId="484">
    <w:name w:val="Table Normal"/>
    <w:semiHidden/>
    <w:unhideWhenUsed/>
    <w:qFormat/>
    <w:uiPriority w:val="0"/>
    <w:rPr>
      <w:rFonts w:ascii="Arial" w:hAnsi="Arial" w:eastAsia="Arial" w:cs="Arial"/>
      <w:snapToGrid w:val="0"/>
      <w:color w:val="000000"/>
      <w:kern w:val="0"/>
      <w:szCs w:val="21"/>
      <w:lang w:eastAsia="en-US"/>
    </w:rPr>
    <w:tblPr>
      <w:tblCellMar>
        <w:top w:w="0" w:type="dxa"/>
        <w:left w:w="0" w:type="dxa"/>
        <w:bottom w:w="0" w:type="dxa"/>
        <w:right w:w="0" w:type="dxa"/>
      </w:tblCellMar>
    </w:tblPr>
  </w:style>
  <w:style w:type="paragraph" w:customStyle="1" w:styleId="485">
    <w:name w:val="Table Text"/>
    <w:basedOn w:val="1"/>
    <w:semiHidden/>
    <w:qFormat/>
    <w:uiPriority w:val="0"/>
    <w:pPr>
      <w:widowControl/>
      <w:kinsoku w:val="0"/>
      <w:autoSpaceDE w:val="0"/>
      <w:autoSpaceDN w:val="0"/>
      <w:spacing w:line="240" w:lineRule="auto"/>
      <w:ind w:firstLine="0" w:firstLineChars="0"/>
      <w:jc w:val="left"/>
      <w:textAlignment w:val="baseline"/>
    </w:pPr>
    <w:rPr>
      <w:rFonts w:eastAsia="Times New Roman" w:cs="Times New Roman"/>
      <w:snapToGrid w:val="0"/>
      <w:color w:val="000000"/>
      <w:kern w:val="0"/>
      <w:sz w:val="20"/>
      <w:szCs w:val="20"/>
      <w:lang w:eastAsia="en-US"/>
    </w:rPr>
  </w:style>
  <w:style w:type="table" w:customStyle="1" w:styleId="486">
    <w:name w:val="网格型11"/>
    <w:basedOn w:val="49"/>
    <w:qFormat/>
    <w:uiPriority w:val="59"/>
    <w:pPr>
      <w:jc w:val="center"/>
    </w:pPr>
    <w:rPr>
      <w:rFonts w:ascii="Calibri" w:hAnsi="Calibri" w:eastAsia="宋体" w:cs="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487">
    <w:name w:val="Table Normal1"/>
    <w:semiHidden/>
    <w:unhideWhenUsed/>
    <w:qFormat/>
    <w:uiPriority w:val="0"/>
    <w:rPr>
      <w:rFonts w:ascii="Arial" w:hAnsi="Arial" w:cs="Arial"/>
      <w:snapToGrid w:val="0"/>
      <w:color w:val="000000"/>
      <w:kern w:val="0"/>
      <w:szCs w:val="21"/>
      <w:lang w:eastAsia="en-US"/>
    </w:rPr>
    <w:tblPr>
      <w:tblCellMar>
        <w:top w:w="0" w:type="dxa"/>
        <w:left w:w="0" w:type="dxa"/>
        <w:bottom w:w="0" w:type="dxa"/>
        <w:right w:w="0" w:type="dxa"/>
      </w:tblCellMar>
    </w:tblPr>
  </w:style>
  <w:style w:type="character" w:customStyle="1" w:styleId="488">
    <w:name w:val="font351"/>
    <w:basedOn w:val="51"/>
    <w:qFormat/>
    <w:uiPriority w:val="0"/>
    <w:rPr>
      <w:rFonts w:ascii="宋体" w:hAnsi="宋体" w:eastAsia="宋体" w:cs="宋体"/>
      <w:color w:val="305050"/>
      <w:sz w:val="24"/>
      <w:szCs w:val="24"/>
      <w:u w:val="none"/>
    </w:rPr>
  </w:style>
  <w:style w:type="character" w:customStyle="1" w:styleId="489">
    <w:name w:val="font361"/>
    <w:basedOn w:val="51"/>
    <w:qFormat/>
    <w:uiPriority w:val="0"/>
    <w:rPr>
      <w:rFonts w:ascii="宋体" w:hAnsi="宋体" w:eastAsia="宋体" w:cs="宋体"/>
      <w:color w:val="304050"/>
      <w:sz w:val="24"/>
      <w:szCs w:val="24"/>
      <w:u w:val="none"/>
    </w:rPr>
  </w:style>
  <w:style w:type="character" w:customStyle="1" w:styleId="490">
    <w:name w:val="font371"/>
    <w:basedOn w:val="51"/>
    <w:qFormat/>
    <w:uiPriority w:val="0"/>
    <w:rPr>
      <w:rFonts w:ascii="宋体" w:hAnsi="宋体" w:eastAsia="宋体" w:cs="宋体"/>
      <w:color w:val="204020"/>
      <w:sz w:val="24"/>
      <w:szCs w:val="24"/>
      <w:u w:val="none"/>
    </w:rPr>
  </w:style>
  <w:style w:type="character" w:customStyle="1" w:styleId="491">
    <w:name w:val="font381"/>
    <w:basedOn w:val="51"/>
    <w:qFormat/>
    <w:uiPriority w:val="0"/>
    <w:rPr>
      <w:rFonts w:ascii="宋体" w:hAnsi="宋体" w:eastAsia="宋体" w:cs="宋体"/>
      <w:color w:val="304040"/>
      <w:sz w:val="24"/>
      <w:szCs w:val="24"/>
      <w:u w:val="none"/>
    </w:rPr>
  </w:style>
  <w:style w:type="character" w:customStyle="1" w:styleId="492">
    <w:name w:val="font391"/>
    <w:basedOn w:val="51"/>
    <w:qFormat/>
    <w:uiPriority w:val="0"/>
    <w:rPr>
      <w:rFonts w:ascii="宋体" w:hAnsi="宋体" w:eastAsia="宋体" w:cs="宋体"/>
      <w:color w:val="305040"/>
      <w:sz w:val="24"/>
      <w:szCs w:val="24"/>
      <w:u w:val="none"/>
    </w:rPr>
  </w:style>
  <w:style w:type="character" w:customStyle="1" w:styleId="493">
    <w:name w:val="font401"/>
    <w:basedOn w:val="51"/>
    <w:qFormat/>
    <w:uiPriority w:val="0"/>
    <w:rPr>
      <w:rFonts w:ascii="宋体" w:hAnsi="宋体" w:eastAsia="宋体" w:cs="宋体"/>
      <w:color w:val="506050"/>
      <w:sz w:val="24"/>
      <w:szCs w:val="24"/>
      <w:u w:val="none"/>
    </w:rPr>
  </w:style>
  <w:style w:type="character" w:customStyle="1" w:styleId="494">
    <w:name w:val="font412"/>
    <w:basedOn w:val="51"/>
    <w:qFormat/>
    <w:uiPriority w:val="0"/>
    <w:rPr>
      <w:rFonts w:ascii="宋体" w:hAnsi="宋体" w:eastAsia="宋体" w:cs="宋体"/>
      <w:color w:val="505050"/>
      <w:sz w:val="24"/>
      <w:szCs w:val="24"/>
      <w:u w:val="none"/>
    </w:rPr>
  </w:style>
  <w:style w:type="character" w:customStyle="1" w:styleId="495">
    <w:name w:val="font421"/>
    <w:basedOn w:val="51"/>
    <w:qFormat/>
    <w:uiPriority w:val="0"/>
    <w:rPr>
      <w:rFonts w:ascii="宋体" w:hAnsi="宋体" w:eastAsia="宋体" w:cs="宋体"/>
      <w:color w:val="406070"/>
      <w:sz w:val="24"/>
      <w:szCs w:val="24"/>
      <w:u w:val="none"/>
    </w:rPr>
  </w:style>
  <w:style w:type="character" w:customStyle="1" w:styleId="496">
    <w:name w:val="font431"/>
    <w:basedOn w:val="51"/>
    <w:qFormat/>
    <w:uiPriority w:val="0"/>
    <w:rPr>
      <w:rFonts w:ascii="宋体" w:hAnsi="宋体" w:eastAsia="宋体" w:cs="宋体"/>
      <w:color w:val="504040"/>
      <w:sz w:val="24"/>
      <w:szCs w:val="24"/>
      <w:u w:val="none"/>
    </w:rPr>
  </w:style>
  <w:style w:type="character" w:customStyle="1" w:styleId="497">
    <w:name w:val="font441"/>
    <w:basedOn w:val="51"/>
    <w:qFormat/>
    <w:uiPriority w:val="0"/>
    <w:rPr>
      <w:rFonts w:ascii="宋体" w:hAnsi="宋体" w:eastAsia="宋体" w:cs="宋体"/>
      <w:color w:val="606060"/>
      <w:sz w:val="24"/>
      <w:szCs w:val="24"/>
      <w:u w:val="none"/>
    </w:rPr>
  </w:style>
  <w:style w:type="character" w:customStyle="1" w:styleId="498">
    <w:name w:val="font451"/>
    <w:basedOn w:val="51"/>
    <w:qFormat/>
    <w:uiPriority w:val="0"/>
    <w:rPr>
      <w:rFonts w:ascii="宋体" w:hAnsi="宋体" w:eastAsia="宋体" w:cs="宋体"/>
      <w:color w:val="205040"/>
      <w:sz w:val="24"/>
      <w:szCs w:val="24"/>
      <w:u w:val="none"/>
    </w:rPr>
  </w:style>
  <w:style w:type="character" w:customStyle="1" w:styleId="499">
    <w:name w:val="font461"/>
    <w:basedOn w:val="51"/>
    <w:qFormat/>
    <w:uiPriority w:val="0"/>
    <w:rPr>
      <w:rFonts w:ascii="宋体" w:hAnsi="宋体" w:eastAsia="宋体" w:cs="宋体"/>
      <w:color w:val="103030"/>
      <w:sz w:val="24"/>
      <w:szCs w:val="24"/>
      <w:u w:val="none"/>
    </w:rPr>
  </w:style>
  <w:style w:type="character" w:customStyle="1" w:styleId="500">
    <w:name w:val="font471"/>
    <w:basedOn w:val="51"/>
    <w:qFormat/>
    <w:uiPriority w:val="0"/>
    <w:rPr>
      <w:rFonts w:ascii="宋体" w:hAnsi="宋体" w:eastAsia="宋体" w:cs="宋体"/>
      <w:color w:val="204050"/>
      <w:sz w:val="24"/>
      <w:szCs w:val="24"/>
      <w:u w:val="none"/>
    </w:rPr>
  </w:style>
  <w:style w:type="character" w:customStyle="1" w:styleId="501">
    <w:name w:val="font481"/>
    <w:basedOn w:val="51"/>
    <w:qFormat/>
    <w:uiPriority w:val="0"/>
    <w:rPr>
      <w:rFonts w:ascii="宋体" w:hAnsi="宋体" w:eastAsia="宋体" w:cs="宋体"/>
      <w:color w:val="204040"/>
      <w:sz w:val="24"/>
      <w:szCs w:val="24"/>
      <w:u w:val="none"/>
    </w:rPr>
  </w:style>
  <w:style w:type="character" w:customStyle="1" w:styleId="502">
    <w:name w:val="font491"/>
    <w:basedOn w:val="51"/>
    <w:qFormat/>
    <w:uiPriority w:val="0"/>
    <w:rPr>
      <w:rFonts w:ascii="宋体" w:hAnsi="宋体" w:eastAsia="宋体" w:cs="宋体"/>
      <w:color w:val="405050"/>
      <w:sz w:val="24"/>
      <w:szCs w:val="24"/>
      <w:u w:val="none"/>
    </w:rPr>
  </w:style>
  <w:style w:type="paragraph" w:customStyle="1" w:styleId="503">
    <w:name w:val="Char Char Char Char Char Char Char2"/>
    <w:basedOn w:val="1"/>
    <w:qFormat/>
    <w:uiPriority w:val="0"/>
    <w:pPr>
      <w:snapToGrid w:val="0"/>
      <w:spacing w:line="360" w:lineRule="auto"/>
      <w:ind w:firstLine="529" w:firstLineChars="200"/>
    </w:pPr>
    <w:rPr>
      <w:rFonts w:ascii="Times New Roman" w:hAnsi="Times New Roman" w:cs="Times New Roman"/>
      <w:szCs w:val="24"/>
    </w:rPr>
  </w:style>
  <w:style w:type="paragraph" w:customStyle="1" w:styleId="504">
    <w:name w:val="11111"/>
    <w:basedOn w:val="1"/>
    <w:next w:val="1"/>
    <w:qFormat/>
    <w:uiPriority w:val="0"/>
    <w:pPr>
      <w:spacing w:line="360" w:lineRule="auto"/>
      <w:ind w:firstLine="200" w:firstLineChars="200"/>
    </w:pPr>
    <w:rPr>
      <w:rFonts w:hAnsi="宋体" w:cs="宋体"/>
      <w:kern w:val="2"/>
      <w:szCs w:val="24"/>
    </w:rPr>
  </w:style>
  <w:style w:type="paragraph" w:customStyle="1" w:styleId="505">
    <w:name w:val="表文00"/>
    <w:basedOn w:val="1"/>
    <w:next w:val="1"/>
    <w:qFormat/>
    <w:uiPriority w:val="0"/>
    <w:pPr>
      <w:autoSpaceDE w:val="0"/>
      <w:autoSpaceDN w:val="0"/>
      <w:contextualSpacing/>
      <w:jc w:val="center"/>
    </w:pPr>
    <w:rPr>
      <w:kern w:val="0"/>
      <w:szCs w:val="18"/>
    </w:rPr>
  </w:style>
  <w:style w:type="character" w:customStyle="1" w:styleId="506">
    <w:name w:val="15"/>
    <w:basedOn w:val="51"/>
    <w:qFormat/>
    <w:uiPriority w:val="0"/>
    <w:rPr>
      <w:rFonts w:hint="eastAsia" w:ascii="宋体" w:hAnsi="宋体" w:eastAsia="宋体" w:cs="宋体"/>
      <w:color w:val="000000"/>
      <w:sz w:val="20"/>
      <w:szCs w:val="20"/>
    </w:rPr>
  </w:style>
  <w:style w:type="character" w:customStyle="1" w:styleId="507">
    <w:name w:val="font71"/>
    <w:basedOn w:val="51"/>
    <w:qFormat/>
    <w:uiPriority w:val="0"/>
    <w:rPr>
      <w:rFonts w:hint="eastAsia" w:ascii="宋体" w:hAnsi="宋体" w:eastAsia="宋体" w:cs="宋体"/>
      <w:color w:val="FF0000"/>
      <w:sz w:val="28"/>
      <w:szCs w:val="28"/>
      <w:u w:val="none"/>
    </w:rPr>
  </w:style>
  <w:style w:type="paragraph" w:customStyle="1" w:styleId="508">
    <w:name w:val="a-文本缩2"/>
    <w:qFormat/>
    <w:uiPriority w:val="0"/>
    <w:pPr>
      <w:adjustRightInd w:val="0"/>
      <w:snapToGrid w:val="0"/>
      <w:spacing w:line="360" w:lineRule="auto"/>
      <w:ind w:firstLine="200" w:firstLineChars="200"/>
      <w:jc w:val="both"/>
    </w:pPr>
    <w:rPr>
      <w:rFonts w:ascii="Times New Roman" w:hAnsi="Times New Roman" w:eastAsia="宋体" w:cs="Times New Roman"/>
      <w:color w:val="000000"/>
      <w:kern w:val="2"/>
      <w:sz w:val="24"/>
      <w:szCs w:val="21"/>
      <w:lang w:val="en-US" w:eastAsia="zh-CN" w:bidi="ar-SA"/>
    </w:rPr>
  </w:style>
  <w:style w:type="paragraph" w:customStyle="1" w:styleId="509">
    <w:name w:val="表头和图片"/>
    <w:basedOn w:val="17"/>
    <w:next w:val="1"/>
    <w:qFormat/>
    <w:uiPriority w:val="0"/>
    <w:pPr>
      <w:jc w:val="center"/>
    </w:pPr>
    <w:rPr>
      <w:rFonts w:ascii="Times New Roman" w:cs="Times New Roman"/>
      <w:b/>
      <w:kern w:val="0"/>
      <w:sz w:val="24"/>
      <w:szCs w:val="28"/>
    </w:rPr>
  </w:style>
</w:styles>
</file>

<file path=word/_rels/document.xml.rels><?xml version="1.0" encoding="UTF-8" standalone="yes"?>
<Relationships xmlns="http://schemas.openxmlformats.org/package/2006/relationships"><Relationship Id="rId99" Type="http://schemas.openxmlformats.org/officeDocument/2006/relationships/image" Target="media/image40.wmf"/><Relationship Id="rId98" Type="http://schemas.openxmlformats.org/officeDocument/2006/relationships/oleObject" Target="embeddings/oleObject30.bin"/><Relationship Id="rId97" Type="http://schemas.openxmlformats.org/officeDocument/2006/relationships/image" Target="media/image39.wmf"/><Relationship Id="rId96" Type="http://schemas.openxmlformats.org/officeDocument/2006/relationships/oleObject" Target="embeddings/oleObject29.bin"/><Relationship Id="rId95" Type="http://schemas.openxmlformats.org/officeDocument/2006/relationships/image" Target="media/image38.wmf"/><Relationship Id="rId94" Type="http://schemas.openxmlformats.org/officeDocument/2006/relationships/oleObject" Target="embeddings/oleObject28.bin"/><Relationship Id="rId93" Type="http://schemas.openxmlformats.org/officeDocument/2006/relationships/image" Target="media/image37.wmf"/><Relationship Id="rId92" Type="http://schemas.openxmlformats.org/officeDocument/2006/relationships/oleObject" Target="embeddings/oleObject27.bin"/><Relationship Id="rId91" Type="http://schemas.openxmlformats.org/officeDocument/2006/relationships/image" Target="media/image36.wmf"/><Relationship Id="rId90" Type="http://schemas.openxmlformats.org/officeDocument/2006/relationships/oleObject" Target="embeddings/oleObject26.bin"/><Relationship Id="rId9" Type="http://schemas.openxmlformats.org/officeDocument/2006/relationships/footer" Target="footer2.xml"/><Relationship Id="rId89" Type="http://schemas.openxmlformats.org/officeDocument/2006/relationships/image" Target="media/image35.wmf"/><Relationship Id="rId88" Type="http://schemas.openxmlformats.org/officeDocument/2006/relationships/oleObject" Target="embeddings/oleObject25.bin"/><Relationship Id="rId87" Type="http://schemas.openxmlformats.org/officeDocument/2006/relationships/image" Target="media/image34.wmf"/><Relationship Id="rId86" Type="http://schemas.openxmlformats.org/officeDocument/2006/relationships/oleObject" Target="embeddings/oleObject24.bin"/><Relationship Id="rId85" Type="http://schemas.openxmlformats.org/officeDocument/2006/relationships/image" Target="media/image33.wmf"/><Relationship Id="rId84" Type="http://schemas.openxmlformats.org/officeDocument/2006/relationships/oleObject" Target="embeddings/oleObject23.bin"/><Relationship Id="rId83" Type="http://schemas.openxmlformats.org/officeDocument/2006/relationships/image" Target="media/image32.wmf"/><Relationship Id="rId82" Type="http://schemas.openxmlformats.org/officeDocument/2006/relationships/oleObject" Target="embeddings/oleObject22.bin"/><Relationship Id="rId81" Type="http://schemas.openxmlformats.org/officeDocument/2006/relationships/image" Target="media/image31.wmf"/><Relationship Id="rId80" Type="http://schemas.openxmlformats.org/officeDocument/2006/relationships/oleObject" Target="embeddings/oleObject21.bin"/><Relationship Id="rId8" Type="http://schemas.openxmlformats.org/officeDocument/2006/relationships/footer" Target="footer1.xml"/><Relationship Id="rId79" Type="http://schemas.openxmlformats.org/officeDocument/2006/relationships/oleObject" Target="embeddings/oleObject20.bin"/><Relationship Id="rId78" Type="http://schemas.openxmlformats.org/officeDocument/2006/relationships/oleObject" Target="embeddings/oleObject19.bin"/><Relationship Id="rId77" Type="http://schemas.openxmlformats.org/officeDocument/2006/relationships/oleObject" Target="embeddings/oleObject18.bin"/><Relationship Id="rId76" Type="http://schemas.openxmlformats.org/officeDocument/2006/relationships/oleObject" Target="embeddings/oleObject17.bin"/><Relationship Id="rId75" Type="http://schemas.openxmlformats.org/officeDocument/2006/relationships/image" Target="media/image30.wmf"/><Relationship Id="rId74" Type="http://schemas.openxmlformats.org/officeDocument/2006/relationships/oleObject" Target="embeddings/oleObject16.bin"/><Relationship Id="rId73" Type="http://schemas.openxmlformats.org/officeDocument/2006/relationships/image" Target="media/image29.wmf"/><Relationship Id="rId72" Type="http://schemas.openxmlformats.org/officeDocument/2006/relationships/oleObject" Target="embeddings/oleObject15.bin"/><Relationship Id="rId71" Type="http://schemas.openxmlformats.org/officeDocument/2006/relationships/image" Target="media/image28.wmf"/><Relationship Id="rId70" Type="http://schemas.openxmlformats.org/officeDocument/2006/relationships/oleObject" Target="embeddings/oleObject14.bin"/><Relationship Id="rId7" Type="http://schemas.openxmlformats.org/officeDocument/2006/relationships/header" Target="header3.xml"/><Relationship Id="rId69" Type="http://schemas.openxmlformats.org/officeDocument/2006/relationships/image" Target="media/image27.wmf"/><Relationship Id="rId68" Type="http://schemas.openxmlformats.org/officeDocument/2006/relationships/oleObject" Target="embeddings/oleObject13.bin"/><Relationship Id="rId67" Type="http://schemas.openxmlformats.org/officeDocument/2006/relationships/image" Target="media/image26.wmf"/><Relationship Id="rId66" Type="http://schemas.openxmlformats.org/officeDocument/2006/relationships/oleObject" Target="embeddings/oleObject12.bin"/><Relationship Id="rId65" Type="http://schemas.openxmlformats.org/officeDocument/2006/relationships/image" Target="media/image25.wmf"/><Relationship Id="rId64" Type="http://schemas.openxmlformats.org/officeDocument/2006/relationships/oleObject" Target="embeddings/oleObject11.bin"/><Relationship Id="rId63" Type="http://schemas.openxmlformats.org/officeDocument/2006/relationships/image" Target="media/image24.wmf"/><Relationship Id="rId62" Type="http://schemas.openxmlformats.org/officeDocument/2006/relationships/oleObject" Target="embeddings/oleObject10.bin"/><Relationship Id="rId61" Type="http://schemas.openxmlformats.org/officeDocument/2006/relationships/image" Target="media/image23.wmf"/><Relationship Id="rId60" Type="http://schemas.openxmlformats.org/officeDocument/2006/relationships/oleObject" Target="embeddings/oleObject9.bin"/><Relationship Id="rId6" Type="http://schemas.openxmlformats.org/officeDocument/2006/relationships/header" Target="header2.xml"/><Relationship Id="rId59" Type="http://schemas.openxmlformats.org/officeDocument/2006/relationships/image" Target="media/image22.wmf"/><Relationship Id="rId58" Type="http://schemas.openxmlformats.org/officeDocument/2006/relationships/oleObject" Target="embeddings/oleObject8.bin"/><Relationship Id="rId57" Type="http://schemas.openxmlformats.org/officeDocument/2006/relationships/image" Target="media/image21.wmf"/><Relationship Id="rId56" Type="http://schemas.openxmlformats.org/officeDocument/2006/relationships/oleObject" Target="embeddings/oleObject7.bin"/><Relationship Id="rId55" Type="http://schemas.openxmlformats.org/officeDocument/2006/relationships/image" Target="media/image20.wmf"/><Relationship Id="rId54" Type="http://schemas.openxmlformats.org/officeDocument/2006/relationships/oleObject" Target="embeddings/oleObject6.bin"/><Relationship Id="rId53" Type="http://schemas.openxmlformats.org/officeDocument/2006/relationships/image" Target="media/image19.wmf"/><Relationship Id="rId52" Type="http://schemas.openxmlformats.org/officeDocument/2006/relationships/oleObject" Target="embeddings/oleObject5.bin"/><Relationship Id="rId51" Type="http://schemas.openxmlformats.org/officeDocument/2006/relationships/image" Target="media/image18.wmf"/><Relationship Id="rId50" Type="http://schemas.openxmlformats.org/officeDocument/2006/relationships/oleObject" Target="embeddings/oleObject4.bin"/><Relationship Id="rId5" Type="http://schemas.openxmlformats.org/officeDocument/2006/relationships/header" Target="header1.xml"/><Relationship Id="rId49" Type="http://schemas.openxmlformats.org/officeDocument/2006/relationships/image" Target="media/image17.wmf"/><Relationship Id="rId48" Type="http://schemas.openxmlformats.org/officeDocument/2006/relationships/oleObject" Target="embeddings/oleObject3.bin"/><Relationship Id="rId47" Type="http://schemas.openxmlformats.org/officeDocument/2006/relationships/image" Target="media/image16.wmf"/><Relationship Id="rId46" Type="http://schemas.openxmlformats.org/officeDocument/2006/relationships/oleObject" Target="embeddings/oleObject2.bin"/><Relationship Id="rId45" Type="http://schemas.openxmlformats.org/officeDocument/2006/relationships/image" Target="media/image15.wmf"/><Relationship Id="rId44" Type="http://schemas.openxmlformats.org/officeDocument/2006/relationships/oleObject" Target="embeddings/oleObject1.bin"/><Relationship Id="rId43" Type="http://schemas.openxmlformats.org/officeDocument/2006/relationships/image" Target="media/image14.png"/><Relationship Id="rId42" Type="http://schemas.openxmlformats.org/officeDocument/2006/relationships/image" Target="media/image13.png"/><Relationship Id="rId41" Type="http://schemas.openxmlformats.org/officeDocument/2006/relationships/image" Target="media/image12.emf"/><Relationship Id="rId40" Type="http://schemas.openxmlformats.org/officeDocument/2006/relationships/oleObject" Target="embeddings/Microsoft_Visio_2003-2010___2.vsd"/><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png"/><Relationship Id="rId37" Type="http://schemas.openxmlformats.org/officeDocument/2006/relationships/image" Target="media/image9.emf"/><Relationship Id="rId36" Type="http://schemas.openxmlformats.org/officeDocument/2006/relationships/oleObject" Target="embeddings/Microsoft_Visio_2003-2010___1.vsd"/><Relationship Id="rId35" Type="http://schemas.openxmlformats.org/officeDocument/2006/relationships/image" Target="media/image8.png"/><Relationship Id="rId34" Type="http://schemas.openxmlformats.org/officeDocument/2006/relationships/image" Target="media/image7.png"/><Relationship Id="rId33" Type="http://schemas.openxmlformats.org/officeDocument/2006/relationships/image" Target="media/image6.png"/><Relationship Id="rId32" Type="http://schemas.openxmlformats.org/officeDocument/2006/relationships/image" Target="media/image5.jpeg"/><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footnotes" Target="footnotes.xml"/><Relationship Id="rId29" Type="http://schemas.openxmlformats.org/officeDocument/2006/relationships/image" Target="media/image2.png"/><Relationship Id="rId28" Type="http://schemas.openxmlformats.org/officeDocument/2006/relationships/image" Target="media/image1.jpeg"/><Relationship Id="rId27" Type="http://schemas.openxmlformats.org/officeDocument/2006/relationships/theme" Target="theme/theme1.xml"/><Relationship Id="rId26" Type="http://schemas.openxmlformats.org/officeDocument/2006/relationships/footer" Target="footer12.xml"/><Relationship Id="rId25" Type="http://schemas.openxmlformats.org/officeDocument/2006/relationships/header" Target="header10.xml"/><Relationship Id="rId24" Type="http://schemas.openxmlformats.org/officeDocument/2006/relationships/footer" Target="footer11.xml"/><Relationship Id="rId23" Type="http://schemas.openxmlformats.org/officeDocument/2006/relationships/footer" Target="footer10.xml"/><Relationship Id="rId22" Type="http://schemas.openxmlformats.org/officeDocument/2006/relationships/footer" Target="footer9.xml"/><Relationship Id="rId21" Type="http://schemas.openxmlformats.org/officeDocument/2006/relationships/header" Target="header9.xml"/><Relationship Id="rId20" Type="http://schemas.openxmlformats.org/officeDocument/2006/relationships/header" Target="header8.xml"/><Relationship Id="rId2" Type="http://schemas.openxmlformats.org/officeDocument/2006/relationships/settings" Target="settings.xml"/><Relationship Id="rId19" Type="http://schemas.openxmlformats.org/officeDocument/2006/relationships/header" Target="header7.xml"/><Relationship Id="rId18" Type="http://schemas.openxmlformats.org/officeDocument/2006/relationships/footer" Target="footer8.xml"/><Relationship Id="rId179" Type="http://schemas.openxmlformats.org/officeDocument/2006/relationships/fontTable" Target="fontTable.xml"/><Relationship Id="rId178" Type="http://schemas.openxmlformats.org/officeDocument/2006/relationships/customXml" Target="../customXml/item2.xml"/><Relationship Id="rId177" Type="http://schemas.openxmlformats.org/officeDocument/2006/relationships/numbering" Target="numbering.xml"/><Relationship Id="rId176" Type="http://schemas.openxmlformats.org/officeDocument/2006/relationships/customXml" Target="../customXml/item1.xml"/><Relationship Id="rId175" Type="http://schemas.openxmlformats.org/officeDocument/2006/relationships/image" Target="media/image114.png"/><Relationship Id="rId174" Type="http://schemas.openxmlformats.org/officeDocument/2006/relationships/image" Target="media/image113.png"/><Relationship Id="rId173" Type="http://schemas.openxmlformats.org/officeDocument/2006/relationships/image" Target="media/image112.png"/><Relationship Id="rId172" Type="http://schemas.openxmlformats.org/officeDocument/2006/relationships/image" Target="media/image111.png"/><Relationship Id="rId171" Type="http://schemas.openxmlformats.org/officeDocument/2006/relationships/image" Target="media/image110.png"/><Relationship Id="rId170" Type="http://schemas.openxmlformats.org/officeDocument/2006/relationships/image" Target="media/image109.png"/><Relationship Id="rId17" Type="http://schemas.openxmlformats.org/officeDocument/2006/relationships/footer" Target="footer7.xml"/><Relationship Id="rId169" Type="http://schemas.openxmlformats.org/officeDocument/2006/relationships/image" Target="media/image108.png"/><Relationship Id="rId168" Type="http://schemas.openxmlformats.org/officeDocument/2006/relationships/image" Target="media/image107.png"/><Relationship Id="rId167" Type="http://schemas.openxmlformats.org/officeDocument/2006/relationships/image" Target="media/image106.png"/><Relationship Id="rId166" Type="http://schemas.openxmlformats.org/officeDocument/2006/relationships/image" Target="media/image105.png"/><Relationship Id="rId165" Type="http://schemas.openxmlformats.org/officeDocument/2006/relationships/image" Target="media/image104.png"/><Relationship Id="rId164" Type="http://schemas.openxmlformats.org/officeDocument/2006/relationships/image" Target="media/image103.png"/><Relationship Id="rId163" Type="http://schemas.openxmlformats.org/officeDocument/2006/relationships/image" Target="media/image102.png"/><Relationship Id="rId162" Type="http://schemas.openxmlformats.org/officeDocument/2006/relationships/image" Target="media/image101.png"/><Relationship Id="rId161" Type="http://schemas.openxmlformats.org/officeDocument/2006/relationships/image" Target="media/image100.png"/><Relationship Id="rId160" Type="http://schemas.openxmlformats.org/officeDocument/2006/relationships/image" Target="media/image99.png"/><Relationship Id="rId16" Type="http://schemas.openxmlformats.org/officeDocument/2006/relationships/footer" Target="footer6.xml"/><Relationship Id="rId159" Type="http://schemas.openxmlformats.org/officeDocument/2006/relationships/image" Target="media/image98.png"/><Relationship Id="rId158" Type="http://schemas.openxmlformats.org/officeDocument/2006/relationships/image" Target="media/image97.png"/><Relationship Id="rId157" Type="http://schemas.openxmlformats.org/officeDocument/2006/relationships/image" Target="media/image96.png"/><Relationship Id="rId156" Type="http://schemas.openxmlformats.org/officeDocument/2006/relationships/image" Target="media/image95.png"/><Relationship Id="rId155" Type="http://schemas.openxmlformats.org/officeDocument/2006/relationships/image" Target="media/image94.png"/><Relationship Id="rId154" Type="http://schemas.openxmlformats.org/officeDocument/2006/relationships/image" Target="media/image93.png"/><Relationship Id="rId153" Type="http://schemas.openxmlformats.org/officeDocument/2006/relationships/image" Target="media/image92.png"/><Relationship Id="rId152" Type="http://schemas.openxmlformats.org/officeDocument/2006/relationships/image" Target="media/image91.png"/><Relationship Id="rId151" Type="http://schemas.openxmlformats.org/officeDocument/2006/relationships/image" Target="media/image90.png"/><Relationship Id="rId150" Type="http://schemas.openxmlformats.org/officeDocument/2006/relationships/image" Target="media/image89.png"/><Relationship Id="rId15" Type="http://schemas.openxmlformats.org/officeDocument/2006/relationships/header" Target="header6.xml"/><Relationship Id="rId149" Type="http://schemas.openxmlformats.org/officeDocument/2006/relationships/image" Target="media/image88.png"/><Relationship Id="rId148" Type="http://schemas.openxmlformats.org/officeDocument/2006/relationships/image" Target="media/image87.png"/><Relationship Id="rId147" Type="http://schemas.openxmlformats.org/officeDocument/2006/relationships/image" Target="media/image86.png"/><Relationship Id="rId146" Type="http://schemas.openxmlformats.org/officeDocument/2006/relationships/image" Target="media/image85.png"/><Relationship Id="rId145" Type="http://schemas.openxmlformats.org/officeDocument/2006/relationships/image" Target="media/image84.png"/><Relationship Id="rId144" Type="http://schemas.openxmlformats.org/officeDocument/2006/relationships/image" Target="media/image83.png"/><Relationship Id="rId143" Type="http://schemas.openxmlformats.org/officeDocument/2006/relationships/image" Target="media/image82.png"/><Relationship Id="rId142" Type="http://schemas.openxmlformats.org/officeDocument/2006/relationships/image" Target="media/image81.png"/><Relationship Id="rId141" Type="http://schemas.openxmlformats.org/officeDocument/2006/relationships/image" Target="media/image80.png"/><Relationship Id="rId140" Type="http://schemas.openxmlformats.org/officeDocument/2006/relationships/image" Target="media/image79.png"/><Relationship Id="rId14" Type="http://schemas.openxmlformats.org/officeDocument/2006/relationships/header" Target="header5.xml"/><Relationship Id="rId139" Type="http://schemas.openxmlformats.org/officeDocument/2006/relationships/image" Target="media/image78.png"/><Relationship Id="rId138" Type="http://schemas.openxmlformats.org/officeDocument/2006/relationships/image" Target="media/image77.png"/><Relationship Id="rId137" Type="http://schemas.openxmlformats.org/officeDocument/2006/relationships/image" Target="media/image76.png"/><Relationship Id="rId136" Type="http://schemas.openxmlformats.org/officeDocument/2006/relationships/image" Target="media/image75.png"/><Relationship Id="rId135" Type="http://schemas.openxmlformats.org/officeDocument/2006/relationships/image" Target="media/image74.png"/><Relationship Id="rId134" Type="http://schemas.openxmlformats.org/officeDocument/2006/relationships/image" Target="media/image73.png"/><Relationship Id="rId133" Type="http://schemas.openxmlformats.org/officeDocument/2006/relationships/image" Target="media/image72.png"/><Relationship Id="rId132" Type="http://schemas.openxmlformats.org/officeDocument/2006/relationships/image" Target="media/image71.png"/><Relationship Id="rId131" Type="http://schemas.openxmlformats.org/officeDocument/2006/relationships/image" Target="media/image70.png"/><Relationship Id="rId130" Type="http://schemas.openxmlformats.org/officeDocument/2006/relationships/image" Target="media/image69.png"/><Relationship Id="rId13" Type="http://schemas.openxmlformats.org/officeDocument/2006/relationships/header" Target="header4.xml"/><Relationship Id="rId129" Type="http://schemas.openxmlformats.org/officeDocument/2006/relationships/image" Target="media/image68.png"/><Relationship Id="rId128" Type="http://schemas.openxmlformats.org/officeDocument/2006/relationships/image" Target="media/image67.png"/><Relationship Id="rId127" Type="http://schemas.openxmlformats.org/officeDocument/2006/relationships/image" Target="media/image66.png"/><Relationship Id="rId126" Type="http://schemas.openxmlformats.org/officeDocument/2006/relationships/image" Target="media/image65.wmf"/><Relationship Id="rId125" Type="http://schemas.openxmlformats.org/officeDocument/2006/relationships/image" Target="media/image64.png"/><Relationship Id="rId124" Type="http://schemas.openxmlformats.org/officeDocument/2006/relationships/image" Target="media/image63.png"/><Relationship Id="rId123" Type="http://schemas.openxmlformats.org/officeDocument/2006/relationships/image" Target="media/image62.png"/><Relationship Id="rId122" Type="http://schemas.openxmlformats.org/officeDocument/2006/relationships/image" Target="media/image61.png"/><Relationship Id="rId121" Type="http://schemas.openxmlformats.org/officeDocument/2006/relationships/image" Target="media/image60.png"/><Relationship Id="rId120" Type="http://schemas.openxmlformats.org/officeDocument/2006/relationships/image" Target="media/image59.png"/><Relationship Id="rId12" Type="http://schemas.openxmlformats.org/officeDocument/2006/relationships/footer" Target="footer5.xml"/><Relationship Id="rId119" Type="http://schemas.openxmlformats.org/officeDocument/2006/relationships/image" Target="media/image58.png"/><Relationship Id="rId118" Type="http://schemas.openxmlformats.org/officeDocument/2006/relationships/image" Target="media/image57.png"/><Relationship Id="rId117" Type="http://schemas.openxmlformats.org/officeDocument/2006/relationships/image" Target="media/image56.png"/><Relationship Id="rId116" Type="http://schemas.openxmlformats.org/officeDocument/2006/relationships/image" Target="media/image55.png"/><Relationship Id="rId115" Type="http://schemas.openxmlformats.org/officeDocument/2006/relationships/image" Target="media/image54.png"/><Relationship Id="rId114" Type="http://schemas.openxmlformats.org/officeDocument/2006/relationships/image" Target="media/image53.png"/><Relationship Id="rId113" Type="http://schemas.openxmlformats.org/officeDocument/2006/relationships/image" Target="media/image52.png"/><Relationship Id="rId112" Type="http://schemas.openxmlformats.org/officeDocument/2006/relationships/image" Target="media/image51.png"/><Relationship Id="rId111" Type="http://schemas.openxmlformats.org/officeDocument/2006/relationships/image" Target="media/image50.png"/><Relationship Id="rId110" Type="http://schemas.openxmlformats.org/officeDocument/2006/relationships/image" Target="media/image49.png"/><Relationship Id="rId11" Type="http://schemas.openxmlformats.org/officeDocument/2006/relationships/footer" Target="footer4.xml"/><Relationship Id="rId109" Type="http://schemas.openxmlformats.org/officeDocument/2006/relationships/image" Target="media/image48.png"/><Relationship Id="rId108" Type="http://schemas.openxmlformats.org/officeDocument/2006/relationships/image" Target="media/image47.png"/><Relationship Id="rId107" Type="http://schemas.openxmlformats.org/officeDocument/2006/relationships/image" Target="media/image46.png"/><Relationship Id="rId106" Type="http://schemas.openxmlformats.org/officeDocument/2006/relationships/image" Target="media/image45.png"/><Relationship Id="rId105" Type="http://schemas.openxmlformats.org/officeDocument/2006/relationships/image" Target="media/image44.png"/><Relationship Id="rId104" Type="http://schemas.openxmlformats.org/officeDocument/2006/relationships/image" Target="media/image43.png"/><Relationship Id="rId103" Type="http://schemas.openxmlformats.org/officeDocument/2006/relationships/image" Target="media/image42.wmf"/><Relationship Id="rId102" Type="http://schemas.openxmlformats.org/officeDocument/2006/relationships/oleObject" Target="embeddings/oleObject32.bin"/><Relationship Id="rId101" Type="http://schemas.openxmlformats.org/officeDocument/2006/relationships/image" Target="media/image41.wmf"/><Relationship Id="rId100" Type="http://schemas.openxmlformats.org/officeDocument/2006/relationships/oleObject" Target="embeddings/oleObject31.bin"/><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8668BA-1610-44C1-9432-51B033912236}">
  <ds:schemaRefs/>
</ds:datastoreItem>
</file>

<file path=docProps/app.xml><?xml version="1.0" encoding="utf-8"?>
<Properties xmlns="http://schemas.openxmlformats.org/officeDocument/2006/extended-properties" xmlns:vt="http://schemas.openxmlformats.org/officeDocument/2006/docPropsVTypes">
  <Template>Normal.dotm</Template>
  <Pages>307</Pages>
  <Words>15368</Words>
  <Characters>16855</Characters>
  <Lines>1358</Lines>
  <Paragraphs>382</Paragraphs>
  <TotalTime>14</TotalTime>
  <ScaleCrop>false</ScaleCrop>
  <LinksUpToDate>false</LinksUpToDate>
  <CharactersWithSpaces>17097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2025-07-28T03:29:00Z</dcterms:created>
  <dc:creator>Administrator</dc:creator>
  <cp:lastModifiedBy>编辑1</cp:lastModifiedBy>
  <cp:lastPrinted>2025-10-13T03:17:00Z</cp:lastPrinted>
  <dcterms:modified xsi:type="dcterms:W3CDTF">2026-07-10T02:18:56Z</dcterms:modified>
  <cp:revision>2311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2FBB9EC672BC4F0C9A10B3CF3F4BC589_13</vt:lpwstr>
  </property>
  <property fmtid="{D5CDD505-2E9C-101B-9397-08002B2CF9AE}" pid="4" name="KSOTemplateDocerSaveRecord">
    <vt:lpwstr>eyJoZGlkIjoiY2MxYzA2ZTQzY2JlOWUwZWZmZmMwODQ5Mjc2Yjc2NjUiLCJ1c2VySWQiOiIxMzkwNDEyOTEyIn0=</vt:lpwstr>
  </property>
</Properties>
</file>